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63" w:lineRule="exact"/>
        <w:rPr>
          <w:sz w:val="24"/>
          <w:szCs w:val="24"/>
          <w:color w:val="auto"/>
        </w:rPr>
      </w:pPr>
    </w:p>
    <w:p>
      <w:pPr>
        <w:ind w:left="6940"/>
        <w:spacing w:after="0"/>
        <w:rPr>
          <w:sz w:val="20"/>
          <w:szCs w:val="20"/>
          <w:color w:val="auto"/>
        </w:rPr>
      </w:pPr>
      <w:r>
        <w:rPr>
          <w:rFonts w:ascii="Arial" w:cs="Arial" w:eastAsia="Arial" w:hAnsi="Arial"/>
          <w:sz w:val="22"/>
          <w:szCs w:val="22"/>
          <w:b w:val="1"/>
          <w:bCs w:val="1"/>
          <w:color w:val="auto"/>
        </w:rPr>
        <w:t> Filed pursuant to Rule 424(b)(5)</w:t>
      </w:r>
    </w:p>
    <w:p>
      <w:pPr>
        <w:spacing w:after="0" w:line="16" w:lineRule="exact"/>
        <w:rPr>
          <w:sz w:val="24"/>
          <w:szCs w:val="24"/>
          <w:color w:val="auto"/>
        </w:rPr>
      </w:pPr>
    </w:p>
    <w:p>
      <w:pPr>
        <w:ind w:left="7360"/>
        <w:spacing w:after="0"/>
        <w:rPr>
          <w:sz w:val="20"/>
          <w:szCs w:val="20"/>
          <w:color w:val="auto"/>
        </w:rPr>
      </w:pPr>
      <w:r>
        <w:rPr>
          <w:rFonts w:ascii="Arial" w:cs="Arial" w:eastAsia="Arial" w:hAnsi="Arial"/>
          <w:sz w:val="22"/>
          <w:szCs w:val="22"/>
          <w:b w:val="1"/>
          <w:bCs w:val="1"/>
          <w:color w:val="auto"/>
        </w:rPr>
        <w:t> Registration No. 333-249838​</w:t>
      </w:r>
    </w:p>
    <w:p>
      <w:pPr>
        <w:spacing w:after="0" w:line="24" w:lineRule="exact"/>
        <w:rPr>
          <w:sz w:val="24"/>
          <w:szCs w:val="24"/>
          <w:color w:val="auto"/>
        </w:rPr>
      </w:pPr>
    </w:p>
    <w:p>
      <w:pPr>
        <w:ind w:left="500"/>
        <w:spacing w:after="0"/>
        <w:rPr>
          <w:sz w:val="20"/>
          <w:szCs w:val="20"/>
          <w:color w:val="auto"/>
        </w:rPr>
      </w:pPr>
      <w:r>
        <w:rPr>
          <w:rFonts w:ascii="Arial" w:cs="Arial" w:eastAsia="Arial" w:hAnsi="Arial"/>
          <w:sz w:val="14"/>
          <w:szCs w:val="14"/>
          <w:b w:val="1"/>
          <w:bCs w:val="1"/>
          <w:color w:val="auto"/>
        </w:rPr>
        <w:t>Prospectus Supplement</w:t>
      </w:r>
    </w:p>
    <w:p>
      <w:pPr>
        <w:spacing w:after="0" w:line="29" w:lineRule="exact"/>
        <w:rPr>
          <w:sz w:val="24"/>
          <w:szCs w:val="24"/>
          <w:color w:val="auto"/>
        </w:rPr>
      </w:pPr>
    </w:p>
    <w:p>
      <w:pPr>
        <w:ind w:left="500"/>
        <w:spacing w:after="0"/>
        <w:rPr>
          <w:sz w:val="20"/>
          <w:szCs w:val="20"/>
          <w:color w:val="auto"/>
        </w:rPr>
      </w:pPr>
      <w:r>
        <w:rPr>
          <w:rFonts w:ascii="Arial" w:cs="Arial" w:eastAsia="Arial" w:hAnsi="Arial"/>
          <w:sz w:val="14"/>
          <w:szCs w:val="14"/>
          <w:b w:val="1"/>
          <w:bCs w:val="1"/>
          <w:color w:val="auto"/>
        </w:rPr>
        <w:t>(To Prospectus dated November 4, 2020)</w:t>
      </w:r>
    </w:p>
    <w:p>
      <w:pPr>
        <w:spacing w:after="0" w:line="6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$1,500,000,000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2557145</wp:posOffset>
            </wp:positionH>
            <wp:positionV relativeFrom="paragraph">
              <wp:posOffset>74295</wp:posOffset>
            </wp:positionV>
            <wp:extent cx="170561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3740"/>
        <w:spacing w:after="0"/>
        <w:rPr>
          <w:sz w:val="20"/>
          <w:szCs w:val="20"/>
          <w:color w:val="auto"/>
        </w:rPr>
      </w:pPr>
      <w:r>
        <w:rPr>
          <w:rFonts w:ascii="Arial" w:cs="Arial" w:eastAsia="Arial" w:hAnsi="Arial"/>
          <w:sz w:val="29"/>
          <w:szCs w:val="29"/>
          <w:b w:val="1"/>
          <w:bCs w:val="1"/>
          <w:color w:val="auto"/>
        </w:rPr>
        <w:t>Micron Technology, Inc.</w:t>
      </w:r>
      <w:r>
        <w:rPr>
          <w:rFonts w:ascii="Arial" w:cs="Arial" w:eastAsia="Arial" w:hAnsi="Arial"/>
          <w:sz w:val="39"/>
          <w:szCs w:val="39"/>
          <w:color w:val="auto"/>
        </w:rPr>
        <w:t>​</w:t>
      </w:r>
    </w:p>
    <w:p>
      <w:pPr>
        <w:spacing w:after="0" w:line="68"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$600,000,000 5.375% Senior Notes due 2028</w:t>
      </w:r>
    </w:p>
    <w:p>
      <w:pPr>
        <w:spacing w:after="0" w:line="85"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$900,000,000 5.875% Senior Notes due 2033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100330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5" w:lineRule="exact"/>
        <w:rPr>
          <w:sz w:val="24"/>
          <w:szCs w:val="24"/>
          <w:color w:val="auto"/>
        </w:rPr>
      </w:pPr>
    </w:p>
    <w:p>
      <w:pPr>
        <w:ind w:left="500" w:right="280"/>
        <w:spacing w:after="0" w:line="229" w:lineRule="auto"/>
        <w:rPr>
          <w:sz w:val="20"/>
          <w:szCs w:val="20"/>
          <w:color w:val="auto"/>
        </w:rPr>
      </w:pPr>
      <w:r>
        <w:rPr>
          <w:rFonts w:ascii="Arial" w:cs="Arial" w:eastAsia="Arial" w:hAnsi="Arial"/>
          <w:sz w:val="14"/>
          <w:szCs w:val="14"/>
          <w:color w:val="auto"/>
        </w:rPr>
        <w:t>Micron Technology, Inc. is offering $600,000,000 in aggregate principal amount of 5.375% senior notes due 2028 (the “2028 notes”) and $900,000,000 in aggregate principal amount of 5.875% senior notes due 2033 (the “2033 notes” and, together with the 2028 notes, the “notes”). The 2028 notes and the 2033 notes are each referred to herein as a series of notes.</w:t>
      </w:r>
    </w:p>
    <w:p>
      <w:pPr>
        <w:spacing w:after="0" w:line="52" w:lineRule="exact"/>
        <w:rPr>
          <w:sz w:val="24"/>
          <w:szCs w:val="24"/>
          <w:color w:val="auto"/>
        </w:rPr>
      </w:pPr>
    </w:p>
    <w:p>
      <w:pPr>
        <w:ind w:left="500" w:right="200"/>
        <w:spacing w:after="0" w:line="229" w:lineRule="auto"/>
        <w:rPr>
          <w:sz w:val="20"/>
          <w:szCs w:val="20"/>
          <w:color w:val="auto"/>
        </w:rPr>
      </w:pPr>
      <w:r>
        <w:rPr>
          <w:rFonts w:ascii="Arial" w:cs="Arial" w:eastAsia="Arial" w:hAnsi="Arial"/>
          <w:sz w:val="14"/>
          <w:szCs w:val="14"/>
          <w:color w:val="auto"/>
        </w:rPr>
        <w:t>The 2028 notes will bear interest at the rate of 5.375% per year and the 2033 notes will bear interest at the rate of 5.875% per year. Interest on the 2028 notes will be payable semi-annually in arrears on April 15 and October 15 of each year, beginning October 15, 2023, and interest on the 2033 notes will be payable semi-annually in arrears on March 15 and September 15 of each year, beginning September 15, 2023.</w:t>
      </w:r>
    </w:p>
    <w:p>
      <w:pPr>
        <w:spacing w:after="0" w:line="52" w:lineRule="exact"/>
        <w:rPr>
          <w:sz w:val="24"/>
          <w:szCs w:val="24"/>
          <w:color w:val="auto"/>
        </w:rPr>
      </w:pPr>
    </w:p>
    <w:p>
      <w:pPr>
        <w:ind w:left="500"/>
        <w:spacing w:after="0"/>
        <w:rPr>
          <w:sz w:val="20"/>
          <w:szCs w:val="20"/>
          <w:color w:val="auto"/>
        </w:rPr>
      </w:pPr>
      <w:r>
        <w:rPr>
          <w:rFonts w:ascii="Arial" w:cs="Arial" w:eastAsia="Arial" w:hAnsi="Arial"/>
          <w:sz w:val="14"/>
          <w:szCs w:val="14"/>
          <w:color w:val="auto"/>
        </w:rPr>
        <w:t>The 2028 notes will mature on April 15, 2028 and the 2033 notes will mature on September 15, 2033.</w:t>
      </w:r>
    </w:p>
    <w:p>
      <w:pPr>
        <w:spacing w:after="0" w:line="42" w:lineRule="exact"/>
        <w:rPr>
          <w:sz w:val="24"/>
          <w:szCs w:val="24"/>
          <w:color w:val="auto"/>
        </w:rPr>
      </w:pPr>
    </w:p>
    <w:p>
      <w:pPr>
        <w:ind w:left="500" w:right="200"/>
        <w:spacing w:after="0" w:line="249" w:lineRule="auto"/>
        <w:rPr>
          <w:sz w:val="20"/>
          <w:szCs w:val="20"/>
          <w:color w:val="auto"/>
        </w:rPr>
      </w:pPr>
      <w:r>
        <w:rPr>
          <w:rFonts w:ascii="Arial" w:cs="Arial" w:eastAsia="Arial" w:hAnsi="Arial"/>
          <w:sz w:val="13"/>
          <w:szCs w:val="13"/>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w:t>
      </w:r>
    </w:p>
    <w:p>
      <w:pPr>
        <w:ind w:left="500" w:right="120"/>
        <w:spacing w:after="0" w:line="245" w:lineRule="auto"/>
        <w:rPr>
          <w:sz w:val="20"/>
          <w:szCs w:val="20"/>
          <w:color w:val="auto"/>
        </w:rPr>
      </w:pPr>
      <w:r>
        <w:rPr>
          <w:rFonts w:ascii="Arial" w:cs="Arial" w:eastAsia="Arial" w:hAnsi="Arial"/>
          <w:sz w:val="13"/>
          <w:szCs w:val="13"/>
          <w:color w:val="auto"/>
        </w:rPr>
        <w:t>unpaid interest thereon to, but excluding, the redemption date. In addition, we may redeem the 2028 notes, in whole or in part, at any time from or after March 15, 2028 and the 2033 notes, in whole or in part, at any time from or after June 15, 2033, in each case, at a redemption price equal to 100% of the principal amount of the notes to be redeemed, plus accrued and unpaid interest thereon to, but excluding, the redemption date. See “Description of the Notes — Optional</w:t>
      </w:r>
    </w:p>
    <w:p>
      <w:pPr>
        <w:spacing w:after="0" w:line="1" w:lineRule="exact"/>
        <w:rPr>
          <w:sz w:val="24"/>
          <w:szCs w:val="24"/>
          <w:color w:val="auto"/>
        </w:rPr>
      </w:pPr>
    </w:p>
    <w:p>
      <w:pPr>
        <w:ind w:left="500" w:right="120"/>
        <w:spacing w:after="0" w:line="245" w:lineRule="auto"/>
        <w:rPr>
          <w:sz w:val="20"/>
          <w:szCs w:val="20"/>
          <w:color w:val="auto"/>
        </w:rPr>
      </w:pPr>
      <w:r>
        <w:rPr>
          <w:rFonts w:ascii="Arial" w:cs="Arial" w:eastAsia="Arial" w:hAnsi="Arial"/>
          <w:sz w:val="13"/>
          <w:szCs w:val="13"/>
          <w:color w:val="auto"/>
        </w:rPr>
        <w:t>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with respect to such series. See the section entitled “Description of the Notes — Repurchase of Notes Upon a Change of Control</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Triggering Event” for more information.</w:t>
      </w:r>
    </w:p>
    <w:p>
      <w:pPr>
        <w:spacing w:after="0" w:line="42" w:lineRule="exact"/>
        <w:rPr>
          <w:sz w:val="24"/>
          <w:szCs w:val="24"/>
          <w:color w:val="auto"/>
        </w:rPr>
      </w:pPr>
    </w:p>
    <w:p>
      <w:pPr>
        <w:ind w:left="500" w:right="340"/>
        <w:spacing w:after="0" w:line="233" w:lineRule="auto"/>
        <w:rPr>
          <w:sz w:val="20"/>
          <w:szCs w:val="20"/>
          <w:color w:val="auto"/>
        </w:rPr>
      </w:pPr>
      <w:r>
        <w:rPr>
          <w:rFonts w:ascii="Arial" w:cs="Arial" w:eastAsia="Arial" w:hAnsi="Arial"/>
          <w:sz w:val="14"/>
          <w:szCs w:val="14"/>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26670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97" w:lineRule="exact"/>
        <w:rPr>
          <w:sz w:val="24"/>
          <w:szCs w:val="24"/>
          <w:color w:val="auto"/>
        </w:rPr>
      </w:pPr>
    </w:p>
    <w:p>
      <w:pPr>
        <w:ind w:left="500" w:right="600"/>
        <w:spacing w:after="0" w:line="271" w:lineRule="auto"/>
        <w:rPr>
          <w:sz w:val="20"/>
          <w:szCs w:val="20"/>
          <w:color w:val="auto"/>
        </w:rPr>
      </w:pPr>
      <w:r>
        <w:rPr>
          <w:rFonts w:ascii="Arial" w:cs="Arial" w:eastAsia="Arial" w:hAnsi="Arial"/>
          <w:sz w:val="14"/>
          <w:szCs w:val="14"/>
          <w:b w:val="1"/>
          <w:bCs w:val="1"/>
          <w:color w:val="auto"/>
        </w:rPr>
        <w:t xml:space="preserve">Investing in the notes involves risks. See “Risk Factors” beginning on page </w:t>
      </w:r>
      <w:r>
        <w:rPr>
          <w:rFonts w:ascii="Arial" w:cs="Arial" w:eastAsia="Arial" w:hAnsi="Arial"/>
          <w:sz w:val="14"/>
          <w:szCs w:val="14"/>
          <w:b w:val="1"/>
          <w:bCs w:val="1"/>
          <w:u w:val="single" w:color="auto"/>
          <w:color w:val="0000EE"/>
        </w:rPr>
        <w:t>S-5</w:t>
      </w:r>
      <w:r>
        <w:rPr>
          <w:rFonts w:ascii="Arial" w:cs="Arial" w:eastAsia="Arial" w:hAnsi="Arial"/>
          <w:sz w:val="14"/>
          <w:szCs w:val="14"/>
          <w:b w:val="1"/>
          <w:bCs w:val="1"/>
          <w:color w:val="auto"/>
        </w:rPr>
        <w:t xml:space="preserve"> for a discussion of certain risks that should be considered in connection with an investment in the notes.</w:t>
      </w:r>
    </w:p>
    <w:p>
      <w:pPr>
        <w:spacing w:after="0" w:line="1" w:lineRule="exact"/>
        <w:rPr>
          <w:sz w:val="24"/>
          <w:szCs w:val="24"/>
          <w:color w:val="auto"/>
        </w:rPr>
      </w:pPr>
    </w:p>
    <w:p>
      <w:pPr>
        <w:ind w:left="500" w:right="100"/>
        <w:spacing w:after="0" w:line="289"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6985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Public</w:t>
            </w:r>
          </w:p>
        </w:tc>
        <w:tc>
          <w:tcPr>
            <w:tcW w:w="20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Underwriting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Proceeds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66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 ​</w:t>
            </w:r>
          </w:p>
        </w:tc>
        <w:tc>
          <w:tcPr>
            <w:tcW w:w="200" w:type="dxa"/>
            <w:vAlign w:val="bottom"/>
            <w:vMerge w:val="restart"/>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offering</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to us, before</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560" w:type="dxa"/>
            <w:vAlign w:val="bottom"/>
            <w:tcBorders>
              <w:bottom w:val="single" w:sz="8" w:color="CCEEFF"/>
            </w:tcBorders>
            <w:vMerge w:val="continue"/>
          </w:tcPr>
          <w:p>
            <w:pPr>
              <w:spacing w:after="0"/>
              <w:rPr>
                <w:sz w:val="15"/>
                <w:szCs w:val="15"/>
                <w:color w:val="auto"/>
              </w:rPr>
            </w:pPr>
          </w:p>
        </w:tc>
        <w:tc>
          <w:tcPr>
            <w:tcW w:w="266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8"/>
                <w:szCs w:val="8"/>
                <w:b w:val="1"/>
                <w:bCs w:val="1"/>
                <w:color w:val="auto"/>
              </w:rPr>
              <w:t>(1)</w:t>
            </w:r>
          </w:p>
        </w:tc>
        <w:tc>
          <w:tcPr>
            <w:tcW w:w="20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discount</w:t>
            </w:r>
            <w:r>
              <w:rPr>
                <w:rFonts w:ascii="Arial" w:cs="Arial" w:eastAsia="Arial" w:hAnsi="Arial"/>
                <w:sz w:val="8"/>
                <w:szCs w:val="8"/>
                <w:b w:val="1"/>
                <w:bCs w:val="1"/>
                <w:color w:val="auto"/>
              </w:rPr>
              <w:t>(2)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expenses</w:t>
            </w:r>
            <w:r>
              <w:rPr>
                <w:rFonts w:ascii="Arial" w:cs="Arial" w:eastAsia="Arial" w:hAnsi="Arial"/>
                <w:sz w:val="8"/>
                <w:szCs w:val="8"/>
                <w:b w:val="1"/>
                <w:bCs w:val="1"/>
                <w:color w:val="auto"/>
              </w:rPr>
              <w:t>(1)</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Per 2028 Note</w:t>
            </w:r>
          </w:p>
        </w:tc>
        <w:tc>
          <w:tcPr>
            <w:tcW w:w="2860" w:type="dxa"/>
            <w:vAlign w:val="bottom"/>
            <w:gridSpan w:val="2"/>
            <w:shd w:val="clear" w:color="auto" w:fill="CCEEFF"/>
          </w:tcPr>
          <w:p>
            <w:pPr>
              <w:ind w:left="2500"/>
              <w:spacing w:after="0" w:line="155" w:lineRule="exact"/>
              <w:rPr>
                <w:sz w:val="20"/>
                <w:szCs w:val="20"/>
                <w:color w:val="auto"/>
              </w:rPr>
            </w:pPr>
            <w:r>
              <w:rPr>
                <w:rFonts w:ascii="Arial" w:cs="Arial" w:eastAsia="Arial" w:hAnsi="Arial"/>
                <w:sz w:val="14"/>
                <w:szCs w:val="14"/>
                <w:color w:val="auto"/>
              </w:rPr>
              <w:t>​ ​ ​ ​</w:t>
            </w:r>
          </w:p>
        </w:tc>
        <w:tc>
          <w:tcPr>
            <w:tcW w:w="10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99.882%​​ ​</w:t>
            </w:r>
          </w:p>
        </w:tc>
        <w:tc>
          <w:tcPr>
            <w:tcW w:w="36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 ​</w:t>
            </w:r>
          </w:p>
        </w:tc>
        <w:tc>
          <w:tcPr>
            <w:tcW w:w="72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0.300%​​</w:t>
            </w:r>
          </w:p>
        </w:tc>
        <w:tc>
          <w:tcPr>
            <w:tcW w:w="2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 ​ ​</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99.582%</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20"/>
                <w:szCs w:val="20"/>
                <w:color w:val="auto"/>
              </w:rPr>
            </w:pPr>
            <w:r>
              <w:rPr>
                <w:rFonts w:ascii="Arial" w:cs="Arial" w:eastAsia="Arial" w:hAnsi="Arial"/>
                <w:sz w:val="14"/>
                <w:szCs w:val="14"/>
                <w:color w:val="auto"/>
              </w:rPr>
              <w:t>2028 Notes Total</w:t>
            </w:r>
          </w:p>
        </w:tc>
        <w:tc>
          <w:tcPr>
            <w:tcW w:w="2860" w:type="dxa"/>
            <w:vAlign w:val="bottom"/>
            <w:gridSpan w:val="2"/>
          </w:tcPr>
          <w:p>
            <w:pPr>
              <w:ind w:left="2500"/>
              <w:spacing w:after="0"/>
              <w:rPr>
                <w:sz w:val="20"/>
                <w:szCs w:val="20"/>
                <w:color w:val="auto"/>
              </w:rPr>
            </w:pPr>
            <w:r>
              <w:rPr>
                <w:rFonts w:ascii="Arial" w:cs="Arial" w:eastAsia="Arial" w:hAnsi="Arial"/>
                <w:sz w:val="14"/>
                <w:szCs w:val="14"/>
                <w:color w:val="auto"/>
              </w:rPr>
              <w:t>​ ​ ​$</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599,292,000 ​​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​$ 1,800,000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597,492,000</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Per 2033 Note</w:t>
            </w:r>
          </w:p>
        </w:tc>
        <w:tc>
          <w:tcPr>
            <w:tcW w:w="2860" w:type="dxa"/>
            <w:vAlign w:val="bottom"/>
            <w:gridSpan w:val="2"/>
            <w:shd w:val="clear" w:color="auto" w:fill="CCEEFF"/>
          </w:tcPr>
          <w:p>
            <w:pPr>
              <w:ind w:left="2500"/>
              <w:spacing w:after="0"/>
              <w:rPr>
                <w:sz w:val="20"/>
                <w:szCs w:val="20"/>
                <w:color w:val="auto"/>
              </w:rPr>
            </w:pPr>
            <w:r>
              <w:rPr>
                <w:rFonts w:ascii="Arial" w:cs="Arial" w:eastAsia="Arial" w:hAnsi="Arial"/>
                <w:sz w:val="14"/>
                <w:szCs w:val="14"/>
                <w:color w:val="auto"/>
              </w:rPr>
              <w:t>​ ​ ​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99.505%​​ ​</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0.400%​​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99.105%</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20"/>
                <w:szCs w:val="20"/>
                <w:color w:val="auto"/>
              </w:rPr>
            </w:pPr>
            <w:r>
              <w:rPr>
                <w:rFonts w:ascii="Arial" w:cs="Arial" w:eastAsia="Arial" w:hAnsi="Arial"/>
                <w:sz w:val="14"/>
                <w:szCs w:val="14"/>
                <w:color w:val="auto"/>
              </w:rPr>
              <w:t>2033 Notes Total</w:t>
            </w:r>
          </w:p>
        </w:tc>
        <w:tc>
          <w:tcPr>
            <w:tcW w:w="2860" w:type="dxa"/>
            <w:vAlign w:val="bottom"/>
            <w:gridSpan w:val="2"/>
          </w:tcPr>
          <w:p>
            <w:pPr>
              <w:ind w:left="2500"/>
              <w:spacing w:after="0"/>
              <w:rPr>
                <w:sz w:val="20"/>
                <w:szCs w:val="20"/>
                <w:color w:val="auto"/>
              </w:rPr>
            </w:pPr>
            <w:r>
              <w:rPr>
                <w:rFonts w:ascii="Arial" w:cs="Arial" w:eastAsia="Arial" w:hAnsi="Arial"/>
                <w:sz w:val="14"/>
                <w:szCs w:val="14"/>
                <w:color w:val="auto"/>
              </w:rPr>
              <w:t>​ ​ ​$</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895,545,000 ​​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​$ 3,600,000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891,945,000</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9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 ​$1,494,837,000 ​​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​$ 5,400,000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​$1,489,437,000</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-556895</wp:posOffset>
            </wp:positionV>
            <wp:extent cx="5503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128270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3" w:lineRule="exact"/>
        <w:rPr>
          <w:sz w:val="24"/>
          <w:szCs w:val="24"/>
          <w:color w:val="auto"/>
        </w:rPr>
      </w:pPr>
    </w:p>
    <w:p>
      <w:pPr>
        <w:ind w:left="860" w:hanging="368"/>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April 11, 2023.</w:t>
      </w:r>
    </w:p>
    <w:p>
      <w:pPr>
        <w:spacing w:after="0" w:line="55" w:lineRule="exact"/>
        <w:rPr>
          <w:rFonts w:ascii="Arial" w:cs="Arial" w:eastAsia="Arial" w:hAnsi="Arial"/>
          <w:sz w:val="14"/>
          <w:szCs w:val="14"/>
          <w:color w:val="auto"/>
        </w:rPr>
      </w:pPr>
    </w:p>
    <w:p>
      <w:pPr>
        <w:ind w:left="860" w:hanging="368"/>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underwriters have agreed to reimburse us for certain expenses in connection with the offering. See “Underwriting (Conflicts of Interest).”</w:t>
      </w:r>
    </w:p>
    <w:p>
      <w:pPr>
        <w:spacing w:after="0" w:line="42"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Interest on the notes will accrue from April 11, 2023. The notes will be issued in registered, book-entry form only without interest coupons, in minimum</w:t>
      </w:r>
    </w:p>
    <w:p>
      <w:pPr>
        <w:spacing w:after="0" w:line="1" w:lineRule="exact"/>
        <w:rPr>
          <w:sz w:val="24"/>
          <w:szCs w:val="24"/>
          <w:color w:val="auto"/>
        </w:rPr>
      </w:pPr>
    </w:p>
    <w:p>
      <w:pPr>
        <w:ind w:left="500" w:right="180"/>
        <w:spacing w:after="0" w:line="233" w:lineRule="auto"/>
        <w:rPr>
          <w:sz w:val="20"/>
          <w:szCs w:val="20"/>
          <w:color w:val="auto"/>
        </w:rPr>
      </w:pPr>
      <w:r>
        <w:rPr>
          <w:rFonts w:ascii="Arial" w:cs="Arial" w:eastAsia="Arial" w:hAnsi="Arial"/>
          <w:sz w:val="14"/>
          <w:szCs w:val="14"/>
          <w:color w:val="auto"/>
        </w:rPr>
        <w:t>denominations of $2,000 and integral multiples of $1,000 in excess thereof. The notes will not be listed on any securities exchange. Currently there is no public market for the notes.</w:t>
      </w:r>
    </w:p>
    <w:p>
      <w:pPr>
        <w:spacing w:after="0" w:line="38" w:lineRule="exact"/>
        <w:rPr>
          <w:sz w:val="24"/>
          <w:szCs w:val="24"/>
          <w:color w:val="auto"/>
        </w:rPr>
      </w:pPr>
    </w:p>
    <w:p>
      <w:pPr>
        <w:ind w:left="500"/>
        <w:spacing w:after="0"/>
        <w:rPr>
          <w:sz w:val="20"/>
          <w:szCs w:val="20"/>
          <w:color w:val="auto"/>
        </w:rPr>
      </w:pPr>
      <w:r>
        <w:rPr>
          <w:rFonts w:ascii="Arial" w:cs="Arial" w:eastAsia="Arial" w:hAnsi="Arial"/>
          <w:sz w:val="14"/>
          <w:szCs w:val="14"/>
          <w:color w:val="auto"/>
        </w:rPr>
        <w:t>The underwriters expect to deliver the notes to purchasers through the book-entry delivery system of The Depository Trust Company and its participants,</w:t>
      </w:r>
    </w:p>
    <w:p>
      <w:pPr>
        <w:spacing w:after="0" w:line="1" w:lineRule="exact"/>
        <w:rPr>
          <w:sz w:val="24"/>
          <w:szCs w:val="24"/>
          <w:color w:val="auto"/>
        </w:rPr>
      </w:pPr>
    </w:p>
    <w:p>
      <w:pPr>
        <w:ind w:left="500" w:right="100"/>
        <w:spacing w:after="0" w:line="233" w:lineRule="auto"/>
        <w:rPr>
          <w:sz w:val="20"/>
          <w:szCs w:val="20"/>
          <w:color w:val="auto"/>
        </w:rPr>
      </w:pPr>
      <w:r>
        <w:rPr>
          <w:rFonts w:ascii="Arial" w:cs="Arial" w:eastAsia="Arial" w:hAnsi="Arial"/>
          <w:sz w:val="14"/>
          <w:szCs w:val="14"/>
          <w:color w:val="auto"/>
        </w:rPr>
        <w:t>including Euroclear Bank S.A./N.V and Clearstream Banking, S.A., on or about April 11, 2023, which will be the third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35560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3" w:lineRule="exact"/>
        <w:rPr>
          <w:sz w:val="24"/>
          <w:szCs w:val="24"/>
          <w:color w:val="auto"/>
        </w:rPr>
      </w:pPr>
    </w:p>
    <w:p>
      <w:pPr>
        <w:jc w:val="center"/>
        <w:ind w:right="-399"/>
        <w:spacing w:after="0"/>
        <w:rPr>
          <w:sz w:val="20"/>
          <w:szCs w:val="20"/>
          <w:color w:val="auto"/>
        </w:rPr>
      </w:pPr>
      <w:r>
        <w:rPr>
          <w:rFonts w:ascii="Arial" w:cs="Arial" w:eastAsia="Arial" w:hAnsi="Arial"/>
          <w:sz w:val="14"/>
          <w:szCs w:val="14"/>
          <w:i w:val="1"/>
          <w:iCs w:val="1"/>
          <w:color w:val="auto"/>
        </w:rPr>
        <w:t>Joint Book-Running Managers</w:t>
      </w:r>
    </w:p>
    <w:p>
      <w:pPr>
        <w:spacing w:after="0" w:line="54" w:lineRule="exact"/>
        <w:rPr>
          <w:sz w:val="24"/>
          <w:szCs w:val="24"/>
          <w:color w:val="auto"/>
        </w:rPr>
      </w:pPr>
    </w:p>
    <w:p>
      <w:pPr>
        <w:ind w:left="500"/>
        <w:spacing w:after="0"/>
        <w:tabs>
          <w:tab w:leader="none" w:pos="5160" w:val="left"/>
          <w:tab w:leader="none" w:pos="9020" w:val="left"/>
        </w:tabs>
        <w:rPr>
          <w:sz w:val="20"/>
          <w:szCs w:val="20"/>
          <w:color w:val="auto"/>
        </w:rPr>
      </w:pPr>
      <w:r>
        <w:rPr>
          <w:rFonts w:ascii="Arial" w:cs="Arial" w:eastAsia="Arial" w:hAnsi="Arial"/>
          <w:sz w:val="22"/>
          <w:szCs w:val="22"/>
          <w:b w:val="1"/>
          <w:bCs w:val="1"/>
          <w:color w:val="auto"/>
        </w:rPr>
        <w:t>Wells Fargo Securities</w:t>
      </w:r>
      <w:r>
        <w:rPr>
          <w:sz w:val="20"/>
          <w:szCs w:val="20"/>
          <w:color w:val="auto"/>
        </w:rPr>
        <w:tab/>
      </w:r>
      <w:r>
        <w:rPr>
          <w:rFonts w:ascii="Arial" w:cs="Arial" w:eastAsia="Arial" w:hAnsi="Arial"/>
          <w:sz w:val="22"/>
          <w:szCs w:val="22"/>
          <w:b w:val="1"/>
          <w:bCs w:val="1"/>
          <w:color w:val="auto"/>
        </w:rPr>
        <w:t>BNP PARIBAS</w:t>
      </w:r>
      <w:r>
        <w:rPr>
          <w:sz w:val="20"/>
          <w:szCs w:val="20"/>
          <w:color w:val="auto"/>
        </w:rPr>
        <w:tab/>
      </w:r>
      <w:r>
        <w:rPr>
          <w:rFonts w:ascii="Arial" w:cs="Arial" w:eastAsia="Arial" w:hAnsi="Arial"/>
          <w:sz w:val="21"/>
          <w:szCs w:val="21"/>
          <w:b w:val="1"/>
          <w:bCs w:val="1"/>
          <w:color w:val="auto"/>
        </w:rPr>
        <w:t>J.P. Morgan</w:t>
      </w:r>
    </w:p>
    <w:p>
      <w:pPr>
        <w:spacing w:after="0" w:line="44" w:lineRule="exact"/>
        <w:rPr>
          <w:sz w:val="24"/>
          <w:szCs w:val="24"/>
          <w:color w:val="auto"/>
        </w:rPr>
      </w:pPr>
    </w:p>
    <w:p>
      <w:pPr>
        <w:ind w:left="2640"/>
        <w:spacing w:after="0"/>
        <w:tabs>
          <w:tab w:leader="none" w:pos="6440" w:val="left"/>
        </w:tabs>
        <w:rPr>
          <w:sz w:val="20"/>
          <w:szCs w:val="20"/>
          <w:color w:val="auto"/>
        </w:rPr>
      </w:pPr>
      <w:r>
        <w:rPr>
          <w:rFonts w:ascii="Arial" w:cs="Arial" w:eastAsia="Arial" w:hAnsi="Arial"/>
          <w:sz w:val="22"/>
          <w:szCs w:val="22"/>
          <w:b w:val="1"/>
          <w:bCs w:val="1"/>
          <w:color w:val="auto"/>
        </w:rPr>
        <w:t>Mizuho</w:t>
      </w:r>
      <w:r>
        <w:rPr>
          <w:sz w:val="20"/>
          <w:szCs w:val="20"/>
          <w:color w:val="auto"/>
        </w:rPr>
        <w:tab/>
      </w:r>
      <w:r>
        <w:rPr>
          <w:rFonts w:ascii="Arial" w:cs="Arial" w:eastAsia="Arial" w:hAnsi="Arial"/>
          <w:sz w:val="22"/>
          <w:szCs w:val="22"/>
          <w:b w:val="1"/>
          <w:bCs w:val="1"/>
          <w:color w:val="auto"/>
        </w:rPr>
        <w:t>MUFG</w:t>
      </w:r>
    </w:p>
    <w:p>
      <w:pPr>
        <w:spacing w:after="0" w:line="44" w:lineRule="exact"/>
        <w:rPr>
          <w:sz w:val="24"/>
          <w:szCs w:val="24"/>
          <w:color w:val="auto"/>
        </w:rPr>
      </w:pPr>
    </w:p>
    <w:p>
      <w:pPr>
        <w:ind w:left="500"/>
        <w:spacing w:after="0"/>
        <w:tabs>
          <w:tab w:leader="none" w:pos="3480" w:val="left"/>
          <w:tab w:leader="none" w:pos="7000" w:val="left"/>
          <w:tab w:leader="none" w:pos="9060" w:val="left"/>
        </w:tabs>
        <w:rPr>
          <w:sz w:val="20"/>
          <w:szCs w:val="20"/>
          <w:color w:val="auto"/>
        </w:rPr>
      </w:pPr>
      <w:r>
        <w:rPr>
          <w:rFonts w:ascii="Arial" w:cs="Arial" w:eastAsia="Arial" w:hAnsi="Arial"/>
          <w:sz w:val="22"/>
          <w:szCs w:val="22"/>
          <w:b w:val="1"/>
          <w:bCs w:val="1"/>
          <w:color w:val="auto"/>
        </w:rPr>
        <w:t>ANZ Securities</w:t>
      </w:r>
      <w:r>
        <w:rPr>
          <w:sz w:val="20"/>
          <w:szCs w:val="20"/>
          <w:color w:val="auto"/>
        </w:rPr>
        <w:tab/>
      </w:r>
      <w:r>
        <w:rPr>
          <w:rFonts w:ascii="Arial" w:cs="Arial" w:eastAsia="Arial" w:hAnsi="Arial"/>
          <w:sz w:val="22"/>
          <w:szCs w:val="22"/>
          <w:b w:val="1"/>
          <w:bCs w:val="1"/>
          <w:color w:val="auto"/>
        </w:rPr>
        <w:t>Credit Agricole CIB</w:t>
      </w:r>
      <w:r>
        <w:rPr>
          <w:sz w:val="20"/>
          <w:szCs w:val="20"/>
          <w:color w:val="auto"/>
        </w:rPr>
        <w:tab/>
      </w:r>
      <w:r>
        <w:rPr>
          <w:rFonts w:ascii="Arial" w:cs="Arial" w:eastAsia="Arial" w:hAnsi="Arial"/>
          <w:sz w:val="22"/>
          <w:szCs w:val="22"/>
          <w:b w:val="1"/>
          <w:bCs w:val="1"/>
          <w:color w:val="auto"/>
        </w:rPr>
        <w:t>HSBC</w:t>
      </w:r>
      <w:r>
        <w:rPr>
          <w:sz w:val="20"/>
          <w:szCs w:val="20"/>
          <w:color w:val="auto"/>
        </w:rPr>
        <w:tab/>
      </w:r>
      <w:r>
        <w:rPr>
          <w:rFonts w:ascii="Arial" w:cs="Arial" w:eastAsia="Arial" w:hAnsi="Arial"/>
          <w:sz w:val="21"/>
          <w:szCs w:val="21"/>
          <w:b w:val="1"/>
          <w:bCs w:val="1"/>
          <w:color w:val="auto"/>
        </w:rPr>
        <w:t>Scotiabank</w:t>
      </w:r>
    </w:p>
    <w:p>
      <w:pPr>
        <w:spacing w:after="0" w:line="44" w:lineRule="exact"/>
        <w:rPr>
          <w:sz w:val="24"/>
          <w:szCs w:val="24"/>
          <w:color w:val="auto"/>
        </w:rPr>
      </w:pPr>
    </w:p>
    <w:p>
      <w:pPr>
        <w:ind w:left="2640"/>
        <w:spacing w:after="0"/>
        <w:tabs>
          <w:tab w:leader="none" w:pos="6240" w:val="left"/>
        </w:tabs>
        <w:rPr>
          <w:sz w:val="20"/>
          <w:szCs w:val="20"/>
          <w:color w:val="auto"/>
        </w:rPr>
      </w:pPr>
      <w:r>
        <w:rPr>
          <w:rFonts w:ascii="Arial" w:cs="Arial" w:eastAsia="Arial" w:hAnsi="Arial"/>
          <w:sz w:val="22"/>
          <w:szCs w:val="22"/>
          <w:b w:val="1"/>
          <w:bCs w:val="1"/>
          <w:color w:val="auto"/>
        </w:rPr>
        <w:t>TD Securities</w:t>
      </w:r>
      <w:r>
        <w:rPr>
          <w:sz w:val="20"/>
          <w:szCs w:val="20"/>
          <w:color w:val="auto"/>
        </w:rPr>
        <w:tab/>
      </w:r>
      <w:r>
        <w:rPr>
          <w:rFonts w:ascii="Arial" w:cs="Arial" w:eastAsia="Arial" w:hAnsi="Arial"/>
          <w:sz w:val="21"/>
          <w:szCs w:val="21"/>
          <w:b w:val="1"/>
          <w:bCs w:val="1"/>
          <w:color w:val="auto"/>
        </w:rPr>
        <w:t>Truist Securities</w:t>
      </w:r>
    </w:p>
    <w:p>
      <w:pPr>
        <w:spacing w:after="0" w:line="59" w:lineRule="exact"/>
        <w:rPr>
          <w:sz w:val="24"/>
          <w:szCs w:val="24"/>
          <w:color w:val="auto"/>
        </w:rPr>
      </w:pPr>
    </w:p>
    <w:p>
      <w:pPr>
        <w:jc w:val="center"/>
        <w:ind w:right="-399"/>
        <w:spacing w:after="0"/>
        <w:rPr>
          <w:sz w:val="20"/>
          <w:szCs w:val="20"/>
          <w:color w:val="auto"/>
        </w:rPr>
      </w:pPr>
      <w:r>
        <w:rPr>
          <w:rFonts w:ascii="Arial" w:cs="Arial" w:eastAsia="Arial" w:hAnsi="Arial"/>
          <w:sz w:val="14"/>
          <w:szCs w:val="14"/>
          <w:i w:val="1"/>
          <w:iCs w:val="1"/>
          <w:color w:val="auto"/>
        </w:rPr>
        <w:t>Co-Managers</w:t>
      </w:r>
    </w:p>
    <w:p>
      <w:pPr>
        <w:spacing w:after="0" w:line="63" w:lineRule="exact"/>
        <w:rPr>
          <w:sz w:val="24"/>
          <w:szCs w:val="24"/>
          <w:color w:val="auto"/>
        </w:rPr>
      </w:pPr>
    </w:p>
    <w:p>
      <w:pPr>
        <w:ind w:left="500"/>
        <w:spacing w:after="0"/>
        <w:tabs>
          <w:tab w:leader="none" w:pos="2200" w:val="left"/>
          <w:tab w:leader="none" w:pos="4560" w:val="left"/>
          <w:tab w:leader="none" w:pos="7380" w:val="left"/>
          <w:tab w:leader="none" w:pos="9080" w:val="left"/>
        </w:tabs>
        <w:rPr>
          <w:sz w:val="20"/>
          <w:szCs w:val="20"/>
          <w:color w:val="auto"/>
        </w:rPr>
      </w:pPr>
      <w:r>
        <w:rPr>
          <w:rFonts w:ascii="Arial" w:cs="Arial" w:eastAsia="Arial" w:hAnsi="Arial"/>
          <w:sz w:val="18"/>
          <w:szCs w:val="18"/>
          <w:b w:val="1"/>
          <w:bCs w:val="1"/>
          <w:color w:val="auto"/>
        </w:rPr>
        <w:t>Barclays</w:t>
      </w:r>
      <w:r>
        <w:rPr>
          <w:sz w:val="20"/>
          <w:szCs w:val="20"/>
          <w:color w:val="auto"/>
        </w:rPr>
        <w:tab/>
      </w:r>
      <w:r>
        <w:rPr>
          <w:rFonts w:ascii="Arial" w:cs="Arial" w:eastAsia="Arial" w:hAnsi="Arial"/>
          <w:sz w:val="18"/>
          <w:szCs w:val="18"/>
          <w:b w:val="1"/>
          <w:bCs w:val="1"/>
          <w:color w:val="auto"/>
        </w:rPr>
        <w:t>BofA Securities</w:t>
      </w:r>
      <w:r>
        <w:rPr>
          <w:sz w:val="20"/>
          <w:szCs w:val="20"/>
          <w:color w:val="auto"/>
        </w:rPr>
        <w:tab/>
      </w:r>
      <w:r>
        <w:rPr>
          <w:rFonts w:ascii="Arial" w:cs="Arial" w:eastAsia="Arial" w:hAnsi="Arial"/>
          <w:sz w:val="18"/>
          <w:szCs w:val="18"/>
          <w:b w:val="1"/>
          <w:bCs w:val="1"/>
          <w:color w:val="auto"/>
        </w:rPr>
        <w:t>CIBC Capital Markets</w:t>
      </w:r>
      <w:r>
        <w:rPr>
          <w:sz w:val="20"/>
          <w:szCs w:val="20"/>
          <w:color w:val="auto"/>
        </w:rPr>
        <w:tab/>
      </w: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7"/>
          <w:szCs w:val="17"/>
          <w:b w:val="1"/>
          <w:bCs w:val="1"/>
          <w:color w:val="auto"/>
        </w:rPr>
        <w:t>Credit Suisse</w:t>
      </w:r>
    </w:p>
    <w:p>
      <w:pPr>
        <w:spacing w:after="0" w:line="63" w:lineRule="exact"/>
        <w:rPr>
          <w:sz w:val="24"/>
          <w:szCs w:val="24"/>
          <w:color w:val="auto"/>
        </w:rPr>
      </w:pPr>
    </w:p>
    <w:p>
      <w:pPr>
        <w:ind w:left="500"/>
        <w:spacing w:after="0"/>
        <w:tabs>
          <w:tab w:leader="none" w:pos="1620" w:val="left"/>
          <w:tab w:leader="none" w:pos="4980" w:val="left"/>
          <w:tab w:leader="none" w:pos="7840" w:val="left"/>
          <w:tab w:leader="none" w:pos="1012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8"/>
          <w:szCs w:val="18"/>
          <w:b w:val="1"/>
          <w:bCs w:val="1"/>
          <w:color w:val="auto"/>
        </w:rPr>
        <w:t>ICBC Standard Bank</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7"/>
          <w:szCs w:val="7"/>
          <w:b w:val="1"/>
          <w:bCs w:val="1"/>
          <w:color w:val="auto"/>
        </w:rPr>
        <w:t> </w:t>
      </w:r>
    </w:p>
    <w:p>
      <w:pPr>
        <w:spacing w:after="0" w:line="90" w:lineRule="exact"/>
        <w:rPr>
          <w:sz w:val="24"/>
          <w:szCs w:val="24"/>
          <w:color w:val="auto"/>
        </w:rPr>
      </w:pPr>
    </w:p>
    <w:p>
      <w:pPr>
        <w:ind w:left="500"/>
        <w:spacing w:after="0"/>
        <w:tabs>
          <w:tab w:leader="none" w:pos="3560" w:val="left"/>
          <w:tab w:leader="none" w:pos="6300" w:val="left"/>
          <w:tab w:leader="none" w:pos="9200" w:val="left"/>
        </w:tabs>
        <w:rPr>
          <w:sz w:val="20"/>
          <w:szCs w:val="20"/>
          <w:color w:val="auto"/>
        </w:rPr>
      </w:pPr>
      <w:r>
        <w:rPr>
          <w:rFonts w:ascii="Arial" w:cs="Arial" w:eastAsia="Arial" w:hAnsi="Arial"/>
          <w:sz w:val="18"/>
          <w:szCs w:val="18"/>
          <w:b w:val="1"/>
          <w:bCs w:val="1"/>
          <w:color w:val="auto"/>
        </w:rPr>
        <w:t>PNC Capital Markets LLC</w:t>
      </w:r>
      <w:r>
        <w:rPr>
          <w:sz w:val="20"/>
          <w:szCs w:val="20"/>
          <w:color w:val="auto"/>
        </w:rPr>
        <w:tab/>
      </w:r>
      <w:r>
        <w:rPr>
          <w:rFonts w:ascii="Arial" w:cs="Arial" w:eastAsia="Arial" w:hAnsi="Arial"/>
          <w:sz w:val="18"/>
          <w:szCs w:val="18"/>
          <w:b w:val="1"/>
          <w:bCs w:val="1"/>
          <w:color w:val="auto"/>
        </w:rPr>
        <w:t>RBC Capital Markets</w:t>
      </w:r>
      <w:r>
        <w:rPr>
          <w:sz w:val="20"/>
          <w:szCs w:val="20"/>
          <w:color w:val="auto"/>
        </w:rPr>
        <w:tab/>
      </w:r>
      <w:r>
        <w:rPr>
          <w:rFonts w:ascii="Arial" w:cs="Arial" w:eastAsia="Arial" w:hAnsi="Arial"/>
          <w:sz w:val="18"/>
          <w:szCs w:val="18"/>
          <w:b w:val="1"/>
          <w:bCs w:val="1"/>
          <w:color w:val="auto"/>
        </w:rPr>
        <w:t>Siebert Williams Shank</w:t>
      </w:r>
      <w:r>
        <w:rPr>
          <w:sz w:val="20"/>
          <w:szCs w:val="20"/>
          <w:color w:val="auto"/>
        </w:rPr>
        <w:tab/>
      </w:r>
      <w:r>
        <w:rPr>
          <w:rFonts w:ascii="Arial" w:cs="Arial" w:eastAsia="Arial" w:hAnsi="Arial"/>
          <w:sz w:val="17"/>
          <w:szCs w:val="17"/>
          <w:b w:val="1"/>
          <w:bCs w:val="1"/>
          <w:color w:val="auto"/>
        </w:rPr>
        <w:t>US Bancorp</w:t>
      </w:r>
    </w:p>
    <w:p>
      <w:pPr>
        <w:sectPr>
          <w:pgSz w:w="11900" w:h="16838" w:orient="portrait"/>
          <w:cols w:equalWidth="0" w:num="1">
            <w:col w:w="10320"/>
          </w:cols>
          <w:pgMar w:left="580" w:top="239" w:right="999" w:bottom="1440" w:gutter="0" w:footer="0" w:header="0"/>
        </w:sectPr>
      </w:pPr>
    </w:p>
    <w:p>
      <w:pPr>
        <w:spacing w:after="0" w:line="231" w:lineRule="exact"/>
        <w:rPr>
          <w:sz w:val="24"/>
          <w:szCs w:val="24"/>
          <w:color w:val="auto"/>
        </w:rPr>
      </w:pPr>
    </w:p>
    <w:p>
      <w:pPr>
        <w:jc w:val="center"/>
        <w:ind w:right="-419"/>
        <w:spacing w:after="0"/>
        <w:rPr>
          <w:sz w:val="20"/>
          <w:szCs w:val="20"/>
          <w:color w:val="auto"/>
        </w:rPr>
      </w:pPr>
      <w:r>
        <w:rPr>
          <w:rFonts w:ascii="Arial" w:cs="Arial" w:eastAsia="Arial" w:hAnsi="Arial"/>
          <w:sz w:val="13"/>
          <w:szCs w:val="13"/>
          <w:color w:val="auto"/>
        </w:rPr>
        <w:t>April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20"/>
          </w:cols>
          <w:pgMar w:left="580" w:top="239"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 Supplement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Cautionary Note on Forward-Looking Statements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the Notes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 (Conflicts of Interest)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Company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S-iii</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S-1</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S-10</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S-12</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S-35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S-40</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ectPr>
          <w:pgSz w:w="11900" w:h="16838" w:orient="portrait"/>
          <w:cols w:equalWidth="0" w:num="2">
            <w:col w:w="8120" w:space="720"/>
            <w:col w:w="1039"/>
          </w:cols>
          <w:pgMar w:left="580" w:top="13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CAUTIONARY NOTE ON FORWARD-</w:t>
      </w:r>
    </w:p>
    <w:p>
      <w:pPr>
        <w:ind w:left="1260"/>
        <w:spacing w:after="0" w:line="229" w:lineRule="auto"/>
        <w:rPr>
          <w:sz w:val="20"/>
          <w:szCs w:val="20"/>
          <w:color w:val="auto"/>
        </w:rPr>
      </w:pPr>
      <w:r>
        <w:rPr>
          <w:rFonts w:ascii="Arial" w:cs="Arial" w:eastAsia="Arial" w:hAnsi="Arial"/>
          <w:sz w:val="40"/>
          <w:szCs w:val="40"/>
          <w:b w:val="1"/>
          <w:bCs w:val="1"/>
          <w:color w:val="auto"/>
        </w:rPr>
        <w:t>LOOKING</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STATEMENTS</w:t>
      </w:r>
      <w:r>
        <w:rPr>
          <w:rFonts w:ascii="Arial" w:cs="Arial" w:eastAsia="Arial" w:hAnsi="Arial"/>
          <w:sz w:val="40"/>
          <w:szCs w:val="40"/>
          <w:color w:val="auto"/>
        </w:rPr>
        <w:t>​</w:t>
      </w:r>
    </w:p>
    <w:p>
      <w:pPr>
        <w:spacing w:after="0" w:line="60"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57"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color w:val="auto"/>
        </w:rPr>
        <w:t>Specific forward-looking statements include, but are not limited to, statements such as those made regarding:</w:t>
      </w:r>
    </w:p>
    <w:p>
      <w:pPr>
        <w:spacing w:after="0" w:line="76"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restructure plans and expected related savings and charges;</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conditions and profitability in our industry;</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write-downs of inventories in future quarters;</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reductions in our wafer starts and the corresponding impact on our costs in 2023;</w:t>
      </w:r>
    </w:p>
    <w:p>
      <w:pPr>
        <w:spacing w:after="0" w:line="76" w:lineRule="exact"/>
        <w:rPr>
          <w:rFonts w:ascii="Arial" w:cs="Arial" w:eastAsia="Arial" w:hAnsi="Arial"/>
          <w:sz w:val="18"/>
          <w:szCs w:val="18"/>
          <w:color w:val="auto"/>
        </w:rPr>
      </w:pPr>
    </w:p>
    <w:p>
      <w:pPr>
        <w:ind w:left="1800" w:right="519" w:hanging="180"/>
        <w:spacing w:after="0" w:line="261"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for construction and ramping of production for new memory manufacturing fabs in the United States;</w:t>
      </w:r>
    </w:p>
    <w:p>
      <w:pPr>
        <w:spacing w:after="0" w:line="49"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receipt of government grants and investment tax credits;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and investments;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spending in 2023;</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funding of sustainability-focused projects;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allocation and dispersal of the net proceeds of our 2.703% Senior Notes due April 2032;</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of tax return examinations;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intended use of proceeds from the offering of notes.</w:t>
      </w:r>
    </w:p>
    <w:p>
      <w:pPr>
        <w:spacing w:after="0" w:line="90"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Reports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68" w:lineRule="exact"/>
        <w:rPr>
          <w:sz w:val="20"/>
          <w:szCs w:val="20"/>
          <w:color w:val="auto"/>
        </w:rPr>
      </w:pPr>
    </w:p>
    <w:p>
      <w:pPr>
        <w:ind w:left="1260" w:right="419"/>
        <w:spacing w:after="0" w:line="259" w:lineRule="auto"/>
        <w:rPr>
          <w:sz w:val="20"/>
          <w:szCs w:val="20"/>
          <w:color w:val="auto"/>
        </w:rPr>
      </w:pPr>
      <w:r>
        <w:rPr>
          <w:rFonts w:ascii="Arial" w:cs="Arial" w:eastAsia="Arial" w:hAnsi="Arial"/>
          <w:sz w:val="17"/>
          <w:szCs w:val="17"/>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Trademarks and Service Marks</w:t>
      </w:r>
    </w:p>
    <w:p>
      <w:pPr>
        <w:spacing w:after="0" w:line="103" w:lineRule="exact"/>
        <w:rPr>
          <w:sz w:val="20"/>
          <w:szCs w:val="20"/>
          <w:color w:val="auto"/>
        </w:rPr>
      </w:pPr>
    </w:p>
    <w:p>
      <w:pPr>
        <w:ind w:left="1260" w:right="499"/>
        <w:spacing w:after="0" w:line="227"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we will assert, to the fullest extent under applicable law, our rights or the rights of the applicable licensors to these trademarks, service marks, and tradenames.</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 SUPPLEMENT</w:t>
      </w:r>
    </w:p>
    <w:p>
      <w:pPr>
        <w:spacing w:after="0" w:line="177"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This prospectus supplement and the accompanying prospectus dated November 4, 2020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40"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30" w:lineRule="exact"/>
        <w:rPr>
          <w:sz w:val="20"/>
          <w:szCs w:val="20"/>
          <w:color w:val="auto"/>
        </w:rPr>
      </w:pPr>
    </w:p>
    <w:p>
      <w:pPr>
        <w:ind w:left="1260" w:right="659"/>
        <w:spacing w:after="0" w:line="254"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36" w:lineRule="exact"/>
        <w:rPr>
          <w:sz w:val="20"/>
          <w:szCs w:val="20"/>
          <w:color w:val="auto"/>
        </w:rPr>
      </w:pPr>
    </w:p>
    <w:p>
      <w:pPr>
        <w:ind w:left="1260" w:right="699"/>
        <w:spacing w:after="0" w:line="256"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34"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We expect that delivery of the notes will be made to investors on or about April 11,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April 11, 2023 will be required, by virtue of the fact that the notes initially settle in T+3, to specify an alternate settlement arrangement to prevent a failed settlement. Purchasers of the notes who wish to trade the notes more than two business days prior to April 11, 2023 should consult their advisors.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76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auto"/>
        </w:rPr>
        <w:t>SUMMARY</w:t>
      </w:r>
    </w:p>
    <w:p>
      <w:pPr>
        <w:spacing w:after="0" w:line="227" w:lineRule="exact"/>
        <w:rPr>
          <w:sz w:val="20"/>
          <w:szCs w:val="20"/>
          <w:color w:val="auto"/>
        </w:rPr>
      </w:pPr>
    </w:p>
    <w:p>
      <w:pPr>
        <w:ind w:left="1280" w:right="439"/>
        <w:spacing w:after="0" w:line="26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w:t>
      </w:r>
      <w:hyperlink r:id="rId31">
        <w:r>
          <w:rPr>
            <w:rFonts w:ascii="Arial" w:cs="Arial" w:eastAsia="Arial" w:hAnsi="Arial"/>
            <w:sz w:val="18"/>
            <w:szCs w:val="18"/>
            <w:i w:val="1"/>
            <w:iCs w:val="1"/>
            <w:u w:val="single" w:color="auto"/>
            <w:color w:val="0000EE"/>
          </w:rPr>
          <w:t>Annual Report on Form 10-K for the fiscal year ended September 1, 2022</w:t>
        </w:r>
      </w:hyperlink>
      <w:r>
        <w:rPr>
          <w:rFonts w:ascii="Arial" w:cs="Arial" w:eastAsia="Arial" w:hAnsi="Arial"/>
          <w:sz w:val="18"/>
          <w:szCs w:val="18"/>
          <w:i w:val="1"/>
          <w:iCs w:val="1"/>
          <w:color w:val="auto"/>
        </w:rPr>
        <w:t xml:space="preserve">, our </w:t>
      </w:r>
      <w:hyperlink r:id="rId32">
        <w:r>
          <w:rPr>
            <w:rFonts w:ascii="Arial" w:cs="Arial" w:eastAsia="Arial" w:hAnsi="Arial"/>
            <w:sz w:val="18"/>
            <w:szCs w:val="18"/>
            <w:i w:val="1"/>
            <w:iCs w:val="1"/>
            <w:u w:val="single" w:color="auto"/>
            <w:color w:val="0000EE"/>
          </w:rPr>
          <w:t>Quarterly Report on Form 10-Q for the fiscal quarter ended March 2, 2023</w:t>
        </w:r>
      </w:hyperlink>
      <w:r>
        <w:rPr>
          <w:rFonts w:ascii="Arial" w:cs="Arial" w:eastAsia="Arial" w:hAnsi="Arial"/>
          <w:sz w:val="18"/>
          <w:szCs w:val="18"/>
          <w:i w:val="1"/>
          <w:iCs w:val="1"/>
          <w:color w:val="auto"/>
        </w:rPr>
        <w:t>, documents that we subsequently file with the SEC and the financial statements and other information included or incorporated by reference in this prospectus supplement and the accompanying prospectus, before making an investment decision.</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Micron Technology, Inc.</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166" w:lineRule="exact"/>
        <w:rPr>
          <w:sz w:val="20"/>
          <w:szCs w:val="20"/>
          <w:color w:val="auto"/>
        </w:rPr>
      </w:pPr>
    </w:p>
    <w:p>
      <w:pPr>
        <w:ind w:left="1280" w:right="399"/>
        <w:spacing w:after="0" w:line="24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56" w:lineRule="exact"/>
        <w:rPr>
          <w:sz w:val="20"/>
          <w:szCs w:val="20"/>
          <w:color w:val="auto"/>
        </w:rPr>
      </w:pPr>
    </w:p>
    <w:p>
      <w:pPr>
        <w:ind w:left="1280" w:right="419"/>
        <w:spacing w:after="0" w:line="260"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49" w:lineRule="exact"/>
        <w:rPr>
          <w:sz w:val="20"/>
          <w:szCs w:val="20"/>
          <w:color w:val="auto"/>
        </w:rPr>
      </w:pPr>
    </w:p>
    <w:p>
      <w:pPr>
        <w:ind w:left="1280" w:right="739"/>
        <w:spacing w:after="0" w:line="262"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00" w:lineRule="exact"/>
        <w:rPr>
          <w:sz w:val="20"/>
          <w:szCs w:val="20"/>
          <w:color w:val="auto"/>
        </w:rPr>
      </w:pPr>
    </w:p>
    <w:p>
      <w:pPr>
        <w:spacing w:after="0" w:line="257" w:lineRule="exact"/>
        <w:rPr>
          <w:sz w:val="20"/>
          <w:szCs w:val="20"/>
          <w:color w:val="auto"/>
        </w:rPr>
      </w:pPr>
    </w:p>
    <w:p>
      <w:pPr>
        <w:ind w:left="1280" w:right="459"/>
        <w:spacing w:after="0" w:line="261" w:lineRule="auto"/>
        <w:rPr>
          <w:sz w:val="20"/>
          <w:szCs w:val="20"/>
          <w:color w:val="auto"/>
        </w:rPr>
      </w:pPr>
      <w:r>
        <w:rPr>
          <w:rFonts w:ascii="Arial" w:cs="Arial" w:eastAsia="Arial" w:hAnsi="Arial"/>
          <w:sz w:val="18"/>
          <w:szCs w:val="18"/>
          <w:color w:val="auto"/>
        </w:rPr>
        <w:t>Our executive offices are located at 8000 South Federal Way, Boise, Idaho 83716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10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The Offering</w:t>
      </w:r>
    </w:p>
    <w:p>
      <w:pPr>
        <w:spacing w:after="0" w:line="233" w:lineRule="exact"/>
        <w:rPr>
          <w:sz w:val="20"/>
          <w:szCs w:val="20"/>
          <w:color w:val="auto"/>
        </w:rPr>
      </w:pPr>
    </w:p>
    <w:p>
      <w:pPr>
        <w:ind w:left="1280" w:right="459"/>
        <w:spacing w:after="0" w:line="247" w:lineRule="auto"/>
        <w:rPr>
          <w:sz w:val="20"/>
          <w:szCs w:val="20"/>
          <w:color w:val="auto"/>
        </w:rPr>
      </w:pPr>
      <w:r>
        <w:rPr>
          <w:rFonts w:ascii="Arial" w:cs="Arial" w:eastAsia="Arial" w:hAnsi="Arial"/>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9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Micron Technology, Inc.</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7"/>
          <w:szCs w:val="17"/>
          <w:color w:val="auto"/>
        </w:rPr>
        <w:t>$600,000,000 aggregate principal amount of 5.375% Senior</w:t>
      </w:r>
    </w:p>
    <w:p>
      <w:pPr>
        <w:spacing w:after="0" w:line="9" w:lineRule="exact"/>
        <w:rPr>
          <w:sz w:val="20"/>
          <w:szCs w:val="20"/>
          <w:color w:val="auto"/>
        </w:rPr>
      </w:pPr>
    </w:p>
    <w:p>
      <w:pPr>
        <w:ind w:left="4300" w:right="399"/>
        <w:spacing w:after="0" w:line="261" w:lineRule="auto"/>
        <w:rPr>
          <w:sz w:val="20"/>
          <w:szCs w:val="20"/>
          <w:color w:val="auto"/>
        </w:rPr>
      </w:pPr>
      <w:r>
        <w:rPr>
          <w:rFonts w:ascii="Arial" w:cs="Arial" w:eastAsia="Arial" w:hAnsi="Arial"/>
          <w:sz w:val="18"/>
          <w:szCs w:val="18"/>
          <w:color w:val="auto"/>
        </w:rPr>
        <w:t>Notes due 2028 and $900,000,000 aggregate principal amount of 5.875% Senior Notes due 2033.</w:t>
      </w:r>
    </w:p>
    <w:p>
      <w:pPr>
        <w:spacing w:after="0" w:line="9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The 2028 notes will mature on April 15, 2028 and the 2033 notes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will mature on September 15, 2033.</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and Payment Dates</w:t>
      </w:r>
      <w:r>
        <w:rPr>
          <w:sz w:val="20"/>
          <w:szCs w:val="20"/>
          <w:color w:val="auto"/>
        </w:rPr>
        <w:tab/>
      </w:r>
      <w:r>
        <w:rPr>
          <w:rFonts w:ascii="Arial" w:cs="Arial" w:eastAsia="Arial" w:hAnsi="Arial"/>
          <w:sz w:val="17"/>
          <w:szCs w:val="17"/>
          <w:color w:val="auto"/>
        </w:rPr>
        <w:t>5.375% per year on the principal amount of the 2028 notes and</w:t>
      </w:r>
    </w:p>
    <w:p>
      <w:pPr>
        <w:spacing w:after="0" w:line="9"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5.875% per year on the principal amount of the 2033 notes. Interest on the 2028 notes is payable on April 15 and October 15 of each year after the date of issuance, commencing October 15, 2023, and interest on the 2033 notes is payable on March 15 and September 15 of each year after the date of issuance, commencing September 15, 2023. Interest on the notes will accrue from April 11, 2023.</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Ranking of the Notes</w:t>
      </w:r>
      <w:r>
        <w:rPr>
          <w:sz w:val="20"/>
          <w:szCs w:val="20"/>
          <w:color w:val="auto"/>
        </w:rPr>
        <w:tab/>
      </w:r>
      <w:r>
        <w:rPr>
          <w:rFonts w:ascii="Arial" w:cs="Arial" w:eastAsia="Arial" w:hAnsi="Arial"/>
          <w:sz w:val="17"/>
          <w:szCs w:val="17"/>
          <w:color w:val="auto"/>
        </w:rPr>
        <w:t>The notes will be senior unsecured obligations and will rank</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equally with all of our other existing and future unsecured and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unsubordinated indebtedness from time to time outstanding.</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of March 2, 2023:</w:t>
      </w:r>
    </w:p>
    <w:p>
      <w:pPr>
        <w:spacing w:after="0" w:line="144" w:lineRule="exact"/>
        <w:rPr>
          <w:sz w:val="20"/>
          <w:szCs w:val="20"/>
          <w:color w:val="auto"/>
        </w:rPr>
      </w:pPr>
    </w:p>
    <w:p>
      <w:pPr>
        <w:ind w:left="4300"/>
        <w:spacing w:after="0"/>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had approximately $11.6 billion aggregate principal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amount of indebtedness; and</w:t>
      </w:r>
    </w:p>
    <w:p>
      <w:pPr>
        <w:spacing w:after="0" w:line="158" w:lineRule="exact"/>
        <w:rPr>
          <w:sz w:val="20"/>
          <w:szCs w:val="20"/>
          <w:color w:val="auto"/>
        </w:rPr>
      </w:pPr>
    </w:p>
    <w:p>
      <w:pPr>
        <w:ind w:left="4300"/>
        <w:spacing w:after="0"/>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subsidiaries had outstanding liabilities (including trade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payables and indebtedness to third parties at the full stated</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amount thereof but excluding intercompany indebtedness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and other obligations and liabilities of a type not required to</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be reflected on a balance sheet of such subsidiaries in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accordance with GAAP) of approximately $5.9 billion, all of</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which will be structurally senior to the notes with respect to</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claims on the assets and cash flows of our subsidiaries.</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Sinking Fund</w:t>
      </w:r>
      <w:r>
        <w:rPr>
          <w:sz w:val="20"/>
          <w:szCs w:val="20"/>
          <w:color w:val="auto"/>
        </w:rPr>
        <w:tab/>
      </w:r>
      <w:r>
        <w:rPr>
          <w:rFonts w:ascii="Arial" w:cs="Arial" w:eastAsia="Arial" w:hAnsi="Arial"/>
          <w:sz w:val="17"/>
          <w:szCs w:val="17"/>
          <w:color w:val="auto"/>
        </w:rPr>
        <w:t>None.</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7"/>
          <w:szCs w:val="17"/>
          <w:color w:val="auto"/>
        </w:rPr>
        <w:t>The notes will be redeemable at our option, in whole or in part, at</w:t>
      </w:r>
    </w:p>
    <w:p>
      <w:pPr>
        <w:spacing w:after="0" w:line="9" w:lineRule="exact"/>
        <w:rPr>
          <w:sz w:val="20"/>
          <w:szCs w:val="20"/>
          <w:color w:val="auto"/>
        </w:rPr>
      </w:pPr>
    </w:p>
    <w:p>
      <w:pPr>
        <w:ind w:left="4300" w:right="439"/>
        <w:spacing w:after="0" w:line="267" w:lineRule="auto"/>
        <w:rPr>
          <w:sz w:val="20"/>
          <w:szCs w:val="20"/>
          <w:color w:val="auto"/>
        </w:rPr>
      </w:pPr>
      <w:r>
        <w:rPr>
          <w:rFonts w:ascii="Arial" w:cs="Arial" w:eastAsia="Arial" w:hAnsi="Arial"/>
          <w:sz w:val="17"/>
          <w:szCs w:val="17"/>
          <w:color w:val="auto"/>
        </w:rPr>
        <w:t>any time and from time to time at a redemption price for each series of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 March 15, 2028 in the case of the 2028 notes (one month prior to the maturity date of the 2028 notes) and on or after June 15, 2033 in the case of the 2033 notes (three months prior to the maturity date of the 2033 notes), in each case, we may redeem the notes at a redemption price equal to 100% of the principal amount thereof plus accrued and unpaid interest to, but</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93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60" w:hanging="179"/>
        <w:spacing w:after="0" w:line="256" w:lineRule="auto"/>
        <w:rPr>
          <w:sz w:val="20"/>
          <w:szCs w:val="20"/>
          <w:color w:val="auto"/>
        </w:rPr>
      </w:pPr>
      <w:r>
        <w:rPr>
          <w:rFonts w:ascii="Arial" w:cs="Arial" w:eastAsia="Arial" w:hAnsi="Arial"/>
          <w:sz w:val="18"/>
          <w:szCs w:val="18"/>
          <w:color w:val="auto"/>
        </w:rPr>
        <w:t>Mandatory Offer to Repurchase Upon a Change of Control Triggering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99"/>
        <w:spacing w:after="0" w:line="261" w:lineRule="auto"/>
        <w:rPr>
          <w:sz w:val="20"/>
          <w:szCs w:val="20"/>
          <w:color w:val="auto"/>
        </w:rPr>
      </w:pPr>
      <w:r>
        <w:rPr>
          <w:rFonts w:ascii="Arial" w:cs="Arial" w:eastAsia="Arial" w:hAnsi="Arial"/>
          <w:sz w:val="18"/>
          <w:szCs w:val="18"/>
          <w:color w:val="auto"/>
        </w:rPr>
        <w:t>excluding, the date of redemption. See “Description of the Notes — Optional Redemption.”</w:t>
      </w:r>
    </w:p>
    <w:p>
      <w:pPr>
        <w:spacing w:after="0" w:line="200" w:lineRule="exact"/>
        <w:rPr>
          <w:sz w:val="20"/>
          <w:szCs w:val="20"/>
          <w:color w:val="auto"/>
        </w:rPr>
      </w:pPr>
    </w:p>
    <w:p>
      <w:pPr>
        <w:spacing w:after="0" w:line="322" w:lineRule="exact"/>
        <w:rPr>
          <w:sz w:val="20"/>
          <w:szCs w:val="20"/>
          <w:color w:val="auto"/>
        </w:rPr>
      </w:pPr>
    </w:p>
    <w:p>
      <w:pPr>
        <w:ind w:right="379"/>
        <w:spacing w:after="0" w:line="252" w:lineRule="auto"/>
        <w:rPr>
          <w:sz w:val="20"/>
          <w:szCs w:val="20"/>
          <w:color w:val="auto"/>
        </w:rPr>
      </w:pPr>
      <w:r>
        <w:rPr>
          <w:rFonts w:ascii="Arial" w:cs="Arial" w:eastAsia="Arial" w:hAnsi="Arial"/>
          <w:sz w:val="18"/>
          <w:szCs w:val="18"/>
          <w:color w:val="auto"/>
        </w:rPr>
        <w:t>Upon the occurrence of a Change of Control Triggering Event (as defined elsewhere in this prospectus supplement) with respect to a series of notes, we will be required to make an offer to purchase the notes of such series at a price equal to 101% of their principal amount plus accrued and unpaid interest to, but excluding, the date of purchase. See “Description of the Notes —  Repurchase of Notes Upon a Change of Control Triggering Event.”</w:t>
      </w:r>
    </w:p>
    <w:p>
      <w:pPr>
        <w:spacing w:after="0" w:line="97" w:lineRule="exact"/>
        <w:rPr>
          <w:sz w:val="20"/>
          <w:szCs w:val="20"/>
          <w:color w:val="auto"/>
        </w:rPr>
      </w:pPr>
    </w:p>
    <w:p>
      <w:pPr>
        <w:sectPr>
          <w:pgSz w:w="11900" w:h="16838" w:orient="portrait"/>
          <w:cols w:equalWidth="0" w:num="2">
            <w:col w:w="3780" w:space="520"/>
            <w:col w:w="5579"/>
          </w:cols>
          <w:pgMar w:left="58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Certain Covenants</w:t>
            </w: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The indenture that will govern each series of notes contains</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covenants that, subject to significant exceptions, limit our ability</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and/or the ability of our restricted subsidiaries (which are</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generally domestic subsidiaries in which we own at least 80% of</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the voting stock and which own Principal Property (as defined</w:t>
            </w:r>
          </w:p>
        </w:tc>
      </w:tr>
      <w:tr>
        <w:trPr>
          <w:trHeight w:val="217"/>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herein)) to:</w:t>
            </w:r>
          </w:p>
        </w:tc>
      </w:tr>
      <w:tr>
        <w:trPr>
          <w:trHeight w:val="364"/>
        </w:trPr>
        <w:tc>
          <w:tcPr>
            <w:tcW w:w="2580" w:type="dxa"/>
            <w:vAlign w:val="bottom"/>
          </w:tcPr>
          <w:p>
            <w:pPr>
              <w:spacing w:after="0"/>
              <w:rPr>
                <w:sz w:val="24"/>
                <w:szCs w:val="24"/>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4940" w:type="dxa"/>
            <w:vAlign w:val="bottom"/>
          </w:tcPr>
          <w:p>
            <w:pPr>
              <w:ind w:left="140"/>
              <w:spacing w:after="0"/>
              <w:rPr>
                <w:sz w:val="20"/>
                <w:szCs w:val="20"/>
                <w:color w:val="auto"/>
              </w:rPr>
            </w:pPr>
            <w:r>
              <w:rPr>
                <w:rFonts w:ascii="Arial" w:cs="Arial" w:eastAsia="Arial" w:hAnsi="Arial"/>
                <w:sz w:val="18"/>
                <w:szCs w:val="18"/>
                <w:color w:val="auto"/>
              </w:rPr>
              <w:t>create or incur certain liens on Principal Property owned by</w:t>
            </w: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us or a restricted subsidiary and shares of capital stock of</w:t>
            </w: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any restricted subsidiary and enter into sale and lease-back</w:t>
            </w:r>
          </w:p>
        </w:tc>
      </w:tr>
      <w:tr>
        <w:trPr>
          <w:trHeight w:val="217"/>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transactions with respect to Principal Property; and</w:t>
            </w:r>
          </w:p>
        </w:tc>
      </w:tr>
      <w:tr>
        <w:trPr>
          <w:trHeight w:val="364"/>
        </w:trPr>
        <w:tc>
          <w:tcPr>
            <w:tcW w:w="2580" w:type="dxa"/>
            <w:vAlign w:val="bottom"/>
          </w:tcPr>
          <w:p>
            <w:pPr>
              <w:spacing w:after="0"/>
              <w:rPr>
                <w:sz w:val="24"/>
                <w:szCs w:val="24"/>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4940" w:type="dxa"/>
            <w:vAlign w:val="bottom"/>
          </w:tcPr>
          <w:p>
            <w:pPr>
              <w:ind w:left="140"/>
              <w:spacing w:after="0"/>
              <w:rPr>
                <w:sz w:val="20"/>
                <w:szCs w:val="20"/>
                <w:color w:val="auto"/>
              </w:rPr>
            </w:pPr>
            <w:r>
              <w:rPr>
                <w:rFonts w:ascii="Arial" w:cs="Arial" w:eastAsia="Arial" w:hAnsi="Arial"/>
                <w:sz w:val="18"/>
                <w:szCs w:val="18"/>
                <w:color w:val="auto"/>
              </w:rPr>
              <w:t>consolidate with or merge with or into, or convey, transfer or</w:t>
            </w:r>
          </w:p>
        </w:tc>
      </w:tr>
      <w:tr>
        <w:trPr>
          <w:trHeight w:val="217"/>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w w:val="99"/>
              </w:rPr>
              <w:t>lease all or substantially all of our assets, to another person.</w:t>
            </w:r>
          </w:p>
        </w:tc>
      </w:tr>
      <w:tr>
        <w:trPr>
          <w:trHeight w:val="364"/>
        </w:trPr>
        <w:tc>
          <w:tcPr>
            <w:tcW w:w="2580" w:type="dxa"/>
            <w:vAlign w:val="bottom"/>
          </w:tcPr>
          <w:p>
            <w:pPr>
              <w:spacing w:after="0"/>
              <w:rPr>
                <w:sz w:val="24"/>
                <w:szCs w:val="24"/>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w w:val="99"/>
              </w:rPr>
              <w:t>These covenants are subject to a number of important limitations</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and exceptions as described under “Description of the Notes</w:t>
            </w:r>
          </w:p>
        </w:tc>
      </w:tr>
      <w:tr>
        <w:trPr>
          <w:trHeight w:val="217"/>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Certain Covenants.”</w:t>
            </w:r>
          </w:p>
        </w:tc>
      </w:tr>
      <w:tr>
        <w:trPr>
          <w:trHeight w:val="323"/>
        </w:trPr>
        <w:tc>
          <w:tcPr>
            <w:tcW w:w="2580" w:type="dxa"/>
            <w:vAlign w:val="bottom"/>
          </w:tcPr>
          <w:p>
            <w:pPr>
              <w:spacing w:after="0"/>
              <w:rPr>
                <w:sz w:val="20"/>
                <w:szCs w:val="20"/>
                <w:color w:val="auto"/>
              </w:rPr>
            </w:pPr>
            <w:r>
              <w:rPr>
                <w:rFonts w:ascii="Arial" w:cs="Arial" w:eastAsia="Arial" w:hAnsi="Arial"/>
                <w:sz w:val="18"/>
                <w:szCs w:val="18"/>
                <w:color w:val="auto"/>
              </w:rPr>
              <w:t>No Prior Market; No Listing</w:t>
            </w: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Each series of notes will be a new issue of securities for which</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there is currently no established public market. Although the</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w w:val="99"/>
              </w:rPr>
              <w:t>underwriters have informed us that they intend to make a market</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w w:val="99"/>
              </w:rPr>
              <w:t>in the notes, they are not obligated to do so and may discontinue</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market-making with respect to the notes at any time without</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w w:val="98"/>
              </w:rPr>
              <w:t>notice. Accordingly, a liquid market for the notes may not develop</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or be maintained. See “Risk Factors — Risks Related to the</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Notes — Your ability to transfer the notes may be limited by the</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absence of an active trading market, and an active trading</w:t>
            </w:r>
          </w:p>
        </w:tc>
      </w:tr>
      <w:tr>
        <w:trPr>
          <w:trHeight w:val="217"/>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market may not develop for the notes.”</w:t>
            </w:r>
          </w:p>
        </w:tc>
      </w:tr>
      <w:tr>
        <w:trPr>
          <w:trHeight w:val="364"/>
        </w:trPr>
        <w:tc>
          <w:tcPr>
            <w:tcW w:w="2580" w:type="dxa"/>
            <w:vAlign w:val="bottom"/>
          </w:tcPr>
          <w:p>
            <w:pPr>
              <w:spacing w:after="0"/>
              <w:rPr>
                <w:sz w:val="24"/>
                <w:szCs w:val="24"/>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We do not intend to apply for the listing of the notes on any</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securities exchange or for the quotation of the notes in any</w:t>
            </w:r>
          </w:p>
        </w:tc>
      </w:tr>
      <w:tr>
        <w:trPr>
          <w:trHeight w:val="217"/>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dealer quotation system.</w:t>
            </w:r>
          </w:p>
        </w:tc>
      </w:tr>
      <w:tr>
        <w:trPr>
          <w:trHeight w:val="323"/>
        </w:trPr>
        <w:tc>
          <w:tcPr>
            <w:tcW w:w="2580" w:type="dxa"/>
            <w:vAlign w:val="bottom"/>
          </w:tcPr>
          <w:p>
            <w:pPr>
              <w:spacing w:after="0"/>
              <w:rPr>
                <w:sz w:val="20"/>
                <w:szCs w:val="20"/>
                <w:color w:val="auto"/>
              </w:rPr>
            </w:pPr>
            <w:r>
              <w:rPr>
                <w:rFonts w:ascii="Arial" w:cs="Arial" w:eastAsia="Arial" w:hAnsi="Arial"/>
                <w:sz w:val="18"/>
                <w:szCs w:val="18"/>
                <w:color w:val="auto"/>
              </w:rPr>
              <w:t>Use of Proceeds</w:t>
            </w: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We estimate net proceeds from the sale of the notes, after</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deducting underwriter discounts and other estimated offering</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expenses, will be approximately $1.486 billion. We intend to use</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a portion of the net proceeds from the sale of the notes to repay</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a portion of the outstanding borrowings under our senior term</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loan due October 2024 (the “2024 Term Loan A”) and the</w:t>
            </w:r>
          </w:p>
        </w:tc>
      </w:tr>
      <w:tr>
        <w:trPr>
          <w:trHeight w:val="216"/>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remainder of the net proceeds for general corporate purposes.</w:t>
            </w:r>
          </w:p>
        </w:tc>
      </w:tr>
      <w:tr>
        <w:trPr>
          <w:trHeight w:val="217"/>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See “Use of Proceeds.”</w:t>
            </w:r>
          </w:p>
        </w:tc>
      </w:tr>
      <w:tr>
        <w:trPr>
          <w:trHeight w:val="323"/>
        </w:trPr>
        <w:tc>
          <w:tcPr>
            <w:tcW w:w="2580" w:type="dxa"/>
            <w:vAlign w:val="bottom"/>
          </w:tcPr>
          <w:p>
            <w:pPr>
              <w:spacing w:after="0"/>
              <w:rPr>
                <w:sz w:val="20"/>
                <w:szCs w:val="20"/>
                <w:color w:val="auto"/>
              </w:rPr>
            </w:pPr>
            <w:r>
              <w:rPr>
                <w:rFonts w:ascii="Arial" w:cs="Arial" w:eastAsia="Arial" w:hAnsi="Arial"/>
                <w:sz w:val="18"/>
                <w:szCs w:val="18"/>
                <w:color w:val="auto"/>
              </w:rPr>
              <w:t>Risk Factors</w:t>
            </w: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You should carefully consider all of the information set forth in</w:t>
            </w:r>
          </w:p>
        </w:tc>
      </w:tr>
      <w:tr>
        <w:trPr>
          <w:trHeight w:val="217"/>
        </w:trPr>
        <w:tc>
          <w:tcPr>
            <w:tcW w:w="2580" w:type="dxa"/>
            <w:vAlign w:val="bottom"/>
          </w:tcPr>
          <w:p>
            <w:pPr>
              <w:spacing w:after="0"/>
              <w:rPr>
                <w:sz w:val="18"/>
                <w:szCs w:val="18"/>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color w:val="auto"/>
              </w:rPr>
              <w:t>this prospectus supplement and the accompanying prospectus</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type w:val="continuous"/>
        </w:sect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00" w:right="519"/>
        <w:spacing w:after="0" w:line="253" w:lineRule="auto"/>
        <w:rPr>
          <w:sz w:val="20"/>
          <w:szCs w:val="20"/>
          <w:color w:val="auto"/>
        </w:rPr>
      </w:pPr>
      <w:r>
        <w:rPr>
          <w:rFonts w:ascii="Arial" w:cs="Arial" w:eastAsia="Arial" w:hAnsi="Arial"/>
          <w:sz w:val="18"/>
          <w:szCs w:val="18"/>
          <w:color w:val="auto"/>
        </w:rPr>
        <w:t>and the documents, including the information incorporated by reference, and, in particular, should evaluate the specific factors set forth in this prospectus supplement under “Risk Factors” for an explanation of certain risks you should consider before investing in the notes.</w:t>
      </w:r>
    </w:p>
    <w:p>
      <w:pPr>
        <w:spacing w:after="0" w:line="9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Form and Denomination</w:t>
      </w:r>
      <w:r>
        <w:rPr>
          <w:sz w:val="20"/>
          <w:szCs w:val="20"/>
          <w:color w:val="auto"/>
        </w:rPr>
        <w:tab/>
      </w:r>
      <w:r>
        <w:rPr>
          <w:rFonts w:ascii="Arial" w:cs="Arial" w:eastAsia="Arial" w:hAnsi="Arial"/>
          <w:sz w:val="17"/>
          <w:szCs w:val="17"/>
          <w:color w:val="auto"/>
        </w:rPr>
        <w:t>Each series of notes will be issued in the form of one or more</w:t>
      </w:r>
    </w:p>
    <w:p>
      <w:pPr>
        <w:spacing w:after="0" w:line="9" w:lineRule="exact"/>
        <w:rPr>
          <w:sz w:val="20"/>
          <w:szCs w:val="20"/>
          <w:color w:val="auto"/>
        </w:rPr>
      </w:pPr>
    </w:p>
    <w:p>
      <w:pPr>
        <w:ind w:left="4300" w:right="399"/>
        <w:spacing w:after="0" w:line="251" w:lineRule="auto"/>
        <w:rPr>
          <w:sz w:val="20"/>
          <w:szCs w:val="20"/>
          <w:color w:val="auto"/>
        </w:rPr>
      </w:pPr>
      <w:r>
        <w:rPr>
          <w:rFonts w:ascii="Arial" w:cs="Arial" w:eastAsia="Arial" w:hAnsi="Arial"/>
          <w:sz w:val="18"/>
          <w:szCs w:val="18"/>
          <w:color w:val="auto"/>
        </w:rPr>
        <w:t>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(“DTC”). Except in the limited 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Trustee, Registrar and Paying</w:t>
      </w:r>
    </w:p>
    <w:p>
      <w:pPr>
        <w:spacing w:after="0" w:line="9"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U.S. Bank Trust Company, National Association.</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7"/>
          <w:szCs w:val="17"/>
          <w:color w:val="auto"/>
        </w:rPr>
        <w:t>The indenture and the notes will be governed by the laws of the</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State of New York.</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7"/>
          <w:szCs w:val="17"/>
          <w:color w:val="auto"/>
        </w:rPr>
        <w:t>Affiliates of certain underwriters may receive at least 5% of the</w:t>
      </w:r>
    </w:p>
    <w:p>
      <w:pPr>
        <w:spacing w:after="0" w:line="9" w:lineRule="exact"/>
        <w:rPr>
          <w:sz w:val="20"/>
          <w:szCs w:val="20"/>
          <w:color w:val="auto"/>
        </w:rPr>
      </w:pPr>
    </w:p>
    <w:p>
      <w:pPr>
        <w:ind w:left="4300" w:right="399"/>
        <w:spacing w:after="0" w:line="251" w:lineRule="auto"/>
        <w:rPr>
          <w:sz w:val="20"/>
          <w:szCs w:val="20"/>
          <w:color w:val="auto"/>
        </w:rPr>
      </w:pPr>
      <w:r>
        <w:rPr>
          <w:rFonts w:ascii="Arial" w:cs="Arial" w:eastAsia="Arial" w:hAnsi="Arial"/>
          <w:sz w:val="18"/>
          <w:szCs w:val="18"/>
          <w:color w:val="auto"/>
        </w:rPr>
        <w:t>net proceeds of this offering in connection with the repayment of a portion of the outstanding borrowings under our 2024 Term Loan A. See “Use of Proceeds.” Accordingly, this offering is being made in compliance with the requirements of Rule 5121 of the Financial Industry Regulation Authority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59" w:lineRule="exact"/>
        <w:rPr>
          <w:sz w:val="20"/>
          <w:szCs w:val="20"/>
          <w:color w:val="auto"/>
        </w:rPr>
      </w:pPr>
    </w:p>
    <w:p>
      <w:pPr>
        <w:ind w:left="1260" w:right="459"/>
        <w:spacing w:after="0" w:line="247"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 considering whether to purchase the notes, you should carefully consider all the information contained or incorporated by reference in this prospectus supplement and the accompanying </w:t>
      </w:r>
      <w:hyperlink r:id="rId32">
        <w:r>
          <w:rPr>
            <w:rFonts w:ascii="Arial" w:cs="Arial" w:eastAsia="Arial" w:hAnsi="Arial"/>
            <w:sz w:val="18"/>
            <w:szCs w:val="18"/>
            <w:i w:val="1"/>
            <w:iCs w:val="1"/>
            <w:color w:val="auto"/>
          </w:rPr>
          <w:t xml:space="preserve">prospectus. In particular, you should carefully consider the risk factors in our </w:t>
        </w:r>
        <w:r>
          <w:rPr>
            <w:rFonts w:ascii="Arial" w:cs="Arial" w:eastAsia="Arial" w:hAnsi="Arial"/>
            <w:sz w:val="18"/>
            <w:szCs w:val="18"/>
            <w:i w:val="1"/>
            <w:iCs w:val="1"/>
            <w:u w:val="single" w:color="auto"/>
            <w:color w:val="0000EE"/>
          </w:rPr>
          <w:t>Quarterly Report on Form</w:t>
        </w:r>
      </w:hyperlink>
      <w:r>
        <w:rPr>
          <w:rFonts w:ascii="Arial" w:cs="Arial" w:eastAsia="Arial" w:hAnsi="Arial"/>
          <w:sz w:val="18"/>
          <w:szCs w:val="18"/>
          <w:i w:val="1"/>
          <w:iCs w:val="1"/>
          <w:color w:val="auto"/>
        </w:rPr>
        <w:t xml:space="preserve"> </w:t>
      </w:r>
      <w:hyperlink r:id="rId32">
        <w:r>
          <w:rPr>
            <w:rFonts w:ascii="Arial" w:cs="Arial" w:eastAsia="Arial" w:hAnsi="Arial"/>
            <w:sz w:val="18"/>
            <w:szCs w:val="18"/>
            <w:i w:val="1"/>
            <w:iCs w:val="1"/>
            <w:u w:val="single" w:color="auto"/>
            <w:color w:val="0000EE"/>
          </w:rPr>
          <w:t>10-Q for the quarter ended March 2, 2023</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as well as the risk factors described below, which are not</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exhaustive. In this section, references to “Micron,” “us,” “we,” or “our” refer only to Micron Technology, Inc. and not to any of its subsidiaries.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Our Business</w:t>
      </w:r>
    </w:p>
    <w:p>
      <w:pPr>
        <w:spacing w:after="0" w:line="170"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We hereby incorporate by reference the risk factors in Item 1A of our Quarterly Report on Form 10-Q for the fiscal quarter ended March 2, 2023, except that the risk factor set forth immediately below in this “Risks Related to Our Business” section supersedes the similarly captioned risk factor in our Form 10-Q.</w:t>
      </w:r>
    </w:p>
    <w:p>
      <w:pPr>
        <w:spacing w:after="0" w:line="193" w:lineRule="exact"/>
        <w:rPr>
          <w:sz w:val="20"/>
          <w:szCs w:val="20"/>
          <w:color w:val="auto"/>
        </w:rPr>
      </w:pPr>
    </w:p>
    <w:p>
      <w:pPr>
        <w:jc w:val="both"/>
        <w:ind w:left="1260" w:right="759"/>
        <w:spacing w:after="0" w:line="253" w:lineRule="auto"/>
        <w:rPr>
          <w:sz w:val="20"/>
          <w:szCs w:val="20"/>
          <w:color w:val="auto"/>
        </w:rPr>
      </w:pPr>
      <w:r>
        <w:rPr>
          <w:rFonts w:ascii="Arial" w:cs="Arial" w:eastAsia="Arial" w:hAnsi="Arial"/>
          <w:sz w:val="18"/>
          <w:szCs w:val="18"/>
          <w:b w:val="1"/>
          <w:bCs w:val="1"/>
          <w:i w:val="1"/>
          <w:iCs w:val="1"/>
          <w:color w:val="auto"/>
        </w:rPr>
        <w:t>Government actions and regulations, such as export restrictions, tariffs, investigations, and trade protection measures, may limit our ability to sell our products to certain customers or markets, or could otherwise restrict our ability to conduct operations.</w:t>
      </w:r>
    </w:p>
    <w:p>
      <w:pPr>
        <w:spacing w:after="0" w:line="123" w:lineRule="exact"/>
        <w:rPr>
          <w:sz w:val="20"/>
          <w:szCs w:val="20"/>
          <w:color w:val="auto"/>
        </w:rPr>
      </w:pPr>
    </w:p>
    <w:p>
      <w:pPr>
        <w:ind w:left="1260" w:right="439"/>
        <w:spacing w:after="0" w:line="258" w:lineRule="auto"/>
        <w:rPr>
          <w:sz w:val="20"/>
          <w:szCs w:val="20"/>
          <w:color w:val="auto"/>
        </w:rPr>
      </w:pPr>
      <w:r>
        <w:rPr>
          <w:rFonts w:ascii="Arial" w:cs="Arial" w:eastAsia="Arial" w:hAnsi="Arial"/>
          <w:sz w:val="17"/>
          <w:szCs w:val="17"/>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120"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On March 31, 2023, China’s Cyberspace Administration (the “CAC”) notified us that it will conduct a cybersecurity review of products sold by us in China. As disclosed in our Annual Report on Form 10-K for the fiscal year ended September 1, 2022, our direct sales to customers headquartered in mainland China accounted for approximately 11% of our fiscal year 2022 revenue, and direct sales to customers headquartered in Hong Kong accounted for approximately 5% of our fiscal year 2022 revenue. In addition, our products sold to distributors are incorporated by third parties into their own products. These third-party products, in many cases, may be manufactured in whole or in part in China. While we do not report these indirect sales of our products by geography, these indirect sales are less than our direct sales to our customers headquartered in mainland China and Hong Kong. In some cases, we also ship our products directly to locations within China for customers that are headquartered outside China.</w:t>
      </w:r>
    </w:p>
    <w:p>
      <w:pPr>
        <w:spacing w:after="0" w:line="140"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We are cooperating with the review by the CAC. To the extent that the review is lengthy or results in decisions by the CAC that are adverse to us, it may negatively impact direct sales of our products into China and Hong Kong, as well as the sales of our products through distributors to third parties. There can be no assurance that the CAC’s review will not prevent us from participating in the China market, in whole or in part, cause harm to our relationships with our customers, or otherwise adversely impact us, any of which could result in a material adverse effect on our business, results of operations, or financial condition.</w:t>
      </w:r>
    </w:p>
    <w:p>
      <w:pPr>
        <w:spacing w:after="0" w:line="13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negative impacts on our customers’ products which incorporate our solutions. Any of the effects described in this risk factor could have a material adverse effect on our business, results of operations, or financial condition.</w:t>
      </w:r>
    </w:p>
    <w:p>
      <w:pPr>
        <w:spacing w:after="0" w:line="134"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the Notes</w:t>
      </w:r>
    </w:p>
    <w:p>
      <w:pPr>
        <w:spacing w:after="0" w:line="229"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94"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44" w:lineRule="exact"/>
        <w:rPr>
          <w:sz w:val="20"/>
          <w:szCs w:val="20"/>
          <w:color w:val="auto"/>
        </w:rPr>
      </w:pPr>
    </w:p>
    <w:p>
      <w:pPr>
        <w:ind w:left="1260" w:right="899"/>
        <w:spacing w:after="0" w:line="252"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86"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b w:val="1"/>
          <w:bCs w:val="1"/>
          <w:i w:val="1"/>
          <w:iCs w:val="1"/>
          <w:color w:val="auto"/>
        </w:rPr>
        <w:t>Despite current indebtedness levels, we are able to incur substantially more debt. This could further exacerbate the risks described herein.</w:t>
      </w:r>
    </w:p>
    <w:p>
      <w:pPr>
        <w:spacing w:after="0" w:line="94"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579"/>
        <w:spacing w:after="0" w:line="287"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94"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24"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21"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94" w:lineRule="exact"/>
        <w:rPr>
          <w:sz w:val="20"/>
          <w:szCs w:val="20"/>
          <w:color w:val="auto"/>
        </w:rPr>
      </w:pPr>
    </w:p>
    <w:p>
      <w:pPr>
        <w:ind w:left="1260" w:right="1479"/>
        <w:spacing w:after="0" w:line="287" w:lineRule="auto"/>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94"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March 2, 2023,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$5.9 billion, all of which will be structurally senior to the notes with respect to claims on the assets and cash flows of our subsidiaries.</w:t>
      </w:r>
    </w:p>
    <w:p>
      <w:pPr>
        <w:spacing w:after="0" w:line="203" w:lineRule="exact"/>
        <w:rPr>
          <w:sz w:val="20"/>
          <w:szCs w:val="20"/>
          <w:color w:val="auto"/>
        </w:rPr>
      </w:pPr>
    </w:p>
    <w:p>
      <w:pPr>
        <w:ind w:left="1260" w:right="639"/>
        <w:spacing w:after="0" w:line="253"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23"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The notes will be general unsecured obligations ranking effectively junior in right of payment to all of our existing and future secured indebtedness to the extent of the collateral securing such indebtedness</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80"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3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3" w:lineRule="exact"/>
        <w:rPr>
          <w:sz w:val="20"/>
          <w:szCs w:val="20"/>
          <w:color w:val="auto"/>
        </w:rPr>
      </w:pPr>
    </w:p>
    <w:p>
      <w:pPr>
        <w:ind w:left="1260" w:right="439"/>
        <w:spacing w:after="0" w:line="287"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94"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Each series of notes is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103"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58"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25"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Upon the occurrence of a Change of Control Triggering Event (as defined in the indenture governing each series of notes) with respect to a series of notes, holders of such series of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75" w:lineRule="exact"/>
        <w:rPr>
          <w:sz w:val="20"/>
          <w:szCs w:val="20"/>
          <w:color w:val="auto"/>
        </w:rPr>
      </w:pPr>
    </w:p>
    <w:p>
      <w:pPr>
        <w:ind w:left="1260" w:right="1059"/>
        <w:spacing w:after="0" w:line="287" w:lineRule="auto"/>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107"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Upon the occurrence of a Change of Control Triggering Event with respect to a series of notes, you will have the right to require us to purchase the notes of such series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77"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color w:val="auto"/>
        </w:rPr>
        <w:t>We estimate net proceeds from the sale of the notes, after deducting underwriter discounts and other estimated offering expenses, will be approximately $1.486 billion.</w:t>
      </w:r>
    </w:p>
    <w:p>
      <w:pPr>
        <w:spacing w:after="0" w:line="130"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We intend to use a portion of the net proceeds from the sale of the notes to repay a portion of the outstanding borrowings under our 2024 Term Loan A. As of March 2, 2023, approximately $1.2 billion in principal amount of the 2024 Term Loan A was outstanding. Amounts borrowed under the 2024 Term Loan A bear interest at a rate equal to LIBOR plus 0.625% to 1.375% based on our current corporate credit ratings, which interest rate as of April 4, 2023 was 5.55% per annum. Borrowings under the 2024 Term Loan A mature on October 30, 2024 and may be repaid at any time without penalty.</w:t>
      </w:r>
    </w:p>
    <w:p>
      <w:pPr>
        <w:spacing w:after="0" w:line="11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Affiliates of certain underwriters may receive at least 5% of the net proceeds of this offering in connection with the repayment of a portion of the outstanding borrowings under our 2024 Term Loan A. Accordingly, this offering is being made in compliance with the requirements of Rule 5121 of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 See “Underwriting (Conflicts of Interest).”</w:t>
      </w:r>
    </w:p>
    <w:p>
      <w:pPr>
        <w:spacing w:after="0" w:line="139"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We intend to use the remainder of the net proceeds from the sale of the notes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CASH AND CAPITALIZATION</w:t>
      </w:r>
    </w:p>
    <w:p>
      <w:pPr>
        <w:spacing w:after="0" w:line="177" w:lineRule="exact"/>
        <w:rPr>
          <w:sz w:val="20"/>
          <w:szCs w:val="20"/>
          <w:color w:val="auto"/>
        </w:rPr>
      </w:pPr>
    </w:p>
    <w:p>
      <w:pPr>
        <w:ind w:left="1260" w:right="1079"/>
        <w:spacing w:after="0" w:line="291" w:lineRule="auto"/>
        <w:rPr>
          <w:sz w:val="20"/>
          <w:szCs w:val="20"/>
          <w:color w:val="auto"/>
        </w:rPr>
      </w:pPr>
      <w:r>
        <w:rPr>
          <w:rFonts w:ascii="Arial" w:cs="Arial" w:eastAsia="Arial" w:hAnsi="Arial"/>
          <w:sz w:val="17"/>
          <w:szCs w:val="17"/>
          <w:color w:val="auto"/>
        </w:rPr>
        <w:t>The following table sets forth a summary of our consolidated cash, cash equivalents, short-term investments and long-term marketable investments and capitalization as of March 2, 2023:</w:t>
      </w:r>
    </w:p>
    <w:p>
      <w:pPr>
        <w:spacing w:after="0" w:line="66"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right="439" w:hanging="180"/>
        <w:spacing w:after="0" w:line="25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of the notes offered by this prospectus supplement, but not the application of the net proceeds therefrom, as if the offering had occurred on March 2, 2023.</w:t>
      </w:r>
    </w:p>
    <w:p>
      <w:pPr>
        <w:spacing w:after="0" w:line="134"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color w:val="auto"/>
        </w:rPr>
        <w:t>This table should be read in conjunction with our consolidated financial statements incorporated by reference in this prospectus supplement.</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202"/>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As of March 2, 2023</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20" w:type="dxa"/>
            <w:vAlign w:val="bottom"/>
            <w:gridSpan w:val="7"/>
          </w:tcPr>
          <w:p>
            <w:pPr>
              <w:ind w:left="40"/>
              <w:spacing w:after="0" w:line="210"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Actual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As Adjusted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09"/>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9,798​​ ​</w:t>
            </w:r>
          </w:p>
        </w:tc>
        <w:tc>
          <w:tcPr>
            <w:tcW w:w="7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​$11,284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 ​​ ​ 1,020​​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 ​ 1,020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1200" w:type="dxa"/>
            <w:vAlign w:val="bottom"/>
            <w:tcBorders>
              <w:right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 ​​ ​ 1,212​​ ​</w:t>
            </w:r>
          </w:p>
        </w:tc>
        <w:tc>
          <w:tcPr>
            <w:tcW w:w="7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 1,212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Cash and equivalents, short-term investments and long-term marketable</w:t>
            </w:r>
          </w:p>
        </w:tc>
        <w:tc>
          <w:tcPr>
            <w:tcW w:w="1200" w:type="dxa"/>
            <w:vAlign w:val="bottom"/>
            <w:gridSpan w:val="4"/>
            <w:vMerge w:val="restart"/>
          </w:tcPr>
          <w:p>
            <w:pPr>
              <w:jc w:val="right"/>
              <w:ind w:right="30"/>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12,030</w:t>
            </w:r>
            <w:r>
              <w:rPr>
                <w:rFonts w:ascii="Arial" w:cs="Arial" w:eastAsia="Arial" w:hAnsi="Arial"/>
                <w:sz w:val="35"/>
                <w:szCs w:val="35"/>
                <w:color w:val="auto"/>
                <w:vertAlign w:val="subscript"/>
              </w:rPr>
              <w:t>​​ ​</w:t>
            </w:r>
          </w:p>
        </w:tc>
        <w:tc>
          <w:tcPr>
            <w:tcW w:w="760" w:type="dxa"/>
            <w:vAlign w:val="bottom"/>
            <w:gridSpan w:val="2"/>
            <w:vMerge w:val="restart"/>
          </w:tcPr>
          <w:p>
            <w:pPr>
              <w:jc w:val="right"/>
              <w:ind w:right="10"/>
              <w:spacing w:after="0"/>
              <w:rPr>
                <w:sz w:val="20"/>
                <w:szCs w:val="20"/>
                <w:color w:val="auto"/>
              </w:rPr>
            </w:pPr>
            <w:r>
              <w:rPr>
                <w:rFonts w:ascii="Arial" w:cs="Arial" w:eastAsia="Arial" w:hAnsi="Arial"/>
                <w:sz w:val="35"/>
                <w:szCs w:val="35"/>
                <w:color w:val="auto"/>
                <w:w w:val="98"/>
                <w:vertAlign w:val="subscript"/>
              </w:rPr>
              <w:t>​</w:t>
            </w:r>
            <w:r>
              <w:rPr>
                <w:rFonts w:ascii="Arial" w:cs="Arial" w:eastAsia="Arial" w:hAnsi="Arial"/>
                <w:sz w:val="18"/>
                <w:szCs w:val="18"/>
                <w:u w:val="single" w:color="auto"/>
                <w:color w:val="auto"/>
                <w:w w:val="98"/>
              </w:rPr>
              <w:t>$</w:t>
            </w:r>
            <w:r>
              <w:rPr>
                <w:rFonts w:ascii="Arial" w:cs="Arial" w:eastAsia="Arial" w:hAnsi="Arial"/>
                <w:sz w:val="18"/>
                <w:szCs w:val="18"/>
                <w:color w:val="auto"/>
                <w:w w:val="98"/>
              </w:rPr>
              <w:t>13,516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4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200" w:type="dxa"/>
            <w:vAlign w:val="bottom"/>
            <w:gridSpan w:val="4"/>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debt:</w:t>
            </w:r>
          </w:p>
        </w:tc>
        <w:tc>
          <w:tcPr>
            <w:tcW w:w="40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4"/>
                <w:szCs w:val="14"/>
                <w:color w:val="auto"/>
              </w:rPr>
              <w:t>​ ​​</w:t>
            </w:r>
            <w:r>
              <w:rPr>
                <w:rFonts w:ascii="Arial" w:cs="Arial" w:eastAsia="Arial" w:hAnsi="Arial"/>
                <w:sz w:val="25"/>
                <w:szCs w:val="25"/>
                <w:color w:val="auto"/>
                <w:vertAlign w:val="superscript"/>
              </w:rPr>
              <w:t>$</w:t>
            </w:r>
          </w:p>
        </w:tc>
        <w:tc>
          <w:tcPr>
            <w:tcW w:w="800" w:type="dxa"/>
            <w:vAlign w:val="bottom"/>
            <w:tcBorders>
              <w:right w:val="single" w:sz="8" w:color="CCEEFF"/>
            </w:tcBorders>
            <w:gridSpan w:val="2"/>
            <w:shd w:val="clear" w:color="auto" w:fill="CCEEFF"/>
          </w:tcPr>
          <w:p>
            <w:pPr>
              <w:jc w:val="right"/>
              <w:ind w:right="30"/>
              <w:spacing w:after="0" w:line="223" w:lineRule="exact"/>
              <w:rPr>
                <w:sz w:val="20"/>
                <w:szCs w:val="20"/>
                <w:color w:val="auto"/>
              </w:rPr>
            </w:pPr>
            <w:r>
              <w:rPr>
                <w:rFonts w:ascii="Arial" w:cs="Arial" w:eastAsia="Arial" w:hAnsi="Arial"/>
                <w:sz w:val="14"/>
                <w:szCs w:val="14"/>
                <w:color w:val="auto"/>
              </w:rPr>
              <w:t>237</w:t>
            </w:r>
            <w:r>
              <w:rPr>
                <w:rFonts w:ascii="Arial" w:cs="Arial" w:eastAsia="Arial" w:hAnsi="Arial"/>
                <w:sz w:val="25"/>
                <w:szCs w:val="25"/>
                <w:color w:val="auto"/>
                <w:vertAlign w:val="subscript"/>
              </w:rPr>
              <w:t>​​ ​</w:t>
            </w:r>
          </w:p>
        </w:tc>
        <w:tc>
          <w:tcPr>
            <w:tcW w:w="260" w:type="dxa"/>
            <w:vAlign w:val="bottom"/>
            <w:shd w:val="clear" w:color="auto" w:fill="CCEEFF"/>
          </w:tcPr>
          <w:p>
            <w:pPr>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gridSpan w:val="2"/>
          </w:tcPr>
          <w:p>
            <w:pPr>
              <w:spacing w:after="0" w:line="176" w:lineRule="exact"/>
              <w:rPr>
                <w:sz w:val="20"/>
                <w:szCs w:val="20"/>
                <w:color w:val="auto"/>
              </w:rPr>
            </w:pPr>
            <w:r>
              <w:rPr>
                <w:rFonts w:ascii="Arial" w:cs="Arial" w:eastAsia="Arial" w:hAnsi="Arial"/>
                <w:sz w:val="18"/>
                <w:szCs w:val="18"/>
                <w:color w:val="auto"/>
              </w:rPr>
              <w:t>Long-term debt and finance lease obligations, excluding current portion:</w:t>
            </w:r>
          </w:p>
        </w:tc>
        <w:tc>
          <w:tcPr>
            <w:tcW w:w="220" w:type="dxa"/>
            <w:vAlign w:val="bottom"/>
          </w:tcPr>
          <w:p>
            <w:pPr>
              <w:spacing w:after="0" w:line="176"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5.375% senior notes due 2028 offered hereby</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5.875% senior notes due 2033 offered hereby</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2024 Term Loan A</w:t>
            </w:r>
          </w:p>
        </w:tc>
        <w:tc>
          <w:tcPr>
            <w:tcW w:w="1200" w:type="dxa"/>
            <w:vAlign w:val="bottom"/>
            <w:tcBorders>
              <w:right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 ​​ ​ 1,187​​ ​</w:t>
            </w:r>
          </w:p>
        </w:tc>
        <w:tc>
          <w:tcPr>
            <w:tcW w:w="7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 1,187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2025 Term Loan A</w:t>
            </w: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 ​​ ​ 1,050​​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 ​ 1,050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2026 Term Loan A</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946​​ ​</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2027 Term Loan A</w:t>
            </w: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 ​​ ​ 1,092​​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 ​ 1,092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4.975% senior notes due 2026</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499​​ ​</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4.185% senior notes due 2027</w:t>
            </w:r>
            <w:r>
              <w:rPr>
                <w:rFonts w:ascii="Arial" w:cs="Arial" w:eastAsia="Arial" w:hAnsi="Arial"/>
                <w:sz w:val="23"/>
                <w:szCs w:val="23"/>
                <w:color w:val="auto"/>
                <w:vertAlign w:val="superscript"/>
              </w:rPr>
              <w:t>(1)</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783​​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5.327% senior notes due 2029</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697​​ ​</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6.750% senior notes due 2029</w:t>
            </w: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 ​​ ​ 1,264​​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 ​ 1,264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4.663% senior notes due 2030</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846​​ ​</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2.703% senior notes due 2032</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995​​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5.875% senior notes due 2033</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745​​ ​</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3.366% senior notes due 2041</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497​​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3.477% senior notes due 2051</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496​​ ​</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940​​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9"/>
        </w:trPr>
        <w:tc>
          <w:tcPr>
            <w:tcW w:w="62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 and finance lease obligations, excluding current</w:t>
            </w: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portion</w:t>
            </w:r>
          </w:p>
        </w:tc>
        <w:tc>
          <w:tcPr>
            <w:tcW w:w="1200" w:type="dxa"/>
            <w:vAlign w:val="bottom"/>
            <w:tcBorders>
              <w:right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 ​​ ​12,037​​ ​</w:t>
            </w:r>
          </w:p>
        </w:tc>
        <w:tc>
          <w:tcPr>
            <w:tcW w:w="7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​13,523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 ​​ ​47,257​​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 ​47,257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tcBorders>
              <w:right w:val="single" w:sz="8" w:color="CCEEFF"/>
            </w:tcBorders>
            <w:gridSpan w:val="4"/>
            <w:shd w:val="clear" w:color="auto" w:fill="CCEEFF"/>
          </w:tcPr>
          <w:p>
            <w:pPr>
              <w:jc w:val="right"/>
              <w:ind w:right="3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u w:val="single" w:color="auto"/>
                <w:color w:val="auto"/>
              </w:rPr>
              <w:t>$</w:t>
            </w:r>
            <w:r>
              <w:rPr>
                <w:rFonts w:ascii="Arial" w:cs="Arial" w:eastAsia="Arial" w:hAnsi="Arial"/>
                <w:sz w:val="15"/>
                <w:szCs w:val="15"/>
                <w:color w:val="auto"/>
              </w:rPr>
              <w:t>59,294</w:t>
            </w:r>
            <w:r>
              <w:rPr>
                <w:rFonts w:ascii="Arial" w:cs="Arial" w:eastAsia="Arial" w:hAnsi="Arial"/>
                <w:sz w:val="27"/>
                <w:szCs w:val="27"/>
                <w:color w:val="auto"/>
                <w:vertAlign w:val="subscript"/>
              </w:rPr>
              <w:t>​​ ​</w:t>
            </w:r>
          </w:p>
        </w:tc>
        <w:tc>
          <w:tcPr>
            <w:tcW w:w="760" w:type="dxa"/>
            <w:vAlign w:val="bottom"/>
            <w:tcBorders>
              <w:right w:val="single" w:sz="8" w:color="CCEEFF"/>
            </w:tcBorders>
            <w:gridSpan w:val="2"/>
            <w:shd w:val="clear" w:color="auto" w:fill="CCEEFF"/>
          </w:tcPr>
          <w:p>
            <w:pPr>
              <w:jc w:val="right"/>
              <w:ind w:right="1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60,780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-281940</wp:posOffset>
            </wp:positionV>
            <wp:extent cx="5212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-762000</wp:posOffset>
            </wp:positionV>
            <wp:extent cx="5212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-4533900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620" w:right="479" w:hanging="360"/>
        <w:spacing w:after="0" w:line="252"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w:t>
      </w:r>
    </w:p>
    <w:p>
      <w:pPr>
        <w:spacing w:after="0" w:line="3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THE NOTES</w:t>
      </w:r>
    </w:p>
    <w:p>
      <w:pPr>
        <w:spacing w:after="0" w:line="159" w:lineRule="exact"/>
        <w:rPr>
          <w:sz w:val="20"/>
          <w:szCs w:val="20"/>
          <w:color w:val="auto"/>
        </w:rPr>
      </w:pPr>
    </w:p>
    <w:p>
      <w:pPr>
        <w:ind w:left="1260" w:right="459"/>
        <w:spacing w:after="0" w:line="258" w:lineRule="auto"/>
        <w:rPr>
          <w:sz w:val="20"/>
          <w:szCs w:val="20"/>
          <w:color w:val="auto"/>
        </w:rPr>
      </w:pPr>
      <w:r>
        <w:rPr>
          <w:rFonts w:ascii="Arial" w:cs="Arial" w:eastAsia="Arial" w:hAnsi="Arial"/>
          <w:sz w:val="18"/>
          <w:szCs w:val="18"/>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April 11, 2023, with respect to the notes (the “Supplemental Indenture” and, together with the Base Indenture, the “Indenture”).</w:t>
      </w:r>
    </w:p>
    <w:p>
      <w:pPr>
        <w:spacing w:after="0" w:line="116"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99" w:lineRule="exact"/>
        <w:rPr>
          <w:sz w:val="20"/>
          <w:szCs w:val="20"/>
          <w:color w:val="auto"/>
        </w:rPr>
      </w:pPr>
    </w:p>
    <w:p>
      <w:pPr>
        <w:ind w:left="1260" w:right="1139"/>
        <w:spacing w:after="0" w:line="282" w:lineRule="auto"/>
        <w:rPr>
          <w:sz w:val="20"/>
          <w:szCs w:val="20"/>
          <w:color w:val="auto"/>
        </w:rPr>
      </w:pPr>
      <w:r>
        <w:rPr>
          <w:rFonts w:ascii="Arial" w:cs="Arial" w:eastAsia="Arial" w:hAnsi="Arial"/>
          <w:sz w:val="18"/>
          <w:szCs w:val="18"/>
          <w:i w:val="1"/>
          <w:iCs w:val="1"/>
          <w:color w:val="auto"/>
        </w:rPr>
        <w:t>The registered holder of a note will be treated as the owner of such note for all purposes. Only registered holders will have rights under the Indenture.</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The definition of certain terms used in this description are summarized under the subheading</w:t>
      </w:r>
    </w:p>
    <w:p>
      <w:pPr>
        <w:spacing w:after="0" w:line="27"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i w:val="1"/>
          <w:iCs w:val="1"/>
          <w:color w:val="auto"/>
        </w:rPr>
        <w:t>“— Certain Definitions.” In this description, references to “Micron,” “us,” “we,” “our” or the “Company” refer only to Micron Technology, Inc. and not to any of its subsidiaries.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General</w:t>
      </w:r>
    </w:p>
    <w:p>
      <w:pPr>
        <w:spacing w:after="0" w:line="170"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We will issue $600,000,000 aggregate principal amount of 2028 notes. The 2028 notes will mature on April 15, 2028. Interest on the 2028 notes will accrue at the rate of 5.375% per annum.</w:t>
      </w:r>
    </w:p>
    <w:p>
      <w:pPr>
        <w:spacing w:after="0" w:line="130"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We will issue $900,000,000 aggregate principal amount of 2033 notes. The 2033 notes will mature on September 15, 2033. Interest on the 2033 notes will accrue at the rate of 5.875% per annum.</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2028 notes and the 2033 notes are collectively referred to as the “notes.”</w:t>
      </w:r>
    </w:p>
    <w:p>
      <w:pPr>
        <w:spacing w:after="0" w:line="144"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43"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Interest</w:t>
      </w:r>
    </w:p>
    <w:p>
      <w:pPr>
        <w:spacing w:after="0" w:line="170"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The 2028 notes will accrue interest at a rate of 5.375% per annum and the 2033 notes will accrue interest at a rate of 5.875% per annum. Interest on the notes will accrue from April 11, 2023, or from the most recent interest payment date to which interest has been paid or provided for, to, but excluding, the relevant interest payment date. The Company will make interest payments on the 2028 notes semi-anually in arrears on April 15 and October 15 of each year, beginning on October 15, 2023, to the Person in whose name such notes are registered at the close of business on the immediately preceding</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April 1 or October 1, as applicable. The Company will make interest payments on the 2033 notes semi-anually in arrears on March 15 and September 15 of each year, beginning on September 15, 2023, to the Person in whose name such notes are registered at the close of business on the immediately preceding March 1 or September 1, as applicable.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158"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Optional Redemption</w:t>
      </w:r>
    </w:p>
    <w:p>
      <w:pPr>
        <w:spacing w:after="0" w:line="184"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Prior to the applicable Par Call Date, the Company may redeem the notes of each series at its option, in whole or in part, at any time and from time to time, at a redemption price (expressed as a percentage of principal amount and rounded to three decimal places) equal to the greater of:</w:t>
      </w:r>
    </w:p>
    <w:p>
      <w:pPr>
        <w:spacing w:after="0" w:line="95" w:lineRule="exact"/>
        <w:rPr>
          <w:sz w:val="20"/>
          <w:szCs w:val="20"/>
          <w:color w:val="auto"/>
        </w:rPr>
      </w:pPr>
    </w:p>
    <w:p>
      <w:pPr>
        <w:ind w:left="1800" w:right="459" w:hanging="180"/>
        <w:spacing w:after="0" w:line="25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35 basis points for the 2028 notes and 40 basis points for the 2033 notes, less (ii) interest accrued to the date of redemption, and</w:t>
      </w:r>
    </w:p>
    <w:p>
      <w:pPr>
        <w:spacing w:after="0" w:line="83"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w:t>
      </w:r>
    </w:p>
    <w:p>
      <w:pPr>
        <w:spacing w:after="0" w:line="144"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17"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On or after the applicable Par Call Date for a series of notes, the Company may, at its option, redeem the notes of such series, in whole or in part, at any time and from time to time, at a redemption price equal to 100% of the principal amount of the notes redeemed, plus accrued and unpaid interest thereon, if any, to, but excluding, the date of redemption.</w:t>
      </w:r>
    </w:p>
    <w:p>
      <w:pPr>
        <w:spacing w:after="0" w:line="134"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“Par Call Date” means March 15, 2028, with respect to any 2028 notes (one month prior to the maturity date of the 2028 notes) and June 15, 2033, with respect to any 2033 notes (three months prior to the maturity date of the 2033 notes).</w:t>
      </w:r>
    </w:p>
    <w:p>
      <w:pPr>
        <w:spacing w:after="0" w:line="135"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of the series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of a series, selection of the notes of such series for redemption will be made pro rata, by lot or by such other method as the Trustee deems fair and appropriate. No notes of a principal amount of $2,000 or less will be redeemed in part. If any note of a series is to be redeemed in part only, the notice of redemption that relates to the note of such series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each series are held by The Depository Trust Company (“DTC”), Euroclear or Clearstream (or another depositary), the redemption of the notes of each series shall be done in accordance with the policies and procedures of the depositary. Any redemption or notice of redemption may, at the Company’s discretion, be subject to one or more conditions precedent.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Mandatory Redemption; Offers to Purchase; Open Market Purchases</w:t>
      </w:r>
    </w:p>
    <w:p>
      <w:pPr>
        <w:spacing w:after="0" w:line="170" w:lineRule="exact"/>
        <w:rPr>
          <w:sz w:val="20"/>
          <w:szCs w:val="20"/>
          <w:color w:val="auto"/>
        </w:rPr>
      </w:pPr>
    </w:p>
    <w:p>
      <w:pPr>
        <w:ind w:left="1260" w:right="599"/>
        <w:spacing w:after="0" w:line="291" w:lineRule="auto"/>
        <w:rPr>
          <w:sz w:val="20"/>
          <w:szCs w:val="20"/>
          <w:color w:val="auto"/>
        </w:rPr>
      </w:pPr>
      <w:r>
        <w:rPr>
          <w:rFonts w:ascii="Arial" w:cs="Arial" w:eastAsia="Arial" w:hAnsi="Arial"/>
          <w:sz w:val="17"/>
          <w:szCs w:val="17"/>
          <w:color w:val="auto"/>
        </w:rPr>
        <w:t>The Company is not required to make any mandatory redemption or sinking fund payments with respect to the notes. However, under certain circumstances, the Company may be required to offer to</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purchase each series of notes as described under the caption “— Repurchase of Notes upon a Change of Control Triggering Event.” The Company may at any time, and from time to time, purchase notes in the open market or otherwise.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Ranking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86" w:lineRule="exact"/>
        <w:rPr>
          <w:sz w:val="20"/>
          <w:szCs w:val="20"/>
          <w:color w:val="auto"/>
        </w:rPr>
      </w:pPr>
    </w:p>
    <w:p>
      <w:pPr>
        <w:ind w:left="1800" w:right="1459" w:hanging="180"/>
        <w:spacing w:after="0" w:line="28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of the Company;</w:t>
      </w:r>
    </w:p>
    <w:p>
      <w:pPr>
        <w:spacing w:after="0" w:line="71" w:lineRule="exact"/>
        <w:rPr>
          <w:rFonts w:ascii="Arial" w:cs="Arial" w:eastAsia="Arial" w:hAnsi="Arial"/>
          <w:sz w:val="18"/>
          <w:szCs w:val="18"/>
          <w:color w:val="auto"/>
        </w:rPr>
      </w:pPr>
    </w:p>
    <w:p>
      <w:pPr>
        <w:ind w:left="1800" w:right="639" w:hanging="180"/>
        <w:spacing w:after="0" w:line="25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structurally subordinated to any indebtedness and other liabilities of the Company’s Subsidiaries.</w:t>
      </w:r>
    </w:p>
    <w:p>
      <w:pPr>
        <w:spacing w:after="0" w:line="169"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Repurchase of Notes upon a Change of Control Triggering Event</w:t>
      </w:r>
    </w:p>
    <w:p>
      <w:pPr>
        <w:spacing w:after="0" w:line="170"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Not later than 60 days following a Change of Control Triggering Event with respect to a series of notes, unless the Company has exercised its right to redeem all of the notes of such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38"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24"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39" w:lineRule="exact"/>
        <w:rPr>
          <w:sz w:val="20"/>
          <w:szCs w:val="20"/>
          <w:color w:val="auto"/>
        </w:rPr>
      </w:pPr>
    </w:p>
    <w:p>
      <w:pPr>
        <w:jc w:val="both"/>
        <w:ind w:left="1260" w:right="799"/>
        <w:spacing w:after="0" w:line="256"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34"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65" w:lineRule="auto"/>
        <w:rPr>
          <w:sz w:val="20"/>
          <w:szCs w:val="20"/>
          <w:color w:val="auto"/>
        </w:rPr>
      </w:pPr>
      <w:r>
        <w:rPr>
          <w:rFonts w:ascii="Arial" w:cs="Arial" w:eastAsia="Arial" w:hAnsi="Arial"/>
          <w:sz w:val="18"/>
          <w:szCs w:val="18"/>
          <w:color w:val="auto"/>
        </w:rPr>
        <w:t>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26"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w:t>
      </w:r>
    </w:p>
    <w:p>
      <w:pPr>
        <w:spacing w:after="0" w:line="4"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30"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such indenture.”</w:t>
      </w:r>
    </w:p>
    <w:p>
      <w:pPr>
        <w:spacing w:after="0" w:line="143"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43" w:lineRule="exact"/>
        <w:rPr>
          <w:sz w:val="20"/>
          <w:szCs w:val="20"/>
          <w:color w:val="auto"/>
        </w:rPr>
      </w:pPr>
    </w:p>
    <w:p>
      <w:pPr>
        <w:ind w:left="1260" w:right="459"/>
        <w:spacing w:after="0" w:line="260" w:lineRule="auto"/>
        <w:rPr>
          <w:sz w:val="20"/>
          <w:szCs w:val="20"/>
          <w:color w:val="auto"/>
        </w:rPr>
      </w:pPr>
      <w:r>
        <w:rPr>
          <w:rFonts w:ascii="Arial" w:cs="Arial" w:eastAsia="Arial" w:hAnsi="Arial"/>
          <w:sz w:val="18"/>
          <w:szCs w:val="18"/>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41" w:lineRule="exact"/>
        <w:rPr>
          <w:sz w:val="20"/>
          <w:szCs w:val="20"/>
          <w:color w:val="auto"/>
        </w:rPr>
      </w:pPr>
    </w:p>
    <w:p>
      <w:pPr>
        <w:ind w:left="1260" w:right="459"/>
        <w:spacing w:after="0" w:line="294" w:lineRule="auto"/>
        <w:rPr>
          <w:sz w:val="20"/>
          <w:szCs w:val="20"/>
          <w:color w:val="auto"/>
        </w:rPr>
      </w:pPr>
      <w:r>
        <w:rPr>
          <w:rFonts w:ascii="Arial" w:cs="Arial" w:eastAsia="Arial" w:hAnsi="Arial"/>
          <w:sz w:val="17"/>
          <w:szCs w:val="17"/>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Exchange and Transfer</w:t>
      </w:r>
    </w:p>
    <w:p>
      <w:pPr>
        <w:spacing w:after="0" w:line="184"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color w:val="auto"/>
        </w:rPr>
        <w:t>Holders of notes of a series generally will be able to exchange notes of such series for other notes of such series with the same total principal amount and the same terms.</w:t>
      </w:r>
    </w:p>
    <w:p>
      <w:pPr>
        <w:spacing w:after="0" w:line="129" w:lineRule="exact"/>
        <w:rPr>
          <w:sz w:val="20"/>
          <w:szCs w:val="20"/>
          <w:color w:val="auto"/>
        </w:rPr>
      </w:pPr>
    </w:p>
    <w:p>
      <w:pPr>
        <w:ind w:left="1260" w:right="539"/>
        <w:spacing w:after="0"/>
        <w:rPr>
          <w:sz w:val="20"/>
          <w:szCs w:val="20"/>
          <w:color w:val="auto"/>
        </w:rPr>
      </w:pPr>
      <w:r>
        <w:rPr>
          <w:rFonts w:ascii="Arial" w:cs="Arial" w:eastAsia="Arial" w:hAnsi="Arial"/>
          <w:sz w:val="18"/>
          <w:szCs w:val="18"/>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99"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144"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Company elects to redeem the notes of a series or makes an Offer to Purchase, neither the</w:t>
      </w:r>
    </w:p>
    <w:p>
      <w:pPr>
        <w:ind w:left="1260"/>
        <w:spacing w:after="0"/>
        <w:rPr>
          <w:sz w:val="20"/>
          <w:szCs w:val="20"/>
          <w:color w:val="auto"/>
        </w:rPr>
      </w:pPr>
      <w:r>
        <w:rPr>
          <w:rFonts w:ascii="Arial" w:cs="Arial" w:eastAsia="Arial" w:hAnsi="Arial"/>
          <w:sz w:val="18"/>
          <w:szCs w:val="18"/>
          <w:color w:val="auto"/>
        </w:rPr>
        <w:t>Company nor the Trustee will be required to:</w:t>
      </w:r>
    </w:p>
    <w:p>
      <w:pPr>
        <w:spacing w:after="0" w:line="104" w:lineRule="exact"/>
        <w:rPr>
          <w:sz w:val="20"/>
          <w:szCs w:val="20"/>
          <w:color w:val="auto"/>
        </w:rPr>
      </w:pPr>
    </w:p>
    <w:p>
      <w:pPr>
        <w:ind w:left="1800" w:right="459" w:hanging="180"/>
        <w:spacing w:after="0" w:line="254"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95" w:lineRule="exact"/>
        <w:rPr>
          <w:rFonts w:ascii="Arial" w:cs="Arial" w:eastAsia="Arial" w:hAnsi="Arial"/>
          <w:sz w:val="18"/>
          <w:szCs w:val="18"/>
          <w:color w:val="auto"/>
        </w:rPr>
      </w:pPr>
    </w:p>
    <w:p>
      <w:pPr>
        <w:ind w:left="1800" w:right="419" w:hanging="180"/>
        <w:spacing w:after="0" w:line="256"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93"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of such series on or after the regular record date and before the date of redemption or purchase.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Payment and Paying Agents</w:t>
      </w:r>
    </w:p>
    <w:p>
      <w:pPr>
        <w:spacing w:after="0" w:line="170"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34" w:lineRule="exact"/>
        <w:rPr>
          <w:sz w:val="20"/>
          <w:szCs w:val="20"/>
          <w:color w:val="auto"/>
        </w:rPr>
      </w:pPr>
    </w:p>
    <w:p>
      <w:pPr>
        <w:ind w:left="1260" w:right="919"/>
        <w:spacing w:after="0"/>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108" w:lineRule="exact"/>
        <w:rPr>
          <w:sz w:val="20"/>
          <w:szCs w:val="20"/>
          <w:color w:val="auto"/>
        </w:rPr>
      </w:pPr>
    </w:p>
    <w:p>
      <w:pPr>
        <w:ind w:left="1800" w:right="659" w:hanging="180"/>
        <w:spacing w:after="0" w:line="261"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89" w:lineRule="exact"/>
        <w:rPr>
          <w:rFonts w:ascii="Arial" w:cs="Arial" w:eastAsia="Arial" w:hAnsi="Arial"/>
          <w:sz w:val="18"/>
          <w:szCs w:val="18"/>
          <w:color w:val="auto"/>
        </w:rPr>
      </w:pPr>
    </w:p>
    <w:p>
      <w:pPr>
        <w:ind w:left="1800" w:right="539" w:hanging="180"/>
        <w:spacing w:after="0" w:line="254"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23"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ectPr>
          <w:pgSz w:w="11900" w:h="16838" w:orient="portrait"/>
          <w:cols w:equalWidth="0" w:num="1">
            <w:col w:w="9879"/>
          </w:cols>
          <w:pgMar w:left="580" w:top="131" w:right="1440" w:bottom="1440" w:gutter="0" w:footer="0" w:header="0"/>
        </w:sectPr>
      </w:pPr>
    </w:p>
    <w:p>
      <w:pPr>
        <w:spacing w:after="0" w:line="39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Covenants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80"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40"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w:t>
      </w:r>
    </w:p>
    <w:p>
      <w:pPr>
        <w:spacing w:after="0" w:line="2" w:lineRule="exact"/>
        <w:rPr>
          <w:sz w:val="20"/>
          <w:szCs w:val="20"/>
          <w:color w:val="auto"/>
        </w:rPr>
      </w:pPr>
    </w:p>
    <w:p>
      <w:pPr>
        <w:ind w:left="1260" w:right="439"/>
        <w:spacing w:after="0" w:line="241" w:lineRule="auto"/>
        <w:tabs>
          <w:tab w:leader="none" w:pos="15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 of Consolidated Net Tangible Assets of the Company immediately preceding the date of the creation or incurrence of the Lien. The Company or any Restricted Subsidiary of the Company also may, without equally and ratably securing the notes of each series,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3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44"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80"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94"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117" w:lineRule="exact"/>
        <w:rPr>
          <w:rFonts w:ascii="Arial" w:cs="Arial" w:eastAsia="Arial" w:hAnsi="Arial"/>
          <w:sz w:val="18"/>
          <w:szCs w:val="18"/>
          <w:color w:val="auto"/>
        </w:rPr>
      </w:pPr>
    </w:p>
    <w:p>
      <w:pPr>
        <w:ind w:left="1800" w:right="439" w:hanging="180"/>
        <w:spacing w:after="0" w:line="261"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w:t>
      </w:r>
    </w:p>
    <w:p>
      <w:pPr>
        <w:spacing w:after="0" w:line="9" w:lineRule="exact"/>
        <w:rPr>
          <w:rFonts w:ascii="Arial" w:cs="Arial" w:eastAsia="Arial" w:hAnsi="Arial"/>
          <w:sz w:val="18"/>
          <w:szCs w:val="18"/>
          <w:color w:val="auto"/>
        </w:rPr>
      </w:pPr>
    </w:p>
    <w:p>
      <w:pPr>
        <w:ind w:left="1800" w:right="539"/>
        <w:spacing w:after="0" w:line="273" w:lineRule="auto"/>
        <w:rPr>
          <w:rFonts w:ascii="Arial" w:cs="Arial" w:eastAsia="Arial" w:hAnsi="Arial"/>
          <w:sz w:val="18"/>
          <w:szCs w:val="18"/>
          <w:color w:val="auto"/>
        </w:rPr>
      </w:pPr>
      <w:r>
        <w:rPr>
          <w:rFonts w:ascii="Arial" w:cs="Arial" w:eastAsia="Arial" w:hAnsi="Arial"/>
          <w:sz w:val="17"/>
          <w:szCs w:val="17"/>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82" w:lineRule="exact"/>
        <w:rPr>
          <w:rFonts w:ascii="Arial" w:cs="Arial" w:eastAsia="Arial" w:hAnsi="Arial"/>
          <w:sz w:val="18"/>
          <w:szCs w:val="18"/>
          <w:color w:val="auto"/>
        </w:rPr>
      </w:pPr>
    </w:p>
    <w:p>
      <w:pPr>
        <w:ind w:left="1800" w:right="559" w:hanging="180"/>
        <w:spacing w:after="0" w:line="250"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w:t>
      </w:r>
    </w:p>
    <w:p>
      <w:pPr>
        <w:ind w:left="1800"/>
        <w:spacing w:after="0"/>
        <w:rPr>
          <w:rFonts w:ascii="Arial" w:cs="Arial" w:eastAsia="Arial" w:hAnsi="Arial"/>
          <w:sz w:val="18"/>
          <w:szCs w:val="18"/>
          <w:color w:val="auto"/>
        </w:rPr>
      </w:pPr>
      <w:r>
        <w:rPr>
          <w:rFonts w:ascii="Arial" w:cs="Arial" w:eastAsia="Arial" w:hAnsi="Arial"/>
          <w:sz w:val="18"/>
          <w:szCs w:val="18"/>
          <w:color w:val="auto"/>
        </w:rPr>
        <w:t>three years);</w:t>
      </w:r>
    </w:p>
    <w:p>
      <w:pPr>
        <w:spacing w:after="0" w:line="117"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109" w:lineRule="exact"/>
        <w:rPr>
          <w:rFonts w:ascii="Arial" w:cs="Arial" w:eastAsia="Arial" w:hAnsi="Arial"/>
          <w:sz w:val="18"/>
          <w:szCs w:val="18"/>
          <w:color w:val="auto"/>
        </w:rPr>
      </w:pPr>
    </w:p>
    <w:p>
      <w:pPr>
        <w:ind w:left="1800" w:right="499" w:hanging="180"/>
        <w:spacing w:after="0" w:line="250"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w:t>
      </w:r>
    </w:p>
    <w:p>
      <w:pPr>
        <w:spacing w:after="0" w:line="1" w:lineRule="exact"/>
        <w:rPr>
          <w:rFonts w:ascii="Arial" w:cs="Arial" w:eastAsia="Arial" w:hAnsi="Arial"/>
          <w:sz w:val="18"/>
          <w:szCs w:val="18"/>
          <w:color w:val="auto"/>
        </w:rPr>
      </w:pPr>
    </w:p>
    <w:p>
      <w:pPr>
        <w:ind w:left="1800" w:right="619"/>
        <w:spacing w:after="0" w:line="253" w:lineRule="auto"/>
        <w:rPr>
          <w:rFonts w:ascii="Arial" w:cs="Arial" w:eastAsia="Arial" w:hAnsi="Arial"/>
          <w:sz w:val="18"/>
          <w:szCs w:val="18"/>
          <w:color w:val="auto"/>
        </w:rPr>
      </w:pPr>
      <w:r>
        <w:rPr>
          <w:rFonts w:ascii="Arial" w:cs="Arial" w:eastAsia="Arial" w:hAnsi="Arial"/>
          <w:sz w:val="18"/>
          <w:szCs w:val="18"/>
          <w:color w:val="auto"/>
        </w:rPr>
        <w:t>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24"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83" w:lineRule="exact"/>
        <w:rPr>
          <w:sz w:val="20"/>
          <w:szCs w:val="20"/>
          <w:color w:val="auto"/>
        </w:rPr>
      </w:pPr>
    </w:p>
    <w:p>
      <w:pPr>
        <w:ind w:left="1620" w:right="959"/>
        <w:spacing w:after="0" w:line="287" w:lineRule="auto"/>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107" w:lineRule="exact"/>
        <w:rPr>
          <w:sz w:val="20"/>
          <w:szCs w:val="20"/>
          <w:color w:val="auto"/>
        </w:rPr>
      </w:pPr>
    </w:p>
    <w:p>
      <w:pPr>
        <w:ind w:left="1260" w:right="1119"/>
        <w:spacing w:after="0" w:line="261"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30" w:lineRule="exact"/>
        <w:rPr>
          <w:sz w:val="20"/>
          <w:szCs w:val="20"/>
          <w:color w:val="auto"/>
        </w:rPr>
      </w:pPr>
    </w:p>
    <w:p>
      <w:pPr>
        <w:ind w:left="1980" w:right="459" w:hanging="360"/>
        <w:spacing w:after="0" w:line="254"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36" w:lineRule="exact"/>
        <w:rPr>
          <w:rFonts w:ascii="Arial" w:cs="Arial" w:eastAsia="Arial" w:hAnsi="Arial"/>
          <w:sz w:val="18"/>
          <w:szCs w:val="18"/>
          <w:color w:val="auto"/>
        </w:rPr>
      </w:pPr>
    </w:p>
    <w:p>
      <w:pPr>
        <w:jc w:val="both"/>
        <w:ind w:left="1980" w:right="439" w:hanging="360"/>
        <w:spacing w:after="0" w:line="256"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34" w:lineRule="exact"/>
        <w:rPr>
          <w:rFonts w:ascii="Arial" w:cs="Arial" w:eastAsia="Arial" w:hAnsi="Arial"/>
          <w:sz w:val="18"/>
          <w:szCs w:val="18"/>
          <w:color w:val="auto"/>
        </w:rPr>
      </w:pPr>
    </w:p>
    <w:p>
      <w:pPr>
        <w:ind w:left="1980" w:hanging="360"/>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44"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Provision of Financial Information</w:t>
      </w:r>
    </w:p>
    <w:p>
      <w:pPr>
        <w:spacing w:after="0" w:line="184"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Definitions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58" w:lineRule="exact"/>
        <w:rPr>
          <w:sz w:val="20"/>
          <w:szCs w:val="20"/>
          <w:color w:val="auto"/>
        </w:rPr>
      </w:pPr>
    </w:p>
    <w:p>
      <w:pPr>
        <w:ind w:left="1260" w:right="419"/>
        <w:spacing w:after="0" w:line="250" w:lineRule="auto"/>
        <w:rPr>
          <w:sz w:val="20"/>
          <w:szCs w:val="20"/>
          <w:color w:val="auto"/>
        </w:rPr>
      </w:pPr>
      <w:r>
        <w:rPr>
          <w:rFonts w:ascii="Arial" w:cs="Arial" w:eastAsia="Arial" w:hAnsi="Arial"/>
          <w:sz w:val="18"/>
          <w:szCs w:val="18"/>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47"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3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56" w:lineRule="auto"/>
        <w:rPr>
          <w:sz w:val="20"/>
          <w:szCs w:val="20"/>
          <w:color w:val="auto"/>
        </w:rPr>
      </w:pPr>
      <w:r>
        <w:rPr>
          <w:rFonts w:ascii="Arial" w:cs="Arial" w:eastAsia="Arial" w:hAnsi="Arial"/>
          <w:sz w:val="17"/>
          <w:szCs w:val="17"/>
          <w:color w:val="auto"/>
        </w:rPr>
        <w:t>“Below Investment Grade Rating Event” means, with respect to each series of the notes, the rating on such series of notes is lowered by two or more of the Rating Agencies within 60 days from the earlier of</w:t>
      </w:r>
    </w:p>
    <w:p>
      <w:pPr>
        <w:ind w:left="1520" w:hanging="260"/>
        <w:spacing w:after="0" w:line="236"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of the first public notice of an arrangement that could result in a Change of Control or</w:t>
      </w:r>
    </w:p>
    <w:p>
      <w:pPr>
        <w:ind w:left="1520" w:hanging="26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 Change of Control (which period shall be extended so long as the rating of such</w:t>
      </w:r>
    </w:p>
    <w:p>
      <w:pPr>
        <w:spacing w:after="0" w:line="9" w:lineRule="exact"/>
        <w:rPr>
          <w:sz w:val="20"/>
          <w:szCs w:val="20"/>
          <w:color w:val="auto"/>
        </w:rPr>
      </w:pPr>
    </w:p>
    <w:p>
      <w:pPr>
        <w:ind w:left="1260" w:right="539"/>
        <w:spacing w:after="0"/>
        <w:rPr>
          <w:sz w:val="20"/>
          <w:szCs w:val="20"/>
          <w:color w:val="auto"/>
        </w:rPr>
      </w:pPr>
      <w:r>
        <w:rPr>
          <w:rFonts w:ascii="Arial" w:cs="Arial" w:eastAsia="Arial" w:hAnsi="Arial"/>
          <w:sz w:val="18"/>
          <w:szCs w:val="18"/>
          <w:color w:val="auto"/>
        </w:rPr>
        <w:t>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40"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15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“Change of Control” means:</w:t>
      </w:r>
    </w:p>
    <w:p>
      <w:pPr>
        <w:spacing w:after="0" w:line="144" w:lineRule="exact"/>
        <w:rPr>
          <w:sz w:val="20"/>
          <w:szCs w:val="20"/>
          <w:color w:val="auto"/>
        </w:rPr>
      </w:pPr>
    </w:p>
    <w:p>
      <w:pPr>
        <w:ind w:left="1980" w:right="419" w:hanging="360"/>
        <w:spacing w:after="0" w:line="251"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39" w:lineRule="exact"/>
        <w:rPr>
          <w:rFonts w:ascii="Arial" w:cs="Arial" w:eastAsia="Arial" w:hAnsi="Arial"/>
          <w:sz w:val="18"/>
          <w:szCs w:val="18"/>
          <w:color w:val="auto"/>
        </w:rPr>
      </w:pPr>
    </w:p>
    <w:p>
      <w:pPr>
        <w:ind w:left="1980" w:right="419" w:hanging="360"/>
        <w:spacing w:after="0" w:line="252"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39"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117"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27" w:lineRule="exact"/>
        <w:rPr>
          <w:sz w:val="20"/>
          <w:szCs w:val="20"/>
          <w:color w:val="auto"/>
        </w:rPr>
      </w:pPr>
    </w:p>
    <w:p>
      <w:pPr>
        <w:jc w:val="both"/>
        <w:ind w:left="1260" w:right="739"/>
        <w:spacing w:after="0" w:line="24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28"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15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35"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34"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58" w:lineRule="exact"/>
        <w:rPr>
          <w:sz w:val="20"/>
          <w:szCs w:val="20"/>
          <w:color w:val="auto"/>
        </w:rPr>
      </w:pPr>
    </w:p>
    <w:p>
      <w:pPr>
        <w:ind w:left="1980" w:right="499" w:hanging="360"/>
        <w:spacing w:after="0" w:line="261"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7" w:lineRule="exact"/>
        <w:rPr>
          <w:rFonts w:ascii="Arial" w:cs="Arial" w:eastAsia="Arial" w:hAnsi="Arial"/>
          <w:sz w:val="18"/>
          <w:szCs w:val="18"/>
          <w:color w:val="auto"/>
        </w:rPr>
      </w:pPr>
    </w:p>
    <w:p>
      <w:pPr>
        <w:ind w:left="1980" w:right="499" w:hanging="360"/>
        <w:spacing w:after="0" w:line="25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36"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17" w:lineRule="exact"/>
        <w:rPr>
          <w:sz w:val="20"/>
          <w:szCs w:val="20"/>
          <w:color w:val="auto"/>
        </w:rPr>
      </w:pPr>
    </w:p>
    <w:p>
      <w:pPr>
        <w:ind w:left="1260" w:right="719"/>
        <w:spacing w:after="0" w:line="278" w:lineRule="auto"/>
        <w:rPr>
          <w:sz w:val="20"/>
          <w:szCs w:val="20"/>
          <w:color w:val="auto"/>
        </w:rPr>
      </w:pPr>
      <w:r>
        <w:rPr>
          <w:rFonts w:ascii="Arial" w:cs="Arial" w:eastAsia="Arial" w:hAnsi="Arial"/>
          <w:sz w:val="17"/>
          <w:szCs w:val="17"/>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w:t>
      </w:r>
    </w:p>
    <w:p>
      <w:pPr>
        <w:sectPr>
          <w:pgSz w:w="11900" w:h="16838" w:orient="portrait"/>
          <w:cols w:equalWidth="0" w:num="1">
            <w:col w:w="9879"/>
          </w:cols>
          <w:pgMar w:left="580" w:top="131"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rating categories of S&amp;P) or the equivalent investment grade credit rating from any additional Rating Agency or Rating Agencies selected by us.</w:t>
      </w:r>
    </w:p>
    <w:p>
      <w:pPr>
        <w:spacing w:after="0" w:line="117"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“Issue Date” means, with respect to a series of notes, the date of original issuance of the notes of such series under the Indenture.</w:t>
      </w:r>
    </w:p>
    <w:p>
      <w:pPr>
        <w:spacing w:after="0" w:line="129"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28" w:lineRule="exact"/>
        <w:rPr>
          <w:sz w:val="20"/>
          <w:szCs w:val="20"/>
          <w:color w:val="auto"/>
        </w:rPr>
      </w:pPr>
    </w:p>
    <w:p>
      <w:pPr>
        <w:ind w:left="1260" w:right="579"/>
        <w:spacing w:after="0" w:line="274" w:lineRule="auto"/>
        <w:rPr>
          <w:sz w:val="20"/>
          <w:szCs w:val="20"/>
          <w:color w:val="auto"/>
        </w:rPr>
      </w:pPr>
      <w:r>
        <w:rPr>
          <w:rFonts w:ascii="Arial" w:cs="Arial" w:eastAsia="Arial" w:hAnsi="Arial"/>
          <w:sz w:val="17"/>
          <w:szCs w:val="17"/>
          <w:color w:val="auto"/>
        </w:rPr>
        <w:t>“Legal Holiday” means a Saturday, a Sunday or a day on which commercial banking institutions or the corporate trust office are not required to be open in the State of New York or the place of payment.</w:t>
      </w:r>
    </w:p>
    <w:p>
      <w:pPr>
        <w:spacing w:after="0" w:line="107" w:lineRule="exact"/>
        <w:rPr>
          <w:sz w:val="20"/>
          <w:szCs w:val="20"/>
          <w:color w:val="auto"/>
        </w:rPr>
      </w:pPr>
    </w:p>
    <w:p>
      <w:pPr>
        <w:ind w:left="1260" w:right="539"/>
        <w:spacing w:after="0" w:line="270" w:lineRule="auto"/>
        <w:rPr>
          <w:sz w:val="20"/>
          <w:szCs w:val="20"/>
          <w:color w:val="auto"/>
        </w:rPr>
      </w:pPr>
      <w:r>
        <w:rPr>
          <w:rFonts w:ascii="Arial" w:cs="Arial" w:eastAsia="Arial" w:hAnsi="Arial"/>
          <w:sz w:val="17"/>
          <w:szCs w:val="17"/>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144"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800" w:right="559" w:hanging="180"/>
        <w:spacing w:after="0" w:line="261"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89" w:lineRule="exact"/>
        <w:rPr>
          <w:rFonts w:ascii="Arial" w:cs="Arial" w:eastAsia="Arial" w:hAnsi="Arial"/>
          <w:sz w:val="18"/>
          <w:szCs w:val="18"/>
          <w:color w:val="auto"/>
        </w:rPr>
      </w:pPr>
    </w:p>
    <w:p>
      <w:pPr>
        <w:ind w:left="1800" w:right="959" w:hanging="180"/>
        <w:spacing w:after="0" w:line="261"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76" w:lineRule="exact"/>
        <w:rPr>
          <w:rFonts w:ascii="Arial" w:cs="Arial" w:eastAsia="Arial" w:hAnsi="Arial"/>
          <w:sz w:val="18"/>
          <w:szCs w:val="18"/>
          <w:color w:val="auto"/>
        </w:rPr>
      </w:pPr>
    </w:p>
    <w:p>
      <w:pPr>
        <w:ind w:left="1800" w:right="479" w:hanging="180"/>
        <w:spacing w:after="0" w:line="251"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03" w:lineRule="exact"/>
        <w:rPr>
          <w:rFonts w:ascii="Arial" w:cs="Arial" w:eastAsia="Arial" w:hAnsi="Arial"/>
          <w:sz w:val="18"/>
          <w:szCs w:val="18"/>
          <w:color w:val="auto"/>
        </w:rPr>
      </w:pPr>
    </w:p>
    <w:p>
      <w:pPr>
        <w:ind w:left="1800" w:right="459" w:hanging="180"/>
        <w:spacing w:after="0" w:line="251"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03" w:lineRule="exact"/>
        <w:rPr>
          <w:rFonts w:ascii="Arial" w:cs="Arial" w:eastAsia="Arial" w:hAnsi="Arial"/>
          <w:sz w:val="18"/>
          <w:szCs w:val="18"/>
          <w:color w:val="auto"/>
        </w:rPr>
      </w:pPr>
    </w:p>
    <w:p>
      <w:pPr>
        <w:ind w:left="1800" w:right="419" w:hanging="180"/>
        <w:spacing w:after="0" w:line="271"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419"/>
        <w:spacing w:after="0" w:line="265" w:lineRule="auto"/>
        <w:rPr>
          <w:sz w:val="20"/>
          <w:szCs w:val="20"/>
          <w:color w:val="auto"/>
        </w:rPr>
      </w:pPr>
      <w:r>
        <w:rPr>
          <w:rFonts w:ascii="Arial" w:cs="Arial" w:eastAsia="Arial" w:hAnsi="Arial"/>
          <w:sz w:val="17"/>
          <w:szCs w:val="17"/>
          <w:color w:val="auto"/>
        </w:rPr>
        <w:t>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ind w:left="1800" w:right="559"/>
        <w:spacing w:after="0" w:line="256" w:lineRule="auto"/>
        <w:rPr>
          <w:sz w:val="20"/>
          <w:szCs w:val="20"/>
          <w:color w:val="auto"/>
        </w:rPr>
      </w:pPr>
      <w:r>
        <w:rPr>
          <w:rFonts w:ascii="Arial" w:cs="Arial" w:eastAsia="Arial" w:hAnsi="Arial"/>
          <w:sz w:val="18"/>
          <w:szCs w:val="18"/>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107" w:lineRule="exact"/>
        <w:rPr>
          <w:sz w:val="20"/>
          <w:szCs w:val="20"/>
          <w:color w:val="auto"/>
        </w:rPr>
      </w:pPr>
    </w:p>
    <w:p>
      <w:pPr>
        <w:ind w:left="1800" w:right="459" w:hanging="180"/>
        <w:spacing w:after="0" w:line="254"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09"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130" w:lineRule="exact"/>
        <w:rPr>
          <w:rFonts w:ascii="Arial" w:cs="Arial" w:eastAsia="Arial" w:hAnsi="Arial"/>
          <w:sz w:val="18"/>
          <w:szCs w:val="18"/>
          <w:color w:val="auto"/>
        </w:rPr>
      </w:pPr>
    </w:p>
    <w:p>
      <w:pPr>
        <w:ind w:left="1800" w:right="639" w:hanging="180"/>
        <w:spacing w:after="0" w:line="254"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09" w:lineRule="exact"/>
        <w:rPr>
          <w:rFonts w:ascii="Arial" w:cs="Arial" w:eastAsia="Arial" w:hAnsi="Arial"/>
          <w:sz w:val="18"/>
          <w:szCs w:val="18"/>
          <w:color w:val="auto"/>
        </w:rPr>
      </w:pPr>
    </w:p>
    <w:p>
      <w:pPr>
        <w:ind w:left="1800" w:right="479" w:hanging="180"/>
        <w:spacing w:after="0" w:line="256"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07" w:lineRule="exact"/>
        <w:rPr>
          <w:rFonts w:ascii="Arial" w:cs="Arial" w:eastAsia="Arial" w:hAnsi="Arial"/>
          <w:sz w:val="18"/>
          <w:szCs w:val="18"/>
          <w:color w:val="auto"/>
        </w:rPr>
      </w:pPr>
    </w:p>
    <w:p>
      <w:pPr>
        <w:ind w:left="1800" w:right="499" w:hanging="180"/>
        <w:spacing w:after="0" w:line="252"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10" w:lineRule="exact"/>
        <w:rPr>
          <w:rFonts w:ascii="Arial" w:cs="Arial" w:eastAsia="Arial" w:hAnsi="Arial"/>
          <w:sz w:val="18"/>
          <w:szCs w:val="18"/>
          <w:color w:val="auto"/>
        </w:rPr>
      </w:pPr>
    </w:p>
    <w:p>
      <w:pPr>
        <w:ind w:left="1800" w:right="479" w:hanging="180"/>
        <w:spacing w:after="0" w:line="252"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13" w:lineRule="exact"/>
        <w:rPr>
          <w:rFonts w:ascii="Arial" w:cs="Arial" w:eastAsia="Arial" w:hAnsi="Arial"/>
          <w:sz w:val="18"/>
          <w:szCs w:val="18"/>
          <w:color w:val="auto"/>
        </w:rPr>
      </w:pPr>
    </w:p>
    <w:p>
      <w:pPr>
        <w:ind w:left="1800" w:right="419" w:hanging="180"/>
        <w:spacing w:after="0" w:line="278"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90" w:lineRule="exact"/>
        <w:rPr>
          <w:rFonts w:ascii="Arial" w:cs="Arial" w:eastAsia="Arial" w:hAnsi="Arial"/>
          <w:sz w:val="17"/>
          <w:szCs w:val="17"/>
          <w:color w:val="auto"/>
        </w:rPr>
      </w:pPr>
    </w:p>
    <w:p>
      <w:pPr>
        <w:ind w:left="1800" w:right="499" w:hanging="180"/>
        <w:spacing w:after="0" w:line="261"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103" w:lineRule="exact"/>
        <w:rPr>
          <w:rFonts w:ascii="Arial" w:cs="Arial" w:eastAsia="Arial" w:hAnsi="Arial"/>
          <w:sz w:val="18"/>
          <w:szCs w:val="18"/>
          <w:color w:val="auto"/>
        </w:rPr>
      </w:pPr>
    </w:p>
    <w:p>
      <w:pPr>
        <w:ind w:left="1800" w:right="439" w:hanging="180"/>
        <w:spacing w:after="0" w:line="251"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44"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79"/>
        <w:spacing w:after="0" w:line="248"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28" w:lineRule="exact"/>
        <w:rPr>
          <w:sz w:val="20"/>
          <w:szCs w:val="20"/>
          <w:color w:val="auto"/>
        </w:rPr>
      </w:pPr>
    </w:p>
    <w:p>
      <w:pPr>
        <w:ind w:left="1260" w:right="539"/>
        <w:spacing w:after="0" w:line="252" w:lineRule="auto"/>
        <w:rPr>
          <w:sz w:val="20"/>
          <w:szCs w:val="20"/>
          <w:color w:val="auto"/>
        </w:rPr>
      </w:pPr>
      <w:r>
        <w:rPr>
          <w:rFonts w:ascii="Arial" w:cs="Arial" w:eastAsia="Arial" w:hAnsi="Arial"/>
          <w:sz w:val="17"/>
          <w:szCs w:val="17"/>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3" w:lineRule="exact"/>
        <w:rPr>
          <w:sz w:val="20"/>
          <w:szCs w:val="20"/>
          <w:color w:val="auto"/>
        </w:rPr>
      </w:pPr>
    </w:p>
    <w:p>
      <w:pPr>
        <w:ind w:left="1260" w:right="519"/>
        <w:spacing w:after="0" w:line="243" w:lineRule="auto"/>
        <w:tabs>
          <w:tab w:leader="none" w:pos="15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33" w:lineRule="exact"/>
        <w:rPr>
          <w:sz w:val="20"/>
          <w:szCs w:val="20"/>
          <w:color w:val="auto"/>
        </w:rPr>
      </w:pPr>
    </w:p>
    <w:p>
      <w:pPr>
        <w:ind w:left="1260" w:right="639"/>
        <w:spacing w:after="0" w:line="241" w:lineRule="auto"/>
        <w:rPr>
          <w:sz w:val="20"/>
          <w:szCs w:val="20"/>
          <w:color w:val="auto"/>
        </w:rPr>
      </w:pPr>
      <w:r>
        <w:rPr>
          <w:rFonts w:ascii="Arial" w:cs="Arial" w:eastAsia="Arial" w:hAnsi="Arial"/>
          <w:sz w:val="18"/>
          <w:szCs w:val="18"/>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35" w:lineRule="exact"/>
        <w:rPr>
          <w:sz w:val="20"/>
          <w:szCs w:val="20"/>
          <w:color w:val="auto"/>
        </w:rPr>
      </w:pPr>
    </w:p>
    <w:p>
      <w:pPr>
        <w:ind w:left="1260" w:right="659"/>
        <w:spacing w:after="0" w:line="254" w:lineRule="auto"/>
        <w:rPr>
          <w:sz w:val="20"/>
          <w:szCs w:val="20"/>
          <w:color w:val="auto"/>
        </w:rPr>
      </w:pPr>
      <w:r>
        <w:rPr>
          <w:rFonts w:ascii="Arial" w:cs="Arial" w:eastAsia="Arial" w:hAnsi="Arial"/>
          <w:sz w:val="17"/>
          <w:szCs w:val="17"/>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jc w:val="both"/>
        <w:ind w:left="1260" w:right="619"/>
        <w:spacing w:after="0" w:line="241" w:lineRule="auto"/>
        <w:tabs>
          <w:tab w:leader="none" w:pos="15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15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40"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28"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34"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“Treasury Rate” means, with respect to any redemption date, the yield determined by the Company in the manner set forth below:</w:t>
      </w:r>
    </w:p>
    <w:p>
      <w:pPr>
        <w:spacing w:after="0" w:line="129" w:lineRule="exact"/>
        <w:rPr>
          <w:sz w:val="20"/>
          <w:szCs w:val="20"/>
          <w:color w:val="auto"/>
        </w:rPr>
      </w:pPr>
    </w:p>
    <w:p>
      <w:pPr>
        <w:ind w:left="1260" w:right="599"/>
        <w:spacing w:after="0" w:line="241" w:lineRule="auto"/>
        <w:rPr>
          <w:sz w:val="20"/>
          <w:szCs w:val="20"/>
          <w:color w:val="auto"/>
        </w:rPr>
      </w:pPr>
      <w:r>
        <w:rPr>
          <w:rFonts w:ascii="Arial" w:cs="Arial" w:eastAsia="Arial" w:hAnsi="Arial"/>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w:t>
      </w:r>
    </w:p>
    <w:p>
      <w:pPr>
        <w:sectPr>
          <w:pgSz w:w="11900" w:h="16838" w:orient="portrait"/>
          <w:cols w:equalWidth="0" w:num="1">
            <w:col w:w="9879"/>
          </w:cols>
          <w:pgMar w:left="580" w:top="131" w:right="1440" w:bottom="1440" w:gutter="0" w:footer="0" w:header="0"/>
        </w:sectPr>
      </w:pPr>
    </w:p>
    <w:p>
      <w:pPr>
        <w:spacing w:after="0" w:line="39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1"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35" w:lineRule="exact"/>
        <w:rPr>
          <w:sz w:val="20"/>
          <w:szCs w:val="20"/>
          <w:color w:val="auto"/>
        </w:rPr>
      </w:pPr>
    </w:p>
    <w:p>
      <w:pPr>
        <w:jc w:val="both"/>
        <w:ind w:left="1260" w:right="699"/>
        <w:spacing w:after="0" w:line="248" w:lineRule="auto"/>
        <w:rPr>
          <w:sz w:val="20"/>
          <w:szCs w:val="20"/>
          <w:color w:val="auto"/>
        </w:rPr>
      </w:pPr>
      <w:r>
        <w:rPr>
          <w:rFonts w:ascii="Arial" w:cs="Arial" w:eastAsia="Arial" w:hAnsi="Arial"/>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Events of Default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117" w:lineRule="exact"/>
        <w:rPr>
          <w:sz w:val="20"/>
          <w:szCs w:val="20"/>
          <w:color w:val="auto"/>
        </w:rPr>
      </w:pPr>
    </w:p>
    <w:p>
      <w:pPr>
        <w:ind w:left="1800" w:right="799" w:hanging="180"/>
        <w:spacing w:after="0" w:line="261"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76" w:lineRule="exact"/>
        <w:rPr>
          <w:rFonts w:ascii="Arial" w:cs="Arial" w:eastAsia="Arial" w:hAnsi="Arial"/>
          <w:sz w:val="18"/>
          <w:szCs w:val="18"/>
          <w:color w:val="auto"/>
        </w:rPr>
      </w:pPr>
    </w:p>
    <w:p>
      <w:pPr>
        <w:ind w:left="1800" w:right="1019" w:hanging="180"/>
        <w:spacing w:after="0" w:line="261"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of that series when due and payable;</w:t>
      </w:r>
    </w:p>
    <w:p>
      <w:pPr>
        <w:spacing w:after="0" w:line="62" w:lineRule="exact"/>
        <w:rPr>
          <w:rFonts w:ascii="Arial" w:cs="Arial" w:eastAsia="Arial" w:hAnsi="Arial"/>
          <w:sz w:val="18"/>
          <w:szCs w:val="18"/>
          <w:color w:val="auto"/>
        </w:rPr>
      </w:pPr>
    </w:p>
    <w:p>
      <w:pPr>
        <w:jc w:val="both"/>
        <w:ind w:left="1800" w:right="999" w:hanging="180"/>
        <w:spacing w:after="0" w:line="256"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with respect to notes of that series in connection with a Change of Control Triggering Event for 30 calendar days;</w:t>
      </w:r>
    </w:p>
    <w:p>
      <w:pPr>
        <w:spacing w:after="0" w:line="66" w:lineRule="exact"/>
        <w:rPr>
          <w:rFonts w:ascii="Arial" w:cs="Arial" w:eastAsia="Arial" w:hAnsi="Arial"/>
          <w:sz w:val="18"/>
          <w:szCs w:val="18"/>
          <w:color w:val="auto"/>
        </w:rPr>
      </w:pPr>
    </w:p>
    <w:p>
      <w:pPr>
        <w:ind w:left="1800" w:right="599" w:hanging="180"/>
        <w:spacing w:after="0" w:line="25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83" w:lineRule="exact"/>
        <w:rPr>
          <w:rFonts w:ascii="Arial" w:cs="Arial" w:eastAsia="Arial" w:hAnsi="Arial"/>
          <w:sz w:val="18"/>
          <w:szCs w:val="18"/>
          <w:color w:val="auto"/>
        </w:rPr>
      </w:pPr>
    </w:p>
    <w:p>
      <w:pPr>
        <w:ind w:left="1800" w:right="999" w:hanging="180"/>
        <w:spacing w:after="0" w:line="261"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the notes of that series which have become due solely by such declaration of acceleration, have been cured or waived as provided in the Indenture and the Trustee’s fees and expenses have been paid in full.</w:t>
      </w:r>
    </w:p>
    <w:p>
      <w:pPr>
        <w:spacing w:after="0" w:line="142"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27"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34" w:lineRule="exact"/>
        <w:rPr>
          <w:sz w:val="20"/>
          <w:szCs w:val="20"/>
          <w:color w:val="auto"/>
        </w:rPr>
      </w:pPr>
    </w:p>
    <w:p>
      <w:pPr>
        <w:ind w:left="1980" w:right="639" w:hanging="360"/>
        <w:spacing w:after="0" w:line="261"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of that series; and</w:t>
      </w:r>
    </w:p>
    <w:p>
      <w:pPr>
        <w:spacing w:after="0" w:line="130" w:lineRule="exact"/>
        <w:rPr>
          <w:rFonts w:ascii="Arial" w:cs="Arial" w:eastAsia="Arial" w:hAnsi="Arial"/>
          <w:sz w:val="18"/>
          <w:szCs w:val="18"/>
          <w:color w:val="auto"/>
        </w:rPr>
      </w:pPr>
    </w:p>
    <w:p>
      <w:pPr>
        <w:ind w:left="1980" w:right="439" w:hanging="360"/>
        <w:spacing w:after="0" w:line="25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38"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24"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the notes of any series of any default or event of default (except in payment on 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Modification and Waiver</w:t>
      </w:r>
    </w:p>
    <w:p>
      <w:pPr>
        <w:spacing w:after="0" w:line="184" w:lineRule="exact"/>
        <w:rPr>
          <w:sz w:val="20"/>
          <w:szCs w:val="20"/>
          <w:color w:val="auto"/>
        </w:rPr>
      </w:pPr>
    </w:p>
    <w:p>
      <w:pPr>
        <w:ind w:left="1260" w:right="739"/>
        <w:spacing w:after="0" w:line="274" w:lineRule="auto"/>
        <w:rPr>
          <w:sz w:val="20"/>
          <w:szCs w:val="20"/>
          <w:color w:val="auto"/>
        </w:rPr>
      </w:pPr>
      <w:r>
        <w:rPr>
          <w:rFonts w:ascii="Arial" w:cs="Arial" w:eastAsia="Arial" w:hAnsi="Arial"/>
          <w:sz w:val="17"/>
          <w:szCs w:val="17"/>
          <w:color w:val="auto"/>
        </w:rPr>
        <w:t>The Company or the Trustee may amend or supplement the Indenture or the notes of one or more series without the consent of the holders of the outstanding notes of any series under the Indenture:</w:t>
      </w:r>
    </w:p>
    <w:p>
      <w:pPr>
        <w:spacing w:after="0" w:line="67"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notes of such series;</w:t>
      </w:r>
    </w:p>
    <w:p>
      <w:pPr>
        <w:spacing w:after="0" w:line="117" w:lineRule="exact"/>
        <w:rPr>
          <w:rFonts w:ascii="Arial" w:cs="Arial" w:eastAsia="Arial" w:hAnsi="Arial"/>
          <w:sz w:val="18"/>
          <w:szCs w:val="18"/>
          <w:color w:val="auto"/>
        </w:rPr>
      </w:pPr>
    </w:p>
    <w:p>
      <w:pPr>
        <w:ind w:left="1800" w:right="659" w:hanging="180"/>
        <w:spacing w:after="0" w:line="256"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the notes of any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such series;</w:t>
      </w:r>
    </w:p>
    <w:p>
      <w:pPr>
        <w:spacing w:after="0" w:line="117" w:lineRule="exact"/>
        <w:rPr>
          <w:rFonts w:ascii="Arial" w:cs="Arial" w:eastAsia="Arial" w:hAnsi="Arial"/>
          <w:sz w:val="18"/>
          <w:szCs w:val="18"/>
          <w:color w:val="auto"/>
        </w:rPr>
      </w:pPr>
    </w:p>
    <w:p>
      <w:pPr>
        <w:ind w:left="1800" w:right="899" w:hanging="180"/>
        <w:spacing w:after="0" w:line="26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89" w:lineRule="exact"/>
        <w:rPr>
          <w:rFonts w:ascii="Arial" w:cs="Arial" w:eastAsia="Arial" w:hAnsi="Arial"/>
          <w:sz w:val="18"/>
          <w:szCs w:val="18"/>
          <w:color w:val="auto"/>
        </w:rPr>
      </w:pPr>
    </w:p>
    <w:p>
      <w:pPr>
        <w:ind w:left="1800" w:right="699" w:hanging="180"/>
        <w:spacing w:after="0" w:line="26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notes of any series as permitted by the Indenture;</w:t>
      </w:r>
    </w:p>
    <w:p>
      <w:pPr>
        <w:spacing w:after="0" w:line="89"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95"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95" w:lineRule="exact"/>
        <w:rPr>
          <w:rFonts w:ascii="Arial" w:cs="Arial" w:eastAsia="Arial" w:hAnsi="Arial"/>
          <w:sz w:val="18"/>
          <w:szCs w:val="18"/>
          <w:color w:val="auto"/>
        </w:rPr>
      </w:pPr>
    </w:p>
    <w:p>
      <w:pPr>
        <w:ind w:left="1800" w:right="1119" w:hanging="180"/>
        <w:spacing w:after="0" w:line="26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130"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97"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117" w:lineRule="exact"/>
        <w:rPr>
          <w:rFonts w:ascii="Arial" w:cs="Arial" w:eastAsia="Arial" w:hAnsi="Arial"/>
          <w:sz w:val="18"/>
          <w:szCs w:val="18"/>
          <w:color w:val="auto"/>
        </w:rPr>
      </w:pPr>
    </w:p>
    <w:p>
      <w:pPr>
        <w:jc w:val="both"/>
        <w:ind w:left="1800" w:right="419" w:hanging="180"/>
        <w:spacing w:after="0" w:line="256"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117" w:lineRule="exact"/>
        <w:rPr>
          <w:rFonts w:ascii="Arial" w:cs="Arial" w:eastAsia="Arial" w:hAnsi="Arial"/>
          <w:sz w:val="18"/>
          <w:szCs w:val="18"/>
          <w:color w:val="auto"/>
        </w:rPr>
      </w:pPr>
    </w:p>
    <w:p>
      <w:pPr>
        <w:ind w:left="1800" w:right="1279" w:hanging="180"/>
        <w:spacing w:after="0" w:line="261"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117"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95"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Defeasance of Notes and Certain Covenants in Certain Circumstances</w:t>
      </w:r>
    </w:p>
    <w:p>
      <w:pPr>
        <w:spacing w:after="0" w:line="166"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i w:val="1"/>
          <w:iCs w:val="1"/>
          <w:color w:val="auto"/>
        </w:rPr>
        <w:t xml:space="preserve">Legal Defeasance. </w:t>
      </w:r>
      <w:r>
        <w:rPr>
          <w:rFonts w:ascii="Arial" w:cs="Arial" w:eastAsia="Arial" w:hAnsi="Arial"/>
          <w:sz w:val="18"/>
          <w:szCs w:val="18"/>
          <w:color w:val="auto"/>
        </w:rPr>
        <w:t>The Indenture provides that the Company may be discharged from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22"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26" w:lineRule="exact"/>
        <w:rPr>
          <w:sz w:val="20"/>
          <w:szCs w:val="20"/>
          <w:color w:val="auto"/>
        </w:rPr>
      </w:pPr>
    </w:p>
    <w:p>
      <w:pPr>
        <w:ind w:left="1260" w:right="1119"/>
        <w:spacing w:after="0" w:line="282"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upon compliance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112" w:lineRule="exact"/>
        <w:rPr>
          <w:sz w:val="20"/>
          <w:szCs w:val="20"/>
          <w:color w:val="auto"/>
        </w:rPr>
      </w:pPr>
    </w:p>
    <w:p>
      <w:pPr>
        <w:ind w:left="1980" w:right="479" w:hanging="360"/>
        <w:spacing w:after="0" w:line="256"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134"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conditions include:</w:t>
      </w:r>
    </w:p>
    <w:p>
      <w:pPr>
        <w:spacing w:after="0" w:line="158" w:lineRule="exact"/>
        <w:rPr>
          <w:sz w:val="20"/>
          <w:szCs w:val="20"/>
          <w:color w:val="auto"/>
        </w:rPr>
      </w:pPr>
    </w:p>
    <w:p>
      <w:pPr>
        <w:ind w:left="1980" w:right="439" w:hanging="360"/>
        <w:spacing w:after="0" w:line="252"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140" w:lineRule="exact"/>
        <w:rPr>
          <w:rFonts w:ascii="Arial" w:cs="Arial" w:eastAsia="Arial" w:hAnsi="Arial"/>
          <w:sz w:val="18"/>
          <w:szCs w:val="18"/>
          <w:color w:val="auto"/>
        </w:rPr>
      </w:pPr>
    </w:p>
    <w:p>
      <w:pPr>
        <w:ind w:left="1980" w:right="439" w:hanging="360"/>
        <w:spacing w:after="0" w:line="271" w:lineRule="auto"/>
        <w:tabs>
          <w:tab w:leader="none" w:pos="1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260" w:right="559"/>
        <w:spacing w:after="0" w:line="272" w:lineRule="auto"/>
        <w:rPr>
          <w:sz w:val="20"/>
          <w:szCs w:val="20"/>
          <w:color w:val="auto"/>
        </w:rPr>
      </w:pPr>
      <w:r>
        <w:rPr>
          <w:rFonts w:ascii="Arial" w:cs="Arial" w:eastAsia="Arial" w:hAnsi="Arial"/>
          <w:sz w:val="17"/>
          <w:szCs w:val="17"/>
          <w:i w:val="1"/>
          <w:iCs w:val="1"/>
          <w:color w:val="auto"/>
        </w:rPr>
        <w:t xml:space="preserve">Covenant Defeasance and Events of Default. </w:t>
      </w:r>
      <w:r>
        <w:rPr>
          <w:rFonts w:ascii="Arial" w:cs="Arial" w:eastAsia="Arial" w:hAnsi="Arial"/>
          <w:sz w:val="17"/>
          <w:szCs w:val="17"/>
          <w:color w:val="auto"/>
        </w:rPr>
        <w:t>In the event the Company exercises its option to effect</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with respect to any series of notes and the notes of that series are declared due and payable because of the occurrence of any event of default, the amount of money and/or U.S.</w:t>
      </w:r>
    </w:p>
    <w:p>
      <w:pPr>
        <w:spacing w:after="0" w:line="1"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Government 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18"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Satisfaction and Discharge</w:t>
      </w:r>
    </w:p>
    <w:p>
      <w:pPr>
        <w:spacing w:after="0" w:line="170"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28" w:lineRule="exact"/>
        <w:rPr>
          <w:sz w:val="20"/>
          <w:szCs w:val="20"/>
          <w:color w:val="auto"/>
        </w:rPr>
      </w:pPr>
    </w:p>
    <w:p>
      <w:pPr>
        <w:jc w:val="both"/>
        <w:ind w:left="1260" w:right="419"/>
        <w:spacing w:after="0" w:line="273" w:lineRule="auto"/>
        <w:rPr>
          <w:sz w:val="20"/>
          <w:szCs w:val="20"/>
          <w:color w:val="auto"/>
        </w:rPr>
      </w:pPr>
      <w:r>
        <w:rPr>
          <w:rFonts w:ascii="Arial" w:cs="Arial" w:eastAsia="Arial" w:hAnsi="Arial"/>
          <w:sz w:val="17"/>
          <w:szCs w:val="17"/>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Book-Entry, Form, Denomination and Delivery of Notes</w:t>
      </w:r>
    </w:p>
    <w:p>
      <w:pPr>
        <w:spacing w:after="0" w:line="170" w:lineRule="exact"/>
        <w:rPr>
          <w:sz w:val="20"/>
          <w:szCs w:val="20"/>
          <w:color w:val="auto"/>
        </w:rPr>
      </w:pPr>
    </w:p>
    <w:p>
      <w:pPr>
        <w:jc w:val="both"/>
        <w:ind w:left="1260" w:right="479"/>
        <w:spacing w:after="0" w:line="278" w:lineRule="auto"/>
        <w:rPr>
          <w:sz w:val="20"/>
          <w:szCs w:val="20"/>
          <w:color w:val="auto"/>
        </w:rPr>
      </w:pPr>
      <w:r>
        <w:rPr>
          <w:rFonts w:ascii="Arial" w:cs="Arial" w:eastAsia="Arial" w:hAnsi="Arial"/>
          <w:sz w:val="17"/>
          <w:szCs w:val="17"/>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17"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p>
    <w:p>
      <w:pPr>
        <w:spacing w:after="0" w:line="144" w:lineRule="exact"/>
        <w:rPr>
          <w:sz w:val="20"/>
          <w:szCs w:val="20"/>
          <w:color w:val="auto"/>
        </w:rPr>
      </w:pPr>
    </w:p>
    <w:p>
      <w:pPr>
        <w:ind w:left="1260" w:right="819"/>
        <w:spacing w:after="0" w:line="256"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80"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117" w:lineRule="exact"/>
        <w:rPr>
          <w:sz w:val="20"/>
          <w:szCs w:val="20"/>
          <w:color w:val="auto"/>
        </w:rPr>
      </w:pPr>
    </w:p>
    <w:p>
      <w:pPr>
        <w:ind w:left="1800" w:right="579" w:hanging="180"/>
        <w:spacing w:after="0" w:line="261"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103" w:lineRule="exact"/>
        <w:rPr>
          <w:rFonts w:ascii="Arial" w:cs="Arial" w:eastAsia="Arial" w:hAnsi="Arial"/>
          <w:sz w:val="18"/>
          <w:szCs w:val="18"/>
          <w:color w:val="auto"/>
        </w:rPr>
      </w:pPr>
    </w:p>
    <w:p>
      <w:pPr>
        <w:ind w:left="1800" w:right="539" w:hanging="180"/>
        <w:spacing w:after="0" w:line="254"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23"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6" w:lineRule="exact"/>
        <w:rPr>
          <w:sz w:val="20"/>
          <w:szCs w:val="20"/>
          <w:color w:val="auto"/>
        </w:rPr>
      </w:pPr>
    </w:p>
    <w:p>
      <w:pPr>
        <w:ind w:left="1260" w:right="499"/>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1"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65" w:lineRule="auto"/>
        <w:rPr>
          <w:sz w:val="20"/>
          <w:szCs w:val="20"/>
          <w:color w:val="auto"/>
        </w:rPr>
      </w:pPr>
      <w:r>
        <w:rPr>
          <w:rFonts w:ascii="Arial" w:cs="Arial" w:eastAsia="Arial" w:hAnsi="Arial"/>
          <w:sz w:val="18"/>
          <w:szCs w:val="18"/>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99" w:lineRule="exact"/>
        <w:rPr>
          <w:sz w:val="20"/>
          <w:szCs w:val="20"/>
          <w:color w:val="auto"/>
        </w:rPr>
      </w:pPr>
    </w:p>
    <w:p>
      <w:pPr>
        <w:ind w:left="1800" w:right="659" w:hanging="180"/>
        <w:spacing w:after="0" w:line="256"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107" w:lineRule="exact"/>
        <w:rPr>
          <w:rFonts w:ascii="Arial" w:cs="Arial" w:eastAsia="Arial" w:hAnsi="Arial"/>
          <w:sz w:val="18"/>
          <w:szCs w:val="18"/>
          <w:color w:val="auto"/>
        </w:rPr>
      </w:pPr>
    </w:p>
    <w:p>
      <w:pPr>
        <w:ind w:left="1800" w:right="499" w:hanging="180"/>
        <w:spacing w:after="0" w:line="261"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30"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34" w:lineRule="exact"/>
        <w:rPr>
          <w:sz w:val="20"/>
          <w:szCs w:val="20"/>
          <w:color w:val="auto"/>
        </w:rPr>
      </w:pPr>
    </w:p>
    <w:p>
      <w:pPr>
        <w:ind w:left="1260" w:right="719"/>
        <w:spacing w:after="0" w:line="271" w:lineRule="auto"/>
        <w:rPr>
          <w:sz w:val="20"/>
          <w:szCs w:val="20"/>
          <w:color w:val="auto"/>
        </w:rPr>
      </w:pPr>
      <w:r>
        <w:rPr>
          <w:rFonts w:ascii="Arial" w:cs="Arial" w:eastAsia="Arial" w:hAnsi="Arial"/>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22"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33"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29"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Notes</w:t>
      </w:r>
    </w:p>
    <w:p>
      <w:pPr>
        <w:spacing w:after="0" w:line="180"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129"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33"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28"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80"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180"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87" w:lineRule="exact"/>
        <w:rPr>
          <w:sz w:val="20"/>
          <w:szCs w:val="20"/>
          <w:color w:val="auto"/>
        </w:rPr>
      </w:pPr>
    </w:p>
    <w:p>
      <w:pPr>
        <w:ind w:left="1800" w:right="659" w:hanging="180"/>
        <w:spacing w:after="0" w:line="261"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89" w:lineRule="exact"/>
        <w:rPr>
          <w:rFonts w:ascii="Arial" w:cs="Arial" w:eastAsia="Arial" w:hAnsi="Arial"/>
          <w:sz w:val="18"/>
          <w:szCs w:val="18"/>
          <w:color w:val="auto"/>
        </w:rPr>
      </w:pPr>
    </w:p>
    <w:p>
      <w:pPr>
        <w:ind w:left="1800" w:right="539" w:hanging="180"/>
        <w:spacing w:after="0" w:line="254"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23"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34"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color w:val="auto"/>
        </w:rPr>
        <w:t>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Notices</w:t>
      </w:r>
    </w:p>
    <w:p>
      <w:pPr>
        <w:spacing w:after="0" w:line="170" w:lineRule="exact"/>
        <w:rPr>
          <w:sz w:val="20"/>
          <w:szCs w:val="20"/>
          <w:color w:val="auto"/>
        </w:rPr>
      </w:pPr>
    </w:p>
    <w:p>
      <w:pPr>
        <w:ind w:left="1260" w:right="579"/>
        <w:spacing w:after="0" w:line="246" w:lineRule="auto"/>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Title</w:t>
      </w:r>
    </w:p>
    <w:p>
      <w:pPr>
        <w:spacing w:after="0" w:line="170"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Personal Liability of Directors, Officers, Employees or Stockholders</w:t>
      </w:r>
    </w:p>
    <w:p>
      <w:pPr>
        <w:spacing w:after="0" w:line="170"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Governing Law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law will govern the Indenture and each series of notes.</w:t>
      </w:r>
    </w:p>
    <w:p>
      <w:pPr>
        <w:spacing w:after="0" w:line="158"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34"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Regarding the Trustee</w:t>
      </w:r>
    </w:p>
    <w:p>
      <w:pPr>
        <w:spacing w:after="0" w:line="170"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34" w:lineRule="exact"/>
        <w:rPr>
          <w:sz w:val="20"/>
          <w:szCs w:val="20"/>
          <w:color w:val="auto"/>
        </w:rPr>
      </w:pPr>
    </w:p>
    <w:p>
      <w:pPr>
        <w:ind w:left="1260" w:right="499"/>
        <w:spacing w:after="0" w:line="274" w:lineRule="auto"/>
        <w:rPr>
          <w:sz w:val="20"/>
          <w:szCs w:val="20"/>
          <w:color w:val="auto"/>
        </w:rPr>
      </w:pPr>
      <w:r>
        <w:rPr>
          <w:rFonts w:ascii="Arial" w:cs="Arial" w:eastAsia="Arial" w:hAnsi="Arial"/>
          <w:sz w:val="17"/>
          <w:szCs w:val="17"/>
          <w:color w:val="auto"/>
        </w:rPr>
        <w:t>If an event of default occurs under the Indenture with respect to a series of notes and is continuing, the Trustee will be required to use the degree of care and skill of a prudent Person in the conduct of that</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56" w:lineRule="auto"/>
        <w:rPr>
          <w:sz w:val="20"/>
          <w:szCs w:val="20"/>
          <w:color w:val="auto"/>
        </w:rPr>
      </w:pPr>
      <w:r>
        <w:rPr>
          <w:rFonts w:ascii="Arial" w:cs="Arial" w:eastAsia="Arial" w:hAnsi="Arial"/>
          <w:sz w:val="18"/>
          <w:szCs w:val="18"/>
          <w:color w:val="auto"/>
        </w:rPr>
        <w:t>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34" w:lineRule="exact"/>
        <w:rPr>
          <w:sz w:val="20"/>
          <w:szCs w:val="20"/>
          <w:color w:val="auto"/>
        </w:rPr>
      </w:pPr>
    </w:p>
    <w:p>
      <w:pPr>
        <w:ind w:left="1260" w:right="459"/>
        <w:spacing w:after="0" w:line="271" w:lineRule="auto"/>
        <w:rPr>
          <w:sz w:val="20"/>
          <w:szCs w:val="20"/>
          <w:color w:val="auto"/>
        </w:rPr>
      </w:pPr>
      <w:r>
        <w:rPr>
          <w:rFonts w:ascii="Arial" w:cs="Arial" w:eastAsia="Arial" w:hAnsi="Arial"/>
          <w:sz w:val="17"/>
          <w:szCs w:val="17"/>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right="1459"/>
        <w:spacing w:after="0" w:line="245" w:lineRule="auto"/>
        <w:rPr>
          <w:sz w:val="20"/>
          <w:szCs w:val="20"/>
          <w:color w:val="auto"/>
        </w:rPr>
      </w:pPr>
      <w:r>
        <w:rPr>
          <w:rFonts w:ascii="Arial" w:cs="Arial" w:eastAsia="Arial" w:hAnsi="Arial"/>
          <w:sz w:val="40"/>
          <w:szCs w:val="40"/>
          <w:b w:val="1"/>
          <w:bCs w:val="1"/>
          <w:color w:val="auto"/>
        </w:rPr>
        <w:t>MATERIAL U.S. FEDERAL INCOME TAX CONSEQUENCES</w:t>
      </w:r>
      <w:r>
        <w:rPr>
          <w:rFonts w:ascii="Arial" w:cs="Arial" w:eastAsia="Arial" w:hAnsi="Arial"/>
          <w:sz w:val="40"/>
          <w:szCs w:val="40"/>
          <w:color w:val="auto"/>
        </w:rPr>
        <w:t>​</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 General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Nature and Scope of Discussion</w:t>
      </w:r>
    </w:p>
    <w:p>
      <w:pPr>
        <w:spacing w:after="0" w:line="166"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44"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The following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352"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23" w:lineRule="exact"/>
        <w:rPr>
          <w:sz w:val="20"/>
          <w:szCs w:val="20"/>
          <w:color w:val="auto"/>
        </w:rPr>
      </w:pPr>
    </w:p>
    <w:p>
      <w:pPr>
        <w:ind w:left="1260" w:right="499"/>
        <w:spacing w:after="0" w:line="265" w:lineRule="auto"/>
        <w:rPr>
          <w:sz w:val="20"/>
          <w:szCs w:val="20"/>
          <w:color w:val="auto"/>
        </w:rPr>
      </w:pPr>
      <w:r>
        <w:rPr>
          <w:rFonts w:ascii="Arial" w:cs="Arial" w:eastAsia="Arial" w:hAnsi="Arial"/>
          <w:sz w:val="17"/>
          <w:szCs w:val="17"/>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w:t>
      </w:r>
    </w:p>
    <w:p>
      <w:pPr>
        <w:spacing w:after="0" w:line="1" w:lineRule="exact"/>
        <w:rPr>
          <w:sz w:val="20"/>
          <w:szCs w:val="20"/>
          <w:color w:val="auto"/>
        </w:rPr>
      </w:pPr>
    </w:p>
    <w:p>
      <w:pPr>
        <w:ind w:left="1260" w:right="499"/>
        <w:spacing w:after="0" w:line="256" w:lineRule="auto"/>
        <w:tabs>
          <w:tab w:leader="none" w:pos="15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subject to the primary supervision of a U.S. court and one or more U.S. persons has the authority to control all substantial decisions of the trust or (y) has a valid election in effect under applicable U.S. Treasury regulations to be treated as a U.S. person.</w:t>
      </w:r>
    </w:p>
    <w:p>
      <w:pPr>
        <w:spacing w:after="0" w:line="134" w:lineRule="exact"/>
        <w:rPr>
          <w:sz w:val="20"/>
          <w:szCs w:val="20"/>
          <w:color w:val="auto"/>
        </w:rPr>
      </w:pPr>
    </w:p>
    <w:p>
      <w:pPr>
        <w:jc w:val="both"/>
        <w:ind w:left="1260" w:right="439"/>
        <w:spacing w:after="0" w:line="256" w:lineRule="auto"/>
        <w:rPr>
          <w:sz w:val="20"/>
          <w:szCs w:val="20"/>
          <w:color w:val="auto"/>
        </w:rPr>
      </w:pPr>
      <w:r>
        <w:rPr>
          <w:rFonts w:ascii="Arial" w:cs="Arial" w:eastAsia="Arial" w:hAnsi="Arial"/>
          <w:sz w:val="18"/>
          <w:szCs w:val="18"/>
          <w:color w:val="auto"/>
        </w:rPr>
        <w:t>A “non-U.S. holder” is a beneficial owner of a note (other than a partnership or an entity or arrangement (domestic or foreign) that is treated as a partnership for U.S. federal income tax purposes) that is not a U.S. holder.</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53"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U.S. Holders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66"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129" w:lineRule="exact"/>
        <w:rPr>
          <w:sz w:val="20"/>
          <w:szCs w:val="20"/>
          <w:color w:val="auto"/>
        </w:rPr>
      </w:pPr>
    </w:p>
    <w:p>
      <w:pPr>
        <w:ind w:left="1260" w:right="539"/>
        <w:spacing w:after="0" w:line="260" w:lineRule="auto"/>
        <w:rPr>
          <w:sz w:val="20"/>
          <w:szCs w:val="20"/>
          <w:color w:val="auto"/>
        </w:rPr>
      </w:pPr>
      <w:r>
        <w:rPr>
          <w:rFonts w:ascii="Arial" w:cs="Arial" w:eastAsia="Arial" w:hAnsi="Arial"/>
          <w:sz w:val="17"/>
          <w:szCs w:val="17"/>
          <w:color w:val="auto"/>
        </w:rPr>
        <w:t>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the discussion below assumes, that the notes will not be issued with original issue discount for U.S. federal income tax purposes.</w:t>
      </w:r>
    </w:p>
    <w:p>
      <w:pPr>
        <w:spacing w:after="0" w:line="15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66"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Non-U.S. Holders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53" w:lineRule="exact"/>
        <w:rPr>
          <w:sz w:val="20"/>
          <w:szCs w:val="20"/>
          <w:color w:val="auto"/>
        </w:rPr>
      </w:pPr>
    </w:p>
    <w:p>
      <w:pPr>
        <w:jc w:val="both"/>
        <w:ind w:left="1260" w:right="519"/>
        <w:spacing w:after="0" w:line="248" w:lineRule="auto"/>
        <w:rPr>
          <w:sz w:val="20"/>
          <w:szCs w:val="20"/>
          <w:color w:val="auto"/>
        </w:rPr>
      </w:pPr>
      <w:r>
        <w:rPr>
          <w:rFonts w:ascii="Arial" w:cs="Arial" w:eastAsia="Arial" w:hAnsi="Arial"/>
          <w:sz w:val="18"/>
          <w:szCs w:val="18"/>
          <w:color w:val="auto"/>
        </w:rPr>
        <w:t>Subject to the discussion below under “— Income or Gains Effectively Connected With a U.S. Trade or Business,” payments of interest to non-U.S. holders are generally subject to U.S. federal income tax at a</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also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92" w:lineRule="exact"/>
        <w:rPr>
          <w:sz w:val="20"/>
          <w:szCs w:val="20"/>
          <w:color w:val="auto"/>
        </w:rPr>
      </w:pPr>
    </w:p>
    <w:p>
      <w:pPr>
        <w:ind w:left="1800" w:right="599" w:hanging="180"/>
        <w:spacing w:after="0" w:line="256"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w:t>
      </w:r>
    </w:p>
    <w:p>
      <w:pPr>
        <w:spacing w:after="0" w:line="80" w:lineRule="exact"/>
        <w:rPr>
          <w:rFonts w:ascii="Arial" w:cs="Arial" w:eastAsia="Arial" w:hAnsi="Arial"/>
          <w:sz w:val="18"/>
          <w:szCs w:val="18"/>
          <w:color w:val="auto"/>
        </w:rPr>
      </w:pPr>
    </w:p>
    <w:p>
      <w:pPr>
        <w:ind w:left="1800" w:right="859" w:hanging="180"/>
        <w:spacing w:after="0" w:line="261"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 or</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 a bank whose receipt of interest on the notes is described in Section 881(c)(3)(A) of the Code.</w:t>
      </w:r>
    </w:p>
    <w:p>
      <w:pPr>
        <w:spacing w:after="0" w:line="169" w:lineRule="exact"/>
        <w:rPr>
          <w:sz w:val="20"/>
          <w:szCs w:val="20"/>
          <w:color w:val="auto"/>
        </w:rPr>
      </w:pPr>
    </w:p>
    <w:p>
      <w:pPr>
        <w:ind w:left="1260" w:right="799"/>
        <w:spacing w:after="0"/>
        <w:rPr>
          <w:sz w:val="20"/>
          <w:szCs w:val="20"/>
          <w:color w:val="auto"/>
        </w:rPr>
      </w:pPr>
      <w:r>
        <w:rPr>
          <w:rFonts w:ascii="Arial" w:cs="Arial" w:eastAsia="Arial" w:hAnsi="Arial"/>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135"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80"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95" w:lineRule="exact"/>
        <w:rPr>
          <w:sz w:val="20"/>
          <w:szCs w:val="20"/>
          <w:color w:val="auto"/>
        </w:rPr>
      </w:pPr>
    </w:p>
    <w:p>
      <w:pPr>
        <w:ind w:left="1800" w:right="519" w:hanging="180"/>
        <w:spacing w:after="0" w:line="25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97" w:lineRule="exact"/>
        <w:rPr>
          <w:rFonts w:ascii="Arial" w:cs="Arial" w:eastAsia="Arial" w:hAnsi="Arial"/>
          <w:sz w:val="18"/>
          <w:szCs w:val="18"/>
          <w:color w:val="auto"/>
        </w:rPr>
      </w:pPr>
    </w:p>
    <w:p>
      <w:pPr>
        <w:ind w:left="1800" w:right="459" w:hanging="180"/>
        <w:spacing w:after="0" w:line="252"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180" w:lineRule="exact"/>
        <w:rPr>
          <w:sz w:val="20"/>
          <w:szCs w:val="20"/>
          <w:color w:val="auto"/>
        </w:rPr>
      </w:pPr>
    </w:p>
    <w:p>
      <w:pPr>
        <w:ind w:left="1260" w:right="839"/>
        <w:spacing w:after="0" w:line="241" w:lineRule="auto"/>
        <w:rPr>
          <w:sz w:val="20"/>
          <w:szCs w:val="20"/>
          <w:color w:val="auto"/>
        </w:rPr>
      </w:pPr>
      <w:r>
        <w:rPr>
          <w:rFonts w:ascii="Arial" w:cs="Arial" w:eastAsia="Arial" w:hAnsi="Arial"/>
          <w:sz w:val="18"/>
          <w:szCs w:val="18"/>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w:t>
      </w:r>
    </w:p>
    <w:p>
      <w:pPr>
        <w:sectPr>
          <w:pgSz w:w="11900" w:h="16838" w:orient="portrait"/>
          <w:cols w:equalWidth="0" w:num="1">
            <w:col w:w="9879"/>
          </w:cols>
          <w:pgMar w:left="580" w:top="132"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Legislation and Guidance Relating to Foreign Accounts</w:t>
      </w:r>
    </w:p>
    <w:p>
      <w:pPr>
        <w:spacing w:after="0" w:line="180" w:lineRule="exact"/>
        <w:rPr>
          <w:sz w:val="20"/>
          <w:szCs w:val="20"/>
          <w:color w:val="auto"/>
        </w:rPr>
      </w:pPr>
    </w:p>
    <w:p>
      <w:pPr>
        <w:jc w:val="both"/>
        <w:ind w:left="1260" w:right="459"/>
        <w:spacing w:after="0" w:line="251" w:lineRule="auto"/>
        <w:rPr>
          <w:sz w:val="20"/>
          <w:szCs w:val="20"/>
          <w:color w:val="auto"/>
        </w:rPr>
      </w:pPr>
      <w:r>
        <w:rPr>
          <w:rFonts w:ascii="Arial" w:cs="Arial" w:eastAsia="Arial" w:hAnsi="Arial"/>
          <w:sz w:val="17"/>
          <w:szCs w:val="17"/>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w:t>
      </w:r>
    </w:p>
    <w:p>
      <w:pPr>
        <w:spacing w:after="0" w:line="4"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Backup Withholding and Information Reporting</w:t>
      </w:r>
    </w:p>
    <w:p>
      <w:pPr>
        <w:spacing w:after="0" w:line="170"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133" w:lineRule="exact"/>
        <w:rPr>
          <w:sz w:val="20"/>
          <w:szCs w:val="20"/>
          <w:color w:val="auto"/>
        </w:rPr>
      </w:pPr>
    </w:p>
    <w:p>
      <w:pPr>
        <w:ind w:left="1260" w:right="719"/>
        <w:spacing w:after="0" w:line="241" w:lineRule="auto"/>
        <w:rPr>
          <w:sz w:val="20"/>
          <w:szCs w:val="20"/>
          <w:color w:val="auto"/>
        </w:rPr>
      </w:pPr>
      <w:r>
        <w:rPr>
          <w:rFonts w:ascii="Arial" w:cs="Arial" w:eastAsia="Arial" w:hAnsi="Arial"/>
          <w:sz w:val="18"/>
          <w:szCs w:val="18"/>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ectPr>
          <w:pgSz w:w="11900" w:h="16838" w:orient="portrait"/>
          <w:cols w:equalWidth="0" w:num="1">
            <w:col w:w="9879"/>
          </w:cols>
          <w:pgMar w:left="580" w:top="132"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28"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38"/>
          <w:szCs w:val="38"/>
          <w:b w:val="1"/>
          <w:bCs w:val="1"/>
          <w:color w:val="auto"/>
        </w:rPr>
        <w:t>UNDERWRITING (CONFLICTS OF INTEREST)</w:t>
      </w:r>
    </w:p>
    <w:p>
      <w:pPr>
        <w:spacing w:after="0" w:line="200" w:lineRule="exact"/>
        <w:rPr>
          <w:sz w:val="20"/>
          <w:szCs w:val="20"/>
          <w:color w:val="auto"/>
        </w:rPr>
      </w:pPr>
    </w:p>
    <w:p>
      <w:pPr>
        <w:ind w:left="1260" w:right="499"/>
        <w:spacing w:after="0" w:line="262"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Wells Fargo Securities, LLC, BNP Paribas Securities Corp., J.P. Morgan Securities LLC, Mizuho Securities USA LLC, and MUFG Securities Americas Inc. are acting as representatives, has severally agreed to purchase, and we have agreed to sell to that underwriter, the aggregate principal amount of notes of each series set forth opposite the underwriter’s name in the following table: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Wells Fargo Securities, LLC</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J.P. Morgan Securities LLC</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MUFG Securities Americas Inc.</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ANZ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Credit Agricole Securities (USA) Inc.</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Scotia Capital (USA) Inc.</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Truist Securities, Inc.</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BofA Securities, Inc.</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CIBC World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Citigroup Global Markets Inc.</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Goldman Sachs &amp; Co. LLC</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ICBC Standard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RBC Capital Markets, LLC</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Bancorp Investments, Inc.</w:t>
      </w:r>
    </w:p>
    <w:p>
      <w:pPr>
        <w:spacing w:after="0" w:line="10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Amount of</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2028</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2033</w:t>
            </w:r>
          </w:p>
        </w:tc>
        <w:tc>
          <w:tcPr>
            <w:tcW w:w="40" w:type="dxa"/>
            <w:vAlign w:val="bottom"/>
          </w:tcPr>
          <w:p>
            <w:pPr>
              <w:spacing w:after="0"/>
              <w:rPr>
                <w:sz w:val="14"/>
                <w:szCs w:val="14"/>
                <w:color w:val="auto"/>
              </w:rPr>
            </w:pPr>
          </w:p>
        </w:tc>
      </w:tr>
      <w:tr>
        <w:trPr>
          <w:trHeight w:val="202"/>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​​$ 60,000,000​​ ​​$ 90,000,000​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​​$ 60,000,000​​ ​​$ 90,000,000​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​​$ 60,000,000​​ ​​$ 90,000,000​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​​$ 60,000,000​​ ​​$ 90,000,000​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​​$ 60,000,000​​ ​​$ 90,000,000​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​​$ 26,040,000​​ ​​$ 39,060,000​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​​$ 26,040,000​​ ​​$ 39,060,000​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​​$ 25,980,000​​ ​​$ 38,970,000​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​​$ 25,980,000​​ ​​$ 38,970,000​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​​$ 25,980,000​​ ​​$ 38,970,000​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​​$ 25,980,000​​ ​​$ 38,970,000​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​​$ 12,000,000​​ ​​$ 18,000,000​</w:t>
      </w:r>
    </w:p>
    <w:p>
      <w:pPr>
        <w:spacing w:after="0" w:line="191"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$ 12,000,000</w:t>
      </w: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$ 18,000,000</w:t>
      </w:r>
      <w:r>
        <w:rPr>
          <w:rFonts w:ascii="Arial" w:cs="Arial" w:eastAsia="Arial" w:hAnsi="Arial"/>
          <w:sz w:val="35"/>
          <w:szCs w:val="35"/>
          <w:color w:val="auto"/>
          <w:vertAlign w:val="subscript"/>
        </w:rPr>
        <w:t>​</w:t>
      </w:r>
    </w:p>
    <w:p>
      <w:pPr>
        <w:spacing w:after="0" w:line="193"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$600,000,000</w:t>
      </w: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$900,000,000</w:t>
      </w:r>
      <w:r>
        <w:rPr>
          <w:rFonts w:ascii="Arial" w:cs="Arial" w:eastAsia="Arial" w:hAnsi="Arial"/>
          <w:sz w:val="35"/>
          <w:szCs w:val="35"/>
          <w:color w:val="auto"/>
          <w:vertAlign w:val="subscript"/>
        </w:rPr>
        <w:t>​</w:t>
      </w:r>
    </w:p>
    <w:p>
      <w:pPr>
        <w:spacing w:after="0" w:line="200" w:lineRule="exact"/>
        <w:rPr>
          <w:sz w:val="20"/>
          <w:szCs w:val="20"/>
          <w:color w:val="auto"/>
        </w:rPr>
      </w:pPr>
    </w:p>
    <w:p>
      <w:pPr>
        <w:sectPr>
          <w:pgSz w:w="11900" w:h="16838" w:orient="portrait"/>
          <w:cols w:equalWidth="0" w:num="2">
            <w:col w:w="6100" w:space="720"/>
            <w:col w:w="3059"/>
          </w:cols>
          <w:pgMar w:left="580" w:top="132" w:right="1440" w:bottom="1440" w:gutter="0" w:footer="0" w:header="0"/>
          <w:type w:val="continuous"/>
        </w:sectPr>
      </w:pPr>
    </w:p>
    <w:p>
      <w:pPr>
        <w:spacing w:after="0" w:line="56"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33" w:lineRule="exact"/>
        <w:rPr>
          <w:sz w:val="20"/>
          <w:szCs w:val="20"/>
          <w:color w:val="auto"/>
        </w:rPr>
      </w:pPr>
    </w:p>
    <w:p>
      <w:pPr>
        <w:jc w:val="both"/>
        <w:ind w:left="1260" w:right="599"/>
        <w:spacing w:after="0" w:line="271"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ectPr>
          <w:pgSz w:w="11900" w:h="16838" w:orient="portrait"/>
          <w:cols w:equalWidth="0" w:num="1">
            <w:col w:w="9879"/>
          </w:cols>
          <w:pgMar w:left="580" w:top="132" w:right="1440" w:bottom="1440" w:gutter="0" w:footer="0" w:header="0"/>
          <w:type w:val="continuous"/>
        </w:sect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Commissions and Discounts</w:t>
      </w:r>
    </w:p>
    <w:p>
      <w:pPr>
        <w:spacing w:after="0" w:line="184"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The underwriters propose to offer the notes directly to the public at the public offering prices set forth on the cover page of this prospectus supplement and some of the notes to dealers at the public offering price less a concession not to exceed 0.20% of the principal amount of the 2028 notes and 0.25% of the principal amount of the 2033 notes. The underwriters may allow, and any such dealer may reallow, a concession not to exceed 0.10% of the principal amount of the 2028 notes and 0.15% of the principal amount of the 2033 notes. After the initial offering of the notes to the public, the representatives may change the public offering price and other selling terms.</w:t>
      </w:r>
    </w:p>
    <w:p>
      <w:pPr>
        <w:spacing w:after="0" w:line="138" w:lineRule="exact"/>
        <w:rPr>
          <w:sz w:val="20"/>
          <w:szCs w:val="20"/>
          <w:color w:val="auto"/>
        </w:rPr>
      </w:pPr>
    </w:p>
    <w:p>
      <w:pPr>
        <w:ind w:left="1260" w:right="759"/>
        <w:spacing w:after="0"/>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Paid by Micron</w:t>
            </w:r>
          </w:p>
        </w:tc>
        <w:tc>
          <w:tcPr>
            <w:tcW w:w="60" w:type="dxa"/>
            <w:vAlign w:val="bottom"/>
          </w:tcPr>
          <w:p>
            <w:pPr>
              <w:spacing w:after="0"/>
              <w:rPr>
                <w:sz w:val="14"/>
                <w:szCs w:val="14"/>
                <w:color w:val="auto"/>
              </w:rPr>
            </w:pPr>
          </w:p>
        </w:tc>
      </w:tr>
      <w:tr>
        <w:trPr>
          <w:trHeight w:val="202"/>
        </w:trPr>
        <w:tc>
          <w:tcPr>
            <w:tcW w:w="4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ind w:left="2760"/>
              <w:spacing w:after="0"/>
              <w:rPr>
                <w:sz w:val="20"/>
                <w:szCs w:val="20"/>
                <w:color w:val="auto"/>
              </w:rPr>
            </w:pPr>
            <w:r>
              <w:rPr>
                <w:rFonts w:ascii="Arial" w:cs="Arial" w:eastAsia="Arial" w:hAnsi="Arial"/>
                <w:sz w:val="14"/>
                <w:szCs w:val="14"/>
                <w:b w:val="1"/>
                <w:bCs w:val="1"/>
                <w:color w:val="auto"/>
              </w:rPr>
              <w:t>​ ​</w:t>
            </w:r>
          </w:p>
        </w:tc>
        <w:tc>
          <w:tcPr>
            <w:tcW w:w="1180" w:type="dxa"/>
            <w:vAlign w:val="bottom"/>
            <w:gridSpan w:val="4"/>
          </w:tcPr>
          <w:p>
            <w:pPr>
              <w:spacing w:after="0" w:line="202" w:lineRule="exact"/>
              <w:rPr>
                <w:sz w:val="20"/>
                <w:szCs w:val="20"/>
                <w:color w:val="auto"/>
              </w:rPr>
            </w:pPr>
            <w:r>
              <w:rPr>
                <w:rFonts w:ascii="Arial" w:cs="Arial" w:eastAsia="Arial" w:hAnsi="Arial"/>
                <w:sz w:val="13"/>
                <w:szCs w:val="13"/>
                <w:b w:val="1"/>
                <w:bCs w:val="1"/>
                <w:color w:val="auto"/>
              </w:rPr>
              <w:t>Technology, Inc.</w:t>
            </w:r>
            <w:r>
              <w:rPr>
                <w:rFonts w:ascii="Arial" w:cs="Arial" w:eastAsia="Arial" w:hAnsi="Arial"/>
                <w:sz w:val="23"/>
                <w:szCs w:val="23"/>
                <w:b w:val="1"/>
                <w:bCs w:val="1"/>
                <w:color w:val="auto"/>
                <w:vertAlign w:val="subscript"/>
              </w:rPr>
              <w:t>​</w:t>
            </w:r>
          </w:p>
        </w:tc>
      </w:tr>
      <w:tr>
        <w:trPr>
          <w:trHeight w:val="230"/>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2028 Note</w:t>
            </w:r>
          </w:p>
        </w:tc>
        <w:tc>
          <w:tcPr>
            <w:tcW w:w="2980" w:type="dxa"/>
            <w:vAlign w:val="bottom"/>
            <w:tcBorders>
              <w:top w:val="single" w:sz="8" w:color="CCEEFF"/>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2028 Notes Total</w:t>
            </w:r>
          </w:p>
        </w:tc>
        <w:tc>
          <w:tcPr>
            <w:tcW w:w="2980" w:type="dxa"/>
            <w:vAlign w:val="bottom"/>
          </w:tcPr>
          <w:p>
            <w:pPr>
              <w:ind w:left="282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​$1,800,000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2033 Note</w:t>
            </w:r>
          </w:p>
        </w:tc>
        <w:tc>
          <w:tcPr>
            <w:tcW w:w="298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2033 Notes Total</w:t>
            </w:r>
          </w:p>
        </w:tc>
        <w:tc>
          <w:tcPr>
            <w:tcW w:w="2980" w:type="dxa"/>
            <w:vAlign w:val="bottom"/>
          </w:tcPr>
          <w:p>
            <w:pPr>
              <w:ind w:left="282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​$3,600,000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9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 ​</w:t>
            </w:r>
          </w:p>
        </w:tc>
        <w:tc>
          <w:tcPr>
            <w:tcW w:w="112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​$5,400,000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-831215</wp:posOffset>
            </wp:positionV>
            <wp:extent cx="44919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114"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We estimate that our total expenses for this offering, other than underwriting discounts, will be approximately $4 million. The underwriters have agreed to reimburse us for certain expenses incurred in connection with this offering.</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New Issue of Notes</w:t>
      </w:r>
    </w:p>
    <w:p>
      <w:pPr>
        <w:spacing w:after="0" w:line="170"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Price Stabilization and Short Positions</w:t>
      </w:r>
    </w:p>
    <w:p>
      <w:pPr>
        <w:spacing w:after="0" w:line="184"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38" w:lineRule="exact"/>
        <w:rPr>
          <w:sz w:val="20"/>
          <w:szCs w:val="20"/>
          <w:color w:val="auto"/>
        </w:rPr>
      </w:pPr>
    </w:p>
    <w:p>
      <w:pPr>
        <w:jc w:val="both"/>
        <w:ind w:left="1260" w:right="519"/>
        <w:spacing w:after="0" w:line="243"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34" w:lineRule="exact"/>
        <w:rPr>
          <w:sz w:val="20"/>
          <w:szCs w:val="20"/>
          <w:color w:val="auto"/>
        </w:rPr>
      </w:pPr>
    </w:p>
    <w:p>
      <w:pPr>
        <w:ind w:left="1260" w:right="659"/>
        <w:spacing w:after="0" w:line="241"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ectPr>
          <w:pgSz w:w="11900" w:h="16838" w:orient="portrait"/>
          <w:cols w:equalWidth="0" w:num="1">
            <w:col w:w="9879"/>
          </w:cols>
          <w:pgMar w:left="580" w:top="132"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Sales of Similar Securities</w:t>
      </w:r>
    </w:p>
    <w:p>
      <w:pPr>
        <w:spacing w:after="0" w:line="184"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Other Relationships</w:t>
      </w:r>
    </w:p>
    <w:p>
      <w:pPr>
        <w:spacing w:after="0" w:line="170"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36" w:lineRule="exact"/>
        <w:rPr>
          <w:sz w:val="20"/>
          <w:szCs w:val="20"/>
          <w:color w:val="auto"/>
        </w:rPr>
      </w:pPr>
    </w:p>
    <w:p>
      <w:pPr>
        <w:ind w:left="1260" w:right="479"/>
        <w:spacing w:after="0" w:line="267"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4"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Affiliates of certain underwriters may receive at least 5% of the net proceeds of this offering in connection with the repayment of a portion of the outstanding borrowings under our 2024 Term Loan A. See “Use of Proceeds.” Accordingly, this offering is being made in compliance with the requirements of Rule 5121 of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w:t>
      </w:r>
    </w:p>
    <w:p>
      <w:pPr>
        <w:spacing w:after="0" w:line="139"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We expect that delivery of the notes will be made to investors on or about April 11,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April 11, 2023 will be required, by virtue of the fact that the notes initially settle in T+3, to specify an alternate settlement arrangement to prevent a failed settlement. Purchasers of the notes who wish to trade the notes more than two business days prior to April 11, 2023 should consult their advisors.</w:t>
      </w:r>
    </w:p>
    <w:p>
      <w:pPr>
        <w:spacing w:after="0" w:line="144"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U.S. Bancorp Investments, Inc., one of the underwriters, is an affiliate of the Trustee, Registrar, and Paying Agent.</w:t>
      </w:r>
    </w:p>
    <w:p>
      <w:pPr>
        <w:spacing w:after="0" w:line="117"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Canada</w:t>
      </w:r>
    </w:p>
    <w:p>
      <w:pPr>
        <w:spacing w:after="0" w:line="184"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35" w:lineRule="exact"/>
        <w:rPr>
          <w:sz w:val="20"/>
          <w:szCs w:val="20"/>
          <w:color w:val="auto"/>
        </w:rPr>
      </w:pPr>
    </w:p>
    <w:p>
      <w:pPr>
        <w:ind w:left="1260" w:right="539"/>
        <w:spacing w:after="0" w:line="252"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9" w:lineRule="exact"/>
        <w:rPr>
          <w:sz w:val="20"/>
          <w:szCs w:val="20"/>
          <w:color w:val="auto"/>
        </w:rPr>
      </w:pPr>
    </w:p>
    <w:p>
      <w:pPr>
        <w:ind w:left="1260" w:right="1059"/>
        <w:spacing w:after="0" w:line="25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EEA Retail Investors</w:t>
      </w:r>
    </w:p>
    <w:p>
      <w:pPr>
        <w:spacing w:after="0" w:line="170"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41"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UK Retail Investors</w:t>
      </w:r>
    </w:p>
    <w:p>
      <w:pPr>
        <w:spacing w:after="0" w:line="170"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w:t>
      </w:r>
    </w:p>
    <w:p>
      <w:pPr>
        <w:sectPr>
          <w:pgSz w:w="11900" w:h="16838" w:orient="portrait"/>
          <w:cols w:equalWidth="0" w:num="1">
            <w:col w:w="9879"/>
          </w:cols>
          <w:pgMar w:left="580" w:top="132" w:right="1440" w:bottom="1440" w:gutter="0" w:footer="0" w:header="0"/>
        </w:sect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Hong Kong</w:t>
      </w:r>
    </w:p>
    <w:p>
      <w:pPr>
        <w:spacing w:after="0" w:line="184" w:lineRule="exact"/>
        <w:rPr>
          <w:sz w:val="20"/>
          <w:szCs w:val="20"/>
          <w:color w:val="auto"/>
        </w:rPr>
      </w:pPr>
    </w:p>
    <w:p>
      <w:pPr>
        <w:ind w:left="1260" w:right="659"/>
        <w:spacing w:after="0"/>
        <w:rPr>
          <w:sz w:val="20"/>
          <w:szCs w:val="20"/>
          <w:color w:val="auto"/>
        </w:rPr>
      </w:pPr>
      <w:r>
        <w:rPr>
          <w:rFonts w:ascii="Arial" w:cs="Arial" w:eastAsia="Arial" w:hAnsi="Arial"/>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Japan</w:t>
      </w:r>
    </w:p>
    <w:p>
      <w:pPr>
        <w:spacing w:after="0" w:line="170"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36"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Any investor desiring to acquire the notes must be aware that the notes may not be Transferred to any other person unless such person is a QII.</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this section:</w:t>
      </w:r>
    </w:p>
    <w:p>
      <w:pPr>
        <w:spacing w:after="0" w:line="15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135" w:lineRule="exact"/>
        <w:rPr>
          <w:sz w:val="20"/>
          <w:szCs w:val="20"/>
          <w:color w:val="auto"/>
        </w:rPr>
      </w:pPr>
    </w:p>
    <w:p>
      <w:pPr>
        <w:jc w:val="both"/>
        <w:ind w:left="1260" w:right="439"/>
        <w:spacing w:after="0" w:line="248" w:lineRule="auto"/>
        <w:rPr>
          <w:sz w:val="20"/>
          <w:szCs w:val="20"/>
          <w:color w:val="auto"/>
        </w:rPr>
      </w:pPr>
      <w:r>
        <w:rPr>
          <w:rFonts w:ascii="Arial" w:cs="Arial" w:eastAsia="Arial" w:hAnsi="Arial"/>
          <w:sz w:val="18"/>
          <w:szCs w:val="18"/>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128"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color w:val="auto"/>
        </w:rPr>
        <w:t>“Resident of Japan” means any person resident in Japan, including any corporation or other entity organized under the laws of Japan.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Singapore</w:t>
      </w:r>
    </w:p>
    <w:p>
      <w:pPr>
        <w:spacing w:after="0" w:line="170" w:lineRule="exact"/>
        <w:rPr>
          <w:sz w:val="20"/>
          <w:szCs w:val="20"/>
          <w:color w:val="auto"/>
        </w:rPr>
      </w:pPr>
    </w:p>
    <w:p>
      <w:pPr>
        <w:ind w:left="1260" w:right="719"/>
        <w:spacing w:after="0" w:line="241"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59" w:hanging="360"/>
        <w:spacing w:after="0" w:line="265" w:lineRule="auto"/>
        <w:tabs>
          <w:tab w:leader="none" w:pos="1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an institutional investor (as defined in Section 4A of the Securities and Futures Act (Chapter 289) of Singapore, as modified or amended from time to time (the “SFA”)) pursuant to</w:t>
      </w:r>
    </w:p>
    <w:p>
      <w:pPr>
        <w:ind w:left="1980"/>
        <w:spacing w:after="0"/>
        <w:rPr>
          <w:sz w:val="20"/>
          <w:szCs w:val="20"/>
          <w:color w:val="auto"/>
        </w:rPr>
      </w:pPr>
      <w:r>
        <w:rPr>
          <w:rFonts w:ascii="Arial" w:cs="Arial" w:eastAsia="Arial" w:hAnsi="Arial"/>
          <w:sz w:val="18"/>
          <w:szCs w:val="18"/>
          <w:color w:val="auto"/>
        </w:rPr>
        <w:t>Section 274 of the SFA;</w:t>
      </w:r>
    </w:p>
    <w:p>
      <w:pPr>
        <w:spacing w:after="0" w:line="144" w:lineRule="exact"/>
        <w:rPr>
          <w:sz w:val="20"/>
          <w:szCs w:val="20"/>
          <w:color w:val="auto"/>
        </w:rPr>
      </w:pPr>
    </w:p>
    <w:p>
      <w:pPr>
        <w:jc w:val="both"/>
        <w:ind w:left="1980" w:right="679" w:hanging="360"/>
        <w:spacing w:after="0" w:line="256"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20"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0"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16" w:lineRule="exact"/>
        <w:rPr>
          <w:sz w:val="20"/>
          <w:szCs w:val="20"/>
          <w:color w:val="auto"/>
        </w:rPr>
      </w:pPr>
    </w:p>
    <w:p>
      <w:pPr>
        <w:ind w:left="1980" w:right="439" w:hanging="360"/>
        <w:spacing w:after="0" w:line="256"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20" w:lineRule="exact"/>
        <w:rPr>
          <w:rFonts w:ascii="Arial" w:cs="Arial" w:eastAsia="Arial" w:hAnsi="Arial"/>
          <w:sz w:val="18"/>
          <w:szCs w:val="18"/>
          <w:color w:val="auto"/>
        </w:rPr>
      </w:pPr>
    </w:p>
    <w:p>
      <w:pPr>
        <w:ind w:left="1980" w:right="719" w:hanging="360"/>
        <w:spacing w:after="0" w:line="291" w:lineRule="auto"/>
        <w:tabs>
          <w:tab w:leader="none" w:pos="1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92" w:lineRule="exact"/>
        <w:rPr>
          <w:rFonts w:ascii="Arial" w:cs="Arial" w:eastAsia="Arial" w:hAnsi="Arial"/>
          <w:sz w:val="17"/>
          <w:szCs w:val="17"/>
          <w:color w:val="auto"/>
        </w:rPr>
      </w:pPr>
    </w:p>
    <w:p>
      <w:pPr>
        <w:ind w:left="1980" w:right="419" w:hanging="360"/>
        <w:spacing w:after="0" w:line="254"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22" w:lineRule="exact"/>
        <w:rPr>
          <w:rFonts w:ascii="Arial" w:cs="Arial" w:eastAsia="Arial" w:hAnsi="Arial"/>
          <w:sz w:val="18"/>
          <w:szCs w:val="18"/>
          <w:color w:val="auto"/>
        </w:rPr>
      </w:pPr>
    </w:p>
    <w:p>
      <w:pPr>
        <w:ind w:left="2340" w:right="659" w:hanging="360"/>
        <w:spacing w:after="0" w:line="261" w:lineRule="auto"/>
        <w:tabs>
          <w:tab w:leader="none" w:pos="2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2340" w:hanging="360"/>
        <w:spacing w:after="0"/>
        <w:tabs>
          <w:tab w:leader="none" w:pos="2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2340" w:right="919" w:hanging="360"/>
        <w:spacing w:after="0" w:line="291" w:lineRule="auto"/>
        <w:tabs>
          <w:tab w:leader="none" w:pos="23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Singapore Securities and Futures Act Product Classification</w:t>
      </w:r>
    </w:p>
    <w:p>
      <w:pPr>
        <w:spacing w:after="0" w:line="170"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Switzerland</w:t>
      </w:r>
    </w:p>
    <w:p>
      <w:pPr>
        <w:spacing w:after="0" w:line="170"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Taiwan</w:t>
      </w:r>
    </w:p>
    <w:p>
      <w:pPr>
        <w:spacing w:after="0" w:line="184" w:lineRule="exact"/>
        <w:rPr>
          <w:sz w:val="20"/>
          <w:szCs w:val="20"/>
          <w:color w:val="auto"/>
        </w:rPr>
      </w:pPr>
    </w:p>
    <w:p>
      <w:pPr>
        <w:ind w:left="1260" w:right="799"/>
        <w:spacing w:after="0" w:line="274"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VALIDITY OF SECURITIES</w:t>
      </w:r>
    </w:p>
    <w:p>
      <w:pPr>
        <w:spacing w:after="0" w:line="177" w:lineRule="exact"/>
        <w:rPr>
          <w:sz w:val="20"/>
          <w:szCs w:val="20"/>
          <w:color w:val="auto"/>
        </w:rPr>
      </w:pPr>
    </w:p>
    <w:p>
      <w:pPr>
        <w:ind w:left="1260" w:right="639"/>
        <w:spacing w:after="0" w:line="256"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77" w:lineRule="exact"/>
        <w:rPr>
          <w:sz w:val="20"/>
          <w:szCs w:val="20"/>
          <w:color w:val="auto"/>
        </w:rPr>
      </w:pPr>
    </w:p>
    <w:p>
      <w:pPr>
        <w:ind w:left="1260" w:right="439"/>
        <w:spacing w:after="0" w:line="252"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31">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ended September 1, 2022</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LLP, an independent registered public accounting firm, given on the authority of said firm as experts in auditing and accounting.</w:t>
      </w:r>
    </w:p>
    <w:p>
      <w:pPr>
        <w:spacing w:after="0" w:line="152" w:lineRule="exact"/>
        <w:rPr>
          <w:sz w:val="20"/>
          <w:szCs w:val="20"/>
          <w:color w:val="auto"/>
        </w:rPr>
      </w:pPr>
    </w:p>
    <w:p>
      <w:pPr>
        <w:ind w:left="1260" w:right="3079"/>
        <w:spacing w:after="0" w:line="260" w:lineRule="auto"/>
        <w:rPr>
          <w:sz w:val="20"/>
          <w:szCs w:val="20"/>
          <w:color w:val="auto"/>
        </w:rPr>
      </w:pPr>
      <w:r>
        <w:rPr>
          <w:rFonts w:ascii="Arial" w:cs="Arial" w:eastAsia="Arial" w:hAnsi="Arial"/>
          <w:sz w:val="40"/>
          <w:szCs w:val="40"/>
          <w:b w:val="1"/>
          <w:bCs w:val="1"/>
          <w:color w:val="auto"/>
        </w:rPr>
        <w:t>WHERE YOU CAN FIND MORE INFORMATION</w:t>
      </w:r>
    </w:p>
    <w:p>
      <w:pPr>
        <w:spacing w:after="0" w:line="59"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103"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Our Annual Report on Form 10-K for the fiscal year ended September 1, 2022;</w:t>
        </w:r>
      </w:hyperlink>
    </w:p>
    <w:p>
      <w:pPr>
        <w:spacing w:after="0" w:line="117" w:lineRule="exact"/>
        <w:rPr>
          <w:rFonts w:ascii="Arial" w:cs="Arial" w:eastAsia="Arial" w:hAnsi="Arial"/>
          <w:sz w:val="18"/>
          <w:szCs w:val="18"/>
          <w:u w:val="single" w:color="auto"/>
          <w:color w:val="0000EE"/>
        </w:rPr>
      </w:pPr>
    </w:p>
    <w:p>
      <w:pPr>
        <w:ind w:left="1800" w:right="1019" w:hanging="180"/>
        <w:spacing w:after="0" w:line="261" w:lineRule="auto"/>
        <w:tabs>
          <w:tab w:leader="none" w:pos="1800" w:val="left"/>
        </w:tabs>
        <w:numPr>
          <w:ilvl w:val="0"/>
          <w:numId w:val="36"/>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fiscal quarters ended </w:t>
      </w:r>
      <w:hyperlink r:id="rId98">
        <w:r>
          <w:rPr>
            <w:rFonts w:ascii="Arial" w:cs="Arial" w:eastAsia="Arial" w:hAnsi="Arial"/>
            <w:sz w:val="18"/>
            <w:szCs w:val="18"/>
            <w:u w:val="single" w:color="auto"/>
            <w:color w:val="0000EE"/>
          </w:rPr>
          <w:t>December 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March 2, 2023</w:t>
        </w:r>
      </w:hyperlink>
      <w:r>
        <w:rPr>
          <w:rFonts w:ascii="Arial" w:cs="Arial" w:eastAsia="Arial" w:hAnsi="Arial"/>
          <w:sz w:val="18"/>
          <w:szCs w:val="18"/>
          <w:color w:val="000000"/>
        </w:rPr>
        <w:t>;</w:t>
      </w:r>
    </w:p>
    <w:p>
      <w:pPr>
        <w:spacing w:after="0" w:line="89" w:lineRule="exact"/>
        <w:rPr>
          <w:rFonts w:ascii="Arial" w:cs="Arial" w:eastAsia="Arial" w:hAnsi="Arial"/>
          <w:sz w:val="18"/>
          <w:szCs w:val="18"/>
          <w:color w:val="0000EE"/>
        </w:rPr>
      </w:pPr>
    </w:p>
    <w:p>
      <w:pPr>
        <w:ind w:left="1800" w:right="439" w:hanging="180"/>
        <w:spacing w:after="0" w:line="256" w:lineRule="auto"/>
        <w:tabs>
          <w:tab w:leader="none" w:pos="1800" w:val="left"/>
        </w:tabs>
        <w:numPr>
          <w:ilvl w:val="0"/>
          <w:numId w:val="36"/>
        </w:numPr>
        <w:rPr>
          <w:rFonts w:ascii="Arial" w:cs="Arial" w:eastAsia="Arial" w:hAnsi="Arial"/>
          <w:sz w:val="18"/>
          <w:szCs w:val="18"/>
          <w:color w:val="0000EE"/>
        </w:rPr>
      </w:pPr>
      <w:hyperlink r:id="rId31">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EE"/>
          </w:rPr>
          <w:t>fiscal year ended September 1, 2022</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w:t>
        </w:r>
      </w:hyperlink>
      <w:r>
        <w:rPr>
          <w:rFonts w:ascii="Arial" w:cs="Arial" w:eastAsia="Arial" w:hAnsi="Arial"/>
          <w:sz w:val="18"/>
          <w:szCs w:val="18"/>
          <w:color w:val="0000EE"/>
        </w:rPr>
        <w:t xml:space="preserve"> </w:t>
      </w:r>
      <w:hyperlink r:id="rId99">
        <w:r>
          <w:rPr>
            <w:rFonts w:ascii="Arial" w:cs="Arial" w:eastAsia="Arial" w:hAnsi="Arial"/>
            <w:sz w:val="18"/>
            <w:szCs w:val="18"/>
            <w:u w:val="single" w:color="auto"/>
            <w:color w:val="0000EE"/>
          </w:rPr>
          <w:t>with the SEC on December 2, 2022</w:t>
        </w:r>
        <w:r>
          <w:rPr>
            <w:rFonts w:ascii="Arial" w:cs="Arial" w:eastAsia="Arial" w:hAnsi="Arial"/>
            <w:sz w:val="18"/>
            <w:szCs w:val="18"/>
            <w:color w:val="000000"/>
          </w:rPr>
          <w:t>; and</w:t>
        </w:r>
      </w:hyperlink>
    </w:p>
    <w:p>
      <w:pPr>
        <w:spacing w:after="0" w:line="93" w:lineRule="exact"/>
        <w:rPr>
          <w:rFonts w:ascii="Arial" w:cs="Arial" w:eastAsia="Arial" w:hAnsi="Arial"/>
          <w:sz w:val="18"/>
          <w:szCs w:val="18"/>
          <w:color w:val="0000EE"/>
        </w:rPr>
      </w:pPr>
    </w:p>
    <w:p>
      <w:pPr>
        <w:ind w:left="1800" w:right="539" w:hanging="180"/>
        <w:spacing w:after="0" w:line="256" w:lineRule="auto"/>
        <w:tabs>
          <w:tab w:leader="none" w:pos="1800" w:val="left"/>
        </w:tabs>
        <w:numPr>
          <w:ilvl w:val="0"/>
          <w:numId w:val="36"/>
        </w:numPr>
        <w:rPr>
          <w:rFonts w:ascii="Arial" w:cs="Arial" w:eastAsia="Arial" w:hAnsi="Arial"/>
          <w:sz w:val="18"/>
          <w:szCs w:val="18"/>
          <w:u w:val="single" w:color="auto"/>
          <w:color w:val="0000EE"/>
        </w:rPr>
      </w:pPr>
      <w:r>
        <w:rPr>
          <w:rFonts w:ascii="Arial" w:cs="Arial" w:eastAsia="Arial" w:hAnsi="Arial"/>
          <w:sz w:val="18"/>
          <w:szCs w:val="18"/>
          <w:color w:val="auto"/>
        </w:rPr>
        <w:t xml:space="preserve">Current Reports on Form 8-K filed with the SEC on </w:t>
      </w:r>
      <w:hyperlink r:id="rId100">
        <w:r>
          <w:rPr>
            <w:rFonts w:ascii="Arial" w:cs="Arial" w:eastAsia="Arial" w:hAnsi="Arial"/>
            <w:sz w:val="18"/>
            <w:szCs w:val="18"/>
            <w:u w:val="single" w:color="auto"/>
            <w:color w:val="0000EE"/>
          </w:rPr>
          <w:t>October 31, 2022</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EE"/>
          </w:rPr>
          <w:t>November 3, 2022</w:t>
        </w:r>
      </w:hyperlink>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EE"/>
          </w:rPr>
          <w:t>December 21, 2022</w:t>
        </w:r>
        <w:r>
          <w:rPr>
            <w:rFonts w:ascii="Arial" w:cs="Arial" w:eastAsia="Arial" w:hAnsi="Arial"/>
            <w:sz w:val="18"/>
            <w:szCs w:val="18"/>
            <w:color w:val="0000EE"/>
          </w:rPr>
          <w:t xml:space="preserve"> </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2.05 only),</w:t>
      </w:r>
      <w:r>
        <w:rPr>
          <w:rFonts w:ascii="Arial" w:cs="Arial" w:eastAsia="Arial" w:hAnsi="Arial"/>
          <w:sz w:val="18"/>
          <w:szCs w:val="18"/>
          <w:color w:val="0000EE"/>
        </w:rPr>
        <w:t xml:space="preserve"> </w:t>
      </w:r>
      <w:hyperlink r:id="rId103">
        <w:r>
          <w:rPr>
            <w:rFonts w:ascii="Arial" w:cs="Arial" w:eastAsia="Arial" w:hAnsi="Arial"/>
            <w:sz w:val="18"/>
            <w:szCs w:val="18"/>
            <w:u w:val="single" w:color="auto"/>
            <w:color w:val="0000EE"/>
          </w:rPr>
          <w:t>January 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4">
        <w:r>
          <w:rPr>
            <w:rFonts w:ascii="Arial" w:cs="Arial" w:eastAsia="Arial" w:hAnsi="Arial"/>
            <w:sz w:val="18"/>
            <w:szCs w:val="18"/>
            <w:u w:val="single" w:color="auto"/>
            <w:color w:val="0000EE"/>
          </w:rPr>
          <w:t xml:space="preserve">January 13,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05">
        <w:r>
          <w:rPr>
            <w:rFonts w:ascii="Arial" w:cs="Arial" w:eastAsia="Arial" w:hAnsi="Arial"/>
            <w:sz w:val="18"/>
            <w:szCs w:val="18"/>
            <w:u w:val="single" w:color="auto"/>
            <w:color w:val="0000EE"/>
          </w:rPr>
          <w:t>February 9, 2023</w:t>
        </w:r>
      </w:hyperlink>
      <w:r>
        <w:rPr>
          <w:rFonts w:ascii="Arial" w:cs="Arial" w:eastAsia="Arial" w:hAnsi="Arial"/>
          <w:sz w:val="18"/>
          <w:szCs w:val="18"/>
          <w:color w:val="0000EE"/>
        </w:rPr>
        <w:t xml:space="preserve"> </w:t>
      </w:r>
      <w:hyperlink r:id="rId106">
        <w:r>
          <w:rPr>
            <w:rFonts w:ascii="Arial" w:cs="Arial" w:eastAsia="Arial" w:hAnsi="Arial"/>
            <w:sz w:val="18"/>
            <w:szCs w:val="18"/>
            <w:u w:val="single" w:color="auto"/>
            <w:color w:val="0000EE"/>
          </w:rPr>
          <w:t>(both of such reports).</w:t>
        </w:r>
      </w:hyperlink>
    </w:p>
    <w:p>
      <w:pPr>
        <w:spacing w:after="0" w:line="134" w:lineRule="exact"/>
        <w:rPr>
          <w:rFonts w:ascii="Arial" w:cs="Arial" w:eastAsia="Arial" w:hAnsi="Arial"/>
          <w:sz w:val="18"/>
          <w:szCs w:val="18"/>
          <w:color w:val="0000EE"/>
        </w:rPr>
      </w:pPr>
    </w:p>
    <w:p>
      <w:pPr>
        <w:ind w:left="1260" w:right="519"/>
        <w:spacing w:after="0" w:line="273" w:lineRule="auto"/>
        <w:rPr>
          <w:sz w:val="20"/>
          <w:szCs w:val="20"/>
          <w:color w:val="auto"/>
        </w:rPr>
      </w:pPr>
      <w:r>
        <w:rPr>
          <w:rFonts w:ascii="Arial" w:cs="Arial" w:eastAsia="Arial" w:hAnsi="Arial"/>
          <w:sz w:val="17"/>
          <w:szCs w:val="17"/>
          <w:color w:val="auto"/>
        </w:rPr>
        <w:t xml:space="preserve">You may request a copy of these filings at no cost by contacting our Investor Relations department by visiting our Web site at </w:t>
      </w:r>
      <w:r>
        <w:rPr>
          <w:rFonts w:ascii="Arial" w:cs="Arial" w:eastAsia="Arial" w:hAnsi="Arial"/>
          <w:sz w:val="17"/>
          <w:szCs w:val="17"/>
          <w:i w:val="1"/>
          <w:iCs w:val="1"/>
          <w:color w:val="auto"/>
        </w:rPr>
        <w:t>www.micron.com</w:t>
      </w:r>
      <w:r>
        <w:rPr>
          <w:rFonts w:ascii="Arial" w:cs="Arial" w:eastAsia="Arial" w:hAnsi="Arial"/>
          <w:sz w:val="17"/>
          <w:szCs w:val="17"/>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8"/>
          <w:szCs w:val="18"/>
          <w:color w:val="0000EE"/>
        </w:rPr>
      </w:pPr>
    </w:p>
    <w:p>
      <w:pPr>
        <w:spacing w:after="0" w:line="288" w:lineRule="exact"/>
        <w:rPr>
          <w:rFonts w:ascii="Arial" w:cs="Arial" w:eastAsia="Arial" w:hAnsi="Arial"/>
          <w:sz w:val="18"/>
          <w:szCs w:val="18"/>
          <w:color w:val="0000EE"/>
        </w:rPr>
      </w:pPr>
    </w:p>
    <w:p>
      <w:pPr>
        <w:ind w:left="5160"/>
        <w:spacing w:after="0"/>
        <w:rPr>
          <w:sz w:val="20"/>
          <w:szCs w:val="20"/>
          <w:color w:val="auto"/>
        </w:rPr>
      </w:pPr>
      <w:r>
        <w:rPr>
          <w:rFonts w:ascii="Arial" w:cs="Arial" w:eastAsia="Arial" w:hAnsi="Arial"/>
          <w:sz w:val="18"/>
          <w:szCs w:val="18"/>
          <w:color w:val="auto"/>
        </w:rPr>
        <w:t>S-47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128905</wp:posOffset>
            </wp:positionV>
            <wp:extent cx="2468880" cy="685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auto"/>
        </w:rPr>
        <w:t>MICRON TECHNOLOGY, INC.</w:t>
      </w:r>
    </w:p>
    <w:p>
      <w:pPr>
        <w:spacing w:after="0" w:line="222"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Common Stock</w:t>
      </w:r>
    </w:p>
    <w:p>
      <w:pPr>
        <w:spacing w:after="0" w:line="34"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17" w:lineRule="exact"/>
        <w:rPr>
          <w:sz w:val="20"/>
          <w:szCs w:val="20"/>
          <w:color w:val="auto"/>
        </w:rPr>
      </w:pPr>
    </w:p>
    <w:p>
      <w:pPr>
        <w:ind w:left="1260" w:right="619"/>
        <w:spacing w:after="0" w:line="271"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2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212090</wp:posOffset>
            </wp:positionV>
            <wp:extent cx="12344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b w:val="1"/>
          <w:bCs w:val="1"/>
          <w:color w:val="auto"/>
        </w:rPr>
        <w:t xml:space="preserve">INVESTING IN OUR SECURITIES INVOLVES RISKS. SEE “RISK FACTORS” ON PAGE </w:t>
      </w:r>
      <w:r>
        <w:rPr>
          <w:rFonts w:ascii="Arial" w:cs="Arial" w:eastAsia="Arial" w:hAnsi="Arial"/>
          <w:sz w:val="18"/>
          <w:szCs w:val="18"/>
          <w:b w:val="1"/>
          <w:bCs w:val="1"/>
          <w:u w:val="single" w:color="auto"/>
          <w:color w:val="0000EE"/>
        </w:rPr>
        <w:t>5</w:t>
      </w:r>
      <w:r>
        <w:rPr>
          <w:rFonts w:ascii="Arial" w:cs="Arial" w:eastAsia="Arial" w:hAnsi="Arial"/>
          <w:sz w:val="18"/>
          <w:szCs w:val="18"/>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203835</wp:posOffset>
            </wp:positionV>
            <wp:extent cx="123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260" w:right="659"/>
        <w:spacing w:after="0" w:line="256"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99" w:lineRule="exact"/>
        <w:rPr>
          <w:sz w:val="20"/>
          <w:szCs w:val="20"/>
          <w:color w:val="auto"/>
        </w:rPr>
      </w:pPr>
    </w:p>
    <w:p>
      <w:pPr>
        <w:ind w:left="1260" w:right="619"/>
        <w:spacing w:after="0" w:line="26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762000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521208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197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1974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ectPr>
          <w:pgSz w:w="11900" w:h="16838" w:orient="portrait"/>
          <w:cols w:equalWidth="0" w:num="2">
            <w:col w:w="8400" w:space="720"/>
            <w:col w:w="759"/>
          </w:cols>
          <w:pgMar w:left="580" w:top="132"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77"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4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44" w:lineRule="exact"/>
        <w:rPr>
          <w:sz w:val="20"/>
          <w:szCs w:val="20"/>
          <w:color w:val="auto"/>
        </w:rPr>
      </w:pPr>
    </w:p>
    <w:p>
      <w:pPr>
        <w:ind w:left="1260" w:right="479"/>
        <w:spacing w:after="0" w:line="278"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line="236" w:lineRule="auto"/>
        <w:rPr>
          <w:sz w:val="20"/>
          <w:szCs w:val="20"/>
          <w:color w:val="auto"/>
        </w:rPr>
      </w:pPr>
      <w:r>
        <w:rPr>
          <w:rFonts w:ascii="Arial" w:cs="Arial" w:eastAsia="Arial" w:hAnsi="Arial"/>
          <w:sz w:val="40"/>
          <w:szCs w:val="40"/>
          <w:b w:val="1"/>
          <w:bCs w:val="1"/>
          <w:color w:val="auto"/>
        </w:rPr>
        <w:t>INFORMATION;</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INCORPORATION BY REFERENCE</w:t>
      </w:r>
      <w:r>
        <w:rPr>
          <w:rFonts w:ascii="Arial" w:cs="Arial" w:eastAsia="Arial" w:hAnsi="Arial"/>
          <w:sz w:val="40"/>
          <w:szCs w:val="40"/>
          <w:color w:val="auto"/>
        </w:rPr>
        <w: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Available Information</w:t>
      </w:r>
    </w:p>
    <w:p>
      <w:pPr>
        <w:spacing w:after="0" w:line="184"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103" w:lineRule="exact"/>
        <w:rPr>
          <w:sz w:val="20"/>
          <w:szCs w:val="20"/>
          <w:color w:val="auto"/>
        </w:rPr>
      </w:pPr>
    </w:p>
    <w:p>
      <w:pPr>
        <w:ind w:left="1260" w:right="559"/>
        <w:spacing w:after="0" w:line="282"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11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Incorporation by Reference</w:t>
      </w:r>
    </w:p>
    <w:p>
      <w:pPr>
        <w:spacing w:after="0" w:line="170"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3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39"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90" w:lineRule="exact"/>
        <w:rPr>
          <w:sz w:val="20"/>
          <w:szCs w:val="20"/>
          <w:color w:val="auto"/>
        </w:rPr>
      </w:pPr>
    </w:p>
    <w:p>
      <w:pPr>
        <w:ind w:left="1800" w:right="819" w:hanging="180"/>
        <w:spacing w:after="0" w:line="261" w:lineRule="auto"/>
        <w:tabs>
          <w:tab w:leader="none" w:pos="1800" w:val="left"/>
        </w:tabs>
        <w:numPr>
          <w:ilvl w:val="0"/>
          <w:numId w:val="37"/>
        </w:numPr>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SEC on October 19, 2020.</w:t>
        </w:r>
      </w:hyperlink>
    </w:p>
    <w:p>
      <w:pPr>
        <w:spacing w:after="0" w:line="89"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37"/>
        </w:numPr>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ind w:left="1800" w:right="619" w:hanging="180"/>
        <w:spacing w:after="0" w:line="256" w:lineRule="auto"/>
        <w:tabs>
          <w:tab w:leader="none" w:pos="1800" w:val="left"/>
        </w:tabs>
        <w:numPr>
          <w:ilvl w:val="0"/>
          <w:numId w:val="37"/>
        </w:numPr>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filed amendments and reports updating such description.</w:t>
        </w:r>
      </w:hyperlink>
    </w:p>
    <w:p>
      <w:pPr>
        <w:spacing w:after="0" w:line="134" w:lineRule="exact"/>
        <w:rPr>
          <w:rFonts w:ascii="Arial" w:cs="Arial" w:eastAsia="Arial" w:hAnsi="Arial"/>
          <w:sz w:val="18"/>
          <w:szCs w:val="18"/>
          <w:u w:val="single" w:color="auto"/>
          <w:color w:val="0000EE"/>
        </w:rPr>
      </w:pPr>
    </w:p>
    <w:p>
      <w:pPr>
        <w:ind w:left="1260" w:right="539"/>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132" w:right="1440" w:bottom="1440" w:gutter="0" w:footer="0" w:header="0"/>
        </w:sectPr>
      </w:pPr>
    </w:p>
    <w:p>
      <w:pPr>
        <w:spacing w:after="0" w:line="379"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58" w:lineRule="exact"/>
        <w:rPr>
          <w:sz w:val="20"/>
          <w:szCs w:val="20"/>
          <w:color w:val="auto"/>
        </w:rPr>
      </w:pPr>
    </w:p>
    <w:p>
      <w:pPr>
        <w:jc w:val="both"/>
        <w:ind w:left="1260" w:right="1439"/>
        <w:spacing w:after="0" w:line="291"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93"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77"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52" w:lineRule="exact"/>
        <w:rPr>
          <w:sz w:val="20"/>
          <w:szCs w:val="20"/>
          <w:color w:val="auto"/>
        </w:rPr>
      </w:pPr>
    </w:p>
    <w:p>
      <w:pPr>
        <w:jc w:val="both"/>
        <w:ind w:left="1260" w:right="719"/>
        <w:spacing w:after="0" w:line="278" w:lineRule="auto"/>
        <w:rPr>
          <w:sz w:val="20"/>
          <w:szCs w:val="20"/>
          <w:color w:val="auto"/>
        </w:rPr>
      </w:pPr>
      <w:r>
        <w:rPr>
          <w:rFonts w:ascii="Arial" w:cs="Arial" w:eastAsia="Arial" w:hAnsi="Arial"/>
          <w:sz w:val="17"/>
          <w:szCs w:val="17"/>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77"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77"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799" w:hanging="180"/>
        <w:spacing w:after="0" w:line="261"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21"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77" w:lineRule="exact"/>
        <w:rPr>
          <w:sz w:val="20"/>
          <w:szCs w:val="20"/>
          <w:color w:val="auto"/>
        </w:rPr>
      </w:pPr>
    </w:p>
    <w:p>
      <w:pPr>
        <w:jc w:val="both"/>
        <w:ind w:left="1260" w:right="899"/>
        <w:spacing w:after="0" w:line="273"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77" w:lineRule="exact"/>
        <w:rPr>
          <w:sz w:val="20"/>
          <w:szCs w:val="20"/>
          <w:color w:val="auto"/>
        </w:rPr>
      </w:pPr>
    </w:p>
    <w:p>
      <w:pPr>
        <w:ind w:left="1260" w:right="519"/>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120">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45720</wp:posOffset>
            </wp:positionV>
            <wp:extent cx="61893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397510</wp:posOffset>
            </wp:positionV>
            <wp:extent cx="1705610" cy="4718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Micron Technology, Inc.</w:t>
      </w:r>
      <w:r>
        <w:rPr>
          <w:rFonts w:ascii="Arial" w:cs="Arial" w:eastAsia="Arial" w:hAnsi="Arial"/>
          <w:sz w:val="39"/>
          <w:szCs w:val="3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$600,000,000 5.375% Senior Notes due 2028</w:t>
      </w:r>
    </w:p>
    <w:p>
      <w:pPr>
        <w:spacing w:after="0" w:line="225"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$900,000,000 5.875%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860425</wp:posOffset>
            </wp:positionV>
            <wp:extent cx="1234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226060</wp:posOffset>
            </wp:positionV>
            <wp:extent cx="1234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Joint Book-Running Managers</w:t>
      </w:r>
    </w:p>
    <w:p>
      <w:pPr>
        <w:spacing w:after="0" w:line="130" w:lineRule="exact"/>
        <w:rPr>
          <w:sz w:val="20"/>
          <w:szCs w:val="20"/>
          <w:color w:val="auto"/>
        </w:rPr>
      </w:pPr>
    </w:p>
    <w:p>
      <w:pPr>
        <w:ind w:left="500"/>
        <w:spacing w:after="0"/>
        <w:tabs>
          <w:tab w:leader="none" w:pos="5160" w:val="left"/>
          <w:tab w:leader="none" w:pos="9020" w:val="left"/>
        </w:tabs>
        <w:rPr>
          <w:sz w:val="20"/>
          <w:szCs w:val="20"/>
          <w:color w:val="auto"/>
        </w:rPr>
      </w:pPr>
      <w:r>
        <w:rPr>
          <w:rFonts w:ascii="Arial" w:cs="Arial" w:eastAsia="Arial" w:hAnsi="Arial"/>
          <w:sz w:val="22"/>
          <w:szCs w:val="22"/>
          <w:b w:val="1"/>
          <w:bCs w:val="1"/>
          <w:color w:val="auto"/>
        </w:rPr>
        <w:t>Wells Fargo Securities</w:t>
      </w:r>
      <w:r>
        <w:rPr>
          <w:sz w:val="20"/>
          <w:szCs w:val="20"/>
          <w:color w:val="auto"/>
        </w:rPr>
        <w:tab/>
      </w:r>
      <w:r>
        <w:rPr>
          <w:rFonts w:ascii="Arial" w:cs="Arial" w:eastAsia="Arial" w:hAnsi="Arial"/>
          <w:sz w:val="22"/>
          <w:szCs w:val="22"/>
          <w:b w:val="1"/>
          <w:bCs w:val="1"/>
          <w:color w:val="auto"/>
        </w:rPr>
        <w:t>BNP PARIBAS</w:t>
      </w:r>
      <w:r>
        <w:rPr>
          <w:sz w:val="20"/>
          <w:szCs w:val="20"/>
          <w:color w:val="auto"/>
        </w:rPr>
        <w:tab/>
      </w:r>
      <w:r>
        <w:rPr>
          <w:rFonts w:ascii="Arial" w:cs="Arial" w:eastAsia="Arial" w:hAnsi="Arial"/>
          <w:sz w:val="21"/>
          <w:szCs w:val="21"/>
          <w:b w:val="1"/>
          <w:bCs w:val="1"/>
          <w:color w:val="auto"/>
        </w:rPr>
        <w:t>J.P. Morgan</w:t>
      </w:r>
    </w:p>
    <w:p>
      <w:pPr>
        <w:spacing w:after="0" w:line="125" w:lineRule="exact"/>
        <w:rPr>
          <w:sz w:val="20"/>
          <w:szCs w:val="20"/>
          <w:color w:val="auto"/>
        </w:rPr>
      </w:pPr>
    </w:p>
    <w:p>
      <w:pPr>
        <w:ind w:left="2640"/>
        <w:spacing w:after="0"/>
        <w:tabs>
          <w:tab w:leader="none" w:pos="6440" w:val="left"/>
        </w:tabs>
        <w:rPr>
          <w:sz w:val="20"/>
          <w:szCs w:val="20"/>
          <w:color w:val="auto"/>
        </w:rPr>
      </w:pPr>
      <w:r>
        <w:rPr>
          <w:rFonts w:ascii="Arial" w:cs="Arial" w:eastAsia="Arial" w:hAnsi="Arial"/>
          <w:sz w:val="22"/>
          <w:szCs w:val="22"/>
          <w:b w:val="1"/>
          <w:bCs w:val="1"/>
          <w:color w:val="auto"/>
        </w:rPr>
        <w:t>Mizuho</w:t>
      </w:r>
      <w:r>
        <w:rPr>
          <w:sz w:val="20"/>
          <w:szCs w:val="20"/>
          <w:color w:val="auto"/>
        </w:rPr>
        <w:tab/>
      </w:r>
      <w:r>
        <w:rPr>
          <w:rFonts w:ascii="Arial" w:cs="Arial" w:eastAsia="Arial" w:hAnsi="Arial"/>
          <w:sz w:val="22"/>
          <w:szCs w:val="22"/>
          <w:b w:val="1"/>
          <w:bCs w:val="1"/>
          <w:color w:val="auto"/>
        </w:rPr>
        <w:t>MUFG</w:t>
      </w:r>
    </w:p>
    <w:p>
      <w:pPr>
        <w:spacing w:after="0" w:line="139" w:lineRule="exact"/>
        <w:rPr>
          <w:sz w:val="20"/>
          <w:szCs w:val="20"/>
          <w:color w:val="auto"/>
        </w:rPr>
      </w:pPr>
    </w:p>
    <w:p>
      <w:pPr>
        <w:ind w:left="500"/>
        <w:spacing w:after="0"/>
        <w:tabs>
          <w:tab w:leader="none" w:pos="3480" w:val="left"/>
          <w:tab w:leader="none" w:pos="7000" w:val="left"/>
          <w:tab w:leader="none" w:pos="9060" w:val="left"/>
        </w:tabs>
        <w:rPr>
          <w:sz w:val="20"/>
          <w:szCs w:val="20"/>
          <w:color w:val="auto"/>
        </w:rPr>
      </w:pPr>
      <w:r>
        <w:rPr>
          <w:rFonts w:ascii="Arial" w:cs="Arial" w:eastAsia="Arial" w:hAnsi="Arial"/>
          <w:sz w:val="22"/>
          <w:szCs w:val="22"/>
          <w:b w:val="1"/>
          <w:bCs w:val="1"/>
          <w:color w:val="auto"/>
        </w:rPr>
        <w:t>ANZ Securities</w:t>
      </w:r>
      <w:r>
        <w:rPr>
          <w:sz w:val="20"/>
          <w:szCs w:val="20"/>
          <w:color w:val="auto"/>
        </w:rPr>
        <w:tab/>
      </w:r>
      <w:r>
        <w:rPr>
          <w:rFonts w:ascii="Arial" w:cs="Arial" w:eastAsia="Arial" w:hAnsi="Arial"/>
          <w:sz w:val="22"/>
          <w:szCs w:val="22"/>
          <w:b w:val="1"/>
          <w:bCs w:val="1"/>
          <w:color w:val="auto"/>
        </w:rPr>
        <w:t>Credit Agricole CIB</w:t>
      </w:r>
      <w:r>
        <w:rPr>
          <w:sz w:val="20"/>
          <w:szCs w:val="20"/>
          <w:color w:val="auto"/>
        </w:rPr>
        <w:tab/>
      </w:r>
      <w:r>
        <w:rPr>
          <w:rFonts w:ascii="Arial" w:cs="Arial" w:eastAsia="Arial" w:hAnsi="Arial"/>
          <w:sz w:val="22"/>
          <w:szCs w:val="22"/>
          <w:b w:val="1"/>
          <w:bCs w:val="1"/>
          <w:color w:val="auto"/>
        </w:rPr>
        <w:t>HSBC</w:t>
      </w:r>
      <w:r>
        <w:rPr>
          <w:sz w:val="20"/>
          <w:szCs w:val="20"/>
          <w:color w:val="auto"/>
        </w:rPr>
        <w:tab/>
      </w:r>
      <w:r>
        <w:rPr>
          <w:rFonts w:ascii="Arial" w:cs="Arial" w:eastAsia="Arial" w:hAnsi="Arial"/>
          <w:sz w:val="21"/>
          <w:szCs w:val="21"/>
          <w:b w:val="1"/>
          <w:bCs w:val="1"/>
          <w:color w:val="auto"/>
        </w:rPr>
        <w:t>Scotiabank</w:t>
      </w:r>
    </w:p>
    <w:p>
      <w:pPr>
        <w:spacing w:after="0" w:line="139" w:lineRule="exact"/>
        <w:rPr>
          <w:sz w:val="20"/>
          <w:szCs w:val="20"/>
          <w:color w:val="auto"/>
        </w:rPr>
      </w:pPr>
    </w:p>
    <w:p>
      <w:pPr>
        <w:jc w:val="right"/>
        <w:ind w:right="2320"/>
        <w:spacing w:after="0"/>
        <w:tabs>
          <w:tab w:leader="none" w:pos="3960" w:val="left"/>
        </w:tabs>
        <w:rPr>
          <w:sz w:val="20"/>
          <w:szCs w:val="20"/>
          <w:color w:val="auto"/>
        </w:rPr>
      </w:pPr>
      <w:r>
        <w:rPr>
          <w:rFonts w:ascii="Arial" w:cs="Arial" w:eastAsia="Arial" w:hAnsi="Arial"/>
          <w:sz w:val="22"/>
          <w:szCs w:val="22"/>
          <w:b w:val="1"/>
          <w:bCs w:val="1"/>
          <w:color w:val="auto"/>
        </w:rPr>
        <w:t>TD Securities</w:t>
      </w:r>
      <w:r>
        <w:rPr>
          <w:sz w:val="20"/>
          <w:szCs w:val="20"/>
          <w:color w:val="auto"/>
        </w:rPr>
        <w:tab/>
      </w:r>
      <w:r>
        <w:rPr>
          <w:rFonts w:ascii="Arial" w:cs="Arial" w:eastAsia="Arial" w:hAnsi="Arial"/>
          <w:sz w:val="21"/>
          <w:szCs w:val="21"/>
          <w:b w:val="1"/>
          <w:bCs w:val="1"/>
          <w:color w:val="auto"/>
        </w:rPr>
        <w:t>Truist Securities</w:t>
      </w:r>
    </w:p>
    <w:p>
      <w:pPr>
        <w:spacing w:after="0" w:line="152"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Co-Managers</w:t>
      </w:r>
    </w:p>
    <w:p>
      <w:pPr>
        <w:spacing w:after="0" w:line="154" w:lineRule="exact"/>
        <w:rPr>
          <w:sz w:val="20"/>
          <w:szCs w:val="20"/>
          <w:color w:val="auto"/>
        </w:rPr>
      </w:pPr>
    </w:p>
    <w:p>
      <w:pPr>
        <w:ind w:left="500"/>
        <w:spacing w:after="0"/>
        <w:tabs>
          <w:tab w:leader="none" w:pos="2200" w:val="left"/>
          <w:tab w:leader="none" w:pos="4560" w:val="left"/>
          <w:tab w:leader="none" w:pos="7380" w:val="left"/>
          <w:tab w:leader="none" w:pos="9080" w:val="left"/>
        </w:tabs>
        <w:rPr>
          <w:sz w:val="20"/>
          <w:szCs w:val="20"/>
          <w:color w:val="auto"/>
        </w:rPr>
      </w:pPr>
      <w:r>
        <w:rPr>
          <w:rFonts w:ascii="Arial" w:cs="Arial" w:eastAsia="Arial" w:hAnsi="Arial"/>
          <w:sz w:val="18"/>
          <w:szCs w:val="18"/>
          <w:b w:val="1"/>
          <w:bCs w:val="1"/>
          <w:color w:val="auto"/>
        </w:rPr>
        <w:t>Barclays</w:t>
      </w:r>
      <w:r>
        <w:rPr>
          <w:sz w:val="20"/>
          <w:szCs w:val="20"/>
          <w:color w:val="auto"/>
        </w:rPr>
        <w:tab/>
      </w:r>
      <w:r>
        <w:rPr>
          <w:rFonts w:ascii="Arial" w:cs="Arial" w:eastAsia="Arial" w:hAnsi="Arial"/>
          <w:sz w:val="18"/>
          <w:szCs w:val="18"/>
          <w:b w:val="1"/>
          <w:bCs w:val="1"/>
          <w:color w:val="auto"/>
        </w:rPr>
        <w:t>BofA Securities</w:t>
      </w:r>
      <w:r>
        <w:rPr>
          <w:sz w:val="20"/>
          <w:szCs w:val="20"/>
          <w:color w:val="auto"/>
        </w:rPr>
        <w:tab/>
      </w:r>
      <w:r>
        <w:rPr>
          <w:rFonts w:ascii="Arial" w:cs="Arial" w:eastAsia="Arial" w:hAnsi="Arial"/>
          <w:sz w:val="18"/>
          <w:szCs w:val="18"/>
          <w:b w:val="1"/>
          <w:bCs w:val="1"/>
          <w:color w:val="auto"/>
        </w:rPr>
        <w:t>CIBC Capital Markets</w:t>
      </w:r>
      <w:r>
        <w:rPr>
          <w:sz w:val="20"/>
          <w:szCs w:val="20"/>
          <w:color w:val="auto"/>
        </w:rPr>
        <w:tab/>
      </w: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7"/>
          <w:szCs w:val="17"/>
          <w:b w:val="1"/>
          <w:bCs w:val="1"/>
          <w:color w:val="auto"/>
        </w:rPr>
        <w:t>Credit Suisse</w:t>
      </w:r>
    </w:p>
    <w:p>
      <w:pPr>
        <w:spacing w:after="0" w:line="144" w:lineRule="exact"/>
        <w:rPr>
          <w:sz w:val="20"/>
          <w:szCs w:val="20"/>
          <w:color w:val="auto"/>
        </w:rPr>
      </w:pPr>
    </w:p>
    <w:p>
      <w:pPr>
        <w:ind w:left="500"/>
        <w:spacing w:after="0"/>
        <w:tabs>
          <w:tab w:leader="none" w:pos="1620" w:val="left"/>
          <w:tab w:leader="none" w:pos="4980" w:val="left"/>
          <w:tab w:leader="none" w:pos="7840" w:val="left"/>
          <w:tab w:leader="none" w:pos="1012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8"/>
          <w:szCs w:val="18"/>
          <w:b w:val="1"/>
          <w:bCs w:val="1"/>
          <w:color w:val="auto"/>
        </w:rPr>
        <w:t>ICBC Standard Bank</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7"/>
          <w:szCs w:val="7"/>
          <w:b w:val="1"/>
          <w:bCs w:val="1"/>
          <w:color w:val="auto"/>
        </w:rPr>
        <w:t> </w:t>
      </w:r>
    </w:p>
    <w:p>
      <w:pPr>
        <w:spacing w:after="0" w:line="171" w:lineRule="exact"/>
        <w:rPr>
          <w:sz w:val="20"/>
          <w:szCs w:val="20"/>
          <w:color w:val="auto"/>
        </w:rPr>
      </w:pPr>
    </w:p>
    <w:p>
      <w:pPr>
        <w:ind w:left="500"/>
        <w:spacing w:after="0"/>
        <w:tabs>
          <w:tab w:leader="none" w:pos="3320" w:val="left"/>
          <w:tab w:leader="none" w:pos="6540" w:val="left"/>
          <w:tab w:leader="none" w:pos="9200" w:val="left"/>
        </w:tabs>
        <w:rPr>
          <w:sz w:val="20"/>
          <w:szCs w:val="20"/>
          <w:color w:val="auto"/>
        </w:rPr>
      </w:pPr>
      <w:r>
        <w:rPr>
          <w:rFonts w:ascii="Arial" w:cs="Arial" w:eastAsia="Arial" w:hAnsi="Arial"/>
          <w:sz w:val="18"/>
          <w:szCs w:val="18"/>
          <w:b w:val="1"/>
          <w:bCs w:val="1"/>
          <w:color w:val="auto"/>
        </w:rPr>
        <w:t>PNC Capital Markets LLC</w:t>
      </w:r>
      <w:r>
        <w:rPr>
          <w:sz w:val="20"/>
          <w:szCs w:val="20"/>
          <w:color w:val="auto"/>
        </w:rPr>
        <w:tab/>
      </w:r>
      <w:r>
        <w:rPr>
          <w:rFonts w:ascii="Arial" w:cs="Arial" w:eastAsia="Arial" w:hAnsi="Arial"/>
          <w:sz w:val="18"/>
          <w:szCs w:val="18"/>
          <w:b w:val="1"/>
          <w:bCs w:val="1"/>
          <w:color w:val="auto"/>
        </w:rPr>
        <w:t>RBC Capital Markets</w:t>
      </w:r>
      <w:r>
        <w:rPr>
          <w:sz w:val="20"/>
          <w:szCs w:val="20"/>
          <w:color w:val="auto"/>
        </w:rPr>
        <w:tab/>
      </w:r>
      <w:r>
        <w:rPr>
          <w:rFonts w:ascii="Arial" w:cs="Arial" w:eastAsia="Arial" w:hAnsi="Arial"/>
          <w:sz w:val="18"/>
          <w:szCs w:val="18"/>
          <w:b w:val="1"/>
          <w:bCs w:val="1"/>
          <w:color w:val="auto"/>
        </w:rPr>
        <w:t>Siebert Williams Shank</w:t>
      </w:r>
      <w:r>
        <w:rPr>
          <w:sz w:val="20"/>
          <w:szCs w:val="20"/>
          <w:color w:val="auto"/>
        </w:rPr>
        <w:tab/>
      </w:r>
      <w:r>
        <w:rPr>
          <w:rFonts w:ascii="Arial" w:cs="Arial" w:eastAsia="Arial" w:hAnsi="Arial"/>
          <w:sz w:val="17"/>
          <w:szCs w:val="17"/>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808990</wp:posOffset>
            </wp:positionV>
            <wp:extent cx="61893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40"/>
          </w:cols>
          <w:pgMar w:left="580" w:top="132" w:right="1079" w:bottom="1440" w:gutter="0" w:footer="0" w:header="0"/>
        </w:sectPr>
      </w:pPr>
    </w:p>
    <w:bookmarkStart w:id="63" w:name="page64"/>
    <w:bookmarkEnd w:id="63"/>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424(b)(5)</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(Form Type)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8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Filing Fee</w:t>
            </w:r>
          </w:p>
        </w:tc>
        <w:tc>
          <w:tcPr>
            <w:tcW w:w="0" w:type="dxa"/>
            <w:vAlign w:val="bottom"/>
          </w:tcPr>
          <w:p>
            <w:pPr>
              <w:spacing w:after="0"/>
              <w:rPr>
                <w:sz w:val="1"/>
                <w:szCs w:val="1"/>
                <w:color w:val="auto"/>
              </w:rPr>
            </w:pP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Previously Paid</w:t>
            </w: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Fee</w:t>
            </w: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In Connection</w:t>
            </w: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8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Carry</w:t>
            </w:r>
          </w:p>
        </w:tc>
        <w:tc>
          <w:tcPr>
            <w:tcW w:w="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with Unsold</w:t>
            </w: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Calculation</w:t>
            </w:r>
          </w:p>
        </w:tc>
        <w:tc>
          <w:tcPr>
            <w:tcW w:w="8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9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7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Initial</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w w:val="91"/>
              </w:rPr>
              <w:t>Security Type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Class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or Carry</w:t>
            </w:r>
          </w:p>
        </w:tc>
        <w:tc>
          <w:tcPr>
            <w:tcW w:w="8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14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effective</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to be Carried</w:t>
            </w:r>
          </w:p>
        </w:tc>
        <w:tc>
          <w:tcPr>
            <w:tcW w:w="0" w:type="dxa"/>
            <w:vAlign w:val="bottom"/>
          </w:tcPr>
          <w:p>
            <w:pPr>
              <w:spacing w:after="0"/>
              <w:rPr>
                <w:sz w:val="1"/>
                <w:szCs w:val="1"/>
                <w:color w:val="auto"/>
              </w:rPr>
            </w:pPr>
          </w:p>
        </w:tc>
      </w:tr>
      <w:tr>
        <w:trPr>
          <w:trHeight w:val="171"/>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Forward Rule</w:t>
            </w:r>
          </w:p>
        </w:tc>
        <w:tc>
          <w:tcPr>
            <w:tcW w:w="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w w:val="99"/>
              </w:rPr>
              <w:t>Registered</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Form 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90"/>
              </w:rPr>
              <w:t>Newly Registered Securities</w:t>
            </w:r>
          </w:p>
        </w:tc>
        <w:tc>
          <w:tcPr>
            <w:tcW w:w="1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Debt</w:t>
            </w:r>
          </w:p>
        </w:tc>
        <w:tc>
          <w:tcPr>
            <w:tcW w:w="8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5.375%</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457(r)</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$600,000,000</w:t>
            </w:r>
          </w:p>
        </w:tc>
        <w:tc>
          <w:tcPr>
            <w:tcW w:w="9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99.882%</w:t>
            </w:r>
          </w:p>
        </w:tc>
        <w:tc>
          <w:tcPr>
            <w:tcW w:w="9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$599,292,000</w:t>
            </w:r>
          </w:p>
        </w:tc>
        <w:tc>
          <w:tcPr>
            <w:tcW w:w="6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0.0001102</w:t>
            </w:r>
          </w:p>
        </w:tc>
        <w:tc>
          <w:tcPr>
            <w:tcW w:w="14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$66,041.98</w:t>
            </w: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Fees to Be</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Senior</w:t>
            </w: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Paid</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Notes due</w:t>
            </w: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2028</w:t>
            </w:r>
          </w:p>
        </w:tc>
        <w:tc>
          <w:tcPr>
            <w:tcW w:w="88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tcBorders>
              <w:left w:val="single" w:sz="8" w:color="auto"/>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Debt</w:t>
            </w:r>
          </w:p>
        </w:tc>
        <w:tc>
          <w:tcPr>
            <w:tcW w:w="8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5.875%</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457(r)</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$900,000,000</w:t>
            </w:r>
          </w:p>
        </w:tc>
        <w:tc>
          <w:tcPr>
            <w:tcW w:w="9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99.505%</w:t>
            </w:r>
          </w:p>
        </w:tc>
        <w:tc>
          <w:tcPr>
            <w:tcW w:w="9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$895,545,000</w:t>
            </w:r>
          </w:p>
        </w:tc>
        <w:tc>
          <w:tcPr>
            <w:tcW w:w="6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0.0001102</w:t>
            </w:r>
          </w:p>
        </w:tc>
        <w:tc>
          <w:tcPr>
            <w:tcW w:w="14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$98,689.06</w:t>
            </w: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Fees to Be</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Senior</w:t>
            </w: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Paid</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Notes due</w:t>
            </w: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2033</w:t>
            </w:r>
          </w:p>
        </w:tc>
        <w:tc>
          <w:tcPr>
            <w:tcW w:w="88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Fees</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4"/>
              </w:rPr>
              <w:t>-</w:t>
            </w:r>
          </w:p>
        </w:tc>
        <w:tc>
          <w:tcPr>
            <w:tcW w:w="9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4"/>
              </w:rPr>
              <w:t>-</w:t>
            </w: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Previously</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Paid</w:t>
            </w:r>
          </w:p>
        </w:tc>
        <w:tc>
          <w:tcPr>
            <w:tcW w:w="8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left="288"/>
              <w:spacing w:after="0"/>
              <w:rPr>
                <w:sz w:val="20"/>
                <w:szCs w:val="20"/>
                <w:color w:val="auto"/>
              </w:rPr>
            </w:pPr>
            <w:r>
              <w:rPr>
                <w:rFonts w:ascii="Arial" w:cs="Arial" w:eastAsia="Arial" w:hAnsi="Arial"/>
                <w:sz w:val="14"/>
                <w:szCs w:val="14"/>
                <w:b w:val="1"/>
                <w:bCs w:val="1"/>
                <w:color w:val="auto"/>
                <w:w w:val="96"/>
              </w:rPr>
              <w:t>Carry Forward Securities</w:t>
            </w:r>
          </w:p>
        </w:tc>
        <w:tc>
          <w:tcPr>
            <w:tcW w:w="1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78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Carry</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4"/>
              </w:rPr>
              <w:t>-</w:t>
            </w:r>
          </w:p>
        </w:tc>
        <w:tc>
          <w:tcPr>
            <w:tcW w:w="5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4"/>
              </w:rPr>
              <w:t>-</w:t>
            </w:r>
          </w:p>
        </w:tc>
        <w:tc>
          <w:tcPr>
            <w:tcW w:w="10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Forward</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Securities</w:t>
            </w:r>
          </w:p>
        </w:tc>
        <w:tc>
          <w:tcPr>
            <w:tcW w:w="8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Total Offering Amounts</w:t>
            </w:r>
          </w:p>
        </w:tc>
        <w:tc>
          <w:tcPr>
            <w:tcW w:w="8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$1,494,837,000</w:t>
            </w:r>
          </w:p>
        </w:tc>
        <w:tc>
          <w:tcPr>
            <w:tcW w:w="68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$164,731.04</w:t>
            </w:r>
          </w:p>
        </w:tc>
        <w:tc>
          <w:tcPr>
            <w:tcW w:w="7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Total Fees Previously Paid</w:t>
            </w:r>
          </w:p>
        </w:tc>
        <w:tc>
          <w:tcPr>
            <w:tcW w:w="8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7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Total Fee Offsets</w:t>
            </w:r>
          </w:p>
        </w:tc>
        <w:tc>
          <w:tcPr>
            <w:tcW w:w="8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7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rPr>
              <w:t>Net Fee Due</w:t>
            </w: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$164,731.04</w:t>
            </w:r>
          </w:p>
        </w:tc>
        <w:tc>
          <w:tcPr>
            <w:tcW w:w="7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Final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lowerLetter"/>
      <w:start w:val="2"/>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2"/>
    </w:lvl>
  </w:abstractNum>
  <w:abstractNum w:abstractNumId="19">
    <w:nsid w:val="8138641"/>
    <w:multiLevelType w:val="hybridMultilevel"/>
    <w:lvl w:ilvl="0">
      <w:lvlJc w:val="left"/>
      <w:lvlText w:val="(%1)"/>
      <w:numFmt w:val="decimal"/>
      <w:start w:val="2"/>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Roman"/>
      <w:start w:val="10"/>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1"/>
    </w:lvl>
    <w:lvl w:ilvl="1">
      <w:lvlJc w:val="left"/>
      <w:lvlText w:val="(%2)"/>
      <w:numFmt w:val="lowerRoman"/>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jpe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jpe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31" Type="http://schemas.openxmlformats.org/officeDocument/2006/relationships/hyperlink" Target="http://www.sec.gov/ix?doc=/Archives/edgar/data/723125/000072312522000048/mu-20220901.htm" TargetMode="External"/><Relationship Id="rId32" Type="http://schemas.openxmlformats.org/officeDocument/2006/relationships/hyperlink" Target="http://www.sec.gov/ix?doc=/Archives/edgar/data/723125/000072312523000022/mu-20230302.htm" TargetMode="External"/><Relationship Id="rId98" Type="http://schemas.openxmlformats.org/officeDocument/2006/relationships/hyperlink" Target="http://www.sec.gov/ix?doc=/Archives/edgar/data/723125/000072312522000072/mu-20221201.htm" TargetMode="External"/><Relationship Id="rId99" Type="http://schemas.openxmlformats.org/officeDocument/2006/relationships/hyperlink" Target="http://www.sec.gov/Archives/edgar/data/723125/000072312522000063/a2022definitiveproxy.htm" TargetMode="External"/><Relationship Id="rId100" Type="http://schemas.openxmlformats.org/officeDocument/2006/relationships/hyperlink" Target="http://www.sec.gov/ix?doc=/Archives/edgar/data/723125/000072312522000051/mu-20221031.htm" TargetMode="External"/><Relationship Id="rId101" Type="http://schemas.openxmlformats.org/officeDocument/2006/relationships/hyperlink" Target="http://www.sec.gov/ix?doc=/Archives/edgar/data/723125/000072312522000053/mu-20221103.htm" TargetMode="External"/><Relationship Id="rId102" Type="http://schemas.openxmlformats.org/officeDocument/2006/relationships/hyperlink" Target="http://www.sec.gov/ix?doc=/Archives/edgar/data/723125/000072312522000070/mu-20221221.htm" TargetMode="External"/><Relationship Id="rId103" Type="http://schemas.openxmlformats.org/officeDocument/2006/relationships/hyperlink" Target="http://www.sec.gov/ix?doc=/Archives/edgar/data/723125/000072312523000004/mu-20230105.htm" TargetMode="External"/><Relationship Id="rId104" Type="http://schemas.openxmlformats.org/officeDocument/2006/relationships/hyperlink" Target="http://www.sec.gov/ix?doc=/Archives/edgar/data/723125/000072312523000007/mu-20230112.htm" TargetMode="External"/><Relationship Id="rId105" Type="http://schemas.openxmlformats.org/officeDocument/2006/relationships/hyperlink" Target="http://www.sec.gov/ix?doc=/Archives/edgar/data/723125/000072312523000014/mu-20230209.htm" TargetMode="External"/><Relationship Id="rId106" Type="http://schemas.openxmlformats.org/officeDocument/2006/relationships/hyperlink" Target="http://www.sec.gov/ix?doc=/Archives/edgar/data/723125/000072312523000011/mu-20230205.htm" TargetMode="External"/><Relationship Id="rId120" Type="http://schemas.openxmlformats.org/officeDocument/2006/relationships/hyperlink" Target="http://www.sec.gov/ix?doc=/Archives/edgar/data/723125/000072312520000082/mu-20200903.htm" TargetMode="External"/><Relationship Id="rId121" Type="http://schemas.openxmlformats.org/officeDocument/2006/relationships/hyperlink" Target="http://www.sec.gov/ix?doc=/Archives/edgar/data/723125/000072312520000074/mu-20200921.htm" TargetMode="External"/><Relationship Id="rId122"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2023-04-07T05:13:30Z</dcterms:created>
  <dcterms:modified xsi:type="dcterms:W3CDTF">2023-04-07T05:13:30Z</dcterms:modified>
</cp:coreProperties>
</file>