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31, 2022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5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On October 31, 2022, Micron Technology, Inc. (“Micron”) settled its offering of $750,000,000 aggregate principal amount of 6.750% senior notes due 2029 (the “Notes”). The Notes were issued and sold in a public offering pursuant to a registration statement on Form S-3 (File No.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333-249838), including the prospectus contained therein (the “Base Prospectus”), filed with the Securities and Exchange Commission under the Securities Act of 1933, as amended, a preliminary prospectus supplement dated October 26, 2022, a related final prospectus supplement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 (together with the Base Prospectus, the “Prospectus”), and a free writing prospectus dated October 26, 2022.</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Notes were issued pursuant to an indenture, dated as of February 6, 2019 (the “Base Indenture”), as supplemented by a fifth supplemental indenture, dated as of October 31, 2022 (the “Supplemental Indenture” and referred to together with the Base Indenture as the “Indenture”), between Micron and U.S. Bank Trust Company, National Association (as successor in interest to U.S. Bank National Association), as trustee. The Indenture contains certain covenants, events of default and other customary provisions.</w:t>
      </w:r>
    </w:p>
    <w:p>
      <w:pPr>
        <w:spacing w:after="0" w:line="23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Notes bear interest at a rate of 6.750% per year and will mature on November 1, 2029. Interest on the Notes is payable on May 1 and November 1 of each year, beginning on May 1, 2023.</w:t>
      </w:r>
    </w:p>
    <w:p>
      <w:pPr>
        <w:spacing w:after="0" w:line="224"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Micron may redeem the Notes, in whole or in part, at any time and from time to time, at a redemption price equal to the greater of (i)(a) the sum of the present values of the remaining scheduled payments of principal and interest thereon discounted to the redemption date (assuming the Notes matured on the Par Call Date (as defined below)) on a semi-annual basis (assuming a 360-day year consisting of</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twelve 30-day months) at the then current treasury rate plus 40 basis points, less (b) interest accrued to the date of redemption, and (ii) 100% of the principal amount of the Notes to be redeemed, and plus, in each case, accrued and unpaid interest, if any, on the amount being</w:t>
      </w:r>
    </w:p>
    <w:p>
      <w:pPr>
        <w:spacing w:after="0" w:line="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redeemed to, but excluding, the date of redemption. In addition, Micron may redeem any Notes on or after the Par Call Date at a redemption price equal to 100% of the principal amount of the Notes to be redeemed, plus accrued and unpaid interest, if any, to, but excluding, the date of redemption. The “Par Call Date” for the Notes means September 1, 2029 (two months prior to the maturity date).</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at a price equal to 101% of the principal amount of the Notes repurchased, plus accrued and unpaid interest, if any.</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Indenture contains limited affirmative and negative covenants of Micron, each of which is subject to a number of limitations and exceptions in the Indenture. The negative covenants restrict the ability of Micron and certain of its subsidiaries to incur liens on Principal Property (as defined in the Indenture); to engage in sale and lease-back transactions with respect to any Principal Property; and the ability of Micron to consolidate, merge or convey, transfer or lease all or substantially all of its properties and assets.</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Events of default under the Indenture include a failure to make payments, non-performance of affirmative and negative covenants, and the occurrence of bankruptcy and insolvency-related events. Micron’s obligations may be accelerated upon an event of default, in which case the entire principal amount of the Notes would become immediately due and payable.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Micron intends to use the net proceeds from the sale of the Notes for general corporate purposes, which may include capital expenditures.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description of certain terms of the Indenture does not purport to be complete and is qualified in its entirety by reference to the full text of the Base Indenture, the Supplemental Indenture, and the form of the Notes, which are filed with this report as Exhibits 4.1, 4.2, and 4.3 respectively.</w:t>
      </w:r>
    </w:p>
    <w:p>
      <w:pPr>
        <w:spacing w:after="0" w:line="26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6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October 31, 2022 regarding the legality of the Notes. A copy of the opinion is filed as Exhibit 5.1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34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(d) Exhibits.</w:t>
            </w:r>
          </w:p>
        </w:tc>
      </w:tr>
      <w:tr>
        <w:trPr>
          <w:trHeight w:val="351"/>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83"/>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10"/>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Indenture, dated February 6, 2019, by and between Micron Technology, Inc. and U.S. Bank Trust Company, National</w:t>
              </w:r>
            </w:hyperlink>
          </w:p>
        </w:tc>
      </w:tr>
      <w:tr>
        <w:trPr>
          <w:trHeight w:val="155"/>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8">
              <w:r>
                <w:rPr>
                  <w:rFonts w:ascii="Arial" w:cs="Arial" w:eastAsia="Arial" w:hAnsi="Arial"/>
                  <w:sz w:val="18"/>
                  <w:szCs w:val="18"/>
                  <w:color w:val="0000FF"/>
                </w:rPr>
                <w:t>Association, as Trustee, filed as Exhibit 4.1 to Micron’s Form 8-K filed on February 6, 2019</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Arial" w:cs="Arial" w:eastAsia="Arial" w:hAnsi="Arial"/>
                <w:sz w:val="18"/>
                <w:szCs w:val="18"/>
                <w:color w:val="0000FF"/>
              </w:rPr>
              <w:t>Fifth Supplemental Indenture, dated October 31, 2022, by and between Micron Technology, Inc. and U.S. Bank Trust</w:t>
            </w: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Company, National Association, as Trustee</w:t>
            </w: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Arial" w:cs="Arial" w:eastAsia="Arial" w:hAnsi="Arial"/>
                <w:sz w:val="18"/>
                <w:szCs w:val="18"/>
                <w:color w:val="0000FF"/>
              </w:rPr>
              <w:t>Form of Note for Micron Technology, Inc.’s 6.750% Senior Notes due 2029 (incorporated by reference from Exhibit 4.2</w:t>
            </w: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hereto)</w:t>
            </w: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Opinion of Wilson Sonsini Goodrich &amp; Rosati, Professional Corporation</w:t>
            </w:r>
          </w:p>
        </w:tc>
        <w:tc>
          <w:tcPr>
            <w:tcW w:w="3980" w:type="dxa"/>
            <w:vAlign w:val="bottom"/>
            <w:gridSpan w:val="7"/>
          </w:tcPr>
          <w:p>
            <w:pPr>
              <w:spacing w:after="0"/>
              <w:rPr>
                <w:sz w:val="19"/>
                <w:szCs w:val="19"/>
                <w:color w:val="auto"/>
              </w:rPr>
            </w:pPr>
          </w:p>
        </w:tc>
      </w:tr>
      <w:tr>
        <w:trPr>
          <w:trHeight w:val="210"/>
        </w:trPr>
        <w:tc>
          <w:tcPr>
            <w:tcW w:w="13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0"/>
          </w:tcPr>
          <w:p>
            <w:pPr>
              <w:spacing w:after="0"/>
              <w:rPr>
                <w:sz w:val="20"/>
                <w:szCs w:val="20"/>
                <w:color w:val="auto"/>
              </w:rPr>
            </w:pPr>
            <w:r>
              <w:rPr>
                <w:rFonts w:ascii="Arial" w:cs="Arial" w:eastAsia="Arial" w:hAnsi="Arial"/>
                <w:sz w:val="18"/>
                <w:szCs w:val="18"/>
                <w:color w:val="0000FF"/>
              </w:rPr>
              <w:t>Consent of Wilson Sonsini Goodrich &amp; Rosati, Professional Corporation (included in Exhibit 5.1)</w:t>
            </w:r>
          </w:p>
        </w:tc>
      </w:tr>
      <w:tr>
        <w:trPr>
          <w:trHeight w:val="25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20" w:type="dxa"/>
            <w:vAlign w:val="bottom"/>
            <w:gridSpan w:val="5"/>
          </w:tcPr>
          <w:p>
            <w:pPr>
              <w:spacing w:after="0"/>
              <w:rPr>
                <w:sz w:val="21"/>
                <w:szCs w:val="21"/>
                <w:color w:val="auto"/>
              </w:rPr>
            </w:pPr>
          </w:p>
        </w:tc>
      </w:tr>
      <w:tr>
        <w:trPr>
          <w:trHeight w:val="1208"/>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684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800" w:type="dxa"/>
            <w:vAlign w:val="bottom"/>
          </w:tcPr>
          <w:p>
            <w:pPr>
              <w:spacing w:after="0"/>
              <w:rPr>
                <w:sz w:val="20"/>
                <w:szCs w:val="20"/>
                <w:color w:val="auto"/>
              </w:rPr>
            </w:pPr>
            <w:r>
              <w:rPr>
                <w:rFonts w:ascii="Arial" w:cs="Arial" w:eastAsia="Arial" w:hAnsi="Arial"/>
                <w:sz w:val="18"/>
                <w:szCs w:val="18"/>
                <w:color w:val="auto"/>
              </w:rPr>
              <w:t>Date:   October 31, 2022</w:t>
            </w:r>
          </w:p>
        </w:tc>
        <w:tc>
          <w:tcPr>
            <w:tcW w:w="2580" w:type="dxa"/>
            <w:vAlign w:val="bottom"/>
          </w:tcPr>
          <w:p>
            <w:pPr>
              <w:ind w:left="168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23"/>
        </w:trPr>
        <w:tc>
          <w:tcPr>
            <w:tcW w:w="3800" w:type="dxa"/>
            <w:vAlign w:val="bottom"/>
          </w:tcPr>
          <w:p>
            <w:pPr>
              <w:spacing w:after="0"/>
              <w:rPr>
                <w:sz w:val="19"/>
                <w:szCs w:val="19"/>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0"/>
        </w:trPr>
        <w:tc>
          <w:tcPr>
            <w:tcW w:w="3800" w:type="dxa"/>
            <w:vAlign w:val="bottom"/>
          </w:tcPr>
          <w:p>
            <w:pPr>
              <w:spacing w:after="0"/>
              <w:rPr>
                <w:sz w:val="19"/>
                <w:szCs w:val="19"/>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00"/>
          </w:cols>
          <w:pgMar w:left="320" w:top="112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MICRON TECHNOLOGY, INC.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$750,000,000 6.750% SENIOR NOTES DUE 2029</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FIFTH SUPPLEMENTAL INDENTURE</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Dated as of October 31, 2022</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To</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INDENTURE</w:t>
      </w:r>
    </w:p>
    <w:p>
      <w:pPr>
        <w:spacing w:after="0" w:line="3" w:lineRule="exact"/>
        <w:rPr>
          <w:sz w:val="20"/>
          <w:szCs w:val="20"/>
          <w:color w:val="auto"/>
        </w:rPr>
      </w:pPr>
    </w:p>
    <w:p>
      <w:pPr>
        <w:jc w:val="center"/>
        <w:ind w:left="1620" w:right="2720"/>
        <w:spacing w:after="0" w:line="538" w:lineRule="auto"/>
        <w:rPr>
          <w:sz w:val="20"/>
          <w:szCs w:val="20"/>
          <w:color w:val="auto"/>
        </w:rPr>
      </w:pPr>
      <w:r>
        <w:rPr>
          <w:rFonts w:ascii="Arial" w:cs="Arial" w:eastAsia="Arial" w:hAnsi="Arial"/>
          <w:sz w:val="22"/>
          <w:szCs w:val="22"/>
          <w:b w:val="1"/>
          <w:bCs w:val="1"/>
          <w:color w:val="auto"/>
        </w:rPr>
        <w:t>Dated as of February 6, 2019 U.S. BANK TRUST COMPANY, NATIONAL ASSOCIATION Trustee</w:t>
      </w:r>
    </w:p>
    <w:p>
      <w:pPr>
        <w:sectPr>
          <w:pgSz w:w="11900" w:h="16838" w:orient="portrait"/>
          <w:cols w:equalWidth="0" w:num="1">
            <w:col w:w="10120"/>
          </w:cols>
          <w:pgMar w:left="1440" w:top="141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846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r>
      <w:tr>
        <w:trPr>
          <w:trHeight w:val="494"/>
        </w:trPr>
        <w:tc>
          <w:tcPr>
            <w:tcW w:w="8460" w:type="dxa"/>
            <w:vAlign w:val="bottom"/>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Relationship with Base Indenture</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8460" w:type="dxa"/>
            <w:vAlign w:val="bottom"/>
          </w:tcPr>
          <w:p>
            <w:pPr>
              <w:spacing w:after="0"/>
              <w:rPr>
                <w:sz w:val="20"/>
                <w:szCs w:val="20"/>
                <w:color w:val="auto"/>
              </w:rPr>
            </w:pPr>
            <w:r>
              <w:rPr>
                <w:rFonts w:ascii="Arial" w:cs="Arial" w:eastAsia="Arial" w:hAnsi="Arial"/>
                <w:sz w:val="18"/>
                <w:szCs w:val="18"/>
                <w:color w:val="auto"/>
              </w:rPr>
              <w:t>ARTICLE 2. THE NOTES</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and Dating</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Transfer and Exchange</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Issuance of Additional Notes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5"/>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Execution and Authentication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8460" w:type="dxa"/>
            <w:vAlign w:val="bottom"/>
          </w:tcPr>
          <w:p>
            <w:pPr>
              <w:spacing w:after="0"/>
              <w:rPr>
                <w:sz w:val="20"/>
                <w:szCs w:val="20"/>
                <w:color w:val="auto"/>
              </w:rPr>
            </w:pPr>
            <w:r>
              <w:rPr>
                <w:rFonts w:ascii="Arial" w:cs="Arial" w:eastAsia="Arial" w:hAnsi="Arial"/>
                <w:sz w:val="18"/>
                <w:szCs w:val="18"/>
                <w:color w:val="auto"/>
              </w:rPr>
              <w:t>ARTICLE 3. REDEMPTION AND PREPAYMENT</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5"/>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Optional Redemption</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8460" w:type="dxa"/>
            <w:vAlign w:val="bottom"/>
          </w:tcPr>
          <w:p>
            <w:pPr>
              <w:spacing w:after="0"/>
              <w:rPr>
                <w:sz w:val="20"/>
                <w:szCs w:val="20"/>
                <w:color w:val="auto"/>
              </w:rPr>
            </w:pPr>
            <w:r>
              <w:rPr>
                <w:rFonts w:ascii="Arial" w:cs="Arial" w:eastAsia="Arial" w:hAnsi="Arial"/>
                <w:sz w:val="18"/>
                <w:szCs w:val="18"/>
                <w:color w:val="auto"/>
              </w:rPr>
              <w:t>ARTICLE 4. PARTICULAR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Offer to Purchase Upon Change of Control Triggering Event</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Liens</w:t>
            </w:r>
          </w:p>
        </w:tc>
        <w:tc>
          <w:tcPr>
            <w:tcW w:w="2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Sale and Lease Back Transactions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5"/>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460" w:type="dxa"/>
            <w:vAlign w:val="bottom"/>
          </w:tcPr>
          <w:p>
            <w:pPr>
              <w:spacing w:after="0"/>
              <w:rPr>
                <w:sz w:val="20"/>
                <w:szCs w:val="20"/>
                <w:color w:val="auto"/>
              </w:rPr>
            </w:pPr>
            <w:r>
              <w:rPr>
                <w:rFonts w:ascii="Arial" w:cs="Arial" w:eastAsia="Arial" w:hAnsi="Arial"/>
                <w:sz w:val="18"/>
                <w:szCs w:val="18"/>
                <w:color w:val="auto"/>
              </w:rPr>
              <w:t>ARTICLE 5. SATISFACTION AND DISCHARGE; DEFEASANCE</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5.1. Satisfaction and Discharge of Indenture</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5.2. Legal Defeasance of Securities of any Series</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5.3. Covenant Defeasance</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8460" w:type="dxa"/>
            <w:vAlign w:val="bottom"/>
          </w:tcPr>
          <w:p>
            <w:pPr>
              <w:spacing w:after="0"/>
              <w:rPr>
                <w:sz w:val="20"/>
                <w:szCs w:val="20"/>
                <w:color w:val="auto"/>
              </w:rPr>
            </w:pPr>
            <w:r>
              <w:rPr>
                <w:rFonts w:ascii="Arial" w:cs="Arial" w:eastAsia="Arial" w:hAnsi="Arial"/>
                <w:sz w:val="18"/>
                <w:szCs w:val="18"/>
                <w:color w:val="auto"/>
              </w:rPr>
              <w:t>ARTICLE 6. MISCELLANEOUS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5"/>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Trust Indenture Act Controls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6.2. Governing Law</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6.3. Successors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6.4. Severability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6.5. Counterpart Originals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6.6. Table of Contents, Headings, Etc.</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6.7. Waiver of Jury Trial</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6.8. Interpretation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6.9. Instruction by Electronic Transmissions</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6.10. 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6.11. Miscellaneous</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88"/>
        </w:trPr>
        <w:tc>
          <w:tcPr>
            <w:tcW w:w="8460" w:type="dxa"/>
            <w:vAlign w:val="bottom"/>
          </w:tcPr>
          <w:p>
            <w:pPr>
              <w:spacing w:after="0"/>
              <w:rPr>
                <w:sz w:val="16"/>
                <w:szCs w:val="16"/>
                <w:color w:val="auto"/>
              </w:rPr>
            </w:pPr>
          </w:p>
        </w:tc>
        <w:tc>
          <w:tcPr>
            <w:tcW w:w="2740" w:type="dxa"/>
            <w:vAlign w:val="bottom"/>
          </w:tcPr>
          <w:p>
            <w:pPr>
              <w:jc w:val="right"/>
              <w:spacing w:after="0" w:line="189" w:lineRule="exact"/>
              <w:rPr>
                <w:sz w:val="20"/>
                <w:szCs w:val="20"/>
                <w:color w:val="auto"/>
              </w:rPr>
            </w:pPr>
            <w:r>
              <w:rPr>
                <w:rFonts w:ascii="Arial" w:cs="Arial" w:eastAsia="Arial" w:hAnsi="Arial"/>
                <w:sz w:val="18"/>
                <w:szCs w:val="18"/>
                <w:color w:val="auto"/>
              </w:rPr>
              <w:t>FORM OF</w:t>
            </w: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Exhibit A</w:t>
            </w:r>
          </w:p>
        </w:tc>
        <w:tc>
          <w:tcPr>
            <w:tcW w:w="2740" w:type="dxa"/>
            <w:vAlign w:val="bottom"/>
          </w:tcPr>
          <w:p>
            <w:pPr>
              <w:jc w:val="right"/>
              <w:spacing w:after="0"/>
              <w:rPr>
                <w:sz w:val="20"/>
                <w:szCs w:val="20"/>
                <w:color w:val="auto"/>
              </w:rPr>
            </w:pPr>
            <w:r>
              <w:rPr>
                <w:rFonts w:ascii="Arial" w:cs="Arial" w:eastAsia="Arial" w:hAnsi="Arial"/>
                <w:sz w:val="18"/>
                <w:szCs w:val="18"/>
                <w:color w:val="auto"/>
              </w:rPr>
              <w:t>NOTE</w:t>
            </w:r>
          </w:p>
        </w:tc>
      </w:tr>
    </w:tbl>
    <w:p>
      <w:pPr>
        <w:sectPr>
          <w:pgSz w:w="11900" w:h="16838" w:orient="portrait"/>
          <w:cols w:equalWidth="0" w:num="1">
            <w:col w:w="11200"/>
          </w:cols>
          <w:pgMar w:left="340" w:top="1413" w:right="359" w:bottom="1440" w:gutter="0" w:footer="0" w:header="0"/>
        </w:sectPr>
      </w:pPr>
    </w:p>
    <w:bookmarkStart w:id="6" w:name="page7"/>
    <w:bookmarkEnd w:id="6"/>
    <w:p>
      <w:pPr>
        <w:ind w:right="100" w:firstLine="648"/>
        <w:spacing w:after="0" w:line="261" w:lineRule="auto"/>
        <w:rPr>
          <w:sz w:val="20"/>
          <w:szCs w:val="20"/>
          <w:color w:val="auto"/>
        </w:rPr>
      </w:pPr>
      <w:r>
        <w:rPr>
          <w:rFonts w:ascii="Arial" w:cs="Arial" w:eastAsia="Arial" w:hAnsi="Arial"/>
          <w:sz w:val="18"/>
          <w:szCs w:val="18"/>
          <w:color w:val="auto"/>
        </w:rPr>
        <w:t>FIFTH SUPPLEMENTAL INDENTURE dated as October 31, 2022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Trust Company,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Company has heretofore executed and delivered to the Trustee (as successor in interest to U.S. Bank National Association)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229"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in order to supplement the Base Indenture as, and to the extent, set forth herein to provide for the issuance of and establish the forms and terms and conditions of the Notes (as defined below).</w:t>
      </w:r>
    </w:p>
    <w:p>
      <w:pPr>
        <w:spacing w:after="0" w:line="231"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22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(as defined herein) of the 6.750% Senior Notes due 2029:</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i w:val="1"/>
          <w:iCs w:val="1"/>
          <w:color w:val="auto"/>
        </w:rPr>
        <w:t>Relationship with Base Indenture.</w:t>
      </w:r>
    </w:p>
    <w:p>
      <w:pPr>
        <w:spacing w:after="0" w:line="27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232"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5" w:right="339" w:bottom="1440" w:gutter="0" w:footer="0" w:header="0"/>
        </w:sectPr>
      </w:pPr>
    </w:p>
    <w:bookmarkStart w:id="7" w:name="page8"/>
    <w:bookmarkEnd w:id="7"/>
    <w:p>
      <w:pPr>
        <w:spacing w:after="0" w:line="23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21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8"/>
          <w:szCs w:val="18"/>
          <w:i w:val="1"/>
          <w:iCs w:val="1"/>
          <w:color w:val="auto"/>
        </w:rPr>
        <w:t>Definitions.</w:t>
      </w:r>
    </w:p>
    <w:p>
      <w:pPr>
        <w:spacing w:after="0" w:line="270"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203"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Notes (other than the Initial Notes) issued under this Supplemental Indenture in accordance with Section 2.3 hereof, as part of the same Series as the Initial Notes.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Debt</w:t>
      </w:r>
      <w:r>
        <w:rPr>
          <w:rFonts w:ascii="Arial" w:cs="Arial" w:eastAsia="Arial" w:hAnsi="Arial"/>
          <w:sz w:val="18"/>
          <w:szCs w:val="18"/>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1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8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Attributable Debt</w:t>
      </w:r>
      <w:r>
        <w:rPr>
          <w:rFonts w:ascii="Arial" w:cs="Arial" w:eastAsia="Arial" w:hAnsi="Arial"/>
          <w:sz w:val="18"/>
          <w:szCs w:val="18"/>
          <w:color w:val="auto"/>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jc w:val="both"/>
        <w:ind w:right="120"/>
        <w:spacing w:after="0" w:line="291" w:lineRule="auto"/>
        <w:rPr>
          <w:sz w:val="20"/>
          <w:szCs w:val="20"/>
          <w:color w:val="auto"/>
        </w:rPr>
      </w:pPr>
      <w:r>
        <w:rPr>
          <w:rFonts w:ascii="Arial" w:cs="Arial" w:eastAsia="Arial" w:hAnsi="Arial"/>
          <w:sz w:val="17"/>
          <w:szCs w:val="17"/>
          <w:color w:val="auto"/>
        </w:rPr>
        <w:t>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7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ind w:right="40" w:firstLine="64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Below Investment Grade Rating Event</w:t>
      </w:r>
      <w:r>
        <w:rPr>
          <w:rFonts w:ascii="Arial" w:cs="Arial" w:eastAsia="Arial" w:hAnsi="Arial"/>
          <w:sz w:val="18"/>
          <w:szCs w:val="18"/>
          <w:color w:val="auto"/>
        </w:rPr>
        <w: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74" w:lineRule="exact"/>
        <w:rPr>
          <w:sz w:val="20"/>
          <w:szCs w:val="20"/>
          <w:color w:val="auto"/>
        </w:rPr>
      </w:pPr>
    </w:p>
    <w:p>
      <w:pPr>
        <w:ind w:left="660" w:right="40" w:firstLine="648"/>
        <w:spacing w:after="0" w:line="251" w:lineRule="auto"/>
        <w:rPr>
          <w:sz w:val="20"/>
          <w:szCs w:val="20"/>
          <w:color w:val="auto"/>
        </w:rPr>
      </w:pPr>
      <w:r>
        <w:rPr>
          <w:rFonts w:ascii="Arial" w:cs="Arial" w:eastAsia="Arial" w:hAnsi="Arial"/>
          <w:sz w:val="18"/>
          <w:szCs w:val="18"/>
          <w:color w:val="auto"/>
        </w:rPr>
        <w:t>(i) 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36" w:lineRule="exact"/>
        <w:rPr>
          <w:sz w:val="20"/>
          <w:szCs w:val="20"/>
          <w:color w:val="auto"/>
        </w:rPr>
      </w:pPr>
    </w:p>
    <w:p>
      <w:pPr>
        <w:ind w:left="660" w:firstLine="644"/>
        <w:spacing w:after="0" w:line="253" w:lineRule="auto"/>
        <w:tabs>
          <w:tab w:leader="none" w:pos="15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232" w:lineRule="exact"/>
        <w:rPr>
          <w:rFonts w:ascii="Arial" w:cs="Arial" w:eastAsia="Arial" w:hAnsi="Arial"/>
          <w:sz w:val="18"/>
          <w:szCs w:val="18"/>
          <w:color w:val="auto"/>
        </w:rPr>
      </w:pPr>
    </w:p>
    <w:p>
      <w:pPr>
        <w:ind w:left="1600" w:hanging="296"/>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35" w:right="339" w:bottom="1440" w:gutter="0" w:footer="0" w:header="0"/>
        </w:sectPr>
      </w:pPr>
    </w:p>
    <w:bookmarkStart w:id="9" w:name="page10"/>
    <w:bookmarkEnd w:id="9"/>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means the occurrence of both a Change of Control and a Below Investment Grade 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23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Tangible Assets</w:t>
      </w:r>
      <w:r>
        <w:rPr>
          <w:rFonts w:ascii="Arial" w:cs="Arial" w:eastAsia="Arial" w:hAnsi="Arial"/>
          <w:sz w:val="18"/>
          <w:szCs w:val="18"/>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208" w:lineRule="exact"/>
        <w:rPr>
          <w:sz w:val="20"/>
          <w:szCs w:val="20"/>
          <w:color w:val="auto"/>
        </w:rPr>
      </w:pPr>
    </w:p>
    <w:p>
      <w:pPr>
        <w:ind w:right="46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8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2.2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will not bear the Global Note Legend.</w:t>
      </w:r>
    </w:p>
    <w:p>
      <w:pPr>
        <w:spacing w:after="0" w:line="180"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2.1 hereof as the Depositary with respect to such Notes, and any and all successors thereto appointed as depositary hereunder.</w:t>
      </w:r>
    </w:p>
    <w:p>
      <w:pPr>
        <w:spacing w:after="0" w:line="18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80"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8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Notes</w:t>
      </w:r>
      <w:r>
        <w:rPr>
          <w:rFonts w:ascii="Arial" w:cs="Arial" w:eastAsia="Arial" w:hAnsi="Arial"/>
          <w:sz w:val="18"/>
          <w:szCs w:val="18"/>
          <w:color w:val="auto"/>
        </w:rPr>
        <w:t xml:space="preserve">” means, individually and collectively, each of the Global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issued in accordance with Section 2.1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the accreted value of the Indebtedness, in the case of any Indebtedness that does not require the current payment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w:t>
      </w:r>
    </w:p>
    <w:p>
      <w:pPr>
        <w:spacing w:after="0" w:line="252" w:lineRule="exact"/>
        <w:rPr>
          <w:sz w:val="20"/>
          <w:szCs w:val="20"/>
          <w:color w:val="auto"/>
        </w:rPr>
      </w:pPr>
    </w:p>
    <w:p>
      <w:pPr>
        <w:ind w:left="1580" w:hanging="276"/>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52" w:lineRule="exact"/>
        <w:rPr>
          <w:rFonts w:ascii="Arial" w:cs="Arial" w:eastAsia="Arial" w:hAnsi="Arial"/>
          <w:sz w:val="18"/>
          <w:szCs w:val="18"/>
          <w:color w:val="auto"/>
        </w:rPr>
      </w:pPr>
    </w:p>
    <w:p>
      <w:pPr>
        <w:jc w:val="both"/>
        <w:ind w:left="660" w:right="220" w:firstLine="644"/>
        <w:spacing w:after="0" w:line="256" w:lineRule="auto"/>
        <w:tabs>
          <w:tab w:leader="none" w:pos="157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229"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203"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Notes</w:t>
      </w:r>
      <w:r>
        <w:rPr>
          <w:rFonts w:ascii="Arial" w:cs="Arial" w:eastAsia="Arial" w:hAnsi="Arial"/>
          <w:sz w:val="18"/>
          <w:szCs w:val="18"/>
          <w:color w:val="auto"/>
        </w:rPr>
        <w:t>” means the $750,000,000 aggregate principal amount of Notes issued under this Supplemental Indenture on the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3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w:t>
      </w:r>
      <w:r>
        <w:rPr>
          <w:rFonts w:ascii="Arial" w:cs="Arial" w:eastAsia="Arial" w:hAnsi="Arial"/>
          <w:sz w:val="18"/>
          <w:szCs w:val="18"/>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5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206"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the Company’s 6.750% Senior Notes due 2029; provided that the Initial Notes and the Additional Notes, if any, will be treated as a single Series for all purposes under this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3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Indenture, and unless the context otherwise requires, all references to the Notes will include the Initial Notes and any Additional Notes.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September 1, 2029.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74"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52" w:lineRule="exact"/>
        <w:rPr>
          <w:rFonts w:ascii="Arial" w:cs="Arial" w:eastAsia="Arial" w:hAnsi="Arial"/>
          <w:sz w:val="18"/>
          <w:szCs w:val="18"/>
          <w:color w:val="auto"/>
        </w:rPr>
      </w:pPr>
    </w:p>
    <w:p>
      <w:pPr>
        <w:ind w:left="1100" w:right="80" w:hanging="444"/>
        <w:spacing w:after="0" w:line="252"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233" w:lineRule="exact"/>
        <w:rPr>
          <w:rFonts w:ascii="Arial" w:cs="Arial" w:eastAsia="Arial" w:hAnsi="Arial"/>
          <w:sz w:val="18"/>
          <w:szCs w:val="18"/>
          <w:color w:val="auto"/>
        </w:rPr>
      </w:pPr>
    </w:p>
    <w:p>
      <w:pPr>
        <w:ind w:left="1100" w:right="20" w:hanging="444"/>
        <w:spacing w:after="0" w:line="252"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32" w:lineRule="exact"/>
        <w:rPr>
          <w:rFonts w:ascii="Arial" w:cs="Arial" w:eastAsia="Arial" w:hAnsi="Arial"/>
          <w:sz w:val="18"/>
          <w:szCs w:val="18"/>
          <w:color w:val="auto"/>
        </w:rPr>
      </w:pPr>
    </w:p>
    <w:p>
      <w:pPr>
        <w:ind w:left="1100" w:hanging="444"/>
        <w:spacing w:after="0" w:line="251"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238" w:lineRule="exact"/>
        <w:rPr>
          <w:rFonts w:ascii="Arial" w:cs="Arial" w:eastAsia="Arial" w:hAnsi="Arial"/>
          <w:sz w:val="18"/>
          <w:szCs w:val="18"/>
          <w:color w:val="auto"/>
        </w:rPr>
      </w:pPr>
    </w:p>
    <w:p>
      <w:pPr>
        <w:jc w:val="both"/>
        <w:ind w:left="1100" w:right="80" w:hanging="444"/>
        <w:spacing w:after="0" w:line="256"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435" w:right="379" w:bottom="1440" w:gutter="0" w:footer="0" w:header="0"/>
        </w:sectPr>
      </w:pPr>
    </w:p>
    <w:bookmarkStart w:id="12" w:name="page13"/>
    <w:bookmarkEnd w:id="12"/>
    <w:p>
      <w:pPr>
        <w:spacing w:after="0" w:line="238"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52" w:lineRule="exact"/>
        <w:rPr>
          <w:rFonts w:ascii="Arial" w:cs="Arial" w:eastAsia="Arial" w:hAnsi="Arial"/>
          <w:sz w:val="18"/>
          <w:szCs w:val="18"/>
          <w:color w:val="auto"/>
        </w:rPr>
      </w:pPr>
    </w:p>
    <w:p>
      <w:pPr>
        <w:ind w:left="1100" w:right="140" w:hanging="444"/>
        <w:spacing w:after="0" w:line="256"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28" w:lineRule="exact"/>
        <w:rPr>
          <w:rFonts w:ascii="Arial" w:cs="Arial" w:eastAsia="Arial" w:hAnsi="Arial"/>
          <w:sz w:val="18"/>
          <w:szCs w:val="18"/>
          <w:color w:val="auto"/>
        </w:rPr>
      </w:pPr>
    </w:p>
    <w:p>
      <w:pPr>
        <w:ind w:left="1100" w:right="280" w:hanging="444"/>
        <w:spacing w:after="0" w:line="261"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24" w:lineRule="exact"/>
        <w:rPr>
          <w:rFonts w:ascii="Arial" w:cs="Arial" w:eastAsia="Arial" w:hAnsi="Arial"/>
          <w:sz w:val="18"/>
          <w:szCs w:val="18"/>
          <w:color w:val="auto"/>
        </w:rPr>
      </w:pPr>
    </w:p>
    <w:p>
      <w:pPr>
        <w:ind w:left="1100" w:right="60" w:hanging="444"/>
        <w:spacing w:after="0" w:line="252"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35" w:lineRule="exact"/>
        <w:rPr>
          <w:rFonts w:ascii="Arial" w:cs="Arial" w:eastAsia="Arial" w:hAnsi="Arial"/>
          <w:sz w:val="18"/>
          <w:szCs w:val="18"/>
          <w:color w:val="auto"/>
        </w:rPr>
      </w:pPr>
    </w:p>
    <w:p>
      <w:pPr>
        <w:ind w:left="1100" w:hanging="444"/>
        <w:spacing w:after="0" w:line="253"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232" w:lineRule="exact"/>
        <w:rPr>
          <w:rFonts w:ascii="Arial" w:cs="Arial" w:eastAsia="Arial" w:hAnsi="Arial"/>
          <w:sz w:val="18"/>
          <w:szCs w:val="18"/>
          <w:color w:val="auto"/>
        </w:rPr>
      </w:pPr>
    </w:p>
    <w:p>
      <w:pPr>
        <w:jc w:val="both"/>
        <w:ind w:left="1100" w:right="160" w:hanging="444"/>
        <w:spacing w:after="0" w:line="256"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228" w:lineRule="exact"/>
        <w:rPr>
          <w:rFonts w:ascii="Arial" w:cs="Arial" w:eastAsia="Arial" w:hAnsi="Arial"/>
          <w:sz w:val="18"/>
          <w:szCs w:val="18"/>
          <w:color w:val="auto"/>
        </w:rPr>
      </w:pPr>
    </w:p>
    <w:p>
      <w:pPr>
        <w:ind w:left="1100" w:right="380" w:hanging="444"/>
        <w:spacing w:after="0" w:line="261"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224" w:lineRule="exact"/>
        <w:rPr>
          <w:rFonts w:ascii="Arial" w:cs="Arial" w:eastAsia="Arial" w:hAnsi="Arial"/>
          <w:sz w:val="18"/>
          <w:szCs w:val="18"/>
          <w:color w:val="auto"/>
        </w:rPr>
      </w:pPr>
    </w:p>
    <w:p>
      <w:pPr>
        <w:ind w:left="1100" w:hanging="444"/>
        <w:spacing w:after="0" w:line="250"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w:t>
      </w:r>
    </w:p>
    <w:p>
      <w:pPr>
        <w:spacing w:after="0" w:line="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 through (13).</w:t>
      </w:r>
    </w:p>
    <w:p>
      <w:pPr>
        <w:spacing w:after="0" w:line="25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203"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Property</w:t>
      </w:r>
      <w:r>
        <w:rPr>
          <w:rFonts w:ascii="Arial" w:cs="Arial" w:eastAsia="Arial" w:hAnsi="Arial"/>
          <w:sz w:val="18"/>
          <w:szCs w:val="18"/>
          <w:color w:val="auto"/>
        </w:rPr>
        <w:t>” means any single parcel (or group of contiguous parcels that comprise the same facility, office or plant) of real property or any permanent improvement thereon (1) owned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40" w:right="379" w:bottom="1440" w:gutter="0" w:footer="0" w:header="0"/>
        </w:sectPr>
      </w:pPr>
    </w:p>
    <w:bookmarkStart w:id="13" w:name="page14"/>
    <w:bookmarkEnd w:id="13"/>
    <w:p>
      <w:pPr>
        <w:ind w:right="80"/>
        <w:spacing w:after="0" w:line="252" w:lineRule="auto"/>
        <w:rPr>
          <w:sz w:val="20"/>
          <w:szCs w:val="20"/>
          <w:color w:val="auto"/>
        </w:rPr>
      </w:pPr>
      <w:r>
        <w:rPr>
          <w:rFonts w:ascii="Arial" w:cs="Arial" w:eastAsia="Arial" w:hAnsi="Arial"/>
          <w:sz w:val="18"/>
          <w:szCs w:val="18"/>
          <w:color w:val="auto"/>
        </w:rPr>
        <w:t>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21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203"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Scheduled Payments</w:t>
      </w:r>
      <w:r>
        <w:rPr>
          <w:rFonts w:ascii="Arial" w:cs="Arial" w:eastAsia="Arial" w:hAnsi="Arial"/>
          <w:sz w:val="18"/>
          <w:szCs w:val="18"/>
          <w:color w:val="auto"/>
        </w:rPr>
        <w:t>” means, with respect to any Notes being redeemed, the sum of the present values of the remaining scheduled payments of the principal and interest thereon discounted to the redemption date (assuming the Notes matured on the Par Call Date) on a semi-annual basis (assuming a 360-day year consisting of twelve 30-day months) at the Treasury Rate plus 40 basis points.</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Subsidiary</w:t>
      </w:r>
      <w:r>
        <w:rPr>
          <w:rFonts w:ascii="Arial" w:cs="Arial" w:eastAsia="Arial" w:hAnsi="Arial"/>
          <w:sz w:val="18"/>
          <w:szCs w:val="18"/>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209" w:lineRule="exact"/>
        <w:rPr>
          <w:sz w:val="20"/>
          <w:szCs w:val="20"/>
          <w:color w:val="auto"/>
        </w:rPr>
      </w:pPr>
    </w:p>
    <w:p>
      <w:pPr>
        <w:ind w:right="4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8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Fifth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35" w:right="359" w:bottom="1440" w:gutter="0" w:footer="0" w:header="0"/>
        </w:sectPr>
      </w:pPr>
    </w:p>
    <w:bookmarkStart w:id="14" w:name="page15"/>
    <w:bookmarkEnd w:id="14"/>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means, with respect to any redemption date, the yield determined by the Company in the following manner:</w:t>
      </w:r>
    </w:p>
    <w:p>
      <w:pPr>
        <w:spacing w:after="0" w:line="274"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Arial" w:cs="Arial" w:eastAsia="Arial" w:hAnsi="Arial"/>
          <w:sz w:val="18"/>
          <w:szCs w:val="18"/>
          <w:b w:val="1"/>
          <w:bCs w:val="1"/>
          <w:i w:val="1"/>
          <w:iCs w:val="1"/>
          <w:color w:val="auto"/>
        </w:rPr>
        <w:t>H.15</w:t>
      </w:r>
      <w:r>
        <w:rPr>
          <w:rFonts w:ascii="Arial" w:cs="Arial" w:eastAsia="Arial" w:hAnsi="Arial"/>
          <w:sz w:val="18"/>
          <w:szCs w:val="18"/>
          <w:color w:val="auto"/>
        </w:rPr>
        <w:t>”) under the caption “U.S. government securities – Treasury constant maturities – Nominal” (or any successor caption or heading) (“</w:t>
      </w:r>
      <w:r>
        <w:rPr>
          <w:rFonts w:ascii="Arial" w:cs="Arial" w:eastAsia="Arial" w:hAnsi="Arial"/>
          <w:sz w:val="18"/>
          <w:szCs w:val="18"/>
          <w:b w:val="1"/>
          <w:bCs w:val="1"/>
          <w:i w:val="1"/>
          <w:iCs w:val="1"/>
          <w:color w:val="auto"/>
        </w:rPr>
        <w:t>H.15 TCM</w:t>
      </w:r>
      <w:r>
        <w:rPr>
          <w:rFonts w:ascii="Arial" w:cs="Arial" w:eastAsia="Arial" w:hAnsi="Arial"/>
          <w:sz w:val="18"/>
          <w:szCs w:val="18"/>
          <w:color w:val="auto"/>
        </w:rPr>
        <w:t>”). In determining the Treasury Rate, the Company shall select, as applicable: (1) the yield for the Treasury constant maturity on H.15 exactly equal to the period from the redemption date to the Par Call Date (the “</w:t>
      </w:r>
      <w:r>
        <w:rPr>
          <w:rFonts w:ascii="Arial" w:cs="Arial" w:eastAsia="Arial" w:hAnsi="Arial"/>
          <w:sz w:val="18"/>
          <w:szCs w:val="18"/>
          <w:b w:val="1"/>
          <w:bCs w:val="1"/>
          <w:i w:val="1"/>
          <w:iCs w:val="1"/>
          <w:color w:val="auto"/>
        </w:rPr>
        <w:t>Remaining Life</w:t>
      </w:r>
      <w:r>
        <w:rPr>
          <w:rFonts w:ascii="Arial" w:cs="Arial" w:eastAsia="Arial" w:hAnsi="Arial"/>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36" w:lineRule="exact"/>
        <w:rPr>
          <w:sz w:val="20"/>
          <w:szCs w:val="20"/>
          <w:color w:val="auto"/>
        </w:rPr>
      </w:pPr>
    </w:p>
    <w:p>
      <w:pPr>
        <w:ind w:left="660" w:right="80"/>
        <w:spacing w:after="0" w:line="251"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14"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5"/>
        </w:trPr>
        <w:tc>
          <w:tcPr>
            <w:tcW w:w="9600" w:type="dxa"/>
            <w:vAlign w:val="bottom"/>
            <w:gridSpan w:val="2"/>
          </w:tcPr>
          <w:p>
            <w:pPr>
              <w:ind w:left="660"/>
              <w:spacing w:after="0"/>
              <w:rPr>
                <w:sz w:val="20"/>
                <w:szCs w:val="20"/>
                <w:color w:val="auto"/>
              </w:rPr>
            </w:pPr>
            <w:r>
              <w:rPr>
                <w:rFonts w:ascii="Arial" w:cs="Arial" w:eastAsia="Arial" w:hAnsi="Arial"/>
                <w:sz w:val="18"/>
                <w:szCs w:val="18"/>
                <w:i w:val="1"/>
                <w:iCs w:val="1"/>
                <w:color w:val="auto"/>
              </w:rPr>
              <w:t>Other Definitions</w:t>
            </w:r>
          </w:p>
        </w:tc>
        <w:tc>
          <w:tcPr>
            <w:tcW w:w="1640" w:type="dxa"/>
            <w:vAlign w:val="bottom"/>
          </w:tcPr>
          <w:p>
            <w:pPr>
              <w:spacing w:after="0"/>
              <w:rPr>
                <w:sz w:val="20"/>
                <w:szCs w:val="20"/>
                <w:color w:val="auto"/>
              </w:rPr>
            </w:pPr>
          </w:p>
        </w:tc>
      </w:tr>
      <w:tr>
        <w:trPr>
          <w:trHeight w:val="257"/>
        </w:trPr>
        <w:tc>
          <w:tcPr>
            <w:tcW w:w="9600" w:type="dxa"/>
            <w:vAlign w:val="bottom"/>
            <w:gridSpan w:val="2"/>
          </w:tcPr>
          <w:p>
            <w:pPr>
              <w:ind w:left="4500"/>
              <w:spacing w:after="0"/>
              <w:rPr>
                <w:sz w:val="20"/>
                <w:szCs w:val="20"/>
                <w:color w:val="auto"/>
              </w:rPr>
            </w:pPr>
            <w:r>
              <w:rPr>
                <w:rFonts w:ascii="Arial" w:cs="Arial" w:eastAsia="Arial" w:hAnsi="Arial"/>
                <w:sz w:val="18"/>
                <w:szCs w:val="18"/>
                <w:b w:val="1"/>
                <w:bCs w:val="1"/>
                <w:color w:val="auto"/>
              </w:rPr>
              <w:t>Term</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Defined in Section</w:t>
            </w:r>
          </w:p>
        </w:tc>
      </w:tr>
      <w:tr>
        <w:trPr>
          <w:trHeight w:val="228"/>
        </w:trPr>
        <w:tc>
          <w:tcPr>
            <w:tcW w:w="94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“Change of Control Purchase Date”</w:t>
            </w:r>
          </w:p>
        </w:tc>
        <w:tc>
          <w:tcPr>
            <w:tcW w:w="18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r>
      <w:tr>
        <w:trPr>
          <w:trHeight w:val="251"/>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“Change of Control Purchase Price”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“DTC”</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2.1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“Expiration Date”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42"/>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“Interest Payment Date”</w:t>
            </w:r>
          </w:p>
        </w:tc>
        <w:tc>
          <w:tcPr>
            <w:tcW w:w="1640" w:type="dxa"/>
            <w:vAlign w:val="bottom"/>
          </w:tcPr>
          <w:p>
            <w:pPr>
              <w:jc w:val="center"/>
              <w:spacing w:after="0"/>
              <w:rPr>
                <w:sz w:val="20"/>
                <w:szCs w:val="20"/>
                <w:color w:val="auto"/>
              </w:rPr>
            </w:pPr>
            <w:r>
              <w:rPr>
                <w:rFonts w:ascii="Arial" w:cs="Arial" w:eastAsia="Arial" w:hAnsi="Arial"/>
                <w:sz w:val="18"/>
                <w:szCs w:val="18"/>
                <w:color w:val="auto"/>
              </w:rPr>
              <w:t>Paragraph 1 of</w:t>
            </w:r>
          </w:p>
        </w:tc>
      </w:tr>
      <w:tr>
        <w:trPr>
          <w:trHeight w:val="217"/>
        </w:trPr>
        <w:tc>
          <w:tcPr>
            <w:tcW w:w="9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Exhibit A</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“Offer to Purchase”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“Second Change of Control Purchase Date”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bl>
    <w:p>
      <w:pPr>
        <w:spacing w:after="0" w:line="34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2.</w:t>
      </w:r>
    </w:p>
    <w:p>
      <w:pPr>
        <w:spacing w:after="0" w:line="3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NOTES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8"/>
          <w:szCs w:val="18"/>
          <w:i w:val="1"/>
          <w:iCs w:val="1"/>
          <w:color w:val="auto"/>
        </w:rPr>
        <w:t>Form and Dating.</w:t>
      </w:r>
    </w:p>
    <w:p>
      <w:pPr>
        <w:spacing w:after="0" w:line="252" w:lineRule="exact"/>
        <w:rPr>
          <w:sz w:val="20"/>
          <w:szCs w:val="20"/>
          <w:color w:val="auto"/>
        </w:rPr>
      </w:pPr>
    </w:p>
    <w:p>
      <w:pPr>
        <w:ind w:right="20" w:firstLine="1304"/>
        <w:spacing w:after="0" w:line="261" w:lineRule="auto"/>
        <w:tabs>
          <w:tab w:leader="none" w:pos="171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Notes and the Trustee’s certificate of authentication with respect thereto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213" w:lineRule="exact"/>
        <w:rPr>
          <w:sz w:val="20"/>
          <w:szCs w:val="20"/>
          <w:color w:val="auto"/>
        </w:rPr>
      </w:pPr>
    </w:p>
    <w:p>
      <w:pPr>
        <w:ind w:left="1720" w:hanging="416"/>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70" w:lineRule="exact"/>
        <w:rPr>
          <w:rFonts w:ascii="Arial" w:cs="Arial" w:eastAsia="Arial" w:hAnsi="Arial"/>
          <w:sz w:val="18"/>
          <w:szCs w:val="18"/>
          <w:color w:val="auto"/>
        </w:rPr>
      </w:pPr>
    </w:p>
    <w:p>
      <w:pPr>
        <w:ind w:right="260" w:firstLine="1952"/>
        <w:spacing w:after="0" w:line="256" w:lineRule="auto"/>
        <w:tabs>
          <w:tab w:leader="none" w:pos="23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228" w:lineRule="exact"/>
        <w:rPr>
          <w:rFonts w:ascii="Arial" w:cs="Arial" w:eastAsia="Arial" w:hAnsi="Arial"/>
          <w:sz w:val="18"/>
          <w:szCs w:val="18"/>
          <w:color w:val="auto"/>
        </w:rPr>
      </w:pPr>
    </w:p>
    <w:p>
      <w:pPr>
        <w:ind w:right="20" w:firstLine="1952"/>
        <w:spacing w:after="0" w:line="252" w:lineRule="auto"/>
        <w:tabs>
          <w:tab w:leader="none" w:pos="2364"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7" w:right="339" w:bottom="1440" w:gutter="0" w:footer="0" w:header="0"/>
        </w:sectPr>
      </w:pPr>
    </w:p>
    <w:bookmarkStart w:id="16" w:name="page17"/>
    <w:bookmarkEnd w:id="16"/>
    <w:p>
      <w:pPr>
        <w:ind w:left="660"/>
        <w:spacing w:after="0"/>
        <w:tabs>
          <w:tab w:leader="none" w:pos="17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i w:val="1"/>
          <w:iCs w:val="1"/>
          <w:color w:val="auto"/>
        </w:rPr>
        <w:t>Transfer and Exchange.</w:t>
      </w:r>
    </w:p>
    <w:p>
      <w:pPr>
        <w:spacing w:after="0" w:line="252" w:lineRule="exact"/>
        <w:rPr>
          <w:sz w:val="20"/>
          <w:szCs w:val="20"/>
          <w:color w:val="auto"/>
        </w:rPr>
      </w:pPr>
    </w:p>
    <w:p>
      <w:pPr>
        <w:ind w:right="60" w:firstLine="1304"/>
        <w:spacing w:after="0" w:line="261" w:lineRule="auto"/>
        <w:tabs>
          <w:tab w:leader="none" w:pos="171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A Global Note may not be transferred as a whole except by the Depositary to</w:t>
      </w:r>
      <w:r>
        <w:rPr>
          <w:rFonts w:ascii="Arial" w:cs="Arial" w:eastAsia="Arial" w:hAnsi="Arial"/>
          <w:sz w:val="18"/>
          <w:szCs w:val="18"/>
          <w:i w:val="1"/>
          <w:iCs w:val="1"/>
          <w:color w:val="auto"/>
        </w:rPr>
        <w:t xml:space="preserve"> </w:t>
      </w:r>
      <w:r>
        <w:rPr>
          <w:rFonts w:ascii="Arial" w:cs="Arial" w:eastAsia="Arial" w:hAnsi="Arial"/>
          <w:sz w:val="18"/>
          <w:szCs w:val="18"/>
          <w:color w:val="auto"/>
        </w:rPr>
        <w:t>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225" w:lineRule="exact"/>
        <w:rPr>
          <w:sz w:val="20"/>
          <w:szCs w:val="20"/>
          <w:color w:val="auto"/>
        </w:rPr>
      </w:pPr>
    </w:p>
    <w:p>
      <w:pPr>
        <w:ind w:right="420" w:firstLine="1304"/>
        <w:spacing w:after="0" w:line="256"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228" w:lineRule="exact"/>
        <w:rPr>
          <w:rFonts w:ascii="Arial" w:cs="Arial" w:eastAsia="Arial" w:hAnsi="Arial"/>
          <w:sz w:val="18"/>
          <w:szCs w:val="18"/>
          <w:color w:val="auto"/>
        </w:rPr>
      </w:pPr>
    </w:p>
    <w:p>
      <w:pPr>
        <w:ind w:right="460" w:firstLine="1304"/>
        <w:spacing w:after="0" w:line="261"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has occurred and the Trustee has received a written request from DTC that the Global Notes (in whole but not in part) should be exchanged for Definitive Notes; or</w:t>
      </w:r>
    </w:p>
    <w:p>
      <w:pPr>
        <w:spacing w:after="0" w:line="224" w:lineRule="exact"/>
        <w:rPr>
          <w:rFonts w:ascii="Arial" w:cs="Arial" w:eastAsia="Arial" w:hAnsi="Arial"/>
          <w:sz w:val="18"/>
          <w:szCs w:val="18"/>
          <w:color w:val="auto"/>
        </w:rPr>
      </w:pPr>
    </w:p>
    <w:p>
      <w:pPr>
        <w:ind w:right="200" w:firstLine="1304"/>
        <w:spacing w:after="0" w:line="261"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in its sole discretion and subject to the procedures of the Depositary determines that the Global Notes (in whole but not in part) should be exchanged for Definitive Notes and delivers a written notice to such effect to the Trustee.</w:t>
      </w:r>
    </w:p>
    <w:p>
      <w:pPr>
        <w:spacing w:after="0" w:line="225"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Upon the occurrence of either of the preceding events in (1), (2) or (3) above, Definitive Notes will be issued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216" w:lineRule="exact"/>
        <w:rPr>
          <w:sz w:val="20"/>
          <w:szCs w:val="20"/>
          <w:color w:val="auto"/>
        </w:rPr>
      </w:pPr>
    </w:p>
    <w:p>
      <w:pPr>
        <w:ind w:firstLine="1304"/>
        <w:spacing w:after="0" w:line="261" w:lineRule="auto"/>
        <w:tabs>
          <w:tab w:leader="none" w:pos="17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206" w:lineRule="exact"/>
        <w:rPr>
          <w:rFonts w:ascii="Arial" w:cs="Arial" w:eastAsia="Arial" w:hAnsi="Arial"/>
          <w:sz w:val="18"/>
          <w:szCs w:val="18"/>
          <w:color w:val="auto"/>
        </w:rPr>
      </w:pPr>
    </w:p>
    <w:p>
      <w:pPr>
        <w:ind w:right="180" w:firstLine="1952"/>
        <w:spacing w:after="0" w:line="266" w:lineRule="auto"/>
        <w:tabs>
          <w:tab w:leader="none" w:pos="2364"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persons who take delivery thereof in the form of a beneficial interest in a Global Note. No written orders or instructions will be required to be delivered to the Registrar to effect the transfers described in this Section 2.2(b)(1).</w:t>
      </w:r>
    </w:p>
    <w:p>
      <w:pPr>
        <w:spacing w:after="0" w:line="202" w:lineRule="exact"/>
        <w:rPr>
          <w:rFonts w:ascii="Arial" w:cs="Arial" w:eastAsia="Arial" w:hAnsi="Arial"/>
          <w:sz w:val="18"/>
          <w:szCs w:val="18"/>
          <w:color w:val="auto"/>
        </w:rPr>
      </w:pPr>
    </w:p>
    <w:p>
      <w:pPr>
        <w:jc w:val="both"/>
        <w:ind w:right="120" w:firstLine="1952"/>
        <w:spacing w:after="0" w:line="266" w:lineRule="auto"/>
        <w:tabs>
          <w:tab w:leader="none" w:pos="235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of beneficial interests that are not subject to Section 2.2(b)(1) above, the transferor of such beneficial interest must deliver to the Registrar:</w:t>
      </w:r>
    </w:p>
    <w:p>
      <w:pPr>
        <w:spacing w:after="0" w:line="220" w:lineRule="exact"/>
        <w:rPr>
          <w:rFonts w:ascii="Arial" w:cs="Arial" w:eastAsia="Arial" w:hAnsi="Arial"/>
          <w:sz w:val="18"/>
          <w:szCs w:val="18"/>
          <w:color w:val="auto"/>
        </w:rPr>
      </w:pPr>
    </w:p>
    <w:p>
      <w:pPr>
        <w:ind w:right="60" w:firstLine="2600"/>
        <w:spacing w:after="0" w:line="256" w:lineRule="auto"/>
        <w:tabs>
          <w:tab w:leader="none" w:pos="29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228" w:lineRule="exact"/>
        <w:rPr>
          <w:rFonts w:ascii="Arial" w:cs="Arial" w:eastAsia="Arial" w:hAnsi="Arial"/>
          <w:sz w:val="18"/>
          <w:szCs w:val="18"/>
          <w:color w:val="auto"/>
        </w:rPr>
      </w:pPr>
    </w:p>
    <w:p>
      <w:pPr>
        <w:ind w:right="220" w:firstLine="2600"/>
        <w:spacing w:after="0" w:line="261" w:lineRule="auto"/>
        <w:tabs>
          <w:tab w:leader="none" w:pos="2992"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17" w:right="359" w:bottom="1440" w:gutter="0" w:footer="0" w:header="0"/>
        </w:sectPr>
      </w:pPr>
    </w:p>
    <w:bookmarkStart w:id="17" w:name="page18"/>
    <w:bookmarkEnd w:id="17"/>
    <w:p>
      <w:pPr>
        <w:ind w:right="140" w:firstLine="648"/>
        <w:spacing w:after="0" w:line="256"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Supplemental Indenture and the Notes, as evidenced by an Officer’s Certificate delivered to the Trustee, the Trustee will adjust the principal amount of the relevant Global Note(s) pursuant to Section 2.2(f) hereof.</w:t>
      </w:r>
    </w:p>
    <w:p>
      <w:pPr>
        <w:spacing w:after="0" w:line="211" w:lineRule="exact"/>
        <w:rPr>
          <w:sz w:val="20"/>
          <w:szCs w:val="20"/>
          <w:color w:val="auto"/>
        </w:rPr>
      </w:pPr>
    </w:p>
    <w:p>
      <w:pPr>
        <w:ind w:left="1720" w:hanging="416"/>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applicable Global Notes.</w:t>
      </w:r>
    </w:p>
    <w:p>
      <w:pPr>
        <w:spacing w:after="0" w:line="231"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the previous paragraph at a time when a Global Note has not yet been issued, the Company will issue and, upon receipt of a Company Order, the Trustee will authenticate one or more Global Notes in an aggregate principal amount equal to the principal amount of Definitive Notes so transferred.</w:t>
      </w:r>
    </w:p>
    <w:p>
      <w:pPr>
        <w:spacing w:after="0" w:line="211" w:lineRule="exact"/>
        <w:rPr>
          <w:sz w:val="20"/>
          <w:szCs w:val="20"/>
          <w:color w:val="auto"/>
        </w:rPr>
      </w:pPr>
    </w:p>
    <w:p>
      <w:pPr>
        <w:ind w:firstLine="1223"/>
        <w:spacing w:after="0" w:line="255" w:lineRule="auto"/>
        <w:tabs>
          <w:tab w:leader="none" w:pos="163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Transfer and Exchange of Definitive Notes for Definitive Notes</w:t>
      </w:r>
      <w:r>
        <w:rPr>
          <w:rFonts w:ascii="Arial" w:cs="Arial" w:eastAsia="Arial" w:hAnsi="Arial"/>
          <w:sz w:val="18"/>
          <w:szCs w:val="18"/>
          <w:color w:val="auto"/>
        </w:rPr>
        <w:t>. A Holder of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Definitive Note.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215" w:lineRule="exact"/>
        <w:rPr>
          <w:rFonts w:ascii="Arial" w:cs="Arial" w:eastAsia="Arial" w:hAnsi="Arial"/>
          <w:sz w:val="18"/>
          <w:szCs w:val="18"/>
          <w:i w:val="1"/>
          <w:iCs w:val="1"/>
          <w:color w:val="auto"/>
        </w:rPr>
      </w:pPr>
    </w:p>
    <w:p>
      <w:pPr>
        <w:ind w:right="240" w:firstLine="1304"/>
        <w:spacing w:after="0" w:line="282" w:lineRule="auto"/>
        <w:tabs>
          <w:tab w:leader="none" w:pos="171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specifically stated otherwise in the applicable provisions of this Supplemental Indenture.</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232"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35" w:right="33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13" w:lineRule="exact"/>
        <w:rPr>
          <w:sz w:val="20"/>
          <w:szCs w:val="20"/>
          <w:color w:val="auto"/>
        </w:rPr>
      </w:pPr>
    </w:p>
    <w:p>
      <w:pPr>
        <w:ind w:right="20" w:firstLine="1304"/>
        <w:spacing w:after="0" w:line="254" w:lineRule="auto"/>
        <w:tabs>
          <w:tab w:leader="none" w:pos="166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215" w:lineRule="exact"/>
        <w:rPr>
          <w:rFonts w:ascii="Arial" w:cs="Arial" w:eastAsia="Arial" w:hAnsi="Arial"/>
          <w:sz w:val="18"/>
          <w:szCs w:val="18"/>
          <w:color w:val="auto"/>
        </w:rPr>
      </w:pPr>
    </w:p>
    <w:p>
      <w:pPr>
        <w:ind w:left="1720" w:hanging="416"/>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70" w:lineRule="exact"/>
        <w:rPr>
          <w:rFonts w:ascii="Arial" w:cs="Arial" w:eastAsia="Arial" w:hAnsi="Arial"/>
          <w:sz w:val="18"/>
          <w:szCs w:val="18"/>
          <w:color w:val="auto"/>
        </w:rPr>
      </w:pPr>
    </w:p>
    <w:p>
      <w:pPr>
        <w:ind w:right="80" w:firstLine="1952"/>
        <w:spacing w:after="0" w:line="261" w:lineRule="auto"/>
        <w:tabs>
          <w:tab w:leader="none" w:pos="23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224" w:lineRule="exact"/>
        <w:rPr>
          <w:rFonts w:ascii="Arial" w:cs="Arial" w:eastAsia="Arial" w:hAnsi="Arial"/>
          <w:sz w:val="18"/>
          <w:szCs w:val="18"/>
          <w:color w:val="auto"/>
        </w:rPr>
      </w:pPr>
    </w:p>
    <w:p>
      <w:pPr>
        <w:ind w:right="20" w:firstLine="1952"/>
        <w:spacing w:after="0" w:line="254" w:lineRule="auto"/>
        <w:tabs>
          <w:tab w:leader="none" w:pos="23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230" w:lineRule="exact"/>
        <w:rPr>
          <w:rFonts w:ascii="Arial" w:cs="Arial" w:eastAsia="Arial" w:hAnsi="Arial"/>
          <w:sz w:val="18"/>
          <w:szCs w:val="18"/>
          <w:color w:val="auto"/>
        </w:rPr>
      </w:pPr>
    </w:p>
    <w:p>
      <w:pPr>
        <w:ind w:right="260" w:firstLine="1952"/>
        <w:spacing w:after="0" w:line="261" w:lineRule="auto"/>
        <w:tabs>
          <w:tab w:leader="none" w:pos="23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224" w:lineRule="exact"/>
        <w:rPr>
          <w:rFonts w:ascii="Arial" w:cs="Arial" w:eastAsia="Arial" w:hAnsi="Arial"/>
          <w:sz w:val="18"/>
          <w:szCs w:val="18"/>
          <w:color w:val="auto"/>
        </w:rPr>
      </w:pPr>
    </w:p>
    <w:p>
      <w:pPr>
        <w:ind w:right="200" w:firstLine="1952"/>
        <w:spacing w:after="0" w:line="256" w:lineRule="auto"/>
        <w:tabs>
          <w:tab w:leader="none" w:pos="23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228" w:lineRule="exact"/>
        <w:rPr>
          <w:rFonts w:ascii="Arial" w:cs="Arial" w:eastAsia="Arial" w:hAnsi="Arial"/>
          <w:sz w:val="18"/>
          <w:szCs w:val="18"/>
          <w:color w:val="auto"/>
        </w:rPr>
      </w:pPr>
    </w:p>
    <w:p>
      <w:pPr>
        <w:ind w:left="2380" w:hanging="428"/>
        <w:spacing w:after="0"/>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Company elects to redeem or make an Offer to Purchase, neither the Company nor the Trustee will be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required to:</w:t>
      </w:r>
    </w:p>
    <w:p>
      <w:pPr>
        <w:spacing w:after="0" w:line="252" w:lineRule="exact"/>
        <w:rPr>
          <w:rFonts w:ascii="Arial" w:cs="Arial" w:eastAsia="Arial" w:hAnsi="Arial"/>
          <w:sz w:val="18"/>
          <w:szCs w:val="18"/>
          <w:color w:val="auto"/>
        </w:rPr>
      </w:pPr>
    </w:p>
    <w:p>
      <w:pPr>
        <w:ind w:right="600" w:firstLine="2600"/>
        <w:spacing w:after="0" w:line="256" w:lineRule="auto"/>
        <w:tabs>
          <w:tab w:leader="none" w:pos="29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13" w:right="359" w:bottom="1440" w:gutter="0" w:footer="0" w:header="0"/>
        </w:sectPr>
      </w:pPr>
    </w:p>
    <w:bookmarkStart w:id="19" w:name="page20"/>
    <w:bookmarkEnd w:id="19"/>
    <w:p>
      <w:pPr>
        <w:ind w:right="280" w:firstLine="2600"/>
        <w:spacing w:after="0" w:line="261" w:lineRule="auto"/>
        <w:tabs>
          <w:tab w:leader="none" w:pos="29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register the transfer of or to exchange any Note so selected for redemption or subject to purchase in such Offer to Purchase in whole or in part, except the unredeemed portion of any Note being redeemed or purchased in part; or</w:t>
      </w:r>
    </w:p>
    <w:p>
      <w:pPr>
        <w:spacing w:after="0" w:line="224" w:lineRule="exact"/>
        <w:rPr>
          <w:rFonts w:ascii="Arial" w:cs="Arial" w:eastAsia="Arial" w:hAnsi="Arial"/>
          <w:sz w:val="18"/>
          <w:szCs w:val="18"/>
          <w:color w:val="auto"/>
        </w:rPr>
      </w:pPr>
    </w:p>
    <w:p>
      <w:pPr>
        <w:jc w:val="both"/>
        <w:ind w:right="400" w:firstLine="2600"/>
        <w:spacing w:after="0" w:line="256" w:lineRule="auto"/>
        <w:tabs>
          <w:tab w:leader="none" w:pos="30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of or exchange a Note on or after the regular record date and before the date of redemption or purchase.</w:t>
      </w:r>
    </w:p>
    <w:p>
      <w:pPr>
        <w:spacing w:after="0" w:line="228" w:lineRule="exact"/>
        <w:rPr>
          <w:rFonts w:ascii="Arial" w:cs="Arial" w:eastAsia="Arial" w:hAnsi="Arial"/>
          <w:sz w:val="18"/>
          <w:szCs w:val="18"/>
          <w:color w:val="auto"/>
        </w:rPr>
      </w:pPr>
    </w:p>
    <w:p>
      <w:pPr>
        <w:ind w:right="20" w:firstLine="1952"/>
        <w:spacing w:after="0" w:line="254" w:lineRule="auto"/>
        <w:tabs>
          <w:tab w:leader="none" w:pos="23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230" w:lineRule="exact"/>
        <w:rPr>
          <w:rFonts w:ascii="Arial" w:cs="Arial" w:eastAsia="Arial" w:hAnsi="Arial"/>
          <w:sz w:val="18"/>
          <w:szCs w:val="18"/>
          <w:color w:val="auto"/>
        </w:rPr>
      </w:pPr>
    </w:p>
    <w:p>
      <w:pPr>
        <w:ind w:left="2360" w:hanging="40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of the Base Indenture.</w:t>
      </w:r>
    </w:p>
    <w:p>
      <w:pPr>
        <w:spacing w:after="0" w:line="252" w:lineRule="exact"/>
        <w:rPr>
          <w:sz w:val="20"/>
          <w:szCs w:val="20"/>
          <w:color w:val="auto"/>
        </w:rPr>
      </w:pPr>
    </w:p>
    <w:p>
      <w:pPr>
        <w:ind w:left="2380" w:hanging="428"/>
        <w:spacing w:after="0"/>
        <w:tabs>
          <w:tab w:leader="none" w:pos="2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firstLine="1952"/>
        <w:spacing w:after="0" w:line="261" w:lineRule="auto"/>
        <w:tabs>
          <w:tab w:leader="none" w:pos="23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224" w:lineRule="exact"/>
        <w:rPr>
          <w:rFonts w:ascii="Arial" w:cs="Arial" w:eastAsia="Arial" w:hAnsi="Arial"/>
          <w:sz w:val="18"/>
          <w:szCs w:val="18"/>
          <w:color w:val="auto"/>
        </w:rPr>
      </w:pPr>
    </w:p>
    <w:p>
      <w:pPr>
        <w:ind w:right="80" w:firstLine="1952"/>
        <w:spacing w:after="0" w:line="253" w:lineRule="auto"/>
        <w:tabs>
          <w:tab w:leader="none" w:pos="24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232" w:lineRule="exact"/>
        <w:rPr>
          <w:rFonts w:ascii="Arial" w:cs="Arial" w:eastAsia="Arial" w:hAnsi="Arial"/>
          <w:sz w:val="18"/>
          <w:szCs w:val="18"/>
          <w:color w:val="auto"/>
        </w:rPr>
      </w:pPr>
    </w:p>
    <w:p>
      <w:pPr>
        <w:ind w:left="2480" w:hanging="528"/>
        <w:spacing w:after="0"/>
        <w:tabs>
          <w:tab w:leader="none" w:pos="2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for any actions taken or not taken by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35" w:right="339" w:bottom="1440" w:gutter="0" w:footer="0" w:header="0"/>
        </w:sectPr>
      </w:pPr>
    </w:p>
    <w:bookmarkStart w:id="20" w:name="page21"/>
    <w:bookmarkEnd w:id="20"/>
    <w:p>
      <w:pPr>
        <w:ind w:left="660"/>
        <w:spacing w:after="0"/>
        <w:tabs>
          <w:tab w:leader="none" w:pos="17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8"/>
          <w:szCs w:val="18"/>
          <w:i w:val="1"/>
          <w:iCs w:val="1"/>
          <w:color w:val="auto"/>
        </w:rPr>
        <w:t>Issuance of Additional Notes.</w:t>
      </w:r>
    </w:p>
    <w:p>
      <w:pPr>
        <w:spacing w:after="0" w:line="270" w:lineRule="exact"/>
        <w:rPr>
          <w:sz w:val="20"/>
          <w:szCs w:val="20"/>
          <w:color w:val="auto"/>
        </w:rPr>
      </w:pPr>
    </w:p>
    <w:p>
      <w:pPr>
        <w:ind w:firstLine="1304"/>
        <w:spacing w:after="0" w:line="253" w:lineRule="auto"/>
        <w:tabs>
          <w:tab w:leader="none" w:pos="17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will be entitled, upon delivery of a Company Order, Officer’s Certificate and an Opinion of Counsel, to issue Additional Notes under this Supplemental Indenture which will have identical terms as the Initial Notes issued on the date hereof, other than with respect to the date of issuance and issue price and, if applicable, the first Interest Payment Date and the initial interest accrual date. The Initial Notes issued on the date hereof and any Additional Notes issued will be treated as a single Series for all purposes under this Supplemental Indenture.</w:t>
      </w:r>
    </w:p>
    <w:p>
      <w:pPr>
        <w:spacing w:after="0" w:line="232" w:lineRule="exact"/>
        <w:rPr>
          <w:rFonts w:ascii="Arial" w:cs="Arial" w:eastAsia="Arial" w:hAnsi="Arial"/>
          <w:sz w:val="18"/>
          <w:szCs w:val="18"/>
          <w:color w:val="auto"/>
        </w:rPr>
      </w:pPr>
    </w:p>
    <w:p>
      <w:pPr>
        <w:jc w:val="both"/>
        <w:ind w:right="40" w:firstLine="1304"/>
        <w:spacing w:after="0" w:line="256" w:lineRule="auto"/>
        <w:tabs>
          <w:tab w:leader="none" w:pos="17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(i) supplemental indenture or (ii) in resolution of its Board of Directors (or a duly authorized committee thereof) or of a designee thereof and an Officer’s Certificate, a copy of each which will be delivered to the Trustee, the following information:</w:t>
      </w:r>
    </w:p>
    <w:p>
      <w:pPr>
        <w:spacing w:after="0" w:line="228" w:lineRule="exact"/>
        <w:rPr>
          <w:rFonts w:ascii="Arial" w:cs="Arial" w:eastAsia="Arial" w:hAnsi="Arial"/>
          <w:sz w:val="18"/>
          <w:szCs w:val="18"/>
          <w:color w:val="auto"/>
        </w:rPr>
      </w:pPr>
    </w:p>
    <w:p>
      <w:pPr>
        <w:ind w:left="2960" w:hanging="360"/>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this Supplemental Indenture; and</w:t>
      </w:r>
    </w:p>
    <w:p>
      <w:pPr>
        <w:spacing w:after="0" w:line="252" w:lineRule="exact"/>
        <w:rPr>
          <w:rFonts w:ascii="Arial" w:cs="Arial" w:eastAsia="Arial" w:hAnsi="Arial"/>
          <w:sz w:val="18"/>
          <w:szCs w:val="18"/>
          <w:color w:val="auto"/>
        </w:rPr>
      </w:pPr>
    </w:p>
    <w:p>
      <w:pPr>
        <w:ind w:right="380" w:firstLine="2600"/>
        <w:spacing w:after="0" w:line="261" w:lineRule="auto"/>
        <w:tabs>
          <w:tab w:leader="none" w:pos="29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issue price, the issue date, the CUSIP number(s), the first Interest Payment Date and the initial interest accrual date of such Additional Notes.</w:t>
      </w:r>
    </w:p>
    <w:p>
      <w:pPr>
        <w:spacing w:after="0" w:line="224" w:lineRule="exact"/>
        <w:rPr>
          <w:rFonts w:ascii="Arial" w:cs="Arial" w:eastAsia="Arial" w:hAnsi="Arial"/>
          <w:sz w:val="18"/>
          <w:szCs w:val="18"/>
          <w:color w:val="auto"/>
        </w:rPr>
      </w:pPr>
    </w:p>
    <w:p>
      <w:pPr>
        <w:ind w:left="1720" w:hanging="416"/>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avoidance of doubt, the issuance of Additional Notes pursuant to this Section 2.3 is subject to Section 2.3 of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Base Indenture.</w:t>
      </w:r>
    </w:p>
    <w:p>
      <w:pPr>
        <w:spacing w:after="0" w:line="252" w:lineRule="exact"/>
        <w:rPr>
          <w:rFonts w:ascii="Arial" w:cs="Arial" w:eastAsia="Arial" w:hAnsi="Arial"/>
          <w:sz w:val="18"/>
          <w:szCs w:val="18"/>
          <w:color w:val="auto"/>
        </w:rPr>
      </w:pPr>
    </w:p>
    <w:p>
      <w:pPr>
        <w:ind w:right="20" w:firstLine="1304"/>
        <w:spacing w:after="0" w:line="261" w:lineRule="auto"/>
        <w:tabs>
          <w:tab w:leader="none" w:pos="17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Notes issued pursuant to this Section 2.3 shall only bear the same CUSIP number as any existing Notes if they would be fungible for United States tax purposes with such existing Notes.</w:t>
      </w:r>
    </w:p>
    <w:p>
      <w:pPr>
        <w:spacing w:after="0" w:line="20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i w:val="1"/>
          <w:iCs w:val="1"/>
          <w:color w:val="auto"/>
        </w:rPr>
        <w:t>Execution and Authentication.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shall execute the Notes on behalf of the Company by manual, electronic or facsimile signature.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AND PREPAYMENT</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i w:val="1"/>
          <w:iCs w:val="1"/>
          <w:color w:val="auto"/>
        </w:rPr>
        <w:t>Optional Redemption.</w:t>
      </w:r>
    </w:p>
    <w:p>
      <w:pPr>
        <w:spacing w:after="0" w:line="270" w:lineRule="exact"/>
        <w:rPr>
          <w:sz w:val="20"/>
          <w:szCs w:val="20"/>
          <w:color w:val="auto"/>
        </w:rPr>
      </w:pPr>
    </w:p>
    <w:p>
      <w:pPr>
        <w:ind w:firstLine="1304"/>
        <w:spacing w:after="0" w:line="256" w:lineRule="auto"/>
        <w:tabs>
          <w:tab w:leader="none" w:pos="17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228" w:lineRule="exact"/>
        <w:rPr>
          <w:rFonts w:ascii="Arial" w:cs="Arial" w:eastAsia="Arial" w:hAnsi="Arial"/>
          <w:sz w:val="18"/>
          <w:szCs w:val="18"/>
          <w:color w:val="auto"/>
        </w:rPr>
      </w:pPr>
    </w:p>
    <w:p>
      <w:pPr>
        <w:ind w:left="2320" w:hanging="368"/>
        <w:spacing w:after="0"/>
        <w:tabs>
          <w:tab w:leader="none" w:pos="2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Remaining Scheduled Payments of such Notes to be redeemed, less interest accrued to the date of</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redemption; and</w:t>
      </w:r>
    </w:p>
    <w:p>
      <w:pPr>
        <w:spacing w:after="0" w:line="252" w:lineRule="exact"/>
        <w:rPr>
          <w:rFonts w:ascii="Arial" w:cs="Arial" w:eastAsia="Arial" w:hAnsi="Arial"/>
          <w:sz w:val="18"/>
          <w:szCs w:val="18"/>
          <w:color w:val="auto"/>
        </w:rPr>
      </w:pPr>
    </w:p>
    <w:p>
      <w:pPr>
        <w:ind w:left="2360" w:hanging="408"/>
        <w:spacing w:after="0"/>
        <w:tabs>
          <w:tab w:leader="none" w:pos="2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w:t>
      </w:r>
    </w:p>
    <w:p>
      <w:pPr>
        <w:spacing w:after="0" w:line="252"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On or after the Par Call Date, the Company may, at its option, redeem any Notes, in whole or in part, at any time and from time to time, at a redemption price equal to 100% of the principal amount of the Notes redeemed, plus accrued and unpaid interest thereon, if any, to, but excluding, the date of redemption.</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20"/>
          </w:cols>
          <w:pgMar w:left="320" w:top="1417" w:right="359" w:bottom="1440" w:gutter="0" w:footer="0" w:header="0"/>
          <w:type w:val="continuous"/>
        </w:sectPr>
      </w:pPr>
    </w:p>
    <w:bookmarkStart w:id="21" w:name="page22"/>
    <w:bookmarkEnd w:id="21"/>
    <w:p>
      <w:pPr>
        <w:ind w:right="20" w:firstLine="648"/>
        <w:spacing w:after="0" w:line="252" w:lineRule="auto"/>
        <w:rPr>
          <w:sz w:val="20"/>
          <w:szCs w:val="20"/>
          <w:color w:val="auto"/>
        </w:rPr>
      </w:pPr>
      <w:r>
        <w:rPr>
          <w:rFonts w:ascii="Arial" w:cs="Arial" w:eastAsia="Arial" w:hAnsi="Arial"/>
          <w:sz w:val="18"/>
          <w:szCs w:val="18"/>
          <w:color w:val="auto"/>
        </w:rPr>
        <w:t xml:space="preserve">In connection with any redemption of the Notes,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before the redemption date to each Holder of the Notes to be redeemed (with a copy to the Trustee). Any redemption or notice of redemption may, at the Company’s discretion, be subject to one or more conditions precedent.</w:t>
      </w:r>
    </w:p>
    <w:p>
      <w:pPr>
        <w:spacing w:after="0" w:line="232"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portions thereof called for redemption.</w:t>
      </w:r>
    </w:p>
    <w:p>
      <w:pPr>
        <w:spacing w:after="0" w:line="20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 xml:space="preserve">In the case of a partial redemption of the Notes, selection of the Notes for redemption will be made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deems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225"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No Notes of a principal amount of $2,000 or less will be redeemed in part. Notes in denominations larger than $2,000 may be redeemed in part but only in whole multiples of $1,000, unless all of the Notes held by a Holder are to be redeemed.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Mandatory Redemption.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i w:val="1"/>
          <w:iCs w:val="1"/>
          <w:color w:val="auto"/>
        </w:rPr>
        <w:t>Offer to Purchase Upon Change of Control Triggering Event.</w:t>
      </w:r>
    </w:p>
    <w:p>
      <w:pPr>
        <w:spacing w:after="0" w:line="270" w:lineRule="exact"/>
        <w:rPr>
          <w:sz w:val="20"/>
          <w:szCs w:val="20"/>
          <w:color w:val="auto"/>
        </w:rPr>
      </w:pPr>
    </w:p>
    <w:p>
      <w:pPr>
        <w:ind w:firstLine="1304"/>
        <w:spacing w:after="0" w:line="267" w:lineRule="auto"/>
        <w:tabs>
          <w:tab w:leader="none" w:pos="17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 Change of Control Triggering Event occurs, unless the Company has exercised its option to redeem all Notes in full pursuant to Section 3.1 or has defeased the Notes or satisfied and discharged the Notes, the Company shall be required to make an offer (an “</w:t>
      </w:r>
      <w:r>
        <w:rPr>
          <w:rFonts w:ascii="Arial" w:cs="Arial" w:eastAsia="Arial" w:hAnsi="Arial"/>
          <w:sz w:val="17"/>
          <w:szCs w:val="17"/>
          <w:b w:val="1"/>
          <w:bCs w:val="1"/>
          <w:i w:val="1"/>
          <w:iCs w:val="1"/>
          <w:color w:val="auto"/>
        </w:rPr>
        <w:t>Offer to Purchase</w:t>
      </w:r>
      <w:r>
        <w:rPr>
          <w:rFonts w:ascii="Arial" w:cs="Arial" w:eastAsia="Arial" w:hAnsi="Arial"/>
          <w:sz w:val="17"/>
          <w:szCs w:val="17"/>
          <w:color w:val="auto"/>
        </w:rPr>
        <w:t>”) to each Holder of the Notes to purchase all or any part (equal to $2,000 and in integral multiples of $1,000 in excess thereof) of that Holder’s Notes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7"/>
          <w:szCs w:val="17"/>
          <w:b w:val="1"/>
          <w:bCs w:val="1"/>
          <w:i w:val="1"/>
          <w:iCs w:val="1"/>
          <w:color w:val="auto"/>
        </w:rPr>
        <w:t>Change of Control Purchase Price</w:t>
      </w:r>
      <w:r>
        <w:rPr>
          <w:rFonts w:ascii="Arial" w:cs="Arial" w:eastAsia="Arial" w:hAnsi="Arial"/>
          <w:sz w:val="17"/>
          <w:szCs w:val="17"/>
          <w:color w:val="auto"/>
        </w:rPr>
        <w:t>”). Not later than 60 days following any Change of Control Triggering Event, the Company shall deliver or cause to be delivered (or if the Notes are represented by one or more Global Notes, transmitted in accordance with the Depositary’s standard procedures therefor) a notice to Holders of the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Arial" w:cs="Arial" w:eastAsia="Arial" w:hAnsi="Arial"/>
          <w:sz w:val="17"/>
          <w:szCs w:val="17"/>
          <w:b w:val="1"/>
          <w:bCs w:val="1"/>
          <w:i w:val="1"/>
          <w:i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and a settlement date for purchase (a “</w:t>
      </w:r>
      <w:r>
        <w:rPr>
          <w:rFonts w:ascii="Arial" w:cs="Arial" w:eastAsia="Arial" w:hAnsi="Arial"/>
          <w:sz w:val="17"/>
          <w:szCs w:val="17"/>
          <w:b w:val="1"/>
          <w:bCs w:val="1"/>
          <w:i w:val="1"/>
          <w:iCs w:val="1"/>
          <w:color w:val="auto"/>
        </w:rPr>
        <w:t>Change of Control Purchase Date</w:t>
      </w:r>
      <w:r>
        <w:rPr>
          <w:rFonts w:ascii="Arial" w:cs="Arial" w:eastAsia="Arial" w:hAnsi="Arial"/>
          <w:sz w:val="17"/>
          <w:szCs w:val="17"/>
          <w:color w:val="auto"/>
        </w:rPr>
        <w:t>”) for such Offer to Purchase of not more than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35" w:right="359" w:bottom="1440" w:gutter="0" w:footer="0" w:header="0"/>
        </w:sectPr>
      </w:pPr>
    </w:p>
    <w:bookmarkStart w:id="22" w:name="page23"/>
    <w:bookmarkEnd w:id="22"/>
    <w:p>
      <w:pPr>
        <w:ind w:right="20"/>
        <w:spacing w:after="0" w:line="256" w:lineRule="auto"/>
        <w:rPr>
          <w:sz w:val="20"/>
          <w:szCs w:val="20"/>
          <w:color w:val="auto"/>
        </w:rPr>
      </w:pPr>
      <w:r>
        <w:rPr>
          <w:rFonts w:ascii="Arial" w:cs="Arial" w:eastAsia="Arial" w:hAnsi="Arial"/>
          <w:sz w:val="18"/>
          <w:szCs w:val="18"/>
          <w:color w:val="auto"/>
        </w:rPr>
        <w:t>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229" w:lineRule="exact"/>
        <w:rPr>
          <w:sz w:val="20"/>
          <w:szCs w:val="20"/>
          <w:color w:val="auto"/>
        </w:rPr>
      </w:pPr>
    </w:p>
    <w:p>
      <w:pPr>
        <w:ind w:left="1720" w:hanging="416"/>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52" w:lineRule="exact"/>
        <w:rPr>
          <w:rFonts w:ascii="Arial" w:cs="Arial" w:eastAsia="Arial" w:hAnsi="Arial"/>
          <w:sz w:val="18"/>
          <w:szCs w:val="18"/>
          <w:color w:val="auto"/>
        </w:rPr>
      </w:pPr>
    </w:p>
    <w:p>
      <w:pPr>
        <w:ind w:right="60" w:firstLine="1871"/>
        <w:spacing w:after="0" w:line="261"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or portion of such Notes validly tendered and not withdrawn will be accepted for payment;</w:t>
      </w:r>
    </w:p>
    <w:p>
      <w:pPr>
        <w:spacing w:after="0" w:line="224" w:lineRule="exact"/>
        <w:rPr>
          <w:rFonts w:ascii="Arial" w:cs="Arial" w:eastAsia="Arial" w:hAnsi="Arial"/>
          <w:sz w:val="18"/>
          <w:szCs w:val="18"/>
          <w:color w:val="auto"/>
        </w:rPr>
      </w:pPr>
    </w:p>
    <w:p>
      <w:pPr>
        <w:ind w:left="2300" w:hanging="429"/>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52" w:lineRule="exact"/>
        <w:rPr>
          <w:rFonts w:ascii="Arial" w:cs="Arial" w:eastAsia="Arial" w:hAnsi="Arial"/>
          <w:sz w:val="18"/>
          <w:szCs w:val="18"/>
          <w:color w:val="auto"/>
        </w:rPr>
      </w:pPr>
    </w:p>
    <w:p>
      <w:pPr>
        <w:ind w:left="2300" w:hanging="429"/>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52" w:lineRule="exact"/>
        <w:rPr>
          <w:rFonts w:ascii="Arial" w:cs="Arial" w:eastAsia="Arial" w:hAnsi="Arial"/>
          <w:sz w:val="18"/>
          <w:szCs w:val="18"/>
          <w:color w:val="auto"/>
        </w:rPr>
      </w:pPr>
    </w:p>
    <w:p>
      <w:pPr>
        <w:jc w:val="both"/>
        <w:ind w:right="80" w:firstLine="1871"/>
        <w:spacing w:after="0" w:line="254"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any Note accepted for payment pursuant to the Offer to Purchase shall cease to accrue interest after the Change of Control Purchase Date unless the Company shall default in the payment of the Change of Control Purchase Price of the Notes and the only remaining right of the Holder is to receive payment of the Change of Control Purchase Price upon surrender of the Notes to the Paying Agent;</w:t>
      </w:r>
    </w:p>
    <w:p>
      <w:pPr>
        <w:spacing w:after="0" w:line="230" w:lineRule="exact"/>
        <w:rPr>
          <w:rFonts w:ascii="Arial" w:cs="Arial" w:eastAsia="Arial" w:hAnsi="Arial"/>
          <w:sz w:val="18"/>
          <w:szCs w:val="18"/>
          <w:color w:val="auto"/>
        </w:rPr>
      </w:pPr>
    </w:p>
    <w:p>
      <w:pPr>
        <w:ind w:right="180" w:firstLine="1871"/>
        <w:spacing w:after="0" w:line="256"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228" w:lineRule="exact"/>
        <w:rPr>
          <w:rFonts w:ascii="Arial" w:cs="Arial" w:eastAsia="Arial" w:hAnsi="Arial"/>
          <w:sz w:val="18"/>
          <w:szCs w:val="18"/>
          <w:color w:val="auto"/>
        </w:rPr>
      </w:pPr>
    </w:p>
    <w:p>
      <w:pPr>
        <w:ind w:right="20" w:firstLine="1871"/>
        <w:spacing w:after="0" w:line="254"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if a Holder elects to have a Note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230" w:lineRule="exact"/>
        <w:rPr>
          <w:rFonts w:ascii="Arial" w:cs="Arial" w:eastAsia="Arial" w:hAnsi="Arial"/>
          <w:sz w:val="18"/>
          <w:szCs w:val="18"/>
          <w:color w:val="auto"/>
        </w:rPr>
      </w:pPr>
    </w:p>
    <w:p>
      <w:pPr>
        <w:ind w:firstLine="1871"/>
        <w:spacing w:after="0" w:line="256"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228" w:lineRule="exact"/>
        <w:rPr>
          <w:rFonts w:ascii="Arial" w:cs="Arial" w:eastAsia="Arial" w:hAnsi="Arial"/>
          <w:sz w:val="18"/>
          <w:szCs w:val="18"/>
          <w:color w:val="auto"/>
        </w:rPr>
      </w:pPr>
    </w:p>
    <w:p>
      <w:pPr>
        <w:ind w:right="80" w:firstLine="1871"/>
        <w:spacing w:after="0" w:line="261"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if Notes are purchased only in part by the Company, a new Note of the same type will be issued in principal amount equal to the unpurchased portion of the Notes surrendered.</w:t>
      </w:r>
    </w:p>
    <w:p>
      <w:pPr>
        <w:spacing w:after="0" w:line="224" w:lineRule="exact"/>
        <w:rPr>
          <w:rFonts w:ascii="Arial" w:cs="Arial" w:eastAsia="Arial" w:hAnsi="Arial"/>
          <w:sz w:val="18"/>
          <w:szCs w:val="18"/>
          <w:color w:val="auto"/>
        </w:rPr>
      </w:pPr>
    </w:p>
    <w:p>
      <w:pPr>
        <w:ind w:left="1720" w:hanging="416"/>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52" w:lineRule="exact"/>
        <w:rPr>
          <w:rFonts w:ascii="Arial" w:cs="Arial" w:eastAsia="Arial" w:hAnsi="Arial"/>
          <w:sz w:val="18"/>
          <w:szCs w:val="18"/>
          <w:color w:val="auto"/>
        </w:rPr>
      </w:pPr>
    </w:p>
    <w:p>
      <w:pPr>
        <w:ind w:left="2300" w:hanging="429"/>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accept for payment all Notes or portions of such Notes properly tendered pursuant to the Offer to Purchase;</w:t>
      </w:r>
    </w:p>
    <w:p>
      <w:pPr>
        <w:spacing w:after="0" w:line="252" w:lineRule="exact"/>
        <w:rPr>
          <w:rFonts w:ascii="Arial" w:cs="Arial" w:eastAsia="Arial" w:hAnsi="Arial"/>
          <w:sz w:val="18"/>
          <w:szCs w:val="18"/>
          <w:color w:val="auto"/>
        </w:rPr>
      </w:pPr>
    </w:p>
    <w:p>
      <w:pPr>
        <w:ind w:right="100" w:firstLine="1871"/>
        <w:spacing w:after="0" w:line="261"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or portions of such Notes properly tendered;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35" w:right="359" w:bottom="1440" w:gutter="0" w:footer="0" w:header="0"/>
        </w:sectPr>
      </w:pPr>
    </w:p>
    <w:bookmarkStart w:id="23" w:name="page24"/>
    <w:bookmarkEnd w:id="23"/>
    <w:p>
      <w:pPr>
        <w:ind w:left="-8" w:right="80" w:firstLine="1871"/>
        <w:spacing w:after="0" w:line="261" w:lineRule="auto"/>
        <w:tabs>
          <w:tab w:leader="none" w:pos="2275"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such Notes or portions of such Notes being repurchased.</w:t>
      </w:r>
    </w:p>
    <w:p>
      <w:pPr>
        <w:spacing w:after="0" w:line="224" w:lineRule="exact"/>
        <w:rPr>
          <w:rFonts w:ascii="Arial" w:cs="Arial" w:eastAsia="Arial" w:hAnsi="Arial"/>
          <w:sz w:val="18"/>
          <w:szCs w:val="18"/>
          <w:color w:val="auto"/>
        </w:rPr>
      </w:pPr>
    </w:p>
    <w:p>
      <w:pPr>
        <w:ind w:left="-8" w:right="60" w:firstLine="1304"/>
        <w:spacing w:after="0" w:line="256" w:lineRule="auto"/>
        <w:tabs>
          <w:tab w:leader="none" w:pos="1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228" w:lineRule="exact"/>
        <w:rPr>
          <w:rFonts w:ascii="Arial" w:cs="Arial" w:eastAsia="Arial" w:hAnsi="Arial"/>
          <w:sz w:val="18"/>
          <w:szCs w:val="18"/>
          <w:color w:val="auto"/>
        </w:rPr>
      </w:pPr>
    </w:p>
    <w:p>
      <w:pPr>
        <w:ind w:left="-8" w:firstLine="1304"/>
        <w:spacing w:after="0" w:line="265" w:lineRule="auto"/>
        <w:tabs>
          <w:tab w:leader="none" w:pos="1705"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shall not be required to make an Offer to Purchase upon the occurrence of a Change of Control Triggering Event with respect to Notes if (i) a third party makes such an offer in the manner, at the times and otherwise in compliance with the requirements for an offer made by the Company and the third party purchases all Notes validly tendered and not withdrawn under its offer or</w:t>
      </w:r>
    </w:p>
    <w:p>
      <w:pPr>
        <w:ind w:left="252" w:hanging="252"/>
        <w:spacing w:after="0"/>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has sent a notice of redemption pursuant to Section 3.1 of this Supplemental Indenture.</w:t>
      </w:r>
    </w:p>
    <w:p>
      <w:pPr>
        <w:spacing w:after="0" w:line="252" w:lineRule="exact"/>
        <w:rPr>
          <w:rFonts w:ascii="Arial" w:cs="Arial" w:eastAsia="Arial" w:hAnsi="Arial"/>
          <w:sz w:val="18"/>
          <w:szCs w:val="18"/>
          <w:color w:val="auto"/>
        </w:rPr>
      </w:pPr>
    </w:p>
    <w:p>
      <w:pPr>
        <w:ind w:left="-8" w:right="140" w:firstLine="1304"/>
        <w:spacing w:after="0" w:line="253" w:lineRule="auto"/>
        <w:tabs>
          <w:tab w:leader="none" w:pos="1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all other applicable laws and regulations thereunder to the extent such securities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232" w:lineRule="exact"/>
        <w:rPr>
          <w:rFonts w:ascii="Arial" w:cs="Arial" w:eastAsia="Arial" w:hAnsi="Arial"/>
          <w:sz w:val="18"/>
          <w:szCs w:val="18"/>
          <w:color w:val="auto"/>
        </w:rPr>
      </w:pPr>
    </w:p>
    <w:p>
      <w:pPr>
        <w:ind w:left="-8" w:firstLine="1304"/>
        <w:spacing w:after="0" w:line="256" w:lineRule="auto"/>
        <w:tabs>
          <w:tab w:leader="none" w:pos="1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228" w:lineRule="exact"/>
        <w:rPr>
          <w:rFonts w:ascii="Arial" w:cs="Arial" w:eastAsia="Arial" w:hAnsi="Arial"/>
          <w:sz w:val="18"/>
          <w:szCs w:val="18"/>
          <w:color w:val="auto"/>
        </w:rPr>
      </w:pPr>
    </w:p>
    <w:p>
      <w:pPr>
        <w:ind w:left="-8" w:right="60" w:firstLine="1304"/>
        <w:spacing w:after="0" w:line="291" w:lineRule="auto"/>
        <w:tabs>
          <w:tab w:leader="none" w:pos="1708"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200" w:lineRule="exact"/>
        <w:rPr>
          <w:rFonts w:ascii="Arial" w:cs="Arial" w:eastAsia="Arial" w:hAnsi="Arial"/>
          <w:sz w:val="17"/>
          <w:szCs w:val="17"/>
          <w:color w:val="auto"/>
        </w:rPr>
      </w:pPr>
    </w:p>
    <w:p>
      <w:pPr>
        <w:ind w:left="-8" w:firstLine="1304"/>
        <w:spacing w:after="0" w:line="252" w:lineRule="auto"/>
        <w:tabs>
          <w:tab w:leader="none" w:pos="14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Holders of not less than 90% in aggregate principal amount of the outstanding Notes validly tender and do not withdraw such Notes in an Offer to Purchase and the Company, or any third party approved in writing by the Company making an Offer to Purchase in lieu of the Company pursuant to Section 4.1(e)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w:t>
      </w:r>
      <w:r>
        <w:rPr>
          <w:rFonts w:ascii="Arial" w:cs="Arial" w:eastAsia="Arial" w:hAnsi="Arial"/>
          <w:sz w:val="18"/>
          <w:szCs w:val="18"/>
          <w:b w:val="1"/>
          <w:bCs w:val="1"/>
          <w:i w:val="1"/>
          <w:iCs w:val="1"/>
          <w:color w:val="auto"/>
        </w:rPr>
        <w:t>Second Change of Control Purchase Date</w:t>
      </w:r>
      <w:r>
        <w:rPr>
          <w:rFonts w:ascii="Arial" w:cs="Arial" w:eastAsia="Arial" w:hAnsi="Arial"/>
          <w:sz w:val="18"/>
          <w:szCs w:val="18"/>
          <w:color w:val="auto"/>
        </w:rPr>
        <w:t>”) at a purchase price equal to 101% of the principal amount thereof plus accrued and unpaid interest, if any, to, but excluding, the Second Change of Control Purchase Date.</w:t>
      </w:r>
    </w:p>
    <w:p>
      <w:pPr>
        <w:spacing w:after="0" w:line="214" w:lineRule="exact"/>
        <w:rPr>
          <w:sz w:val="20"/>
          <w:szCs w:val="20"/>
          <w:color w:val="auto"/>
        </w:rPr>
      </w:pPr>
    </w:p>
    <w:p>
      <w:pPr>
        <w:ind w:left="652"/>
        <w:spacing w:after="0"/>
        <w:tabs>
          <w:tab w:leader="none" w:pos="1772"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i w:val="1"/>
          <w:iCs w:val="1"/>
          <w:color w:val="auto"/>
        </w:rPr>
        <w:t>Liens.</w:t>
      </w:r>
    </w:p>
    <w:p>
      <w:pPr>
        <w:spacing w:after="0" w:line="270" w:lineRule="exact"/>
        <w:rPr>
          <w:sz w:val="20"/>
          <w:szCs w:val="20"/>
          <w:color w:val="auto"/>
        </w:rPr>
      </w:pPr>
    </w:p>
    <w:p>
      <w:pPr>
        <w:ind w:left="-8" w:firstLine="1304"/>
        <w:spacing w:after="0" w:line="252" w:lineRule="auto"/>
        <w:tabs>
          <w:tab w:leader="none" w:pos="15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12"/>
          </w:cols>
          <w:pgMar w:left="328" w:top="1435" w:right="359" w:bottom="1440" w:gutter="0" w:footer="0" w:header="0"/>
        </w:sectPr>
      </w:pPr>
    </w:p>
    <w:bookmarkStart w:id="24" w:name="page25"/>
    <w:bookmarkEnd w:id="24"/>
    <w:p>
      <w:pPr>
        <w:spacing w:after="0" w:line="238" w:lineRule="exact"/>
        <w:rPr>
          <w:sz w:val="20"/>
          <w:szCs w:val="20"/>
          <w:color w:val="auto"/>
        </w:rPr>
      </w:pPr>
    </w:p>
    <w:p>
      <w:pPr>
        <w:ind w:right="60" w:firstLine="1304"/>
        <w:spacing w:after="0" w:line="251" w:lineRule="auto"/>
        <w:tabs>
          <w:tab w:leader="none" w:pos="15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Section 4.2(a) above,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237" w:lineRule="exact"/>
        <w:rPr>
          <w:rFonts w:ascii="Arial" w:cs="Arial" w:eastAsia="Arial" w:hAnsi="Arial"/>
          <w:sz w:val="18"/>
          <w:szCs w:val="18"/>
          <w:color w:val="auto"/>
        </w:rPr>
      </w:pPr>
    </w:p>
    <w:p>
      <w:pPr>
        <w:ind w:right="80" w:firstLine="1304"/>
        <w:spacing w:after="0" w:line="251" w:lineRule="auto"/>
        <w:tabs>
          <w:tab w:leader="none" w:pos="15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237" w:lineRule="exact"/>
        <w:rPr>
          <w:rFonts w:ascii="Arial" w:cs="Arial" w:eastAsia="Arial" w:hAnsi="Arial"/>
          <w:sz w:val="18"/>
          <w:szCs w:val="18"/>
          <w:color w:val="auto"/>
        </w:rPr>
      </w:pPr>
    </w:p>
    <w:p>
      <w:pPr>
        <w:ind w:right="140" w:firstLine="1304"/>
        <w:spacing w:after="0" w:line="256" w:lineRule="auto"/>
        <w:tabs>
          <w:tab w:leader="none" w:pos="15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pursuant to Section 4.2(a) above may provide by its terms that such Lien shall be automatically and unconditionally released and discharged upon the release and discharge of the Lien that gave rise to the obligation to secure the Notes.</w:t>
      </w:r>
    </w:p>
    <w:p>
      <w:pPr>
        <w:spacing w:after="0" w:line="21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7"/>
          <w:szCs w:val="17"/>
          <w:i w:val="1"/>
          <w:iCs w:val="1"/>
          <w:color w:val="auto"/>
        </w:rPr>
        <w:t>Sale and Lease Back Transactions.</w:t>
      </w:r>
    </w:p>
    <w:p>
      <w:pPr>
        <w:spacing w:after="0" w:line="27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225" w:lineRule="exact"/>
        <w:rPr>
          <w:sz w:val="20"/>
          <w:szCs w:val="20"/>
          <w:color w:val="auto"/>
        </w:rPr>
      </w:pPr>
    </w:p>
    <w:p>
      <w:pPr>
        <w:ind w:left="1720" w:hanging="41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firstLine="1304"/>
        <w:spacing w:after="0" w:line="261" w:lineRule="auto"/>
        <w:tabs>
          <w:tab w:leader="none" w:pos="17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224" w:lineRule="exact"/>
        <w:rPr>
          <w:rFonts w:ascii="Arial" w:cs="Arial" w:eastAsia="Arial" w:hAnsi="Arial"/>
          <w:sz w:val="18"/>
          <w:szCs w:val="18"/>
          <w:color w:val="auto"/>
        </w:rPr>
      </w:pPr>
    </w:p>
    <w:p>
      <w:pPr>
        <w:jc w:val="both"/>
        <w:ind w:firstLine="1304"/>
        <w:spacing w:after="0" w:line="256" w:lineRule="auto"/>
        <w:tabs>
          <w:tab w:leader="none" w:pos="17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61" w:lineRule="auto"/>
        <w:rPr>
          <w:sz w:val="20"/>
          <w:szCs w:val="20"/>
          <w:color w:val="auto"/>
        </w:rPr>
      </w:pPr>
      <w:r>
        <w:rPr>
          <w:rFonts w:ascii="Arial" w:cs="Arial" w:eastAsia="Arial" w:hAnsi="Arial"/>
          <w:sz w:val="18"/>
          <w:szCs w:val="18"/>
          <w:color w:val="auto"/>
        </w:rPr>
        <w:t>placing into commercial operation of such Principal Property after the acquisition or completion of any such development, operation, construction, alteration, repair or improvement;</w:t>
      </w:r>
    </w:p>
    <w:p>
      <w:pPr>
        <w:spacing w:after="0" w:line="225" w:lineRule="exact"/>
        <w:rPr>
          <w:sz w:val="20"/>
          <w:szCs w:val="20"/>
          <w:color w:val="auto"/>
        </w:rPr>
      </w:pPr>
    </w:p>
    <w:p>
      <w:pPr>
        <w:ind w:firstLine="1304"/>
        <w:spacing w:after="0" w:line="261" w:lineRule="auto"/>
        <w:tabs>
          <w:tab w:leader="none" w:pos="17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224" w:lineRule="exact"/>
        <w:rPr>
          <w:rFonts w:ascii="Arial" w:cs="Arial" w:eastAsia="Arial" w:hAnsi="Arial"/>
          <w:sz w:val="18"/>
          <w:szCs w:val="18"/>
          <w:color w:val="auto"/>
        </w:rPr>
      </w:pPr>
    </w:p>
    <w:p>
      <w:pPr>
        <w:jc w:val="both"/>
        <w:ind w:firstLine="1304"/>
        <w:spacing w:after="0" w:line="256" w:lineRule="auto"/>
        <w:tabs>
          <w:tab w:leader="none" w:pos="17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228" w:lineRule="exact"/>
        <w:rPr>
          <w:rFonts w:ascii="Arial" w:cs="Arial" w:eastAsia="Arial" w:hAnsi="Arial"/>
          <w:sz w:val="18"/>
          <w:szCs w:val="18"/>
          <w:color w:val="auto"/>
        </w:rPr>
      </w:pPr>
    </w:p>
    <w:p>
      <w:pPr>
        <w:jc w:val="both"/>
        <w:ind w:firstLine="1304"/>
        <w:spacing w:after="0" w:line="253" w:lineRule="auto"/>
        <w:tabs>
          <w:tab w:leader="none" w:pos="16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23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21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8"/>
          <w:szCs w:val="18"/>
          <w:i w:val="1"/>
          <w:iCs w:val="1"/>
          <w:color w:val="auto"/>
        </w:rPr>
        <w:t>Covenants.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covenants set forth in Sections 4.2 and 4.3 above are and are intended solely for the benefit of the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7"/>
          <w:szCs w:val="17"/>
          <w:i w:val="1"/>
          <w:iCs w:val="1"/>
          <w:color w:val="auto"/>
        </w:rPr>
        <w:t>Satisfaction and Discharge of Indenture.</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satisfy and discharge the Notes in accordance with and subject to the terms of Section 8.1 of the Base Indenture.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7"/>
          <w:szCs w:val="17"/>
          <w:i w:val="1"/>
          <w:iCs w:val="1"/>
          <w:color w:val="auto"/>
        </w:rPr>
        <w:t>Legal Defeasance of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the Notes.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8"/>
          <w:szCs w:val="18"/>
          <w:i w:val="1"/>
          <w:iCs w:val="1"/>
          <w:color w:val="auto"/>
        </w:rPr>
        <w:t>Covenant Defeasance.</w:t>
      </w:r>
    </w:p>
    <w:p>
      <w:pPr>
        <w:spacing w:after="0" w:line="27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any term, provision or condition set forth in Section 4.1, Section 4.2 and Section 4.3 of this Supplemental Indenture by complying with the requirements of Section 8.4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3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i w:val="1"/>
          <w:iCs w:val="1"/>
          <w:color w:val="auto"/>
        </w:rPr>
        <w:t>Trust Indenture Act Controls.</w:t>
      </w:r>
    </w:p>
    <w:p>
      <w:pPr>
        <w:spacing w:after="0" w:line="270"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20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7"/>
          <w:szCs w:val="17"/>
          <w:i w:val="1"/>
          <w:iCs w:val="1"/>
          <w:color w:val="auto"/>
        </w:rPr>
        <w:t>Governing Law</w:t>
      </w:r>
      <w:r>
        <w:rPr>
          <w:rFonts w:ascii="Arial" w:cs="Arial" w:eastAsia="Arial" w:hAnsi="Arial"/>
          <w:sz w:val="17"/>
          <w:szCs w:val="17"/>
          <w:color w:val="auto"/>
        </w:rPr>
        <w: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7"/>
          <w:szCs w:val="17"/>
          <w:i w:val="1"/>
          <w:iCs w:val="1"/>
          <w:color w:val="auto"/>
        </w:rPr>
        <w:t>Successors.</w:t>
      </w:r>
    </w:p>
    <w:p>
      <w:pPr>
        <w:spacing w:after="0" w:line="270"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20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7"/>
          <w:szCs w:val="17"/>
          <w:i w:val="1"/>
          <w:iCs w:val="1"/>
          <w:color w:val="auto"/>
        </w:rPr>
        <w:t>Severability</w:t>
      </w:r>
      <w:r>
        <w:rPr>
          <w:rFonts w:ascii="Arial" w:cs="Arial" w:eastAsia="Arial" w:hAnsi="Arial"/>
          <w:sz w:val="17"/>
          <w:szCs w:val="17"/>
          <w:color w:val="auto"/>
        </w:rPr>
        <w:t>.</w:t>
      </w:r>
    </w:p>
    <w:p>
      <w:pPr>
        <w:spacing w:after="0" w:line="27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7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3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3" w:right="339" w:bottom="1440" w:gutter="0" w:footer="0" w:header="0"/>
        </w:sectPr>
      </w:pPr>
    </w:p>
    <w:bookmarkStart w:id="27" w:name="page28"/>
    <w:bookmarkEnd w:id="27"/>
    <w:p>
      <w:pPr>
        <w:ind w:left="660"/>
        <w:spacing w:after="0"/>
        <w:tabs>
          <w:tab w:leader="none" w:pos="178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7"/>
          <w:szCs w:val="17"/>
          <w:i w:val="1"/>
          <w:iCs w:val="1"/>
          <w:color w:val="auto"/>
        </w:rPr>
        <w:t>Table of Contents, Headings, Etc</w:t>
      </w:r>
      <w:r>
        <w:rPr>
          <w:rFonts w:ascii="Arial" w:cs="Arial" w:eastAsia="Arial" w:hAnsi="Arial"/>
          <w:sz w:val="17"/>
          <w:szCs w:val="17"/>
          <w:color w:val="auto"/>
        </w:rPr>
        <w:t>.</w:t>
      </w:r>
    </w:p>
    <w:p>
      <w:pPr>
        <w:spacing w:after="0" w:line="27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21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i w:val="1"/>
          <w:iCs w:val="1"/>
          <w:color w:val="auto"/>
        </w:rPr>
        <w:t>Waiver of Jury Trial.</w:t>
      </w:r>
    </w:p>
    <w:p>
      <w:pPr>
        <w:spacing w:after="0" w:line="27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21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8"/>
          <w:szCs w:val="18"/>
          <w:i w:val="1"/>
          <w:iCs w:val="1"/>
          <w:color w:val="auto"/>
        </w:rPr>
        <w:t>Interpretation.</w:t>
      </w:r>
    </w:p>
    <w:p>
      <w:pPr>
        <w:spacing w:after="0" w:line="27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22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7"/>
          <w:szCs w:val="17"/>
          <w:i w:val="1"/>
          <w:iCs w:val="1"/>
          <w:color w:val="auto"/>
        </w:rPr>
        <w:t>Instruction by Electronic Transmissions.</w:t>
      </w:r>
    </w:p>
    <w:p>
      <w:pPr>
        <w:spacing w:after="0" w:line="27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1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8"/>
          <w:szCs w:val="18"/>
          <w:i w:val="1"/>
          <w:iCs w:val="1"/>
          <w:color w:val="auto"/>
        </w:rPr>
        <w:t>Notices.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Trustee set forth in Section 10.2 of the Base Indenture is amended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Bank Trust Company, National Association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555 SW Oak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PD-OR-P7TD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17" w:right="35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Portland, OR 97204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 Nelson (Micron Technology, Inc. Notes).</w:t>
      </w:r>
    </w:p>
    <w:p>
      <w:pPr>
        <w:spacing w:after="0" w:line="23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8"/>
          <w:szCs w:val="18"/>
          <w:i w:val="1"/>
          <w:iCs w:val="1"/>
          <w:color w:val="auto"/>
        </w:rPr>
        <w:t>Miscellaneous.</w:t>
      </w:r>
    </w:p>
    <w:p>
      <w:pPr>
        <w:spacing w:after="0" w:line="27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35" w:right="339" w:bottom="1440" w:gutter="0" w:footer="0" w:header="0"/>
        </w:sectPr>
      </w:pPr>
    </w:p>
    <w:bookmarkStart w:id="29" w:name="page30"/>
    <w:bookmarkEnd w:id="29"/>
    <w:p>
      <w:pPr>
        <w:ind w:left="5040"/>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31, 2022</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MICRON TECHNOLOGY, INC.</w:t>
      </w:r>
    </w:p>
    <w:p>
      <w:pPr>
        <w:spacing w:after="0" w:line="234"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-15875</wp:posOffset>
            </wp:positionV>
            <wp:extent cx="800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ind w:left="4540"/>
        <w:spacing w:after="0" w:line="234" w:lineRule="auto"/>
        <w:tabs>
          <w:tab w:leader="none" w:pos="5300" w:val="left"/>
        </w:tabs>
        <w:rPr>
          <w:sz w:val="20"/>
          <w:szCs w:val="20"/>
          <w:color w:val="auto"/>
        </w:rPr>
      </w:pPr>
      <w:r>
        <w:rPr>
          <w:rFonts w:ascii="Arial" w:cs="Arial" w:eastAsia="Arial" w:hAnsi="Arial"/>
          <w:sz w:val="18"/>
          <w:szCs w:val="18"/>
          <w:color w:val="auto"/>
        </w:rPr>
        <w:t>Name:</w:t>
        <w:tab/>
        <w:t>Greg Routin</w:t>
      </w:r>
    </w:p>
    <w:p>
      <w:pPr>
        <w:spacing w:after="0" w:line="1"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18"/>
          <w:szCs w:val="18"/>
          <w:color w:val="auto"/>
        </w:rPr>
        <w:t>Title:</w:t>
        <w:tab/>
        <w:t>Vice President and Treasurer</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U.S. BANK TRUST COMPANY, NATIONAL</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ASSOCIATION, as Trustee</w:t>
      </w:r>
    </w:p>
    <w:p>
      <w:pPr>
        <w:spacing w:after="0" w:line="180"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Cheryl Nelson</w:t>
      </w:r>
    </w:p>
    <w:p>
      <w:pPr>
        <w:ind w:left="4540"/>
        <w:spacing w:after="0" w:line="234" w:lineRule="auto"/>
        <w:tabs>
          <w:tab w:leader="none" w:pos="5300" w:val="left"/>
        </w:tabs>
        <w:rPr>
          <w:sz w:val="20"/>
          <w:szCs w:val="20"/>
          <w:color w:val="auto"/>
        </w:rPr>
      </w:pPr>
      <w:r>
        <w:rPr>
          <w:rFonts w:ascii="Arial" w:cs="Arial" w:eastAsia="Arial" w:hAnsi="Arial"/>
          <w:sz w:val="18"/>
          <w:szCs w:val="18"/>
          <w:color w:val="auto"/>
        </w:rPr>
        <w:t>Name:</w:t>
        <w:tab/>
        <w:t>Cheryl Nelson</w:t>
      </w:r>
    </w:p>
    <w:p>
      <w:pPr>
        <w:spacing w:after="0" w:line="1"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39"/>
          </w:cols>
          <w:pgMar w:left="320" w:top="1399"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EXHIBIT A</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39" w:lineRule="exact"/>
        <w:rPr>
          <w:sz w:val="20"/>
          <w:szCs w:val="20"/>
          <w:color w:val="auto"/>
        </w:rPr>
      </w:pPr>
    </w:p>
    <w:p>
      <w:pPr>
        <w:ind w:right="180" w:firstLine="648"/>
        <w:spacing w:after="0" w:line="24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THIS GLOBAL NOTE MAY BE EXCHANGED IN WHOLE BUT NOT IN PART PURSUANT TO SECTION 2.2(a) OF THE SUPPLEMENTAL INDENTURE, (III) THIS GLOBAL NOTE MAY BE DELIVERED TO THE TRUSTEE FOR CANCELLATION PURSUANT TO SECTION 2.12</w:t>
      </w:r>
    </w:p>
    <w:p>
      <w:pPr>
        <w:spacing w:after="0" w:line="1" w:lineRule="exact"/>
        <w:rPr>
          <w:sz w:val="20"/>
          <w:szCs w:val="20"/>
          <w:color w:val="auto"/>
        </w:rPr>
      </w:pPr>
    </w:p>
    <w:p>
      <w:pPr>
        <w:jc w:val="both"/>
        <w:ind w:right="1160"/>
        <w:spacing w:after="0" w:line="274" w:lineRule="auto"/>
        <w:rPr>
          <w:sz w:val="20"/>
          <w:szCs w:val="20"/>
          <w:color w:val="auto"/>
        </w:rPr>
      </w:pPr>
      <w:r>
        <w:rPr>
          <w:rFonts w:ascii="Arial" w:cs="Arial" w:eastAsia="Arial" w:hAnsi="Arial"/>
          <w:sz w:val="17"/>
          <w:szCs w:val="17"/>
          <w:color w:val="auto"/>
        </w:rPr>
        <w:t>OF THE BASE INDENTURE HEREINAFTER REFERRED TO AND (IV) THIS GLOBAL NOTE MAY BE TRANSFERRED TO A SUCCESSOR DEPOSITARY WITH THE PRIOR WRITTEN CONSENT OF THE COMPANY HEREINAFTER REFERRED 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GLOBAL NOTE IS A GLOBAL NOTE WITHIN THE MEANING OF THE SUPPLEMENTAL INDENTURE HEREINAFTER</w:t>
      </w:r>
    </w:p>
    <w:p>
      <w:pPr>
        <w:spacing w:after="0" w:line="234" w:lineRule="auto"/>
        <w:rPr>
          <w:sz w:val="20"/>
          <w:szCs w:val="20"/>
          <w:color w:val="auto"/>
        </w:rPr>
      </w:pPr>
      <w:r>
        <w:rPr>
          <w:rFonts w:ascii="Arial" w:cs="Arial" w:eastAsia="Arial" w:hAnsi="Arial"/>
          <w:sz w:val="18"/>
          <w:szCs w:val="18"/>
          <w:color w:val="auto"/>
        </w:rPr>
        <w:t>REFERRED TO AND IS REGISTERED IN THE NAME OF THE DEPOSITARY OR A NOMINEE OF THE DEPOSITARY. THIS GLOBAL</w:t>
      </w:r>
    </w:p>
    <w:p>
      <w:pPr>
        <w:spacing w:after="0" w:line="235" w:lineRule="auto"/>
        <w:rPr>
          <w:sz w:val="20"/>
          <w:szCs w:val="20"/>
          <w:color w:val="auto"/>
        </w:rPr>
      </w:pPr>
      <w:r>
        <w:rPr>
          <w:rFonts w:ascii="Arial" w:cs="Arial" w:eastAsia="Arial" w:hAnsi="Arial"/>
          <w:sz w:val="18"/>
          <w:szCs w:val="18"/>
          <w:color w:val="auto"/>
        </w:rPr>
        <w:t>NOTE IS EXCHANGEABLE FOR NOTES REGISTERED IN THE NAME OF A PERSON OTHER THAN THE DEPOSITARY OR ITS</w:t>
      </w:r>
    </w:p>
    <w:p>
      <w:pPr>
        <w:spacing w:after="0" w:line="235" w:lineRule="auto"/>
        <w:rPr>
          <w:sz w:val="20"/>
          <w:szCs w:val="20"/>
          <w:color w:val="auto"/>
        </w:rPr>
      </w:pPr>
      <w:r>
        <w:rPr>
          <w:rFonts w:ascii="Arial" w:cs="Arial" w:eastAsia="Arial" w:hAnsi="Arial"/>
          <w:sz w:val="18"/>
          <w:szCs w:val="18"/>
          <w:color w:val="auto"/>
        </w:rPr>
        <w:t>NOMINEE ONLY IN THE LIMITED CIRCUMSTANCES DESCRIBED IN THE INDENTURE, AND MAY NOT BE TRANSFERRED EXCEPT</w:t>
      </w:r>
    </w:p>
    <w:p>
      <w:pPr>
        <w:spacing w:after="0" w:line="235" w:lineRule="auto"/>
        <w:rPr>
          <w:sz w:val="20"/>
          <w:szCs w:val="20"/>
          <w:color w:val="auto"/>
        </w:rPr>
      </w:pPr>
      <w:r>
        <w:rPr>
          <w:rFonts w:ascii="Arial" w:cs="Arial" w:eastAsia="Arial" w:hAnsi="Arial"/>
          <w:sz w:val="18"/>
          <w:szCs w:val="18"/>
          <w:color w:val="auto"/>
        </w:rPr>
        <w:t>AS A WHOLE BY THE DEPOSITARY TO A NOMINEE OF THE DEPOSITARY, BY A NOMINEE OF THE DEPOSITARY TO THE</w:t>
      </w:r>
    </w:p>
    <w:p>
      <w:pPr>
        <w:spacing w:after="0" w:line="235" w:lineRule="auto"/>
        <w:rPr>
          <w:sz w:val="20"/>
          <w:szCs w:val="20"/>
          <w:color w:val="auto"/>
        </w:rPr>
      </w:pPr>
      <w:r>
        <w:rPr>
          <w:rFonts w:ascii="Arial" w:cs="Arial" w:eastAsia="Arial" w:hAnsi="Arial"/>
          <w:sz w:val="18"/>
          <w:szCs w:val="18"/>
          <w:color w:val="auto"/>
        </w:rPr>
        <w:t>DEPOSITARY OR ANOTHER NOMINEE OF THE DEPOSITARY OR BY THE DEPOSITARY OR ANY SUCH NOMINEE TO A</w:t>
      </w:r>
    </w:p>
    <w:p>
      <w:pPr>
        <w:spacing w:after="0" w:line="234" w:lineRule="auto"/>
        <w:rPr>
          <w:sz w:val="20"/>
          <w:szCs w:val="20"/>
          <w:color w:val="auto"/>
        </w:rPr>
      </w:pPr>
      <w:r>
        <w:rPr>
          <w:rFonts w:ascii="Arial" w:cs="Arial" w:eastAsia="Arial" w:hAnsi="Arial"/>
          <w:sz w:val="18"/>
          <w:szCs w:val="18"/>
          <w:color w:val="auto"/>
        </w:rPr>
        <w:t>SUCCESSOR DEPOSITARY OR A NOMINEE OF SUCH A SUCCESSOR DEPOSITARY. UNLESS THIS CERTIFICATE IS PRESENTED</w:t>
      </w:r>
    </w:p>
    <w:p>
      <w:pPr>
        <w:spacing w:after="0" w:line="235" w:lineRule="auto"/>
        <w:rPr>
          <w:sz w:val="20"/>
          <w:szCs w:val="20"/>
          <w:color w:val="auto"/>
        </w:rPr>
      </w:pPr>
      <w:r>
        <w:rPr>
          <w:rFonts w:ascii="Arial" w:cs="Arial" w:eastAsia="Arial" w:hAnsi="Arial"/>
          <w:sz w:val="18"/>
          <w:szCs w:val="18"/>
          <w:color w:val="auto"/>
        </w:rPr>
        <w:t>BY AN AUTHORIZED REPRESENTATIVE OF THE DEPOSITORY TRUST COMPANY (55 WATER STREET, NEW YORK, NEW YORK)</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w:t>
      </w:r>
    </w:p>
    <w:p>
      <w:pPr>
        <w:ind w:right="220"/>
        <w:spacing w:after="0"/>
        <w:rPr>
          <w:sz w:val="20"/>
          <w:szCs w:val="20"/>
          <w:color w:val="auto"/>
        </w:rPr>
      </w:pPr>
      <w:r>
        <w:rPr>
          <w:rFonts w:ascii="Arial" w:cs="Arial" w:eastAsia="Arial" w:hAnsi="Arial"/>
          <w:sz w:val="17"/>
          <w:szCs w:val="17"/>
          <w:color w:val="auto"/>
        </w:rPr>
        <w:t>ISSUED IS REGISTERED IN THE NAME OF CEDE &amp; CO. OR SUCH OTHER NAME AS MAY BE REQUESTED BY AN AUTHORIZED REPRESENTATIVE OF DTC (AND ANY PAYMENT IS MADE TO CEDE &amp; CO. OR SUCH OTHER ENTITY AS MAY BE REQUESTED BY</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AN AUTHORIZED REPRESENTATIVE OF DTC), ANY TRANSFER, PLEDGE OR OTHER USE HEREOF FOR VALUE OR OTHERWISE BY OR TO ANY PERSON IS WRONGFUL INASMUCH AS THE REGISTERED OWNER HEREOF, CEDE &amp; CO., HAS AN INTEREST HEREIN.</w:t>
      </w:r>
    </w:p>
    <w:p>
      <w:pPr>
        <w:spacing w:after="0" w:line="2"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CUSIP:[_______]</w:t>
      </w:r>
    </w:p>
    <w:p>
      <w:pPr>
        <w:spacing w:after="0" w:line="7"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ISIN:[_______]</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ind w:left="4420"/>
        <w:spacing w:after="0" w:line="234" w:lineRule="auto"/>
        <w:rPr>
          <w:sz w:val="20"/>
          <w:szCs w:val="20"/>
          <w:color w:val="auto"/>
        </w:rPr>
      </w:pPr>
      <w:r>
        <w:rPr>
          <w:rFonts w:ascii="Arial" w:cs="Arial" w:eastAsia="Arial" w:hAnsi="Arial"/>
          <w:sz w:val="18"/>
          <w:szCs w:val="18"/>
          <w:color w:val="auto"/>
        </w:rPr>
        <w:t>6.750% Senior Note due 2029</w:t>
      </w:r>
    </w:p>
    <w:p>
      <w:pPr>
        <w:spacing w:after="0" w:line="235" w:lineRule="auto"/>
        <w:rPr>
          <w:sz w:val="20"/>
          <w:szCs w:val="20"/>
          <w:color w:val="auto"/>
        </w:rPr>
      </w:pPr>
      <w:r>
        <w:rPr>
          <w:rFonts w:ascii="Arial" w:cs="Arial" w:eastAsia="Arial" w:hAnsi="Arial"/>
          <w:sz w:val="18"/>
          <w:szCs w:val="18"/>
          <w:color w:val="auto"/>
        </w:rPr>
        <w:t>No. [_____] $__________</w:t>
      </w:r>
    </w:p>
    <w:p>
      <w:pPr>
        <w:spacing w:after="0" w:line="1" w:lineRule="exact"/>
        <w:rPr>
          <w:sz w:val="20"/>
          <w:szCs w:val="20"/>
          <w:color w:val="auto"/>
        </w:rPr>
      </w:pPr>
    </w:p>
    <w:p>
      <w:pPr>
        <w:jc w:val="right"/>
        <w:ind w:left="4800"/>
        <w:spacing w:after="0" w:line="246" w:lineRule="auto"/>
        <w:rPr>
          <w:sz w:val="20"/>
          <w:szCs w:val="20"/>
          <w:color w:val="auto"/>
        </w:rPr>
      </w:pPr>
      <w:r>
        <w:rPr>
          <w:rFonts w:ascii="Arial" w:cs="Arial" w:eastAsia="Arial" w:hAnsi="Arial"/>
          <w:sz w:val="18"/>
          <w:szCs w:val="18"/>
          <w:color w:val="auto"/>
        </w:rPr>
        <w:t>(as revised by the Schedule of Increases and Decreases in Global Note attached hereto)</w:t>
      </w:r>
    </w:p>
    <w:p>
      <w:pPr>
        <w:spacing w:after="0" w:line="22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Micron Technology, Inc., a Delaware corporation, promises to pay to CEDE &amp; CO. or registered assigns, the principal sum of $[ ] (as revised by the Schedule of Increases and Decreases in Global Note attached hereto) on November 1, 2029.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1 and November 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Record Dates: April 15 and October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9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Date:</w:t>
      </w:r>
    </w:p>
    <w:p>
      <w:pPr>
        <w:ind w:left="4540"/>
        <w:spacing w:after="0"/>
        <w:rPr>
          <w:sz w:val="20"/>
          <w:szCs w:val="20"/>
          <w:color w:val="auto"/>
        </w:rPr>
      </w:pPr>
      <w:r>
        <w:rPr>
          <w:rFonts w:ascii="Arial" w:cs="Arial" w:eastAsia="Arial" w:hAnsi="Arial"/>
          <w:sz w:val="17"/>
          <w:szCs w:val="17"/>
          <w:color w:val="auto"/>
        </w:rPr>
        <w:t>MICRON TECHNOLOGY, INC.</w:t>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0139"/>
          </w:cols>
          <w:pgMar w:left="320" w:top="1417" w:right="1440" w:bottom="1440" w:gutter="0" w:footer="0" w:header="0"/>
        </w:sectPr>
      </w:pPr>
    </w:p>
    <w:bookmarkStart w:id="32" w:name="page33"/>
    <w:bookmarkEnd w:id="32"/>
    <w:p>
      <w:pPr>
        <w:ind w:left="3560"/>
        <w:spacing w:after="0"/>
        <w:rPr>
          <w:sz w:val="20"/>
          <w:szCs w:val="20"/>
          <w:color w:val="auto"/>
        </w:rPr>
      </w:pPr>
      <w:r>
        <w:rPr>
          <w:rFonts w:ascii="Arial" w:cs="Arial" w:eastAsia="Arial" w:hAnsi="Arial"/>
          <w:sz w:val="17"/>
          <w:szCs w:val="17"/>
          <w:color w:val="auto"/>
        </w:rPr>
        <w:t>TRUSTEE’S CERTIFICATE OF AUTHENTICATION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 as Trustee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139"/>
          </w:cols>
          <w:pgMar w:left="320" w:top="1421"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(Back of Note)</w:t>
      </w: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ind w:left="4420"/>
        <w:spacing w:after="0"/>
        <w:rPr>
          <w:sz w:val="20"/>
          <w:szCs w:val="20"/>
          <w:color w:val="auto"/>
        </w:rPr>
      </w:pPr>
      <w:r>
        <w:rPr>
          <w:rFonts w:ascii="Arial" w:cs="Arial" w:eastAsia="Arial" w:hAnsi="Arial"/>
          <w:sz w:val="18"/>
          <w:szCs w:val="18"/>
          <w:color w:val="auto"/>
        </w:rPr>
        <w:t>6.750% Senior Note due 2029</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17" w:lineRule="exact"/>
        <w:rPr>
          <w:sz w:val="20"/>
          <w:szCs w:val="20"/>
          <w:color w:val="auto"/>
        </w:rPr>
      </w:pPr>
    </w:p>
    <w:p>
      <w:pPr>
        <w:ind w:right="100" w:firstLine="737"/>
        <w:spacing w:after="0" w:line="237" w:lineRule="auto"/>
        <w:tabs>
          <w:tab w:leader="none" w:pos="128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promises to pay interest on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this Note at 6.750% per annum. The Company will pay interest semi-annually on May 1 and November 1 of each year, commencing May 1, 2023,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xml:space="preserve">”). Interest on the Notes will accrue from the most recent date to which interest has been paid or provided for or, if no interest has been paid or provided for, from October 31, 2022;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212" w:lineRule="exact"/>
        <w:rPr>
          <w:rFonts w:ascii="Arial" w:cs="Arial" w:eastAsia="Arial" w:hAnsi="Arial"/>
          <w:sz w:val="18"/>
          <w:szCs w:val="18"/>
          <w:color w:val="auto"/>
        </w:rPr>
      </w:pPr>
    </w:p>
    <w:p>
      <w:pPr>
        <w:ind w:firstLine="737"/>
        <w:spacing w:after="0" w:line="236" w:lineRule="auto"/>
        <w:tabs>
          <w:tab w:leader="none" w:pos="128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Company will pay interest on the Notes (except defaulted interest) to the persons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Holders of Notes at the close of business on the April 15 or October 15 (whether or not a Business Day) next preceding the Interest Payment Date, even if such Notes are canceled after such record date and on or before such Interest Payment Date, except as provided in Section 2.13 of the Base Indenture with respect to defaulted interest. Principal and interest on the Notes will be made by (a) check mailed to the Holders of the Notes at their respective addresses set forth in the register of Holders of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on all Global Securities and all other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218" w:lineRule="exact"/>
        <w:rPr>
          <w:rFonts w:ascii="Arial" w:cs="Arial" w:eastAsia="Arial" w:hAnsi="Arial"/>
          <w:sz w:val="18"/>
          <w:szCs w:val="18"/>
          <w:color w:val="auto"/>
        </w:rPr>
      </w:pPr>
    </w:p>
    <w:p>
      <w:pPr>
        <w:ind w:right="340" w:firstLine="737"/>
        <w:spacing w:after="0" w:line="250" w:lineRule="auto"/>
        <w:tabs>
          <w:tab w:leader="none" w:pos="128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Company, National Association, the Trustee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will act as Paying Agent and Registrar. The Company may change any Paying Agent or Registrar without notice to any Holder. The Company or any of its Subsidiaries may act in any such capacity.</w:t>
      </w:r>
    </w:p>
    <w:p>
      <w:pPr>
        <w:spacing w:after="0" w:line="203" w:lineRule="exact"/>
        <w:rPr>
          <w:rFonts w:ascii="Arial" w:cs="Arial" w:eastAsia="Arial" w:hAnsi="Arial"/>
          <w:sz w:val="18"/>
          <w:szCs w:val="18"/>
          <w:color w:val="auto"/>
        </w:rPr>
      </w:pPr>
    </w:p>
    <w:p>
      <w:pPr>
        <w:ind w:right="40" w:firstLine="737"/>
        <w:spacing w:after="0" w:line="252" w:lineRule="auto"/>
        <w:tabs>
          <w:tab w:leader="none" w:pos="1284"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This Note is one of a duly authenticated Series of securities of the Company issued and to be issued in one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Series under an indenture (the “</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dated as of February 6, 2019, between the Company and the Trustee (as successor in interest to U.S. Bank National Association), as amended by the Fifth Supplemental Indenture, dated as of October 31, 2022,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21" w:right="339" w:bottom="1440" w:gutter="0" w:footer="0" w:header="0"/>
        </w:sectPr>
      </w:pPr>
    </w:p>
    <w:bookmarkStart w:id="34" w:name="page35"/>
    <w:bookmarkEnd w:id="34"/>
    <w:p>
      <w:pPr>
        <w:spacing w:after="0" w:line="207" w:lineRule="exact"/>
        <w:rPr>
          <w:sz w:val="20"/>
          <w:szCs w:val="20"/>
          <w:color w:val="auto"/>
        </w:rPr>
      </w:pPr>
    </w:p>
    <w:p>
      <w:pPr>
        <w:ind w:left="-40" w:firstLine="737"/>
        <w:spacing w:after="0" w:line="250"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203" w:lineRule="exact"/>
        <w:rPr>
          <w:rFonts w:ascii="Arial" w:cs="Arial" w:eastAsia="Arial" w:hAnsi="Arial"/>
          <w:sz w:val="18"/>
          <w:szCs w:val="18"/>
          <w:color w:val="auto"/>
        </w:rPr>
      </w:pPr>
    </w:p>
    <w:p>
      <w:pPr>
        <w:ind w:left="-40" w:right="200" w:firstLine="737"/>
        <w:spacing w:after="0" w:line="267"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Notes.</w:t>
      </w:r>
    </w:p>
    <w:p>
      <w:pPr>
        <w:spacing w:after="0" w:line="187" w:lineRule="exact"/>
        <w:rPr>
          <w:rFonts w:ascii="Arial" w:cs="Arial" w:eastAsia="Arial" w:hAnsi="Arial"/>
          <w:sz w:val="18"/>
          <w:szCs w:val="18"/>
          <w:color w:val="auto"/>
        </w:rPr>
      </w:pPr>
    </w:p>
    <w:p>
      <w:pPr>
        <w:jc w:val="both"/>
        <w:ind w:left="-40" w:right="280" w:firstLine="737"/>
        <w:spacing w:after="0" w:line="243"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Notes occurs, the Company may be required to make an offer to purchase the Notes in the manner and with the effect provided in the Indenture.</w:t>
      </w:r>
    </w:p>
    <w:p>
      <w:pPr>
        <w:spacing w:after="0" w:line="208" w:lineRule="exact"/>
        <w:rPr>
          <w:rFonts w:ascii="Arial" w:cs="Arial" w:eastAsia="Arial" w:hAnsi="Arial"/>
          <w:sz w:val="18"/>
          <w:szCs w:val="18"/>
          <w:color w:val="auto"/>
        </w:rPr>
      </w:pPr>
    </w:p>
    <w:p>
      <w:pPr>
        <w:ind w:left="-40" w:right="20" w:firstLine="737"/>
        <w:spacing w:after="0" w:line="239"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minimum denominations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$2,000 and integral multiples of $1,000 in excess thereof.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neither the Trustee nor the Company need exchange or register the transfer of any Notes for a period of 15 days before the day of any selection of Notes to be redeemed or during the period between a record date and the corresponding Interest Payment Date.</w:t>
      </w:r>
    </w:p>
    <w:p>
      <w:pPr>
        <w:spacing w:after="0" w:line="214" w:lineRule="exact"/>
        <w:rPr>
          <w:rFonts w:ascii="Arial" w:cs="Arial" w:eastAsia="Arial" w:hAnsi="Arial"/>
          <w:sz w:val="18"/>
          <w:szCs w:val="18"/>
          <w:color w:val="auto"/>
        </w:rPr>
      </w:pPr>
    </w:p>
    <w:p>
      <w:pPr>
        <w:ind w:left="-40" w:right="560" w:firstLine="737"/>
        <w:spacing w:after="0" w:line="267"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Note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its owner for all purposes.</w:t>
      </w:r>
    </w:p>
    <w:p>
      <w:pPr>
        <w:spacing w:after="0" w:line="187" w:lineRule="exact"/>
        <w:rPr>
          <w:rFonts w:ascii="Arial" w:cs="Arial" w:eastAsia="Arial" w:hAnsi="Arial"/>
          <w:sz w:val="18"/>
          <w:szCs w:val="18"/>
          <w:color w:val="auto"/>
        </w:rPr>
      </w:pPr>
    </w:p>
    <w:p>
      <w:pPr>
        <w:ind w:left="-40" w:right="40" w:firstLine="737"/>
        <w:spacing w:after="0" w:line="238"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or the Notes may be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with the 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The Indenture or the Notes may be amended or supplemented without the consent of any Holder of a Note as described in the Indenture.</w:t>
      </w:r>
    </w:p>
    <w:p>
      <w:pPr>
        <w:spacing w:after="0" w:line="212" w:lineRule="exact"/>
        <w:rPr>
          <w:rFonts w:ascii="Arial" w:cs="Arial" w:eastAsia="Arial" w:hAnsi="Arial"/>
          <w:sz w:val="18"/>
          <w:szCs w:val="18"/>
          <w:color w:val="auto"/>
        </w:rPr>
      </w:pPr>
    </w:p>
    <w:p>
      <w:pPr>
        <w:jc w:val="both"/>
        <w:ind w:left="-40" w:right="40" w:firstLine="737"/>
        <w:spacing w:after="0" w:line="250"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Notes shall occur and be continuing, the principal of,</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accrued and unpaid interest on, the outstanding Notes may be declared due and payable in the manner and with the effect provided in the Indenture.</w:t>
      </w:r>
    </w:p>
    <w:p>
      <w:pPr>
        <w:spacing w:after="0" w:line="203" w:lineRule="exact"/>
        <w:rPr>
          <w:rFonts w:ascii="Arial" w:cs="Arial" w:eastAsia="Arial" w:hAnsi="Arial"/>
          <w:sz w:val="18"/>
          <w:szCs w:val="18"/>
          <w:color w:val="auto"/>
        </w:rPr>
      </w:pPr>
    </w:p>
    <w:p>
      <w:pPr>
        <w:ind w:left="-40" w:right="220" w:firstLine="737"/>
        <w:spacing w:after="0" w:line="250"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become the owner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pledgee of the Notes and may otherwise deal with the Company or an Affiliate of the Company with the same rights it would have if it were not Trustee.</w:t>
      </w:r>
    </w:p>
    <w:p>
      <w:pPr>
        <w:spacing w:after="0" w:line="203" w:lineRule="exact"/>
        <w:rPr>
          <w:rFonts w:ascii="Arial" w:cs="Arial" w:eastAsia="Arial" w:hAnsi="Arial"/>
          <w:sz w:val="18"/>
          <w:szCs w:val="18"/>
          <w:color w:val="auto"/>
        </w:rPr>
      </w:pPr>
    </w:p>
    <w:p>
      <w:pPr>
        <w:ind w:left="-40" w:right="40" w:firstLine="737"/>
        <w:spacing w:after="0"/>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211" w:lineRule="exact"/>
        <w:rPr>
          <w:rFonts w:ascii="Arial" w:cs="Arial" w:eastAsia="Arial" w:hAnsi="Arial"/>
          <w:sz w:val="18"/>
          <w:szCs w:val="18"/>
          <w:color w:val="auto"/>
        </w:rPr>
      </w:pPr>
    </w:p>
    <w:p>
      <w:pPr>
        <w:ind w:left="-40" w:right="1120" w:firstLine="737"/>
        <w:spacing w:after="0" w:line="267"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Note will not be valid until authenticated by the manual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87" w:lineRule="exact"/>
        <w:rPr>
          <w:rFonts w:ascii="Arial" w:cs="Arial" w:eastAsia="Arial" w:hAnsi="Arial"/>
          <w:sz w:val="18"/>
          <w:szCs w:val="18"/>
          <w:color w:val="auto"/>
        </w:rPr>
      </w:pPr>
    </w:p>
    <w:p>
      <w:pPr>
        <w:ind w:left="-40" w:right="40" w:firstLine="737"/>
        <w:spacing w:after="0" w:line="250"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180"/>
          </w:cols>
          <w:pgMar w:left="360" w:top="1440" w:right="359" w:bottom="1440" w:gutter="0" w:footer="0" w:header="0"/>
        </w:sectPr>
      </w:pPr>
    </w:p>
    <w:bookmarkStart w:id="35" w:name="page36"/>
    <w:bookmarkEnd w:id="35"/>
    <w:p>
      <w:pPr>
        <w:ind w:firstLine="737"/>
        <w:spacing w:after="0" w:line="242" w:lineRule="auto"/>
        <w:tabs>
          <w:tab w:leader="none" w:pos="128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Notes and the Trustee shall use CUSIP</w:t>
      </w:r>
      <w:r>
        <w:rPr>
          <w:rFonts w:ascii="Arial" w:cs="Arial" w:eastAsia="Arial" w:hAnsi="Arial"/>
          <w:sz w:val="18"/>
          <w:szCs w:val="18"/>
          <w:i w:val="1"/>
          <w:iCs w:val="1"/>
          <w:color w:val="auto"/>
        </w:rPr>
        <w:t xml:space="preserve"> </w:t>
      </w:r>
      <w:r>
        <w:rPr>
          <w:rFonts w:ascii="Arial" w:cs="Arial" w:eastAsia="Arial" w:hAnsi="Arial"/>
          <w:sz w:val="18"/>
          <w:szCs w:val="18"/>
          <w:color w:val="auto"/>
        </w:rPr>
        <w:t>numbers in notices of 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ind w:left="660"/>
        <w:spacing w:after="0" w:line="234" w:lineRule="auto"/>
        <w:rPr>
          <w:sz w:val="20"/>
          <w:szCs w:val="20"/>
          <w:color w:val="auto"/>
        </w:rPr>
      </w:pPr>
      <w:r>
        <w:rPr>
          <w:rFonts w:ascii="Arial" w:cs="Arial" w:eastAsia="Arial" w:hAnsi="Arial"/>
          <w:sz w:val="18"/>
          <w:szCs w:val="18"/>
          <w:color w:val="auto"/>
        </w:rPr>
        <w:t>8000 South Federal Way</w:t>
      </w:r>
    </w:p>
    <w:p>
      <w:pPr>
        <w:ind w:left="660"/>
        <w:spacing w:after="0" w:line="235" w:lineRule="auto"/>
        <w:rPr>
          <w:sz w:val="20"/>
          <w:szCs w:val="20"/>
          <w:color w:val="auto"/>
        </w:rPr>
      </w:pPr>
      <w:r>
        <w:rPr>
          <w:rFonts w:ascii="Arial" w:cs="Arial" w:eastAsia="Arial" w:hAnsi="Arial"/>
          <w:sz w:val="18"/>
          <w:szCs w:val="18"/>
          <w:color w:val="auto"/>
        </w:rPr>
        <w:t>Boise, Idaho 83716-9632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180"/>
          </w:cols>
          <w:pgMar w:left="320" w:top="1403" w:right="399" w:bottom="1440" w:gutter="0" w:footer="0" w:header="0"/>
        </w:sectPr>
      </w:pPr>
    </w:p>
    <w:bookmarkStart w:id="36" w:name="page37"/>
    <w:bookmarkEnd w:id="36"/>
    <w:p>
      <w:pPr>
        <w:ind w:left="28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 of decrease or</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decrease in</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increase in</w:t>
            </w:r>
          </w:p>
        </w:tc>
        <w:tc>
          <w:tcPr>
            <w:tcW w:w="2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Principal amount of this Note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Signature of authorized signatory</w:t>
            </w:r>
          </w:p>
        </w:tc>
      </w:t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 Note</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following such decrease or</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of Trustee or Security Custodian</w:t>
            </w:r>
          </w:p>
        </w:tc>
      </w:tr>
      <w:tr>
        <w:trPr>
          <w:trHeight w:val="190"/>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Note</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increase</w:t>
            </w:r>
          </w:p>
        </w:tc>
        <w:tc>
          <w:tcPr>
            <w:tcW w:w="2500" w:type="dxa"/>
            <w:vAlign w:val="bottom"/>
          </w:tcPr>
          <w:p>
            <w:pPr>
              <w:spacing w:after="0"/>
              <w:rPr>
                <w:sz w:val="16"/>
                <w:szCs w:val="16"/>
                <w:color w:val="auto"/>
              </w:rPr>
            </w:pPr>
          </w:p>
        </w:tc>
      </w:tr>
      <w:tr>
        <w:trPr>
          <w:trHeight w:val="26"/>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99" w:right="33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ASSIGNMENT FORM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39" w:lineRule="exact"/>
        <w:rPr>
          <w:sz w:val="20"/>
          <w:szCs w:val="20"/>
          <w:color w:val="auto"/>
        </w:rPr>
      </w:pPr>
    </w:p>
    <w:p>
      <w:pPr>
        <w:ind w:right="8760" w:firstLine="8"/>
        <w:spacing w:after="0" w:line="524"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 w:lineRule="exact"/>
        <w:rPr>
          <w:sz w:val="20"/>
          <w:szCs w:val="20"/>
          <w:color w:val="auto"/>
        </w:rPr>
      </w:pPr>
    </w:p>
    <w:p>
      <w:pPr>
        <w:ind w:left="120"/>
        <w:spacing w:after="0"/>
        <w:tabs>
          <w:tab w:leader="none" w:pos="8700" w:val="left"/>
        </w:tabs>
        <w:rPr>
          <w:sz w:val="20"/>
          <w:szCs w:val="20"/>
          <w:color w:val="auto"/>
        </w:rPr>
      </w:pPr>
      <w:r>
        <w:rPr>
          <w:rFonts w:ascii="Arial" w:cs="Arial" w:eastAsia="Arial" w:hAnsi="Arial"/>
          <w:sz w:val="17"/>
          <w:szCs w:val="17"/>
          <w:color w:val="auto"/>
        </w:rPr>
        <w:t>____________________________________________________________________________________</w:t>
        <w:tab/>
        <w:t>(Insert assignee’s legal name)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jc w:val="center"/>
        <w:ind w:right="-119"/>
        <w:spacing w:after="0"/>
        <w:rPr>
          <w:sz w:val="20"/>
          <w:szCs w:val="20"/>
          <w:color w:val="auto"/>
        </w:rPr>
      </w:pPr>
      <w:r>
        <w:rPr>
          <w:rFonts w:ascii="Arial" w:cs="Arial" w:eastAsia="Arial" w:hAnsi="Arial"/>
          <w:sz w:val="18"/>
          <w:szCs w:val="18"/>
          <w:color w:val="auto"/>
        </w:rPr>
        <w:t>(Print or type assignee’s name, address and zip code)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_____________________________________________ to transfer this Note on the books of the Company. The</w:t>
      </w:r>
    </w:p>
    <w:p>
      <w:pPr>
        <w:spacing w:after="0"/>
        <w:rPr>
          <w:sz w:val="20"/>
          <w:szCs w:val="20"/>
          <w:color w:val="auto"/>
        </w:rPr>
      </w:pPr>
      <w:r>
        <w:rPr>
          <w:rFonts w:ascii="Arial" w:cs="Arial" w:eastAsia="Arial" w:hAnsi="Arial"/>
          <w:sz w:val="18"/>
          <w:szCs w:val="18"/>
          <w:color w:val="auto"/>
        </w:rPr>
        <w:t>agent may substitute another to act for him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376" w:lineRule="exact"/>
        <w:rPr>
          <w:sz w:val="20"/>
          <w:szCs w:val="20"/>
          <w:color w:val="auto"/>
        </w:rPr>
      </w:pPr>
    </w:p>
    <w:p>
      <w:pPr>
        <w:ind w:right="80" w:firstLine="648"/>
        <w:spacing w:after="0"/>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b w:val="1"/>
          <w:bCs w:val="1"/>
          <w:i w:val="1"/>
          <w:iCs w:val="1"/>
          <w:color w:val="auto"/>
        </w:rPr>
        <w:t>STAMP</w:t>
      </w:r>
      <w:r>
        <w:rPr>
          <w:rFonts w:ascii="Arial" w:cs="Arial" w:eastAsia="Arial" w:hAnsi="Arial"/>
          <w:sz w:val="17"/>
          <w:szCs w:val="17"/>
          <w:color w:val="auto"/>
        </w:rPr>
        <w:t>”) or such other “signature guarantee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120"/>
          </w:cols>
          <w:pgMar w:left="320" w:top="1399" w:right="459" w:bottom="1440" w:gutter="0" w:footer="0" w:header="0"/>
        </w:sectPr>
      </w:pPr>
    </w:p>
    <w:bookmarkStart w:id="38" w:name="page39"/>
    <w:bookmarkEnd w:id="38"/>
    <w:p>
      <w:pPr>
        <w:jc w:val="center"/>
        <w:ind w:left="620"/>
        <w:spacing w:after="0"/>
        <w:rPr>
          <w:sz w:val="20"/>
          <w:szCs w:val="20"/>
          <w:color w:val="auto"/>
        </w:rPr>
      </w:pPr>
      <w:r>
        <w:rPr>
          <w:rFonts w:ascii="Arial" w:cs="Arial" w:eastAsia="Arial" w:hAnsi="Arial"/>
          <w:sz w:val="18"/>
          <w:szCs w:val="18"/>
          <w:b w:val="1"/>
          <w:bCs w:val="1"/>
          <w:color w:val="auto"/>
        </w:rPr>
        <w:t>OPTION OF HOLDER TO ELECT PURCHASE</w:t>
      </w:r>
    </w:p>
    <w:p>
      <w:pPr>
        <w:spacing w:after="0" w:line="26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If you want to elect to have this Note purchased by the Company pursuant to Section 4.1 of the Supplemental Indenture, check the box below:</w:t>
      </w:r>
    </w:p>
    <w:p>
      <w:pPr>
        <w:spacing w:after="0" w:line="224" w:lineRule="exact"/>
        <w:rPr>
          <w:sz w:val="20"/>
          <w:szCs w:val="20"/>
          <w:color w:val="auto"/>
        </w:rPr>
      </w:pPr>
    </w:p>
    <w:p>
      <w:pPr>
        <w:ind w:left="860" w:hanging="204"/>
        <w:spacing w:after="0"/>
        <w:tabs>
          <w:tab w:leader="none" w:pos="8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If you want to elect to have only part of the Note purchased by the Company pursuant to Section 4.1 of the Supplemental Indenture, state the amount you elect to have purchased ($2,000 or integral multiples of $1,000 in excess thereof; provided that the unrepurchased portion of a Note must be in a minimum principal amount of $2,000): $________________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460" w:right="120"/>
        <w:spacing w:after="0" w:line="247" w:lineRule="auto"/>
        <w:rPr>
          <w:sz w:val="20"/>
          <w:szCs w:val="20"/>
          <w:color w:val="auto"/>
        </w:rPr>
      </w:pPr>
      <w:r>
        <w:rPr>
          <w:rFonts w:ascii="Arial" w:cs="Arial" w:eastAsia="Arial" w:hAnsi="Arial"/>
          <w:sz w:val="18"/>
          <w:szCs w:val="18"/>
          <w:b w:val="1"/>
          <w:bCs w:val="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b w:val="1"/>
          <w:bCs w:val="1"/>
          <w:color w:val="auto"/>
        </w:rPr>
        <w:t>”)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120"/>
          </w:cols>
          <w:pgMar w:left="320" w:top="1399"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31, 2022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rPr>
          <w:sz w:val="20"/>
          <w:szCs w:val="20"/>
          <w:color w:val="auto"/>
        </w:rPr>
      </w:pPr>
      <w:r>
        <w:rPr>
          <w:rFonts w:ascii="Arial" w:cs="Arial" w:eastAsia="Arial" w:hAnsi="Arial"/>
          <w:sz w:val="18"/>
          <w:szCs w:val="18"/>
          <w:color w:val="auto"/>
        </w:rPr>
        <w:t>Boise, Idaho 83716-9632</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Registration Statement on Form S-3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have acted as counsel to Micron Technology, Inc., a Delaware corporation (the “Company”), in connection with the filing by the Company with the Securities and Exchange Commission (the “Commission”) on November 4, 2020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(the “Debt Securities”), with an indeterminate amount as may at various times be issued at indeterminate prices, in reliance on Rule 456(b) and Rule 457(r) under the Act.</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Pursuant to the Registration Statement, the Company has issued $750,000,000 aggregate principal amount of 6.750% Senior Notes due 2029 (the “Notes”), which have been sold pursuant to that certain Underwriting Agreement (the “Underwriting Agreement”), dated as of October 26, 2022, among the Company, Morgan Stanley &amp; Co. LLC, BofA Securities, Inc. and Wells Fargo Securities, LLC, as representatives of the other several underwriters named in Schedule I thereto.</w:t>
      </w:r>
    </w:p>
    <w:p>
      <w:pPr>
        <w:spacing w:after="0" w:line="2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Notes have been issued in the form set forth in the Indenture, dated as of February 6, 2019 (the “Base Indenture”), between the Company and U.S. Bank Trust Company, National Association (as successor in interest to U.S. Bank National Association), as trustee (the “Trustee”) as supplemented by that certain Fifth Supplemental Indenture dated as of October 31, 2022 (the “Fifth Supplemental Indenture” and, together with the Base Indenture, the “Indenture”), between the Company and the Trustee.</w:t>
      </w:r>
    </w:p>
    <w:p>
      <w:pPr>
        <w:spacing w:after="0" w:line="22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examined the Registration Statement, together with the exhibits thereto and the documents incorporated by reference therein; the prospectus, dated November 4, 2020, together with the documents incorporated by reference therein, filed with the Registration Statement (the “Prospectus”); the preliminary prospectus supplement, dated October 26, 2022, in the form filed with the Commission pursuant to Rule 424(b) of the Securities Act relating to the offering of the Notes; the free writing prospectus, dated October 26, 2022, in the form filed with the Commission pursuant to Rule 433 of the Securities Act; the final prospectus supplement, dated October 26, 2022,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22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w:t>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Micron Technology, Inc.</w:t>
      </w:r>
    </w:p>
    <w:p>
      <w:pPr>
        <w:spacing w:after="0"/>
        <w:rPr>
          <w:sz w:val="20"/>
          <w:szCs w:val="20"/>
          <w:color w:val="auto"/>
        </w:rPr>
      </w:pPr>
      <w:r>
        <w:rPr>
          <w:rFonts w:ascii="Arial" w:cs="Arial" w:eastAsia="Arial" w:hAnsi="Arial"/>
          <w:sz w:val="18"/>
          <w:szCs w:val="18"/>
          <w:color w:val="auto"/>
        </w:rPr>
        <w:t>October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22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22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24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00" w:lineRule="exact"/>
        <w:rPr>
          <w:sz w:val="20"/>
          <w:szCs w:val="20"/>
          <w:color w:val="auto"/>
        </w:rPr>
      </w:pPr>
    </w:p>
    <w:p>
      <w:pPr>
        <w:spacing w:after="0" w:line="3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2554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WILSON SONSINI GOODRICH &amp; ROSATI</w:t>
      </w:r>
    </w:p>
    <w:p>
      <w:pPr>
        <w:ind w:left="4420"/>
        <w:spacing w:after="0"/>
        <w:rPr>
          <w:sz w:val="20"/>
          <w:szCs w:val="20"/>
          <w:color w:val="auto"/>
        </w:rPr>
      </w:pPr>
      <w:r>
        <w:rPr>
          <w:rFonts w:ascii="Arial" w:cs="Arial" w:eastAsia="Arial" w:hAnsi="Arial"/>
          <w:sz w:val="18"/>
          <w:szCs w:val="18"/>
          <w:color w:val="auto"/>
        </w:rPr>
        <w:t>Professional Corporation</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Roman"/>
      <w:start w:val="2"/>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7"/>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2"/>
    </w:lvl>
    <w:lvl w:ilvl="1">
      <w:lvlJc w:val="left"/>
      <w:lvlText w:val="(%2)"/>
      <w:numFmt w:val="decimal"/>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
    <w:nsid w:val="333AB105"/>
    <w:multiLevelType w:val="hybridMultilevel"/>
    <w:lvl w:ilvl="0">
      <w:lvlJc w:val="left"/>
      <w:lvlText w:val="(%1)"/>
      <w:numFmt w:val="lowerLetter"/>
      <w:start w:val="3"/>
    </w:lvl>
  </w:abstractNum>
  <w:abstractNum w:abstractNumId="11">
    <w:nsid w:val="721DA317"/>
    <w:multiLevelType w:val="hybridMultilevel"/>
    <w:lvl w:ilvl="0">
      <w:lvlJc w:val="left"/>
      <w:lvlText w:val="(%1)"/>
      <w:numFmt w:val="lowerLetter"/>
      <w:start w:val="4"/>
    </w:lvl>
    <w:lvl w:ilvl="1">
      <w:lvlJc w:val="left"/>
      <w:lvlText w:val="(%2)"/>
      <w:numFmt w:val="lowerLetter"/>
      <w:start w:val="5"/>
    </w:lvl>
  </w:abstractNum>
  <w:abstractNum w:abstractNumId="12">
    <w:nsid w:val="2443A858"/>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9"/>
    </w:lvl>
  </w:abstractNum>
  <w:abstractNum w:abstractNumId="13">
    <w:nsid w:val="2D1D5AE9"/>
    <w:multiLevelType w:val="hybridMultilevel"/>
    <w:lvl w:ilvl="0">
      <w:lvlJc w:val="left"/>
      <w:lvlText w:val="%1"/>
      <w:numFmt w:val="decimal"/>
      <w:start w:val="1"/>
    </w:lvl>
    <w:lvl w:ilvl="1">
      <w:lvlJc w:val="left"/>
      <w:lvlText w:val="(%2)"/>
      <w:numFmt w:val="lowerRoman"/>
      <w:start w:val="2"/>
    </w:lvl>
  </w:abstractNum>
  <w:abstractNum w:abstractNumId="14">
    <w:nsid w:val="6763845E"/>
    <w:multiLevelType w:val="hybridMultilevel"/>
    <w:lvl w:ilvl="0">
      <w:lvlJc w:val="left"/>
      <w:lvlText w:val="(%1)"/>
      <w:numFmt w:val="decimal"/>
      <w:start w:val="6"/>
    </w:lvl>
    <w:lvl w:ilvl="1">
      <w:lvlJc w:val="left"/>
      <w:lvlText w:val="%2"/>
      <w:numFmt w:val="lowerRoman"/>
      <w:start w:val="1"/>
    </w:lvl>
  </w:abstractNum>
  <w:abstractNum w:abstractNumId="15">
    <w:nsid w:val="75A2A8D4"/>
    <w:multiLevelType w:val="hybridMultilevel"/>
    <w:lvl w:ilvl="0">
      <w:lvlJc w:val="left"/>
      <w:lvlText w:val="(%1)"/>
      <w:numFmt w:val="decimal"/>
      <w:start w:val="8"/>
    </w:lvl>
  </w:abstractNum>
  <w:abstractNum w:abstractNumId="16">
    <w:nsid w:val="8EDBDAB"/>
    <w:multiLevelType w:val="hybridMultilevel"/>
    <w:lvl w:ilvl="0">
      <w:lvlJc w:val="left"/>
      <w:lvlText w:val="(%1)"/>
      <w:numFmt w:val="lowerLetter"/>
      <w:start w:val="1"/>
    </w:lvl>
    <w:lvl w:ilvl="1">
      <w:lvlJc w:val="left"/>
      <w:lvlText w:val="(%2)"/>
      <w:numFmt w:val="lowerRoman"/>
      <w:start w:val="1"/>
    </w:lvl>
  </w:abstractNum>
  <w:abstractNum w:abstractNumId="17">
    <w:nsid w:val="79838CB2"/>
    <w:multiLevelType w:val="hybridMultilevel"/>
    <w:lvl w:ilvl="0">
      <w:lvlJc w:val="left"/>
      <w:lvlText w:val="(%1)"/>
      <w:numFmt w:val="lowerLetter"/>
      <w:start w:val="1"/>
    </w:lvl>
    <w:lvl w:ilvl="1">
      <w:lvlJc w:val="left"/>
      <w:lvlText w:val="(%2)"/>
      <w:numFmt w:val="lowerRoman"/>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2"/>
    </w:lvl>
    <w:lvl w:ilvl="1">
      <w:lvlJc w:val="left"/>
      <w:lvlText w:val="(%2)"/>
      <w:numFmt w:val="decimal"/>
      <w:start w:val="1"/>
    </w:lvl>
  </w:abstractNum>
  <w:abstractNum w:abstractNumId="20">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1">
    <w:nsid w:val="54E49EB4"/>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22">
    <w:nsid w:val="71F32454"/>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4"/>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decimal"/>
      <w:start w:val="16"/>
    </w:lvl>
  </w:abstractNum>
  <w:abstractNum w:abstractNumId="30">
    <w:nsid w:val="737B8DDC"/>
    <w:multiLevelType w:val="hybridMultilevel"/>
    <w:lvl w:ilvl="0">
      <w:lvlJc w:val="left"/>
      <w:lvlText w:val="(%1)"/>
      <w:numFmt w:val="upperLetter"/>
      <w:start w:val="9"/>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8" Type="http://schemas.openxmlformats.org/officeDocument/2006/relationships/hyperlink" Target="https://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2022-10-31T15:21:22Z</dcterms:created>
  <dcterms:modified xsi:type="dcterms:W3CDTF">2022-10-31T15:21:22Z</dcterms:modified>
</cp:coreProperties>
</file>