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SD</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323215</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36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1470660</wp:posOffset>
            </wp:positionH>
            <wp:positionV relativeFrom="paragraph">
              <wp:posOffset>14605</wp:posOffset>
            </wp:positionV>
            <wp:extent cx="420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A. Zinsner</w:t>
      </w:r>
    </w:p>
    <w:p>
      <w:pPr>
        <w:jc w:val="center"/>
        <w:spacing w:after="0" w:line="203" w:lineRule="auto"/>
        <w:rPr>
          <w:sz w:val="20"/>
          <w:szCs w:val="20"/>
          <w:color w:val="auto"/>
        </w:rPr>
      </w:pPr>
      <w:r>
        <w:rPr>
          <w:rFonts w:ascii="Arial" w:cs="Arial" w:eastAsia="Arial" w:hAnsi="Arial"/>
          <w:sz w:val="18"/>
          <w:szCs w:val="18"/>
          <w:b w:val="1"/>
          <w:bCs w:val="1"/>
          <w:color w:val="auto"/>
        </w:rPr>
        <w:t>Senior Vice President and Chief Financial Officer</w:t>
      </w: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1565275</wp:posOffset>
            </wp:positionH>
            <wp:positionV relativeFrom="paragraph">
              <wp:posOffset>6350</wp:posOffset>
            </wp:positionV>
            <wp:extent cx="4011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w:t>
      </w:r>
    </w:p>
    <w:p>
      <w:pPr>
        <w:jc w:val="center"/>
        <w:spacing w:after="0"/>
        <w:rPr>
          <w:sz w:val="20"/>
          <w:szCs w:val="20"/>
          <w:color w:val="auto"/>
        </w:rPr>
      </w:pPr>
      <w:r>
        <w:rPr>
          <w:rFonts w:ascii="Arial" w:cs="Arial" w:eastAsia="Arial" w:hAnsi="Arial"/>
          <w:sz w:val="18"/>
          <w:szCs w:val="18"/>
          <w:color w:val="auto"/>
        </w:rPr>
        <w:t>connection with this report.)</w:t>
      </w:r>
    </w:p>
    <w:p>
      <w:pPr>
        <w:spacing w:after="0" w:line="360" w:lineRule="exact"/>
        <w:rPr>
          <w:sz w:val="24"/>
          <w:szCs w:val="24"/>
          <w:color w:val="auto"/>
        </w:rPr>
      </w:pPr>
    </w:p>
    <w:p>
      <w:pPr>
        <w:ind w:right="320"/>
        <w:spacing w:after="0" w:line="261"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and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8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Conflict Minerals Disclosure and Report.</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accordance with Rule 13p-1 under the Securities Exchange Act of 1934 (the “Rule”), we conducted a reasonable country of origin inquiry (“RCOI”) to assess whether conflict minerals necessary to the functionality or production of products we manufactured or contracted to manufacture in calendar year 2020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spacing w:after="0" w:line="2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Based on the results of our RCOI, we have reason to believe that certain conflict minerals contained in our 2020 products may have originated in the Covered Countries and may not have been from recycled or scrap sources. We therefore conducted due diligence on the source and chain of custody of these minerals and prepared a Conflict Minerals Report, filed as Exhibit 1.01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copy of the Conflict Minerals Report for the calendar year ended December 31, 2020 is available on our website at micron.com/about/our-commitment/sourcing-responsibly/responsible-minerals-policy.</w:t>
      </w:r>
    </w:p>
    <w:p>
      <w:pPr>
        <w:spacing w:after="0" w:line="24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8"/>
          <w:szCs w:val="18"/>
          <w:b w:val="1"/>
          <w:bCs w:val="1"/>
          <w:color w:val="auto"/>
        </w:rPr>
        <w:t>Exhibit.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for the calendar year ended December 31, 2020 is filed as Exhibit 1.01 hereto.</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Section 2 - Exhibits</w:t>
      </w:r>
    </w:p>
    <w:p>
      <w:pPr>
        <w:spacing w:after="0" w:line="28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8"/>
          <w:szCs w:val="18"/>
          <w:b w:val="1"/>
          <w:bCs w:val="1"/>
          <w:color w:val="auto"/>
        </w:rPr>
        <w:t>Exhibits.</w:t>
      </w:r>
    </w:p>
    <w:p>
      <w:pPr>
        <w:spacing w:after="0" w:line="27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 1.01 - </w:t>
      </w:r>
      <w:hyperlink w:anchor="page4">
        <w:r>
          <w:rPr>
            <w:rFonts w:ascii="Arial" w:cs="Arial" w:eastAsia="Arial" w:hAnsi="Arial"/>
            <w:sz w:val="18"/>
            <w:szCs w:val="18"/>
            <w:u w:val="single" w:color="auto"/>
            <w:color w:val="0000FF"/>
          </w:rPr>
          <w:t>Conflict Minerals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required by Items 1.01 and 1.02 of this Form.</w:t>
      </w:r>
    </w:p>
    <w:p>
      <w:pPr>
        <w:sectPr>
          <w:pgSz w:w="11900" w:h="16838" w:orient="portrait"/>
          <w:cols w:equalWidth="0" w:num="1">
            <w:col w:w="11120"/>
          </w:cols>
          <w:pgMar w:left="320" w:top="141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20" w:type="dxa"/>
            <w:vAlign w:val="bottom"/>
          </w:tcPr>
          <w:p>
            <w:pPr>
              <w:spacing w:after="0"/>
              <w:rPr>
                <w:sz w:val="20"/>
                <w:szCs w:val="20"/>
                <w:color w:val="auto"/>
              </w:rPr>
            </w:pPr>
          </w:p>
        </w:tc>
        <w:tc>
          <w:tcPr>
            <w:tcW w:w="740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r>
      <w:tr>
        <w:trPr>
          <w:trHeight w:val="743"/>
        </w:trPr>
        <w:tc>
          <w:tcPr>
            <w:tcW w:w="3820" w:type="dxa"/>
            <w:vAlign w:val="bottom"/>
          </w:tcPr>
          <w:p>
            <w:pPr>
              <w:spacing w:after="0"/>
              <w:rPr>
                <w:sz w:val="20"/>
                <w:szCs w:val="20"/>
                <w:color w:val="auto"/>
              </w:rPr>
            </w:pPr>
            <w:r>
              <w:rPr>
                <w:rFonts w:ascii="Arial" w:cs="Arial" w:eastAsia="Arial" w:hAnsi="Arial"/>
                <w:sz w:val="18"/>
                <w:szCs w:val="18"/>
                <w:color w:val="auto"/>
                <w:w w:val="98"/>
              </w:rPr>
              <w:t>Date:May 27, 2021</w:t>
            </w:r>
          </w:p>
        </w:tc>
        <w:tc>
          <w:tcPr>
            <w:tcW w:w="2900" w:type="dxa"/>
            <w:vAlign w:val="bottom"/>
          </w:tcPr>
          <w:p>
            <w:pPr>
              <w:ind w:left="19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A. Zinsner</w:t>
            </w:r>
          </w:p>
        </w:tc>
      </w:tr>
      <w:tr>
        <w:trPr>
          <w:trHeight w:val="223"/>
        </w:trPr>
        <w:tc>
          <w:tcPr>
            <w:tcW w:w="3820" w:type="dxa"/>
            <w:vAlign w:val="bottom"/>
          </w:tcPr>
          <w:p>
            <w:pPr>
              <w:spacing w:after="0"/>
              <w:rPr>
                <w:sz w:val="19"/>
                <w:szCs w:val="19"/>
                <w:color w:val="auto"/>
              </w:rPr>
            </w:pPr>
          </w:p>
        </w:tc>
        <w:tc>
          <w:tcPr>
            <w:tcW w:w="2900" w:type="dxa"/>
            <w:vAlign w:val="bottom"/>
          </w:tcPr>
          <w:p>
            <w:pPr>
              <w:ind w:left="1940"/>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David A. Zinsner</w:t>
            </w:r>
          </w:p>
        </w:tc>
      </w:tr>
      <w:tr>
        <w:trPr>
          <w:trHeight w:val="230"/>
        </w:trPr>
        <w:tc>
          <w:tcPr>
            <w:tcW w:w="3820" w:type="dxa"/>
            <w:vAlign w:val="bottom"/>
          </w:tcPr>
          <w:p>
            <w:pPr>
              <w:spacing w:after="0"/>
              <w:rPr>
                <w:sz w:val="19"/>
                <w:szCs w:val="19"/>
                <w:color w:val="auto"/>
              </w:rPr>
            </w:pPr>
          </w:p>
        </w:tc>
        <w:tc>
          <w:tcPr>
            <w:tcW w:w="2900" w:type="dxa"/>
            <w:vAlign w:val="bottom"/>
          </w:tcPr>
          <w:p>
            <w:pPr>
              <w:ind w:left="1940"/>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0090DA"/>
        </w:rPr>
        <w:t>Exhibit 1.01</w:t>
      </w: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color w:val="auto"/>
        </w:rPr>
        <w:t>Conflict Minerals Report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Calendar Year 2020</w:t>
      </w:r>
    </w:p>
    <w:p>
      <w:pPr>
        <w:spacing w:after="0" w:line="228"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We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prepared this Conflict Minerals Report (</w:t>
      </w:r>
      <w:r>
        <w:rPr>
          <w:rFonts w:ascii="Arial" w:cs="Arial" w:eastAsia="Arial" w:hAnsi="Arial"/>
          <w:sz w:val="18"/>
          <w:szCs w:val="18"/>
          <w:b w:val="1"/>
          <w:bCs w:val="1"/>
          <w:color w:val="auto"/>
        </w:rPr>
        <w:t>“CMR”</w:t>
      </w:r>
      <w:r>
        <w:rPr>
          <w:rFonts w:ascii="Arial" w:cs="Arial" w:eastAsia="Arial" w:hAnsi="Arial"/>
          <w:sz w:val="18"/>
          <w:szCs w:val="18"/>
          <w:color w:val="auto"/>
        </w:rPr>
        <w:t xml:space="preserve">) pursuant to Rule 13p-1 under the Securities Exchange Act of 1934, as amended (the </w:t>
      </w:r>
      <w:r>
        <w:rPr>
          <w:rFonts w:ascii="Arial" w:cs="Arial" w:eastAsia="Arial" w:hAnsi="Arial"/>
          <w:sz w:val="18"/>
          <w:szCs w:val="18"/>
          <w:b w:val="1"/>
          <w:bCs w:val="1"/>
          <w:color w:val="auto"/>
        </w:rPr>
        <w:t>“Rule”</w:t>
      </w:r>
      <w:r>
        <w:rPr>
          <w:rFonts w:ascii="Arial" w:cs="Arial" w:eastAsia="Arial" w:hAnsi="Arial"/>
          <w:sz w:val="18"/>
          <w:szCs w:val="18"/>
          <w:color w:val="auto"/>
        </w:rPr>
        <w:t>). This CMR covers the calendar year reporting period ended December 31, 2020</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and is filed as an exhibit to our Form SD. This</w:t>
      </w:r>
      <w:r>
        <w:rPr>
          <w:rFonts w:ascii="Arial" w:cs="Arial" w:eastAsia="Arial" w:hAnsi="Arial"/>
          <w:sz w:val="18"/>
          <w:szCs w:val="18"/>
          <w:b w:val="1"/>
          <w:bCs w:val="1"/>
          <w:color w:val="auto"/>
        </w:rPr>
        <w:t xml:space="preserve"> </w:t>
      </w:r>
      <w:r>
        <w:rPr>
          <w:rFonts w:ascii="Arial" w:cs="Arial" w:eastAsia="Arial" w:hAnsi="Arial"/>
          <w:sz w:val="18"/>
          <w:szCs w:val="18"/>
          <w:color w:val="auto"/>
        </w:rPr>
        <w:t>CMR includes a description of the measures we have taken to exercise due diligence on the source and chain of custody of conflict minerals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(specifically gold, and the derivatives tin, tantalum, and tungsten (collectively </w:t>
      </w:r>
      <w:r>
        <w:rPr>
          <w:rFonts w:ascii="Arial" w:cs="Arial" w:eastAsia="Arial" w:hAnsi="Arial"/>
          <w:sz w:val="18"/>
          <w:szCs w:val="18"/>
          <w:b w:val="1"/>
          <w:bCs w:val="1"/>
          <w:color w:val="auto"/>
        </w:rPr>
        <w:t>“3TG”</w:t>
      </w:r>
      <w:r>
        <w:rPr>
          <w:rFonts w:ascii="Arial" w:cs="Arial" w:eastAsia="Arial" w:hAnsi="Arial"/>
          <w:sz w:val="18"/>
          <w:szCs w:val="18"/>
          <w:color w:val="auto"/>
        </w:rPr>
        <w:t>)) necessary to the functionality or production of our memory and storage products manufactured during the year ended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 of Our Commitment to Responsible Sourcing:</w:t>
      </w:r>
    </w:p>
    <w:p>
      <w:pPr>
        <w:spacing w:after="0" w:line="2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support of global responsible sourcing, we are committed to monitoring our supply chain with a goal to ensure that conflict minerals directly or indirectly supporting civil violence or human rights abuses in the Democratic Republic of the Congo (</w:t>
      </w:r>
      <w:r>
        <w:rPr>
          <w:rFonts w:ascii="Arial" w:cs="Arial" w:eastAsia="Arial" w:hAnsi="Arial"/>
          <w:sz w:val="18"/>
          <w:szCs w:val="18"/>
          <w:b w:val="1"/>
          <w:bCs w:val="1"/>
          <w:color w:val="auto"/>
        </w:rPr>
        <w:t>“DRC”</w:t>
      </w:r>
      <w:r>
        <w:rPr>
          <w:rFonts w:ascii="Arial" w:cs="Arial" w:eastAsia="Arial" w:hAnsi="Arial"/>
          <w:sz w:val="18"/>
          <w:szCs w:val="18"/>
          <w:color w:val="auto"/>
        </w:rPr>
        <w:t>) or adjoining countries are not used in the manufacture of Micron products. We also believe that responsible sourcing means continuing to support stable economic development in the DRC region (rather than a DRC embargo), and accordingly we do not prohibit our suppliers from using 3TG metals sourced from the region. Our conflict mineral supply chain monitoring program is consistent with the Organisation for Economic Co-operation and Development Due Diligence Guidance for Responsible Supply Chains of Minerals from Conflict-Affected and High-Risk Areas (Third Edition) (the “</w:t>
      </w:r>
      <w:r>
        <w:rPr>
          <w:rFonts w:ascii="Arial" w:cs="Arial" w:eastAsia="Arial" w:hAnsi="Arial"/>
          <w:sz w:val="18"/>
          <w:szCs w:val="18"/>
          <w:b w:val="1"/>
          <w:bCs w:val="1"/>
          <w:color w:val="auto"/>
        </w:rPr>
        <w:t>OECD Guidance</w:t>
      </w:r>
      <w:r>
        <w:rPr>
          <w:rFonts w:ascii="Arial" w:cs="Arial" w:eastAsia="Arial" w:hAnsi="Arial"/>
          <w:sz w:val="18"/>
          <w:szCs w:val="18"/>
          <w:color w:val="auto"/>
        </w:rPr>
        <w:t>”) and integrates tools developed by the Responsible Minerals Initiative (</w:t>
      </w:r>
      <w:r>
        <w:rPr>
          <w:rFonts w:ascii="Arial" w:cs="Arial" w:eastAsia="Arial" w:hAnsi="Arial"/>
          <w:sz w:val="18"/>
          <w:szCs w:val="18"/>
          <w:b w:val="1"/>
          <w:bCs w:val="1"/>
          <w:color w:val="auto"/>
        </w:rPr>
        <w:t>“RMI”</w:t>
      </w:r>
      <w:r>
        <w:rPr>
          <w:rFonts w:ascii="Arial" w:cs="Arial" w:eastAsia="Arial" w:hAnsi="Arial"/>
          <w:sz w:val="18"/>
          <w:szCs w:val="18"/>
          <w:color w:val="auto"/>
        </w:rPr>
        <w:t>).</w:t>
      </w:r>
    </w:p>
    <w:p>
      <w:pPr>
        <w:spacing w:after="0" w:line="22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Micron is a founding member of RMI (member ID MICR). We continue to support RMI and its Responsible Minerals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third-party auditing program, the Responsible Minerals Assurance Process (</w:t>
      </w:r>
      <w:r>
        <w:rPr>
          <w:rFonts w:ascii="Arial" w:cs="Arial" w:eastAsia="Arial" w:hAnsi="Arial"/>
          <w:sz w:val="18"/>
          <w:szCs w:val="18"/>
          <w:b w:val="1"/>
          <w:bCs w:val="1"/>
          <w:color w:val="auto"/>
        </w:rPr>
        <w:t>“RMAP”</w:t>
      </w:r>
      <w:r>
        <w:rPr>
          <w:rFonts w:ascii="Arial" w:cs="Arial" w:eastAsia="Arial" w:hAnsi="Arial"/>
          <w:sz w:val="18"/>
          <w:szCs w:val="18"/>
          <w:color w:val="auto"/>
        </w:rPr>
        <w:t>), as part of our commitment to drive ethical sourcing of 3TG metals throughout our supply chain. In 2020, we continued working with RMI and provided leadership through multiple RMI leadership working groups, including the Smelter Engagement, Multi-Stakeholder, Gold, Due Diligence Practices, Minerals Reporting Template and RMI Plenary Working Groups. The RMI Plenary Working Group is tasked with defining future directions, protocol, procedures, issue resolutions, recognition of other reporting organizations, training, oversight, and smelter and refiner engagements. To learn more about RMI’s initiatives to help companies achieve a responsible minerals supply chain and the RMAP visit responsiblemineralsinitiative.org.</w:t>
      </w:r>
    </w:p>
    <w:p>
      <w:pPr>
        <w:spacing w:after="0" w:line="24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Micron’s Responsible Minerals Policy is published at micron.com/about/our-commitment/sourcing-responsibly/responsible-minerals-policy. To learn more about our conflict minerals supplier requirements, see our Micron Supplier Requirements Standard (</w:t>
      </w:r>
      <w:r>
        <w:rPr>
          <w:rFonts w:ascii="Arial" w:cs="Arial" w:eastAsia="Arial" w:hAnsi="Arial"/>
          <w:sz w:val="18"/>
          <w:szCs w:val="18"/>
          <w:b w:val="1"/>
          <w:bCs w:val="1"/>
          <w:color w:val="auto"/>
        </w:rPr>
        <w:t>“SRS”</w:t>
      </w:r>
      <w:r>
        <w:rPr>
          <w:rFonts w:ascii="Arial" w:cs="Arial" w:eastAsia="Arial" w:hAnsi="Arial"/>
          <w:sz w:val="18"/>
          <w:szCs w:val="18"/>
          <w:color w:val="auto"/>
        </w:rPr>
        <w:t>) at micron.com/about/our-commitment/sourcing-responsibly/suppliers. The content of any website referred to in this Report is included for general information only and is not incorporated by reference in this Report.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ind w:left="180" w:hanging="172"/>
        <w:spacing w:after="0" w:line="199" w:lineRule="auto"/>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In this CMR, unless otherwise indicated or the context otherwise requires, “we,” “us,” “our,” “Micron,” and the “Company” refers to Micron Technology, Inc.</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its subsidiaries.</w:t>
      </w:r>
    </w:p>
    <w:p>
      <w:pPr>
        <w:ind w:left="180" w:hanging="172"/>
        <w:spacing w:after="0" w:line="190" w:lineRule="auto"/>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Unless otherwise noted, any designation of years refers to calendar years.</w:t>
      </w:r>
    </w:p>
    <w:p>
      <w:pPr>
        <w:spacing w:after="0" w:line="3" w:lineRule="exact"/>
        <w:rPr>
          <w:sz w:val="20"/>
          <w:szCs w:val="20"/>
          <w:color w:val="auto"/>
        </w:rPr>
      </w:pPr>
    </w:p>
    <w:p>
      <w:pPr>
        <w:ind w:left="660" w:right="20" w:hanging="652"/>
        <w:spacing w:after="0" w:line="213" w:lineRule="auto"/>
        <w:tabs>
          <w:tab w:leader="none" w:pos="18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Conflict minerals are those minerals regulated by Section 1502 of the Dodd-Frank Wall Street Reform and Consumer Protection Act. They include columbite-tantalite, also known as coltan (and its derivative tantalum); cassiterite (and its derivative tin); wolframite (and its derivative tungsten); and</w:t>
      </w:r>
    </w:p>
    <w:p>
      <w:pPr>
        <w:ind w:left="660"/>
        <w:spacing w:after="0"/>
        <w:rPr>
          <w:sz w:val="20"/>
          <w:szCs w:val="20"/>
          <w:color w:val="auto"/>
        </w:rPr>
      </w:pPr>
      <w:r>
        <w:rPr>
          <w:rFonts w:ascii="Arial" w:cs="Arial" w:eastAsia="Arial" w:hAnsi="Arial"/>
          <w:sz w:val="16"/>
          <w:szCs w:val="16"/>
          <w:color w:val="auto"/>
        </w:rPr>
        <w:t>gold.</w:t>
      </w:r>
    </w:p>
    <w:p>
      <w:pPr>
        <w:spacing w:after="0" w:line="5" w:lineRule="exact"/>
        <w:rPr>
          <w:sz w:val="20"/>
          <w:szCs w:val="20"/>
          <w:color w:val="auto"/>
        </w:rPr>
      </w:pPr>
    </w:p>
    <w:p>
      <w:pPr>
        <w:ind w:left="660" w:right="220" w:hanging="652"/>
        <w:spacing w:after="0" w:line="216" w:lineRule="auto"/>
        <w:tabs>
          <w:tab w:leader="none" w:pos="187"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term “Responsible Minerals” herein means the relevant smelters or refiners are verified as Conformant with the RMI’s RMAP or an equivalent third-party auditing program.</w:t>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Arial" w:cs="Arial" w:eastAsia="Arial" w:hAnsi="Arial"/>
          <w:sz w:val="40"/>
          <w:szCs w:val="40"/>
          <w:b w:val="1"/>
          <w:bCs w:val="1"/>
          <w:color w:val="auto"/>
        </w:rPr>
        <w:t>Overview of Micron’s Conflict Minerals Program:</w:t>
      </w:r>
    </w:p>
    <w:p>
      <w:pPr>
        <w:spacing w:after="0" w:line="27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require our suppliers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to source conflict minerals from smelters and refiners validated as Conformant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with responsible minerals sourcing standards (such as the RMAP or standards enacted by the London Bullion Market Association (</w:t>
      </w:r>
      <w:r>
        <w:rPr>
          <w:rFonts w:ascii="Arial" w:cs="Arial" w:eastAsia="Arial" w:hAnsi="Arial"/>
          <w:sz w:val="18"/>
          <w:szCs w:val="18"/>
          <w:b w:val="1"/>
          <w:bCs w:val="1"/>
          <w:color w:val="auto"/>
        </w:rPr>
        <w:t>“LBMA”</w:t>
      </w:r>
      <w:r>
        <w:rPr>
          <w:rFonts w:ascii="Arial" w:cs="Arial" w:eastAsia="Arial" w:hAnsi="Arial"/>
          <w:sz w:val="18"/>
          <w:szCs w:val="18"/>
          <w:color w:val="auto"/>
        </w:rPr>
        <w:t>) or the Responsible Jewellery Council (</w:t>
      </w:r>
      <w:r>
        <w:rPr>
          <w:rFonts w:ascii="Arial" w:cs="Arial" w:eastAsia="Arial" w:hAnsi="Arial"/>
          <w:sz w:val="18"/>
          <w:szCs w:val="18"/>
          <w:b w:val="1"/>
          <w:bCs w:val="1"/>
          <w:color w:val="auto"/>
        </w:rPr>
        <w:t>“RJC”</w:t>
      </w:r>
      <w:r>
        <w:rPr>
          <w:rFonts w:ascii="Arial" w:cs="Arial" w:eastAsia="Arial" w:hAnsi="Arial"/>
          <w:sz w:val="18"/>
          <w:szCs w:val="18"/>
          <w:color w:val="auto"/>
        </w:rPr>
        <w:t>)). To ensure our suppliers meet our SRS requirements for responsible minerals sourcing, we make all suppliers aware of our commitment to responsible sourcing and our expectation that all smelters and refiners in our supply chain are Conformant with responsible minerals sourcing standards; conduct ongoing due diligence on the source and chain of custody of conflict minerals in our supply chain in conformance with the OECD Guidance; encourage suppliers to adopt responsible sourcing practices; and collaborate with industry stakeholders through our leadership in the RMI. To further transparency in the conflict mineral supply chain, in addition to publicly reporting the results of our due diligence efforts annually, we share our due diligence results directly with our customers.</w:t>
      </w:r>
    </w:p>
    <w:p>
      <w:pPr>
        <w:spacing w:after="0" w:line="24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2020, we required all new suppliers to take a Supplier Compliance Training, which helped increase awareness of and focus on our requirement that Micron suppliers may only use Conformant smelters and refiners. As a result, during 2020 and for the fourth consecutive year, no supplier within our memory and storage products supply chain proposed adding any non-Conformant smelters or refiners. We also maintained our resolution process to quickly identify and remove smelters and refiners from our supply chain when they drop out of the RMI, LBMA, or RJC programs and thus become non-Conformant.</w:t>
      </w:r>
    </w:p>
    <w:p>
      <w:pPr>
        <w:spacing w:after="0" w:line="23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Based on the information provided by our suppliers and our due diligence efforts through December 31, 2020, we identified a total of 210 smelters and refiners we believe were in our memory and storage products supply chain at any point during the year ended December 31, 2020, all of which were validated as Conformant at the time they entered our supply chain. Seven smelters and refiners that were reported to be in our memory and storage products supply chain during 2020 were subsequently determined to be inoperative or removed on or prior to December 31, 2020. Accordingly, we determined that 203 smelters and refiners were in our memory and storage products supply chain as of December 31, 2020, all of which were validated as Conformant.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1. Our Outreach to Suppliers and Reasonable Country of Origin Inquiry</w:t>
      </w:r>
    </w:p>
    <w:p>
      <w:pPr>
        <w:spacing w:after="0" w:line="251"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Our goal is to ensure that all 3TG metals in our supply chain are sourced through responsible minerals smelters and refiners. In furtherance of that goal, we require that each supplier in our memory and storage products supply chain must participate in our Supplier Lifecycle Performance Management process. This process begins with our annual submission of an inquiry letter to our suppliers (including a link to the RMI Conflict Minerals Reporting Template (</w:t>
      </w:r>
      <w:r>
        <w:rPr>
          <w:rFonts w:ascii="Arial" w:cs="Arial" w:eastAsia="Arial" w:hAnsi="Arial"/>
          <w:sz w:val="18"/>
          <w:szCs w:val="18"/>
          <w:b w:val="1"/>
          <w:bCs w:val="1"/>
          <w:color w:val="auto"/>
        </w:rPr>
        <w:t>“CMRT”</w:t>
      </w:r>
      <w:r>
        <w:rPr>
          <w:rFonts w:ascii="Arial" w:cs="Arial" w:eastAsia="Arial" w:hAnsi="Arial"/>
          <w:sz w:val="18"/>
          <w:szCs w:val="18"/>
          <w:color w:val="auto"/>
        </w:rPr>
        <w:t>)). Through the CMRT we request information from suppliers regarding their 3TG supply chains, including the names and locations of smelters and refiners of 3TG as well as the country of origin of 3TG processed by such smelters and refiners. We then ask that suppliers review and acknowledge our Responsible Minerals Policy and our SRS, which sets out our expectations that all smelters and refiners in our supply chain are, and remain, validated as Conformant.</w:t>
      </w:r>
    </w:p>
    <w:p>
      <w:pPr>
        <w:spacing w:after="0" w:line="220"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We applied our Supplier Lifecycle Performance Management process to each new supplier as they were added to our memory and storage products supply chain throughout the year and required all new suppliers to complete our formal Supplier Compliance Training program.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ind w:left="180" w:hanging="172"/>
        <w:spacing w:after="0" w:line="199"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term “supplier(s)” refers to both incumbent and new suppliers and manufacturers that are likely to provide us with products containing 3TG metals that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are necessary to the function or manufacture of our memory and storage products.</w:t>
      </w:r>
    </w:p>
    <w:p>
      <w:pPr>
        <w:ind w:left="180" w:hanging="172"/>
        <w:spacing w:after="0" w:line="198"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term “Conformant” means that smelters or refiners are verified as Conformant with the RMI’s RMAP or an equivalent third-party auditing program.</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34" w:lineRule="exact"/>
        <w:rPr>
          <w:rFonts w:ascii="Arial" w:cs="Arial" w:eastAsia="Arial" w:hAnsi="Arial"/>
          <w:sz w:val="21"/>
          <w:szCs w:val="21"/>
          <w:color w:val="auto"/>
          <w:vertAlign w:val="superscript"/>
        </w:rPr>
      </w:pPr>
    </w:p>
    <w:p>
      <w:pPr>
        <w:ind w:left="5580"/>
        <w:spacing w:after="0"/>
        <w:rPr>
          <w:rFonts w:ascii="Arial" w:cs="Arial" w:eastAsia="Arial" w:hAnsi="Arial"/>
          <w:sz w:val="21"/>
          <w:szCs w:val="21"/>
          <w:color w:val="auto"/>
          <w:vertAlign w:val="superscript"/>
        </w:rPr>
      </w:pPr>
      <w:r>
        <w:rPr>
          <w:rFonts w:ascii="Arial" w:cs="Arial" w:eastAsia="Arial" w:hAnsi="Arial"/>
          <w:sz w:val="18"/>
          <w:szCs w:val="18"/>
          <w:color w:val="auto"/>
        </w:rPr>
        <w:t>2</w:t>
      </w:r>
    </w:p>
    <w:p>
      <w:pPr>
        <w:sectPr>
          <w:pgSz w:w="11900" w:h="16838" w:orient="portrait"/>
          <w:cols w:equalWidth="0" w:num="1">
            <w:col w:w="11240"/>
          </w:cols>
          <w:pgMar w:left="320" w:top="1324" w:right="339" w:bottom="1440" w:gutter="0" w:footer="0" w:header="0"/>
        </w:sectPr>
      </w:pPr>
    </w:p>
    <w:bookmarkStart w:id="5" w:name="page6"/>
    <w:bookmarkEnd w:id="5"/>
    <w:p>
      <w:pPr>
        <w:spacing w:after="0" w:line="253" w:lineRule="auto"/>
        <w:rPr>
          <w:sz w:val="20"/>
          <w:szCs w:val="20"/>
          <w:color w:val="auto"/>
        </w:rPr>
      </w:pPr>
      <w:r>
        <w:rPr>
          <w:rFonts w:ascii="Arial" w:cs="Arial" w:eastAsia="Arial" w:hAnsi="Arial"/>
          <w:sz w:val="18"/>
          <w:szCs w:val="18"/>
          <w:color w:val="auto"/>
        </w:rPr>
        <w:t>We make our suppliers aware that smelters and refiners that fail to become Conformant in one or more responsible sourcing auditing programs will be targeted for removal from our memory and storage products supply chain. In addition, the terms and conditions we include with every Micron purchase order further reinforce our responsible sourcing expectations and requirements with direct reference to our SRS. Throughout 2020, we worked with our suppliers to help raise awareness of our expectations, provide ongoing education concerning our requirements, and provide training through our risk mitigation and escalation process.</w:t>
      </w: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outreach to suppliers, which included our reasonable country of origin inquiry, did not provide us with complete information on the origin of 3TG from smelters and refiners reported to be in our memory and storage products supply chain in 2020. We had reason to believe, however, that at least some sourcing was from the DRC and adjoining countries. Accordingly, we conducted due diligence on the chain and custody of 3TG and prepared this Conflict Minerals Report.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 Our Conflict Minerals Due Diligence Program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 Our Conflict Minerals Due Diligence Program Design</w:t>
      </w:r>
    </w:p>
    <w:p>
      <w:pPr>
        <w:spacing w:after="0" w:line="274"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We have designed our conflict minerals due diligence program in conformance with the principles of the OECD Guidance and the supplements thereto as applied to downstream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Our Conflict Minerals Due Diligence for 2020 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2.2.1 Our Management System</w:t>
      </w:r>
    </w:p>
    <w:p>
      <w:pPr>
        <w:spacing w:after="0" w:line="27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For the year ended December 31, 2020, management of our conflict minerals program was provided by a cross-functional Responsible Minerals Steering Team, with representatives from Micron’s Procurement, Supply Chain, Quality, Finance, Sales, Sustainability and Legal departments, headed by a Senior Procurement Compliance Manager. The Steering Team met at least monthly during the year ended December 31, 2020 to review progress towards maintaining our goal of a responsibly-sourced supply chain. Oversight of the Responsible Minerals Steering Team was provided by a cross-functional Responsible Minerals Executive Team comprised of Vice President-level executives, which is charged with sponsoring and reviewing our conflict minerals program. The Steering Team reported to the Executive Team on a monthly basis during the year ended December 31, 2020. In addition, our Global Supply Chain Compliance Council, which includes a subset of our Responsible Minerals Executive Team, is charged with direct oversight of our responsible sourcing program. During the year ended December 31, 2020, the Steering Team reported regularly to the Global Supply Chain Compliance Council to review our progress towards our goal of achieving a responsibly-sourced supply chain.</w:t>
      </w:r>
    </w:p>
    <w:p>
      <w:pPr>
        <w:spacing w:after="0" w:line="2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also continued to incorporate our conflict minerals supplier requirements (i.e., that suppliers must report 100% of their supply chain and only source from Conformant smelters and refiners) into the terms and conditions of our purchase orders and supplier agreements, and maintained internal and third-party access to our ethics and compliance hotline, which can be used to report issues relating to conflict minerals. Our program included a ten-year record retention policy for our conflict minerals documents.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2.2.2 Our Risk Assessment</w:t>
      </w:r>
    </w:p>
    <w:p>
      <w:pPr>
        <w:spacing w:after="0" w:line="2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collected, screened and analyzed CMRTs from all 3TG-exposed suppliers for the year ended December 31, 2020. We provided our suppliers with formal notification of Micron’s requirements to convey our expectations that they report to us, within fourteen days of any such occurrence, any changes to their supply chains that would affect their CMRT status.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2.2.3 Our Risk Management</w:t>
      </w:r>
    </w:p>
    <w:p>
      <w:pPr>
        <w:spacing w:after="0" w:line="270"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We reviewed all CMRT responses and updates received for the year ended December 31, 2020 and determined whether the disclosed smelters or refiners were recognized by RMI or equivalents as processors of 3TG metals, and if so, whether they had been validated as Conformant with these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1111" w:right="419" w:bottom="1440" w:gutter="0" w:footer="0" w:header="0"/>
        </w:sectPr>
      </w:pPr>
    </w:p>
    <w:bookmarkStart w:id="6" w:name="page7"/>
    <w:bookmarkEnd w:id="6"/>
    <w:p>
      <w:pPr>
        <w:ind w:right="80"/>
        <w:spacing w:after="0" w:line="251" w:lineRule="auto"/>
        <w:rPr>
          <w:sz w:val="20"/>
          <w:szCs w:val="20"/>
          <w:color w:val="auto"/>
        </w:rPr>
      </w:pPr>
      <w:r>
        <w:rPr>
          <w:rFonts w:ascii="Arial" w:cs="Arial" w:eastAsia="Arial" w:hAnsi="Arial"/>
          <w:sz w:val="18"/>
          <w:szCs w:val="18"/>
          <w:color w:val="auto"/>
        </w:rPr>
        <w:t>organizations. We reviewed supplier CMRTs for accuracy and overall adherence to our conflict minerals requirements, as delivered through our inquiry letter to suppliers, and we began our risk mitigation (and escalation processes, if necessary) set out in our conflict minerals procedures with suppliers having disclosed any smelters or refiners that were not Conformant. If a supplier reports a CMRT that includes smelters or refiners not yet listed as Conformant, we implement our risk mitigation procedures, beginning with direct outreach to the supplier and escalating discussions up the management structure of our respective companies. We work with these suppliers throughout the risk mitigation process to provide awareness of Micron’s goal to only source from Conformant smelters or refiners. During the year ended December 31, 2020, zero suppliers in our memory and storage products supply chain reported smelters or refiners not yet validated as Conformant in a responsible minerals auditing program. Seven smelters and refiners that were reported to be in our memory and storage products supply chain during 2020 were subsequently determined to be inoperative or removed on or prior to December 31, 2020.</w:t>
      </w:r>
    </w:p>
    <w:p>
      <w:pPr>
        <w:spacing w:after="0" w:line="2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members of multiple RMI working groups, including the RMI Smelter Engagement Working Group, which was tasked with identifying and influencing smelters in the supply chains of RMI members to join the RMAP and become validated as responsibly sourced. Micron also has additional RMI formal representation and leadership positions on multiple RMI working groups, including the Multi-Stakeholder, Due Diligence Practices, Minerals Reporting Template, Gold, and RMI Plenary Working Groups. Through our membership dues, we provide funding to DRC in-region agencies.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2.2.4 Smelter and Refiner Auditing</w:t>
      </w:r>
    </w:p>
    <w:p>
      <w:pPr>
        <w:spacing w:after="0" w:line="27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 we do not source 3TG metals directly from smelters or refiners, we rely on independent third-party auditing programs, such as the RMAP, LBMA, and RJC to coordinate audits of smelters and refiners in our memory and storage products supply chain.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2.2.5 Reporting</w:t>
      </w:r>
    </w:p>
    <w:p>
      <w:pPr>
        <w:spacing w:after="0" w:line="27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report our annual due diligence results in our conflict minerals program to the U.S. Securities and Exchange Commission through the Form SD and the CMR. We make the CMR available on our company website.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3. Our Product Descriptions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offer a broad portfolio of semiconductor memory and storage products. We conducted due diligence, as described in this CMR, to try to determine the source and chain of custody of the necessary 3TG metals contained in these memory and storage products. Our management assessment process led us to believe that at least some sourcing is from the DRC and adjoining countries. We were unable to determine the country of origin of some of the 3TG metals contained in memory and storage products we manufactured and sold during the year ended December 31, 2020 and/or whether some of the memory and storage products we manufactured and sold during the year ended December 31, 2020 contain 3TG metals that may have directly or indirectly financed or benefited armed groups in the DRC or an adjoining country.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Memory and Storage Products</w:t>
      </w:r>
    </w:p>
    <w:p>
      <w:pPr>
        <w:spacing w:after="0" w:line="274"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dynamic random access memory (“</w:t>
      </w:r>
      <w:r>
        <w:rPr>
          <w:rFonts w:ascii="Arial" w:cs="Arial" w:eastAsia="Arial" w:hAnsi="Arial"/>
          <w:sz w:val="18"/>
          <w:szCs w:val="18"/>
          <w:b w:val="1"/>
          <w:bCs w:val="1"/>
          <w:color w:val="auto"/>
        </w:rPr>
        <w:t>DRAM</w:t>
      </w:r>
      <w:r>
        <w:rPr>
          <w:rFonts w:ascii="Arial" w:cs="Arial" w:eastAsia="Arial" w:hAnsi="Arial"/>
          <w:sz w:val="18"/>
          <w:szCs w:val="18"/>
          <w:color w:val="auto"/>
        </w:rPr>
        <w:t>”), NAND, NOR, and other technologies. We sell our products into various markets through our business units in numerous forms, including wafers, components, modules, solid state drives (“</w:t>
      </w:r>
      <w:r>
        <w:rPr>
          <w:rFonts w:ascii="Arial" w:cs="Arial" w:eastAsia="Arial" w:hAnsi="Arial"/>
          <w:sz w:val="18"/>
          <w:szCs w:val="18"/>
          <w:b w:val="1"/>
          <w:bCs w:val="1"/>
          <w:color w:val="auto"/>
        </w:rPr>
        <w:t>SSDs</w:t>
      </w:r>
      <w:r>
        <w:rPr>
          <w:rFonts w:ascii="Arial" w:cs="Arial" w:eastAsia="Arial" w:hAnsi="Arial"/>
          <w:sz w:val="18"/>
          <w:szCs w:val="18"/>
          <w:color w:val="auto"/>
        </w:rPr>
        <w:t>”), managed NAND, and Multi -Chip Package (“</w:t>
      </w:r>
      <w:r>
        <w:rPr>
          <w:rFonts w:ascii="Arial" w:cs="Arial" w:eastAsia="Arial" w:hAnsi="Arial"/>
          <w:sz w:val="18"/>
          <w:szCs w:val="18"/>
          <w:b w:val="1"/>
          <w:bCs w:val="1"/>
          <w:color w:val="auto"/>
        </w:rPr>
        <w:t>MCP</w:t>
      </w:r>
      <w:r>
        <w:rPr>
          <w:rFonts w:ascii="Arial" w:cs="Arial" w:eastAsia="Arial" w:hAnsi="Arial"/>
          <w:sz w:val="18"/>
          <w:szCs w:val="18"/>
          <w:color w:val="auto"/>
        </w:rPr>
        <w:t>”) products. Our system-level solutions, including SSDs, managed NAND, and MCPs, typically include a controller and firmware and in some cases combine DRAM, NAND, and/or NOR. During the year ended December 31, 2020, we manufactured or contracted to manufacture the following memory and storage products containing 3TG metals.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111"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DRAM</w:t>
      </w:r>
    </w:p>
    <w:p>
      <w:pPr>
        <w:spacing w:after="0" w:line="27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DRAM products are dynamic random access memory semiconductor devices with low latency that provide high-speed data retrieval with a variety of performance characteristics. DRAM products lose content when power is turned off (“</w:t>
      </w:r>
      <w:r>
        <w:rPr>
          <w:rFonts w:ascii="Arial" w:cs="Arial" w:eastAsia="Arial" w:hAnsi="Arial"/>
          <w:sz w:val="18"/>
          <w:szCs w:val="18"/>
          <w:b w:val="1"/>
          <w:bCs w:val="1"/>
          <w:color w:val="auto"/>
        </w:rPr>
        <w:t>volatile</w:t>
      </w:r>
      <w:r>
        <w:rPr>
          <w:rFonts w:ascii="Arial" w:cs="Arial" w:eastAsia="Arial" w:hAnsi="Arial"/>
          <w:sz w:val="18"/>
          <w:szCs w:val="18"/>
          <w:color w:val="auto"/>
        </w:rPr>
        <w:t>”) and are most commonly used in client, cloud server, enterprise, networking, graphics, industrial, and automotive markets. Low-power 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NAND</w:t>
      </w:r>
    </w:p>
    <w:p>
      <w:pPr>
        <w:spacing w:after="0" w:line="270"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color w:val="auto"/>
        </w:rPr>
        <w:t>NAND products are non-volatile, re-writeable semiconductor storage devices that provide high-capacity, low-cost storage with a 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w:t>
      </w:r>
    </w:p>
    <w:p>
      <w:pPr>
        <w:spacing w:after="0" w:line="27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NOR products are non-volatile re-writable semiconductor memory devices that provide fast read speeds. NOR is most commonly used for reliable code storage (e.g., boot, application, operating system, and execute-in-place code in an embedded system) and for frequently changing small data storage and is ideal for automotive, industrial, networking, and consumer applications.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3D XPoint</w:t>
      </w:r>
    </w:p>
    <w:p>
      <w:pPr>
        <w:spacing w:after="0" w:line="27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3D XPoint is a class of non-volatile technology between DRAM and NAND in the memory and storage hierarchy. Effective as of the end of the second quarter of our 2021 fiscal year, we ceased development of our 3D XPoint technology and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Smelters and Refiners Used to Process 3TG Metals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identified 210 smelters and refiners that are recognized by RMI, LBMA, or RJC to be processors of 3TG metals and that we believe were potentially in our memory and storage products supply chain for the year ended December 31, 2020. All of these smelters and refiners were validated as Conformant with a responsibly-sourced auditing program, though seven smelters and refiners that were reported to be in our memory and storage products supply chain during 2020 were subsequently determined to be inoperative or removed on or prior to December 31, 2020. Many of our suppliers reported smelter and refiner information at the company level rather than limiting their responses to smelters and refiners associated with products sold to Micron. As a result, some reported smelters and refiners may not be associated with our memory and storage products. Appendix A sets forth a list of the names, locations, and status of all of the smelters and refiners in our memory and storage products supply chain as reported by our suppliers for the year ended December 31, 2020.</w:t>
      </w:r>
    </w:p>
    <w:p>
      <w:pPr>
        <w:spacing w:after="0" w:line="2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Throughout 2020, we worked with our suppliers in an effort to source only from smelters and refiners that were validated as Conformant with a responsibly-sourced auditing program. As of December 31, 2020, our memory and storage products supply chain included 203 smelters and refiners, all of which were validated as Conformant.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Aggregated Countries of Origin of 3TG Metals</w:t>
      </w:r>
    </w:p>
    <w:p>
      <w:pPr>
        <w:spacing w:after="0" w:line="270"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Our due diligence efforts did not result in sufficient information to conclusively determine the countries of origin of all 3TG metals in our products due to the fact that the RJC does not report country of origin information for smelters and refiners that participate in its programs. Appendix B sets forth a list of countries of origin of 3TG metals that may be in our products based on information provided to us by our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suppliers and RMI, which is available to us (and is therefore being disclosed) on an aggregated basis only for RMAP Conformant smelters.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Efforts to Determine the Mine or Location of Origin</w:t>
      </w:r>
    </w:p>
    <w:p>
      <w:pPr>
        <w:spacing w:after="0" w:line="2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RMI has an established audit protocol to assess whether smelters and refiners of 3TG metals employed policies, practices, and procedures to source responsibly-sourced minerals. RMI, through the RMAP, collects and provides access for its members to certain information regarding the origin of minerals processed at RMAP responsibly-sourced smelters and refiners.</w:t>
      </w:r>
    </w:p>
    <w:p>
      <w:pPr>
        <w:spacing w:after="0" w:line="22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required the suppliers in our memory and storage products supply chain to complete the RMI CMRT, which requested information regarding the mine or location of origin of necessary conflict minerals processed by the smelters and refiners our suppliers identified as potentially associated with our 3TG metals supply chain. We reviewed the supplier responses as well as information available through the RMI on the mine or location of origin of 3TG metals processed by these smelters and refiners collectively. Because we were unable to confirm the supplier data, our list of the countries of origin in Appendix B reflects the aggregated list of countries provided by RMI for RMAP responsibly-sourced smelters and refiners.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4. 2021 Due Diligence Improvement Measures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During the 2021 reporting year, Micron intends to:</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engage with and provide active participation and leadership in the various RMI working groups;</w:t>
      </w:r>
    </w:p>
    <w:p>
      <w:pPr>
        <w:spacing w:after="0" w:line="25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proactively work with all suppliers in an effort to accomplish our goal that all smelters and refiners in our supply chain are Conformant;</w:t>
      </w:r>
    </w:p>
    <w:p>
      <w:pPr>
        <w:spacing w:after="0" w:line="224"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refine and improve our escalation processes to ensure quick remediation, including removal, of any smelter or refiner that loses Conformant status; and</w:t>
      </w:r>
    </w:p>
    <w:p>
      <w:pPr>
        <w:spacing w:after="0" w:line="224"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our responsible minerals program to ensure responsible sourcing of additional minerals and include more geographies as practicable in line with industry standards and RMI capabilities and programs.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45" w:lineRule="exact"/>
        <w:rPr>
          <w:sz w:val="20"/>
          <w:szCs w:val="20"/>
          <w:color w:val="auto"/>
        </w:rPr>
      </w:pPr>
    </w:p>
    <w:p>
      <w:pPr>
        <w:ind w:right="100"/>
        <w:spacing w:after="0" w:line="368" w:lineRule="auto"/>
        <w:rPr>
          <w:sz w:val="20"/>
          <w:szCs w:val="20"/>
          <w:color w:val="auto"/>
        </w:rPr>
      </w:pPr>
      <w:r>
        <w:rPr>
          <w:rFonts w:ascii="Arial" w:cs="Arial" w:eastAsia="Arial" w:hAnsi="Arial"/>
          <w:sz w:val="18"/>
          <w:szCs w:val="18"/>
          <w:i w:val="1"/>
          <w:iCs w:val="1"/>
          <w:color w:val="auto"/>
        </w:rPr>
        <w:t>This Conflict Minerals Report contains forward looking statements related to our conflict minerals due diligence programs for 2021. We wish to caution you that such statements are predictions and that actual events or results may differ materially.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111" w:right="379" w:bottom="1440" w:gutter="0" w:footer="0" w:header="0"/>
        </w:sectPr>
      </w:pPr>
    </w:p>
    <w:bookmarkStart w:id="9" w:name="page10"/>
    <w:bookmarkEnd w:id="9"/>
    <w:p>
      <w:pPr>
        <w:spacing w:after="0"/>
        <w:rPr>
          <w:sz w:val="20"/>
          <w:szCs w:val="20"/>
          <w:color w:val="auto"/>
        </w:rPr>
      </w:pPr>
      <w:r>
        <w:rPr>
          <w:rFonts w:ascii="Arial" w:cs="Arial" w:eastAsia="Arial" w:hAnsi="Arial"/>
          <w:sz w:val="40"/>
          <w:szCs w:val="40"/>
          <w:b w:val="1"/>
          <w:bCs w:val="1"/>
          <w:color w:val="auto"/>
        </w:rPr>
        <w:t>Appendix A</w:t>
      </w:r>
    </w:p>
    <w:p>
      <w:pPr>
        <w:spacing w:after="0" w:line="6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Reported 3TG Smelters and Refiners List</w:t>
      </w:r>
    </w:p>
    <w:p>
      <w:pPr>
        <w:spacing w:after="0" w:line="23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This table provides the names, locations, and status of all of the smelters and refiners in our memory and storage products supply chain as reported by our suppliers for the year ended December 31, 2020. The smelter and refiner names, locations, and status appear as they are listed in the RMI Smelter Database as of January 29, 2021. We cannot confirm that any or all smelters and refiners in this table processed the necessary 3TG metals contained in our products, as many of our in-scope suppliers identified all smelters and refiners in their total supply chain rather than just those smelters and refiners associated with products sold to us.</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Smelters and refiners noted with an asterisk (*) in this table represent the seven smelters and refiners that were reported to be in our memory and storage products supply chain during 2020 and were subsequently determined to be inoperative or removed on or prior to December 31, 2020. Up-to-date information on the validation status of smelters and refiners participating in the RMAP is available at responsiblemineralsinitiative.org/smelters-refiners-lists.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840" w:type="dxa"/>
            <w:vAlign w:val="bottom"/>
            <w:tcBorders>
              <w:bottom w:val="single" w:sz="8" w:color="0090DA"/>
            </w:tcBorders>
          </w:tcPr>
          <w:p>
            <w:pPr>
              <w:ind w:left="360"/>
              <w:spacing w:after="0"/>
              <w:rPr>
                <w:sz w:val="20"/>
                <w:szCs w:val="20"/>
                <w:color w:val="auto"/>
              </w:rPr>
            </w:pPr>
            <w:r>
              <w:rPr>
                <w:rFonts w:ascii="Arial" w:cs="Arial" w:eastAsia="Arial" w:hAnsi="Arial"/>
                <w:sz w:val="18"/>
                <w:szCs w:val="18"/>
                <w:b w:val="1"/>
                <w:bCs w:val="1"/>
                <w:color w:val="auto"/>
              </w:rPr>
              <w:t>Smelter or Refinery Name</w:t>
            </w:r>
          </w:p>
        </w:tc>
        <w:tc>
          <w:tcPr>
            <w:tcW w:w="2640" w:type="dxa"/>
            <w:vAlign w:val="bottom"/>
            <w:tcBorders>
              <w:bottom w:val="single" w:sz="8" w:color="0090DA"/>
            </w:tcBorders>
          </w:tcPr>
          <w:p>
            <w:pPr>
              <w:ind w:left="640"/>
              <w:spacing w:after="0"/>
              <w:rPr>
                <w:sz w:val="20"/>
                <w:szCs w:val="20"/>
                <w:color w:val="auto"/>
              </w:rPr>
            </w:pPr>
            <w:r>
              <w:rPr>
                <w:rFonts w:ascii="Arial" w:cs="Arial" w:eastAsia="Arial" w:hAnsi="Arial"/>
                <w:sz w:val="18"/>
                <w:szCs w:val="18"/>
                <w:b w:val="1"/>
                <w:bCs w:val="1"/>
                <w:color w:val="auto"/>
              </w:rPr>
              <w:t>Location</w:t>
            </w:r>
          </w:p>
        </w:tc>
        <w:tc>
          <w:tcPr>
            <w:tcW w:w="1940" w:type="dxa"/>
            <w:vAlign w:val="bottom"/>
            <w:tcBorders>
              <w:bottom w:val="single" w:sz="8" w:color="0090DA"/>
            </w:tcBorders>
          </w:tcPr>
          <w:p>
            <w:pPr>
              <w:ind w:left="300"/>
              <w:spacing w:after="0"/>
              <w:rPr>
                <w:sz w:val="20"/>
                <w:szCs w:val="20"/>
                <w:color w:val="auto"/>
              </w:rPr>
            </w:pPr>
            <w:r>
              <w:rPr>
                <w:rFonts w:ascii="Arial" w:cs="Arial" w:eastAsia="Arial" w:hAnsi="Arial"/>
                <w:sz w:val="18"/>
                <w:szCs w:val="18"/>
                <w:b w:val="1"/>
                <w:bCs w:val="1"/>
                <w:color w:val="auto"/>
              </w:rPr>
              <w:t>Status</w:t>
            </w:r>
          </w:p>
        </w:tc>
      </w:tr>
      <w:tr>
        <w:trPr>
          <w:trHeight w:val="34"/>
        </w:trPr>
        <w:tc>
          <w:tcPr>
            <w:tcW w:w="8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8853 S.p.A.</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Italy</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Advanced Chemical Company</w:t>
            </w:r>
          </w:p>
        </w:tc>
        <w:tc>
          <w:tcPr>
            <w:tcW w:w="2640" w:type="dxa"/>
            <w:vAlign w:val="bottom"/>
          </w:tcPr>
          <w:p>
            <w:pPr>
              <w:ind w:left="640"/>
              <w:spacing w:after="0"/>
              <w:rPr>
                <w:sz w:val="20"/>
                <w:szCs w:val="20"/>
                <w:color w:val="auto"/>
              </w:rPr>
            </w:pPr>
            <w:r>
              <w:rPr>
                <w:rFonts w:ascii="Arial" w:cs="Arial" w:eastAsia="Arial" w:hAnsi="Arial"/>
                <w:sz w:val="18"/>
                <w:szCs w:val="18"/>
                <w:color w:val="auto"/>
              </w:rPr>
              <w:t>United States</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Al Etihad Gold Refinery DMCC</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United Arab Emirates</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Allgemeine Gold-und Silberscheideanstalt A.G.</w:t>
            </w:r>
          </w:p>
        </w:tc>
        <w:tc>
          <w:tcPr>
            <w:tcW w:w="2640" w:type="dxa"/>
            <w:vAlign w:val="bottom"/>
          </w:tcPr>
          <w:p>
            <w:pPr>
              <w:ind w:left="640"/>
              <w:spacing w:after="0"/>
              <w:rPr>
                <w:sz w:val="20"/>
                <w:szCs w:val="20"/>
                <w:color w:val="auto"/>
              </w:rPr>
            </w:pPr>
            <w:r>
              <w:rPr>
                <w:rFonts w:ascii="Arial" w:cs="Arial" w:eastAsia="Arial" w:hAnsi="Arial"/>
                <w:sz w:val="18"/>
                <w:szCs w:val="18"/>
                <w:color w:val="auto"/>
              </w:rPr>
              <w:t>Germany</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Almalyk Mining and Metallurgical Complex (AMMC)</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Uzbekistan</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AngloGold Ashanti Corrego do Sitio Mineracao</w:t>
            </w:r>
          </w:p>
        </w:tc>
        <w:tc>
          <w:tcPr>
            <w:tcW w:w="2640" w:type="dxa"/>
            <w:vAlign w:val="bottom"/>
          </w:tcPr>
          <w:p>
            <w:pPr>
              <w:ind w:left="640"/>
              <w:spacing w:after="0"/>
              <w:rPr>
                <w:sz w:val="20"/>
                <w:szCs w:val="20"/>
                <w:color w:val="auto"/>
              </w:rPr>
            </w:pPr>
            <w:r>
              <w:rPr>
                <w:rFonts w:ascii="Arial" w:cs="Arial" w:eastAsia="Arial" w:hAnsi="Arial"/>
                <w:sz w:val="18"/>
                <w:szCs w:val="18"/>
                <w:color w:val="auto"/>
              </w:rPr>
              <w:t>Brazil</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Argor-Heraeus S.A.</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Switzerland</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Asahi Pretec Corp.</w:t>
            </w:r>
          </w:p>
        </w:tc>
        <w:tc>
          <w:tcPr>
            <w:tcW w:w="2640" w:type="dxa"/>
            <w:vAlign w:val="bottom"/>
          </w:tcPr>
          <w:p>
            <w:pPr>
              <w:ind w:left="640"/>
              <w:spacing w:after="0"/>
              <w:rPr>
                <w:sz w:val="20"/>
                <w:szCs w:val="20"/>
                <w:color w:val="auto"/>
              </w:rPr>
            </w:pPr>
            <w:r>
              <w:rPr>
                <w:rFonts w:ascii="Arial" w:cs="Arial" w:eastAsia="Arial" w:hAnsi="Arial"/>
                <w:sz w:val="18"/>
                <w:szCs w:val="18"/>
                <w:color w:val="auto"/>
              </w:rPr>
              <w:t>Japan</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Asahi Refining Canada Ltd.</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Canada</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Asahi Refining USA Inc.</w:t>
            </w:r>
          </w:p>
        </w:tc>
        <w:tc>
          <w:tcPr>
            <w:tcW w:w="2640" w:type="dxa"/>
            <w:vAlign w:val="bottom"/>
          </w:tcPr>
          <w:p>
            <w:pPr>
              <w:ind w:left="640"/>
              <w:spacing w:after="0"/>
              <w:rPr>
                <w:sz w:val="20"/>
                <w:szCs w:val="20"/>
                <w:color w:val="auto"/>
              </w:rPr>
            </w:pPr>
            <w:r>
              <w:rPr>
                <w:rFonts w:ascii="Arial" w:cs="Arial" w:eastAsia="Arial" w:hAnsi="Arial"/>
                <w:sz w:val="18"/>
                <w:szCs w:val="18"/>
                <w:color w:val="auto"/>
              </w:rPr>
              <w:t>United States</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AU Traders and Refiners</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South Africa</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Aurubis AG</w:t>
            </w:r>
          </w:p>
        </w:tc>
        <w:tc>
          <w:tcPr>
            <w:tcW w:w="2640" w:type="dxa"/>
            <w:vAlign w:val="bottom"/>
          </w:tcPr>
          <w:p>
            <w:pPr>
              <w:ind w:left="640"/>
              <w:spacing w:after="0"/>
              <w:rPr>
                <w:sz w:val="20"/>
                <w:szCs w:val="20"/>
                <w:color w:val="auto"/>
              </w:rPr>
            </w:pPr>
            <w:r>
              <w:rPr>
                <w:rFonts w:ascii="Arial" w:cs="Arial" w:eastAsia="Arial" w:hAnsi="Arial"/>
                <w:sz w:val="18"/>
                <w:szCs w:val="18"/>
                <w:color w:val="auto"/>
              </w:rPr>
              <w:t>Germany</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Bangalore Refinery</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India</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Bangko Sentral ng Pilipinas (Central Bank of the Philippines)</w:t>
            </w:r>
          </w:p>
        </w:tc>
        <w:tc>
          <w:tcPr>
            <w:tcW w:w="2640" w:type="dxa"/>
            <w:vAlign w:val="bottom"/>
          </w:tcPr>
          <w:p>
            <w:pPr>
              <w:ind w:left="640"/>
              <w:spacing w:after="0"/>
              <w:rPr>
                <w:sz w:val="20"/>
                <w:szCs w:val="20"/>
                <w:color w:val="auto"/>
              </w:rPr>
            </w:pPr>
            <w:r>
              <w:rPr>
                <w:rFonts w:ascii="Arial" w:cs="Arial" w:eastAsia="Arial" w:hAnsi="Arial"/>
                <w:sz w:val="18"/>
                <w:szCs w:val="18"/>
                <w:color w:val="auto"/>
              </w:rPr>
              <w:t>Philippines</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Boliden AB</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Sweden</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C. Hafner GmbH + Co. KG</w:t>
            </w:r>
          </w:p>
        </w:tc>
        <w:tc>
          <w:tcPr>
            <w:tcW w:w="2640" w:type="dxa"/>
            <w:vAlign w:val="bottom"/>
          </w:tcPr>
          <w:p>
            <w:pPr>
              <w:ind w:left="640"/>
              <w:spacing w:after="0"/>
              <w:rPr>
                <w:sz w:val="20"/>
                <w:szCs w:val="20"/>
                <w:color w:val="auto"/>
              </w:rPr>
            </w:pPr>
            <w:r>
              <w:rPr>
                <w:rFonts w:ascii="Arial" w:cs="Arial" w:eastAsia="Arial" w:hAnsi="Arial"/>
                <w:sz w:val="18"/>
                <w:szCs w:val="18"/>
                <w:color w:val="auto"/>
              </w:rPr>
              <w:t>Germany</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CCR Refinery - Glencore Canada Corporation</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Canada</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Cendres + Metaux S.A.</w:t>
            </w:r>
          </w:p>
        </w:tc>
        <w:tc>
          <w:tcPr>
            <w:tcW w:w="2640" w:type="dxa"/>
            <w:vAlign w:val="bottom"/>
          </w:tcPr>
          <w:p>
            <w:pPr>
              <w:ind w:left="640"/>
              <w:spacing w:after="0"/>
              <w:rPr>
                <w:sz w:val="20"/>
                <w:szCs w:val="20"/>
                <w:color w:val="auto"/>
              </w:rPr>
            </w:pPr>
            <w:r>
              <w:rPr>
                <w:rFonts w:ascii="Arial" w:cs="Arial" w:eastAsia="Arial" w:hAnsi="Arial"/>
                <w:sz w:val="18"/>
                <w:szCs w:val="18"/>
                <w:color w:val="auto"/>
              </w:rPr>
              <w:t>Switzerland</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Chimet S.p.A.</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Italy</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Chugai Mining</w:t>
            </w:r>
          </w:p>
        </w:tc>
        <w:tc>
          <w:tcPr>
            <w:tcW w:w="2640" w:type="dxa"/>
            <w:vAlign w:val="bottom"/>
          </w:tcPr>
          <w:p>
            <w:pPr>
              <w:ind w:left="640"/>
              <w:spacing w:after="0"/>
              <w:rPr>
                <w:sz w:val="20"/>
                <w:szCs w:val="20"/>
                <w:color w:val="auto"/>
              </w:rPr>
            </w:pPr>
            <w:r>
              <w:rPr>
                <w:rFonts w:ascii="Arial" w:cs="Arial" w:eastAsia="Arial" w:hAnsi="Arial"/>
                <w:sz w:val="18"/>
                <w:szCs w:val="18"/>
                <w:color w:val="auto"/>
              </w:rPr>
              <w:t>Japan</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Dowa</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Japan</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Emirates Gold DMCC</w:t>
            </w:r>
          </w:p>
        </w:tc>
        <w:tc>
          <w:tcPr>
            <w:tcW w:w="2640" w:type="dxa"/>
            <w:vAlign w:val="bottom"/>
          </w:tcPr>
          <w:p>
            <w:pPr>
              <w:ind w:left="640"/>
              <w:spacing w:after="0"/>
              <w:rPr>
                <w:sz w:val="20"/>
                <w:szCs w:val="20"/>
                <w:color w:val="auto"/>
              </w:rPr>
            </w:pPr>
            <w:r>
              <w:rPr>
                <w:rFonts w:ascii="Arial" w:cs="Arial" w:eastAsia="Arial" w:hAnsi="Arial"/>
                <w:sz w:val="18"/>
                <w:szCs w:val="18"/>
                <w:color w:val="auto"/>
              </w:rPr>
              <w:t>United Arab Emirates</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Gold Refinery of Zijin Mining Group Co., Ltd.</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China</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Heimerle + Meule GmbH</w:t>
            </w:r>
          </w:p>
        </w:tc>
        <w:tc>
          <w:tcPr>
            <w:tcW w:w="2640" w:type="dxa"/>
            <w:vAlign w:val="bottom"/>
          </w:tcPr>
          <w:p>
            <w:pPr>
              <w:ind w:left="640"/>
              <w:spacing w:after="0"/>
              <w:rPr>
                <w:sz w:val="20"/>
                <w:szCs w:val="20"/>
                <w:color w:val="auto"/>
              </w:rPr>
            </w:pPr>
            <w:r>
              <w:rPr>
                <w:rFonts w:ascii="Arial" w:cs="Arial" w:eastAsia="Arial" w:hAnsi="Arial"/>
                <w:sz w:val="18"/>
                <w:szCs w:val="18"/>
                <w:color w:val="auto"/>
              </w:rPr>
              <w:t>Germany</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D1D2D4"/>
          </w:tcPr>
          <w:p>
            <w:pPr>
              <w:ind w:left="360"/>
              <w:spacing w:after="0"/>
              <w:rPr>
                <w:sz w:val="20"/>
                <w:szCs w:val="20"/>
                <w:color w:val="auto"/>
              </w:rPr>
            </w:pPr>
            <w:r>
              <w:rPr>
                <w:rFonts w:ascii="Arial" w:cs="Arial" w:eastAsia="Arial" w:hAnsi="Arial"/>
                <w:sz w:val="18"/>
                <w:szCs w:val="18"/>
                <w:color w:val="auto"/>
              </w:rPr>
              <w:t>Heraeus Germany GmbH Co. KG</w:t>
            </w:r>
          </w:p>
        </w:tc>
        <w:tc>
          <w:tcPr>
            <w:tcW w:w="2640" w:type="dxa"/>
            <w:vAlign w:val="bottom"/>
            <w:shd w:val="clear" w:color="auto" w:fill="D1D2D4"/>
          </w:tcPr>
          <w:p>
            <w:pPr>
              <w:ind w:left="640"/>
              <w:spacing w:after="0"/>
              <w:rPr>
                <w:sz w:val="20"/>
                <w:szCs w:val="20"/>
                <w:color w:val="auto"/>
              </w:rPr>
            </w:pPr>
            <w:r>
              <w:rPr>
                <w:rFonts w:ascii="Arial" w:cs="Arial" w:eastAsia="Arial" w:hAnsi="Arial"/>
                <w:sz w:val="18"/>
                <w:szCs w:val="18"/>
                <w:color w:val="auto"/>
              </w:rPr>
              <w:t>Germany</w:t>
            </w:r>
          </w:p>
        </w:tc>
        <w:tc>
          <w:tcPr>
            <w:tcW w:w="1940" w:type="dxa"/>
            <w:vAlign w:val="bottom"/>
            <w:shd w:val="clear" w:color="auto" w:fill="D1D2D4"/>
          </w:tcPr>
          <w:p>
            <w:pPr>
              <w:ind w:left="3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Heraeus Metals Hong Kong Ltd.</w:t>
            </w:r>
          </w:p>
        </w:tc>
        <w:tc>
          <w:tcPr>
            <w:tcW w:w="2640" w:type="dxa"/>
            <w:vAlign w:val="bottom"/>
          </w:tcPr>
          <w:p>
            <w:pPr>
              <w:ind w:left="640"/>
              <w:spacing w:after="0"/>
              <w:rPr>
                <w:sz w:val="20"/>
                <w:szCs w:val="20"/>
                <w:color w:val="auto"/>
              </w:rPr>
            </w:pPr>
            <w:r>
              <w:rPr>
                <w:rFonts w:ascii="Arial" w:cs="Arial" w:eastAsia="Arial" w:hAnsi="Arial"/>
                <w:sz w:val="18"/>
                <w:szCs w:val="18"/>
                <w:color w:val="auto"/>
              </w:rPr>
              <w:t>China</w:t>
            </w:r>
          </w:p>
        </w:tc>
        <w:tc>
          <w:tcPr>
            <w:tcW w:w="1940" w:type="dxa"/>
            <w:vAlign w:val="bottom"/>
          </w:tcPr>
          <w:p>
            <w:pPr>
              <w:ind w:left="30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240"/>
          </w:cols>
          <w:pgMar w:left="320" w:top="1405" w:right="339" w:bottom="1440" w:gutter="0" w:footer="0" w:header="0"/>
        </w:sectPr>
      </w:pPr>
    </w:p>
    <w:bookmarkStart w:id="10" w:name="page11"/>
    <w:bookmarkEnd w:id="10"/>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6100" w:type="dxa"/>
            <w:vAlign w:val="bottom"/>
            <w:tcBorders>
              <w:bottom w:val="single" w:sz="8" w:color="0090DA"/>
            </w:tcBorders>
          </w:tcPr>
          <w:p>
            <w:pPr>
              <w:ind w:left="360"/>
              <w:spacing w:after="0"/>
              <w:rPr>
                <w:sz w:val="20"/>
                <w:szCs w:val="20"/>
                <w:color w:val="auto"/>
              </w:rPr>
            </w:pPr>
            <w:r>
              <w:rPr>
                <w:rFonts w:ascii="Arial" w:cs="Arial" w:eastAsia="Arial" w:hAnsi="Arial"/>
                <w:sz w:val="18"/>
                <w:szCs w:val="18"/>
                <w:b w:val="1"/>
                <w:bCs w:val="1"/>
                <w:color w:val="auto"/>
              </w:rPr>
              <w:t>Smelter or Refinery Name</w:t>
            </w:r>
          </w:p>
        </w:tc>
        <w:tc>
          <w:tcPr>
            <w:tcW w:w="2080" w:type="dxa"/>
            <w:vAlign w:val="bottom"/>
            <w:tcBorders>
              <w:bottom w:val="single" w:sz="8" w:color="0090DA"/>
            </w:tcBorders>
          </w:tcPr>
          <w:p>
            <w:pPr>
              <w:ind w:left="380"/>
              <w:spacing w:after="0"/>
              <w:rPr>
                <w:sz w:val="20"/>
                <w:szCs w:val="20"/>
                <w:color w:val="auto"/>
              </w:rPr>
            </w:pPr>
            <w:r>
              <w:rPr>
                <w:rFonts w:ascii="Arial" w:cs="Arial" w:eastAsia="Arial" w:hAnsi="Arial"/>
                <w:sz w:val="18"/>
                <w:szCs w:val="18"/>
                <w:b w:val="1"/>
                <w:bCs w:val="1"/>
                <w:color w:val="auto"/>
              </w:rPr>
              <w:t>Location</w:t>
            </w:r>
          </w:p>
        </w:tc>
        <w:tc>
          <w:tcPr>
            <w:tcW w:w="2240" w:type="dxa"/>
            <w:vAlign w:val="bottom"/>
            <w:tcBorders>
              <w:bottom w:val="single" w:sz="8" w:color="0090DA"/>
            </w:tcBorders>
          </w:tcPr>
          <w:p>
            <w:pPr>
              <w:ind w:left="600"/>
              <w:spacing w:after="0"/>
              <w:rPr>
                <w:sz w:val="20"/>
                <w:szCs w:val="20"/>
                <w:color w:val="auto"/>
              </w:rPr>
            </w:pPr>
            <w:r>
              <w:rPr>
                <w:rFonts w:ascii="Arial" w:cs="Arial" w:eastAsia="Arial" w:hAnsi="Arial"/>
                <w:sz w:val="18"/>
                <w:szCs w:val="18"/>
                <w:b w:val="1"/>
                <w:bCs w:val="1"/>
                <w:color w:val="auto"/>
              </w:rPr>
              <w:t>Status</w:t>
            </w:r>
          </w:p>
        </w:tc>
      </w:tr>
      <w:tr>
        <w:trPr>
          <w:trHeight w:val="34"/>
        </w:trPr>
        <w:tc>
          <w:tcPr>
            <w:tcW w:w="8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Inner Mongolia Qiankun Gold and Silver Refinery Share Co., Ltd.</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Ishifuku Metal Industry Co., Ltd.</w:t>
            </w:r>
          </w:p>
        </w:tc>
        <w:tc>
          <w:tcPr>
            <w:tcW w:w="2080" w:type="dxa"/>
            <w:vAlign w:val="bottom"/>
          </w:tcPr>
          <w:p>
            <w:pPr>
              <w:ind w:left="380"/>
              <w:spacing w:after="0"/>
              <w:rPr>
                <w:sz w:val="20"/>
                <w:szCs w:val="20"/>
                <w:color w:val="auto"/>
              </w:rPr>
            </w:pPr>
            <w:r>
              <w:rPr>
                <w:rFonts w:ascii="Arial" w:cs="Arial" w:eastAsia="Arial" w:hAnsi="Arial"/>
                <w:sz w:val="18"/>
                <w:szCs w:val="18"/>
                <w:color w:val="auto"/>
              </w:rPr>
              <w:t>Japan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Istanbul Gold Refinery</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Turkey</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Italpreziosi</w:t>
            </w:r>
          </w:p>
        </w:tc>
        <w:tc>
          <w:tcPr>
            <w:tcW w:w="2080" w:type="dxa"/>
            <w:vAlign w:val="bottom"/>
          </w:tcPr>
          <w:p>
            <w:pPr>
              <w:ind w:left="380"/>
              <w:spacing w:after="0"/>
              <w:rPr>
                <w:sz w:val="20"/>
                <w:szCs w:val="20"/>
                <w:color w:val="auto"/>
              </w:rPr>
            </w:pPr>
            <w:r>
              <w:rPr>
                <w:rFonts w:ascii="Arial" w:cs="Arial" w:eastAsia="Arial" w:hAnsi="Arial"/>
                <w:sz w:val="18"/>
                <w:szCs w:val="18"/>
                <w:color w:val="auto"/>
              </w:rPr>
              <w:t>Italy</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Japan Mint</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Japan</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Jiangxi Copper Co., Ltd.</w:t>
            </w:r>
          </w:p>
        </w:tc>
        <w:tc>
          <w:tcPr>
            <w:tcW w:w="2080" w:type="dxa"/>
            <w:vAlign w:val="bottom"/>
          </w:tcPr>
          <w:p>
            <w:pPr>
              <w:ind w:left="38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JSC Novosibirsk Refinery</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Russia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JSC Uralelectromed</w:t>
            </w:r>
          </w:p>
        </w:tc>
        <w:tc>
          <w:tcPr>
            <w:tcW w:w="2080" w:type="dxa"/>
            <w:vAlign w:val="bottom"/>
          </w:tcPr>
          <w:p>
            <w:pPr>
              <w:ind w:left="380"/>
              <w:spacing w:after="0"/>
              <w:rPr>
                <w:sz w:val="20"/>
                <w:szCs w:val="20"/>
                <w:color w:val="auto"/>
              </w:rPr>
            </w:pPr>
            <w:r>
              <w:rPr>
                <w:rFonts w:ascii="Arial" w:cs="Arial" w:eastAsia="Arial" w:hAnsi="Arial"/>
                <w:sz w:val="18"/>
                <w:szCs w:val="18"/>
                <w:color w:val="auto"/>
              </w:rPr>
              <w:t>Russia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JX Nippon Mining &amp; Metals Co., Ltd.</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Japan</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Kazzinc</w:t>
            </w:r>
          </w:p>
        </w:tc>
        <w:tc>
          <w:tcPr>
            <w:tcW w:w="2080" w:type="dxa"/>
            <w:vAlign w:val="bottom"/>
          </w:tcPr>
          <w:p>
            <w:pPr>
              <w:ind w:left="380"/>
              <w:spacing w:after="0"/>
              <w:rPr>
                <w:sz w:val="20"/>
                <w:szCs w:val="20"/>
                <w:color w:val="auto"/>
              </w:rPr>
            </w:pPr>
            <w:r>
              <w:rPr>
                <w:rFonts w:ascii="Arial" w:cs="Arial" w:eastAsia="Arial" w:hAnsi="Arial"/>
                <w:sz w:val="18"/>
                <w:szCs w:val="18"/>
                <w:color w:val="auto"/>
              </w:rPr>
              <w:t>Kazakhstan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Kennecott Utah Copper LLC</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United States</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KGHM Polska Miedz Spolka Akcyjna</w:t>
            </w:r>
          </w:p>
        </w:tc>
        <w:tc>
          <w:tcPr>
            <w:tcW w:w="2080" w:type="dxa"/>
            <w:vAlign w:val="bottom"/>
          </w:tcPr>
          <w:p>
            <w:pPr>
              <w:ind w:left="380"/>
              <w:spacing w:after="0"/>
              <w:rPr>
                <w:sz w:val="20"/>
                <w:szCs w:val="20"/>
                <w:color w:val="auto"/>
              </w:rPr>
            </w:pPr>
            <w:r>
              <w:rPr>
                <w:rFonts w:ascii="Arial" w:cs="Arial" w:eastAsia="Arial" w:hAnsi="Arial"/>
                <w:sz w:val="18"/>
                <w:szCs w:val="18"/>
                <w:color w:val="auto"/>
              </w:rPr>
              <w:t>Poland</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Kojima Chemicals Co., Ltd.</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Japan</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Korea Zinc Co., Ltd.</w:t>
            </w:r>
          </w:p>
        </w:tc>
        <w:tc>
          <w:tcPr>
            <w:tcW w:w="2080" w:type="dxa"/>
            <w:vAlign w:val="bottom"/>
          </w:tcPr>
          <w:p>
            <w:pPr>
              <w:ind w:left="380"/>
              <w:spacing w:after="0"/>
              <w:rPr>
                <w:sz w:val="20"/>
                <w:szCs w:val="20"/>
                <w:color w:val="auto"/>
              </w:rPr>
            </w:pPr>
            <w:r>
              <w:rPr>
                <w:rFonts w:ascii="Arial" w:cs="Arial" w:eastAsia="Arial" w:hAnsi="Arial"/>
                <w:sz w:val="18"/>
                <w:szCs w:val="18"/>
                <w:color w:val="auto"/>
              </w:rPr>
              <w:t>South Korea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Kyrgyzaltyn JSC</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Kyrgyzstan</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L'Orfebre S.A.</w:t>
            </w:r>
          </w:p>
        </w:tc>
        <w:tc>
          <w:tcPr>
            <w:tcW w:w="2080" w:type="dxa"/>
            <w:vAlign w:val="bottom"/>
          </w:tcPr>
          <w:p>
            <w:pPr>
              <w:ind w:left="380"/>
              <w:spacing w:after="0"/>
              <w:rPr>
                <w:sz w:val="20"/>
                <w:szCs w:val="20"/>
                <w:color w:val="auto"/>
              </w:rPr>
            </w:pPr>
            <w:r>
              <w:rPr>
                <w:rFonts w:ascii="Arial" w:cs="Arial" w:eastAsia="Arial" w:hAnsi="Arial"/>
                <w:sz w:val="18"/>
                <w:szCs w:val="18"/>
                <w:color w:val="auto"/>
              </w:rPr>
              <w:t>Andorra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LS-NIKKO Copper Inc.</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South Korea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LT Metal Ltd.</w:t>
            </w:r>
          </w:p>
        </w:tc>
        <w:tc>
          <w:tcPr>
            <w:tcW w:w="2080" w:type="dxa"/>
            <w:vAlign w:val="bottom"/>
          </w:tcPr>
          <w:p>
            <w:pPr>
              <w:ind w:left="380"/>
              <w:spacing w:after="0"/>
              <w:rPr>
                <w:sz w:val="20"/>
                <w:szCs w:val="20"/>
                <w:color w:val="auto"/>
              </w:rPr>
            </w:pPr>
            <w:r>
              <w:rPr>
                <w:rFonts w:ascii="Arial" w:cs="Arial" w:eastAsia="Arial" w:hAnsi="Arial"/>
                <w:sz w:val="18"/>
                <w:szCs w:val="18"/>
                <w:color w:val="auto"/>
              </w:rPr>
              <w:t>South Korea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Marsam Metals</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Brazil</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Materion</w:t>
            </w:r>
          </w:p>
        </w:tc>
        <w:tc>
          <w:tcPr>
            <w:tcW w:w="20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Matsuda Sangyo Co., Ltd.</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Japan</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Metalor Technologies (Hong Kong) Ltd.</w:t>
            </w:r>
          </w:p>
        </w:tc>
        <w:tc>
          <w:tcPr>
            <w:tcW w:w="2080" w:type="dxa"/>
            <w:vAlign w:val="bottom"/>
          </w:tcPr>
          <w:p>
            <w:pPr>
              <w:ind w:left="38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Metalor Technologies (Singapore) Pte., Ltd.</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Singapore</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Metalor Technologies (Suzhou) Ltd.</w:t>
            </w:r>
          </w:p>
        </w:tc>
        <w:tc>
          <w:tcPr>
            <w:tcW w:w="2080" w:type="dxa"/>
            <w:vAlign w:val="bottom"/>
          </w:tcPr>
          <w:p>
            <w:pPr>
              <w:ind w:left="38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Metalor Technologies S.A.</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Switzerland</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Metalor USA Refining Corporation</w:t>
            </w:r>
          </w:p>
        </w:tc>
        <w:tc>
          <w:tcPr>
            <w:tcW w:w="20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Metalurgica Met-Mex Penoles S.A. De C.V.</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Mexico</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Mitsubishi Materials Corporation</w:t>
            </w:r>
          </w:p>
        </w:tc>
        <w:tc>
          <w:tcPr>
            <w:tcW w:w="2080" w:type="dxa"/>
            <w:vAlign w:val="bottom"/>
          </w:tcPr>
          <w:p>
            <w:pPr>
              <w:ind w:left="380"/>
              <w:spacing w:after="0"/>
              <w:rPr>
                <w:sz w:val="20"/>
                <w:szCs w:val="20"/>
                <w:color w:val="auto"/>
              </w:rPr>
            </w:pPr>
            <w:r>
              <w:rPr>
                <w:rFonts w:ascii="Arial" w:cs="Arial" w:eastAsia="Arial" w:hAnsi="Arial"/>
                <w:sz w:val="18"/>
                <w:szCs w:val="18"/>
                <w:color w:val="auto"/>
              </w:rPr>
              <w:t>Japan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Mitsui Mining and Smelting Co., Ltd.</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Japan</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MMTC-PAMP India Pvt., Ltd.</w:t>
            </w:r>
          </w:p>
        </w:tc>
        <w:tc>
          <w:tcPr>
            <w:tcW w:w="2080" w:type="dxa"/>
            <w:vAlign w:val="bottom"/>
          </w:tcPr>
          <w:p>
            <w:pPr>
              <w:ind w:left="380"/>
              <w:spacing w:after="0"/>
              <w:rPr>
                <w:sz w:val="20"/>
                <w:szCs w:val="20"/>
                <w:color w:val="auto"/>
              </w:rPr>
            </w:pPr>
            <w:r>
              <w:rPr>
                <w:rFonts w:ascii="Arial" w:cs="Arial" w:eastAsia="Arial" w:hAnsi="Arial"/>
                <w:sz w:val="18"/>
                <w:szCs w:val="18"/>
                <w:color w:val="auto"/>
              </w:rPr>
              <w:t>India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Moscow Special Alloys Processing Plant</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Russia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Nadir Metal Rafineri San. Ve Tic. A.S.</w:t>
            </w:r>
          </w:p>
        </w:tc>
        <w:tc>
          <w:tcPr>
            <w:tcW w:w="2080" w:type="dxa"/>
            <w:vAlign w:val="bottom"/>
          </w:tcPr>
          <w:p>
            <w:pPr>
              <w:ind w:left="380"/>
              <w:spacing w:after="0"/>
              <w:rPr>
                <w:sz w:val="20"/>
                <w:szCs w:val="20"/>
                <w:color w:val="auto"/>
              </w:rPr>
            </w:pPr>
            <w:r>
              <w:rPr>
                <w:rFonts w:ascii="Arial" w:cs="Arial" w:eastAsia="Arial" w:hAnsi="Arial"/>
                <w:sz w:val="18"/>
                <w:szCs w:val="18"/>
                <w:color w:val="auto"/>
              </w:rPr>
              <w:t>Turkey</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Nihon Material Co., Ltd.</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Japan</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Ogussa Osterreichische Gold- und Silber-Scheideanstalt GmbH</w:t>
            </w:r>
          </w:p>
        </w:tc>
        <w:tc>
          <w:tcPr>
            <w:tcW w:w="2080" w:type="dxa"/>
            <w:vAlign w:val="bottom"/>
          </w:tcPr>
          <w:p>
            <w:pPr>
              <w:ind w:left="380"/>
              <w:spacing w:after="0"/>
              <w:rPr>
                <w:sz w:val="20"/>
                <w:szCs w:val="20"/>
                <w:color w:val="auto"/>
              </w:rPr>
            </w:pPr>
            <w:r>
              <w:rPr>
                <w:rFonts w:ascii="Arial" w:cs="Arial" w:eastAsia="Arial" w:hAnsi="Arial"/>
                <w:sz w:val="18"/>
                <w:szCs w:val="18"/>
                <w:color w:val="auto"/>
              </w:rPr>
              <w:t>Austria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188"/>
        </w:trPr>
        <w:tc>
          <w:tcPr>
            <w:tcW w:w="820" w:type="dxa"/>
            <w:vAlign w:val="bottom"/>
            <w:shd w:val="clear" w:color="auto" w:fill="D1D2D4"/>
          </w:tcPr>
          <w:p>
            <w:pPr>
              <w:spacing w:after="0"/>
              <w:rPr>
                <w:sz w:val="16"/>
                <w:szCs w:val="16"/>
                <w:color w:val="auto"/>
              </w:rPr>
            </w:pPr>
          </w:p>
        </w:tc>
        <w:tc>
          <w:tcPr>
            <w:tcW w:w="6100" w:type="dxa"/>
            <w:vAlign w:val="bottom"/>
            <w:shd w:val="clear" w:color="auto" w:fill="D1D2D4"/>
          </w:tcPr>
          <w:p>
            <w:pPr>
              <w:ind w:left="360"/>
              <w:spacing w:after="0" w:line="189" w:lineRule="exact"/>
              <w:rPr>
                <w:sz w:val="20"/>
                <w:szCs w:val="20"/>
                <w:color w:val="auto"/>
              </w:rPr>
            </w:pPr>
            <w:r>
              <w:rPr>
                <w:rFonts w:ascii="Arial" w:cs="Arial" w:eastAsia="Arial" w:hAnsi="Arial"/>
                <w:sz w:val="18"/>
                <w:szCs w:val="18"/>
                <w:color w:val="auto"/>
              </w:rPr>
              <w:t>OJSC "The Gulidov Krasnoyarsk Non-Ferrous Metals Plant" (OJSC</w:t>
            </w:r>
          </w:p>
        </w:tc>
        <w:tc>
          <w:tcPr>
            <w:tcW w:w="2080" w:type="dxa"/>
            <w:vAlign w:val="bottom"/>
            <w:shd w:val="clear" w:color="auto" w:fill="D1D2D4"/>
          </w:tcPr>
          <w:p>
            <w:pPr>
              <w:spacing w:after="0"/>
              <w:rPr>
                <w:sz w:val="16"/>
                <w:szCs w:val="16"/>
                <w:color w:val="auto"/>
              </w:rPr>
            </w:pPr>
          </w:p>
        </w:tc>
        <w:tc>
          <w:tcPr>
            <w:tcW w:w="2240" w:type="dxa"/>
            <w:vAlign w:val="bottom"/>
            <w:shd w:val="clear" w:color="auto" w:fill="D1D2D4"/>
          </w:tcPr>
          <w:p>
            <w:pPr>
              <w:spacing w:after="0"/>
              <w:rPr>
                <w:sz w:val="16"/>
                <w:szCs w:val="16"/>
                <w:color w:val="auto"/>
              </w:rPr>
            </w:pPr>
          </w:p>
        </w:tc>
      </w:tr>
      <w:tr>
        <w:trPr>
          <w:trHeight w:val="217"/>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Krastsvetmet)</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Russia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PAMP S.A.</w:t>
            </w:r>
          </w:p>
        </w:tc>
        <w:tc>
          <w:tcPr>
            <w:tcW w:w="2080" w:type="dxa"/>
            <w:vAlign w:val="bottom"/>
          </w:tcPr>
          <w:p>
            <w:pPr>
              <w:ind w:left="380"/>
              <w:spacing w:after="0"/>
              <w:rPr>
                <w:sz w:val="20"/>
                <w:szCs w:val="20"/>
                <w:color w:val="auto"/>
              </w:rPr>
            </w:pPr>
            <w:r>
              <w:rPr>
                <w:rFonts w:ascii="Arial" w:cs="Arial" w:eastAsia="Arial" w:hAnsi="Arial"/>
                <w:sz w:val="18"/>
                <w:szCs w:val="18"/>
                <w:color w:val="auto"/>
              </w:rPr>
              <w:t>Switzerland</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Planta Recuperadora de Metales SpA</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Chile</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Prioksky Plant of Non-Ferrous Metals</w:t>
            </w:r>
          </w:p>
        </w:tc>
        <w:tc>
          <w:tcPr>
            <w:tcW w:w="2080" w:type="dxa"/>
            <w:vAlign w:val="bottom"/>
          </w:tcPr>
          <w:p>
            <w:pPr>
              <w:ind w:left="380"/>
              <w:spacing w:after="0"/>
              <w:rPr>
                <w:sz w:val="20"/>
                <w:szCs w:val="20"/>
                <w:color w:val="auto"/>
              </w:rPr>
            </w:pPr>
            <w:r>
              <w:rPr>
                <w:rFonts w:ascii="Arial" w:cs="Arial" w:eastAsia="Arial" w:hAnsi="Arial"/>
                <w:sz w:val="18"/>
                <w:szCs w:val="18"/>
                <w:color w:val="auto"/>
              </w:rPr>
              <w:t>Russia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PT Aneka Tambang (Persero) Tbk</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Indonesia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color w:val="auto"/>
              </w:rPr>
              <w:t>Gold</w:t>
            </w:r>
          </w:p>
        </w:tc>
        <w:tc>
          <w:tcPr>
            <w:tcW w:w="6100" w:type="dxa"/>
            <w:vAlign w:val="bottom"/>
          </w:tcPr>
          <w:p>
            <w:pPr>
              <w:ind w:left="360"/>
              <w:spacing w:after="0"/>
              <w:rPr>
                <w:sz w:val="20"/>
                <w:szCs w:val="20"/>
                <w:color w:val="auto"/>
              </w:rPr>
            </w:pPr>
            <w:r>
              <w:rPr>
                <w:rFonts w:ascii="Arial" w:cs="Arial" w:eastAsia="Arial" w:hAnsi="Arial"/>
                <w:sz w:val="18"/>
                <w:szCs w:val="18"/>
                <w:color w:val="auto"/>
              </w:rPr>
              <w:t>PX Precinox S.A.</w:t>
            </w:r>
          </w:p>
        </w:tc>
        <w:tc>
          <w:tcPr>
            <w:tcW w:w="2080" w:type="dxa"/>
            <w:vAlign w:val="bottom"/>
          </w:tcPr>
          <w:p>
            <w:pPr>
              <w:ind w:left="380"/>
              <w:spacing w:after="0"/>
              <w:rPr>
                <w:sz w:val="20"/>
                <w:szCs w:val="20"/>
                <w:color w:val="auto"/>
              </w:rPr>
            </w:pPr>
            <w:r>
              <w:rPr>
                <w:rFonts w:ascii="Arial" w:cs="Arial" w:eastAsia="Arial" w:hAnsi="Arial"/>
                <w:sz w:val="18"/>
                <w:szCs w:val="18"/>
                <w:color w:val="auto"/>
              </w:rPr>
              <w:t>Switzerland</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61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Rand Refinery (Pty) Ltd.</w:t>
            </w:r>
          </w:p>
        </w:tc>
        <w:tc>
          <w:tcPr>
            <w:tcW w:w="2080" w:type="dxa"/>
            <w:vAlign w:val="bottom"/>
            <w:shd w:val="clear" w:color="auto" w:fill="D1D2D4"/>
          </w:tcPr>
          <w:p>
            <w:pPr>
              <w:ind w:left="380"/>
              <w:spacing w:after="0"/>
              <w:rPr>
                <w:sz w:val="20"/>
                <w:szCs w:val="20"/>
                <w:color w:val="auto"/>
              </w:rPr>
            </w:pPr>
            <w:r>
              <w:rPr>
                <w:rFonts w:ascii="Arial" w:cs="Arial" w:eastAsia="Arial" w:hAnsi="Arial"/>
                <w:sz w:val="18"/>
                <w:szCs w:val="18"/>
                <w:color w:val="auto"/>
              </w:rPr>
              <w:t>South Africa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540" w:type="dxa"/>
            <w:vAlign w:val="bottom"/>
            <w:tcBorders>
              <w:bottom w:val="single" w:sz="8" w:color="0090DA"/>
            </w:tcBorders>
          </w:tcPr>
          <w:p>
            <w:pPr>
              <w:ind w:left="220"/>
              <w:spacing w:after="0"/>
              <w:rPr>
                <w:sz w:val="20"/>
                <w:szCs w:val="20"/>
                <w:color w:val="auto"/>
              </w:rPr>
            </w:pPr>
            <w:r>
              <w:rPr>
                <w:rFonts w:ascii="Arial" w:cs="Arial" w:eastAsia="Arial" w:hAnsi="Arial"/>
                <w:sz w:val="18"/>
                <w:szCs w:val="18"/>
                <w:b w:val="1"/>
                <w:bCs w:val="1"/>
                <w:color w:val="auto"/>
              </w:rPr>
              <w:t>Smelter or Refinery Name</w:t>
            </w:r>
          </w:p>
        </w:tc>
        <w:tc>
          <w:tcPr>
            <w:tcW w:w="2500" w:type="dxa"/>
            <w:vAlign w:val="bottom"/>
            <w:tcBorders>
              <w:bottom w:val="single" w:sz="8" w:color="0090DA"/>
            </w:tcBorders>
          </w:tcPr>
          <w:p>
            <w:pPr>
              <w:ind w:left="800"/>
              <w:spacing w:after="0"/>
              <w:rPr>
                <w:sz w:val="20"/>
                <w:szCs w:val="20"/>
                <w:color w:val="auto"/>
              </w:rPr>
            </w:pPr>
            <w:r>
              <w:rPr>
                <w:rFonts w:ascii="Arial" w:cs="Arial" w:eastAsia="Arial" w:hAnsi="Arial"/>
                <w:sz w:val="18"/>
                <w:szCs w:val="18"/>
                <w:b w:val="1"/>
                <w:bCs w:val="1"/>
                <w:color w:val="auto"/>
              </w:rPr>
              <w:t>Location</w:t>
            </w:r>
          </w:p>
        </w:tc>
        <w:tc>
          <w:tcPr>
            <w:tcW w:w="2240" w:type="dxa"/>
            <w:vAlign w:val="bottom"/>
            <w:tcBorders>
              <w:bottom w:val="single" w:sz="8" w:color="0090DA"/>
            </w:tcBorders>
          </w:tcPr>
          <w:p>
            <w:pPr>
              <w:ind w:left="600"/>
              <w:spacing w:after="0"/>
              <w:rPr>
                <w:sz w:val="20"/>
                <w:szCs w:val="20"/>
                <w:color w:val="auto"/>
              </w:rPr>
            </w:pPr>
            <w:r>
              <w:rPr>
                <w:rFonts w:ascii="Arial" w:cs="Arial" w:eastAsia="Arial" w:hAnsi="Arial"/>
                <w:sz w:val="18"/>
                <w:szCs w:val="18"/>
                <w:b w:val="1"/>
                <w:bCs w:val="1"/>
                <w:color w:val="auto"/>
              </w:rPr>
              <w:t>Status</w:t>
            </w:r>
          </w:p>
        </w:tc>
      </w:tr>
      <w:tr>
        <w:trPr>
          <w:trHeight w:val="263"/>
        </w:trPr>
        <w:tc>
          <w:tcPr>
            <w:tcW w:w="960" w:type="dxa"/>
            <w:vAlign w:val="bottom"/>
          </w:tcPr>
          <w:p>
            <w:pPr>
              <w:ind w:left="20"/>
              <w:spacing w:after="0"/>
              <w:rPr>
                <w:sz w:val="20"/>
                <w:szCs w:val="20"/>
                <w:color w:val="auto"/>
              </w:rPr>
            </w:pPr>
            <w:r>
              <w:rPr>
                <w:rFonts w:ascii="Arial" w:cs="Arial" w:eastAsia="Arial" w:hAnsi="Arial"/>
                <w:sz w:val="18"/>
                <w:szCs w:val="18"/>
                <w:color w:val="auto"/>
              </w:rPr>
              <w:t>Gold</w:t>
            </w:r>
          </w:p>
        </w:tc>
        <w:tc>
          <w:tcPr>
            <w:tcW w:w="5540" w:type="dxa"/>
            <w:vAlign w:val="bottom"/>
          </w:tcPr>
          <w:p>
            <w:pPr>
              <w:ind w:left="220"/>
              <w:spacing w:after="0"/>
              <w:rPr>
                <w:sz w:val="20"/>
                <w:szCs w:val="20"/>
                <w:color w:val="auto"/>
              </w:rPr>
            </w:pPr>
            <w:r>
              <w:rPr>
                <w:rFonts w:ascii="Arial" w:cs="Arial" w:eastAsia="Arial" w:hAnsi="Arial"/>
                <w:sz w:val="18"/>
                <w:szCs w:val="18"/>
                <w:color w:val="auto"/>
              </w:rPr>
              <w:t>Royal Canadian Mint</w:t>
            </w:r>
          </w:p>
        </w:tc>
        <w:tc>
          <w:tcPr>
            <w:tcW w:w="2500" w:type="dxa"/>
            <w:vAlign w:val="bottom"/>
          </w:tcPr>
          <w:p>
            <w:pPr>
              <w:ind w:left="800"/>
              <w:spacing w:after="0"/>
              <w:rPr>
                <w:sz w:val="20"/>
                <w:szCs w:val="20"/>
                <w:color w:val="auto"/>
              </w:rPr>
            </w:pPr>
            <w:r>
              <w:rPr>
                <w:rFonts w:ascii="Arial" w:cs="Arial" w:eastAsia="Arial" w:hAnsi="Arial"/>
                <w:sz w:val="18"/>
                <w:szCs w:val="18"/>
                <w:color w:val="auto"/>
              </w:rPr>
              <w:t>Canada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SAAMP</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France</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Gold</w:t>
            </w:r>
          </w:p>
        </w:tc>
        <w:tc>
          <w:tcPr>
            <w:tcW w:w="5540" w:type="dxa"/>
            <w:vAlign w:val="bottom"/>
          </w:tcPr>
          <w:p>
            <w:pPr>
              <w:ind w:left="220"/>
              <w:spacing w:after="0"/>
              <w:rPr>
                <w:sz w:val="20"/>
                <w:szCs w:val="20"/>
                <w:color w:val="auto"/>
              </w:rPr>
            </w:pPr>
            <w:r>
              <w:rPr>
                <w:rFonts w:ascii="Arial" w:cs="Arial" w:eastAsia="Arial" w:hAnsi="Arial"/>
                <w:sz w:val="18"/>
                <w:szCs w:val="18"/>
                <w:color w:val="auto"/>
              </w:rPr>
              <w:t>Safimet S.p.A</w:t>
            </w:r>
          </w:p>
        </w:tc>
        <w:tc>
          <w:tcPr>
            <w:tcW w:w="2500" w:type="dxa"/>
            <w:vAlign w:val="bottom"/>
          </w:tcPr>
          <w:p>
            <w:pPr>
              <w:ind w:left="800"/>
              <w:spacing w:after="0"/>
              <w:rPr>
                <w:sz w:val="20"/>
                <w:szCs w:val="20"/>
                <w:color w:val="auto"/>
              </w:rPr>
            </w:pPr>
            <w:r>
              <w:rPr>
                <w:rFonts w:ascii="Arial" w:cs="Arial" w:eastAsia="Arial" w:hAnsi="Arial"/>
                <w:sz w:val="18"/>
                <w:szCs w:val="18"/>
                <w:color w:val="auto"/>
              </w:rPr>
              <w:t>Italy</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SAXONIA Edelmetalle GmbH</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Germany</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Gold</w:t>
            </w:r>
          </w:p>
        </w:tc>
        <w:tc>
          <w:tcPr>
            <w:tcW w:w="5540" w:type="dxa"/>
            <w:vAlign w:val="bottom"/>
          </w:tcPr>
          <w:p>
            <w:pPr>
              <w:ind w:left="220"/>
              <w:spacing w:after="0"/>
              <w:rPr>
                <w:sz w:val="20"/>
                <w:szCs w:val="20"/>
                <w:color w:val="auto"/>
              </w:rPr>
            </w:pPr>
            <w:r>
              <w:rPr>
                <w:rFonts w:ascii="Arial" w:cs="Arial" w:eastAsia="Arial" w:hAnsi="Arial"/>
                <w:sz w:val="18"/>
                <w:szCs w:val="18"/>
                <w:color w:val="auto"/>
              </w:rPr>
              <w:t>SEMPSA Joyeria Plateria S.A.</w:t>
            </w:r>
          </w:p>
        </w:tc>
        <w:tc>
          <w:tcPr>
            <w:tcW w:w="2500" w:type="dxa"/>
            <w:vAlign w:val="bottom"/>
          </w:tcPr>
          <w:p>
            <w:pPr>
              <w:ind w:left="800"/>
              <w:spacing w:after="0"/>
              <w:rPr>
                <w:sz w:val="20"/>
                <w:szCs w:val="20"/>
                <w:color w:val="auto"/>
              </w:rPr>
            </w:pPr>
            <w:r>
              <w:rPr>
                <w:rFonts w:ascii="Arial" w:cs="Arial" w:eastAsia="Arial" w:hAnsi="Arial"/>
                <w:sz w:val="18"/>
                <w:szCs w:val="18"/>
                <w:color w:val="auto"/>
              </w:rPr>
              <w:t>Spain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Shandong Gold Smelting Co., Ltd.</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Gold</w:t>
            </w:r>
          </w:p>
        </w:tc>
        <w:tc>
          <w:tcPr>
            <w:tcW w:w="5540" w:type="dxa"/>
            <w:vAlign w:val="bottom"/>
          </w:tcPr>
          <w:p>
            <w:pPr>
              <w:ind w:left="220"/>
              <w:spacing w:after="0"/>
              <w:rPr>
                <w:sz w:val="20"/>
                <w:szCs w:val="20"/>
                <w:color w:val="auto"/>
              </w:rPr>
            </w:pPr>
            <w:r>
              <w:rPr>
                <w:rFonts w:ascii="Arial" w:cs="Arial" w:eastAsia="Arial" w:hAnsi="Arial"/>
                <w:sz w:val="18"/>
                <w:szCs w:val="18"/>
                <w:color w:val="auto"/>
              </w:rPr>
              <w:t>Shandong Zhaojin Gold &amp; Silver Refinery Co., Ltd.</w:t>
            </w:r>
          </w:p>
        </w:tc>
        <w:tc>
          <w:tcPr>
            <w:tcW w:w="2500" w:type="dxa"/>
            <w:vAlign w:val="bottom"/>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Sichuan Tianze Precious Metals Co., Ltd.</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Gold</w:t>
            </w:r>
          </w:p>
        </w:tc>
        <w:tc>
          <w:tcPr>
            <w:tcW w:w="5540" w:type="dxa"/>
            <w:vAlign w:val="bottom"/>
          </w:tcPr>
          <w:p>
            <w:pPr>
              <w:ind w:left="220"/>
              <w:spacing w:after="0"/>
              <w:rPr>
                <w:sz w:val="20"/>
                <w:szCs w:val="20"/>
                <w:color w:val="auto"/>
              </w:rPr>
            </w:pPr>
            <w:r>
              <w:rPr>
                <w:rFonts w:ascii="Arial" w:cs="Arial" w:eastAsia="Arial" w:hAnsi="Arial"/>
                <w:sz w:val="18"/>
                <w:szCs w:val="18"/>
                <w:color w:val="auto"/>
              </w:rPr>
              <w:t>Singway Technology Co., Ltd.</w:t>
            </w:r>
          </w:p>
        </w:tc>
        <w:tc>
          <w:tcPr>
            <w:tcW w:w="2500" w:type="dxa"/>
            <w:vAlign w:val="bottom"/>
          </w:tcPr>
          <w:p>
            <w:pPr>
              <w:ind w:left="800"/>
              <w:spacing w:after="0"/>
              <w:rPr>
                <w:sz w:val="20"/>
                <w:szCs w:val="20"/>
                <w:color w:val="auto"/>
              </w:rPr>
            </w:pPr>
            <w:r>
              <w:rPr>
                <w:rFonts w:ascii="Arial" w:cs="Arial" w:eastAsia="Arial" w:hAnsi="Arial"/>
                <w:sz w:val="18"/>
                <w:szCs w:val="18"/>
                <w:color w:val="auto"/>
              </w:rPr>
              <w:t>Taiwan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SOE Shyolkovsky Factory of Secondary Precious Metals</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Russia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Gold</w:t>
            </w:r>
          </w:p>
        </w:tc>
        <w:tc>
          <w:tcPr>
            <w:tcW w:w="5540" w:type="dxa"/>
            <w:vAlign w:val="bottom"/>
          </w:tcPr>
          <w:p>
            <w:pPr>
              <w:ind w:left="220"/>
              <w:spacing w:after="0"/>
              <w:rPr>
                <w:sz w:val="20"/>
                <w:szCs w:val="20"/>
                <w:color w:val="auto"/>
              </w:rPr>
            </w:pPr>
            <w:r>
              <w:rPr>
                <w:rFonts w:ascii="Arial" w:cs="Arial" w:eastAsia="Arial" w:hAnsi="Arial"/>
                <w:sz w:val="18"/>
                <w:szCs w:val="18"/>
                <w:color w:val="auto"/>
              </w:rPr>
              <w:t>Solar Applied Materials Technology Corp.</w:t>
            </w:r>
          </w:p>
        </w:tc>
        <w:tc>
          <w:tcPr>
            <w:tcW w:w="2500" w:type="dxa"/>
            <w:vAlign w:val="bottom"/>
          </w:tcPr>
          <w:p>
            <w:pPr>
              <w:ind w:left="800"/>
              <w:spacing w:after="0"/>
              <w:rPr>
                <w:sz w:val="20"/>
                <w:szCs w:val="20"/>
                <w:color w:val="auto"/>
              </w:rPr>
            </w:pPr>
            <w:r>
              <w:rPr>
                <w:rFonts w:ascii="Arial" w:cs="Arial" w:eastAsia="Arial" w:hAnsi="Arial"/>
                <w:sz w:val="18"/>
                <w:szCs w:val="18"/>
                <w:color w:val="auto"/>
              </w:rPr>
              <w:t>Taiwan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Sumitomo Metal Mining Co., Ltd.</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Japan</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Gold</w:t>
            </w:r>
          </w:p>
        </w:tc>
        <w:tc>
          <w:tcPr>
            <w:tcW w:w="5540" w:type="dxa"/>
            <w:vAlign w:val="bottom"/>
          </w:tcPr>
          <w:p>
            <w:pPr>
              <w:ind w:left="220"/>
              <w:spacing w:after="0"/>
              <w:rPr>
                <w:sz w:val="20"/>
                <w:szCs w:val="20"/>
                <w:color w:val="auto"/>
              </w:rPr>
            </w:pPr>
            <w:r>
              <w:rPr>
                <w:rFonts w:ascii="Arial" w:cs="Arial" w:eastAsia="Arial" w:hAnsi="Arial"/>
                <w:sz w:val="18"/>
                <w:szCs w:val="18"/>
                <w:color w:val="auto"/>
              </w:rPr>
              <w:t>T.C.A S.p.A</w:t>
            </w:r>
          </w:p>
        </w:tc>
        <w:tc>
          <w:tcPr>
            <w:tcW w:w="2500" w:type="dxa"/>
            <w:vAlign w:val="bottom"/>
          </w:tcPr>
          <w:p>
            <w:pPr>
              <w:ind w:left="800"/>
              <w:spacing w:after="0"/>
              <w:rPr>
                <w:sz w:val="20"/>
                <w:szCs w:val="20"/>
                <w:color w:val="auto"/>
              </w:rPr>
            </w:pPr>
            <w:r>
              <w:rPr>
                <w:rFonts w:ascii="Arial" w:cs="Arial" w:eastAsia="Arial" w:hAnsi="Arial"/>
                <w:sz w:val="18"/>
                <w:szCs w:val="18"/>
                <w:color w:val="auto"/>
              </w:rPr>
              <w:t>Italy</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Tanaka Kikinzoku Kogyo K.K.</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Japan</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Gold</w:t>
            </w:r>
          </w:p>
        </w:tc>
        <w:tc>
          <w:tcPr>
            <w:tcW w:w="5540" w:type="dxa"/>
            <w:vAlign w:val="bottom"/>
          </w:tcPr>
          <w:p>
            <w:pPr>
              <w:ind w:left="220"/>
              <w:spacing w:after="0"/>
              <w:rPr>
                <w:sz w:val="20"/>
                <w:szCs w:val="20"/>
                <w:color w:val="auto"/>
              </w:rPr>
            </w:pPr>
            <w:r>
              <w:rPr>
                <w:rFonts w:ascii="Arial" w:cs="Arial" w:eastAsia="Arial" w:hAnsi="Arial"/>
                <w:sz w:val="18"/>
                <w:szCs w:val="18"/>
                <w:color w:val="auto"/>
              </w:rPr>
              <w:t>Tokuriki Honten Co., Ltd.</w:t>
            </w:r>
          </w:p>
        </w:tc>
        <w:tc>
          <w:tcPr>
            <w:tcW w:w="2500" w:type="dxa"/>
            <w:vAlign w:val="bottom"/>
          </w:tcPr>
          <w:p>
            <w:pPr>
              <w:ind w:left="800"/>
              <w:spacing w:after="0"/>
              <w:rPr>
                <w:sz w:val="20"/>
                <w:szCs w:val="20"/>
                <w:color w:val="auto"/>
              </w:rPr>
            </w:pPr>
            <w:r>
              <w:rPr>
                <w:rFonts w:ascii="Arial" w:cs="Arial" w:eastAsia="Arial" w:hAnsi="Arial"/>
                <w:sz w:val="18"/>
                <w:szCs w:val="18"/>
                <w:color w:val="auto"/>
              </w:rPr>
              <w:t>Japan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Umicore Brasil Ltda.*</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Brazil</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Not Applicable</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Gold</w:t>
            </w:r>
          </w:p>
        </w:tc>
        <w:tc>
          <w:tcPr>
            <w:tcW w:w="5540" w:type="dxa"/>
            <w:vAlign w:val="bottom"/>
          </w:tcPr>
          <w:p>
            <w:pPr>
              <w:ind w:left="220"/>
              <w:spacing w:after="0"/>
              <w:rPr>
                <w:sz w:val="20"/>
                <w:szCs w:val="20"/>
                <w:color w:val="auto"/>
              </w:rPr>
            </w:pPr>
            <w:r>
              <w:rPr>
                <w:rFonts w:ascii="Arial" w:cs="Arial" w:eastAsia="Arial" w:hAnsi="Arial"/>
                <w:sz w:val="18"/>
                <w:szCs w:val="18"/>
                <w:color w:val="auto"/>
              </w:rPr>
              <w:t>Umicore Precious Metals Thailand</w:t>
            </w:r>
          </w:p>
        </w:tc>
        <w:tc>
          <w:tcPr>
            <w:tcW w:w="2500" w:type="dxa"/>
            <w:vAlign w:val="bottom"/>
          </w:tcPr>
          <w:p>
            <w:pPr>
              <w:ind w:left="800"/>
              <w:spacing w:after="0"/>
              <w:rPr>
                <w:sz w:val="20"/>
                <w:szCs w:val="20"/>
                <w:color w:val="auto"/>
              </w:rPr>
            </w:pPr>
            <w:r>
              <w:rPr>
                <w:rFonts w:ascii="Arial" w:cs="Arial" w:eastAsia="Arial" w:hAnsi="Arial"/>
                <w:sz w:val="18"/>
                <w:szCs w:val="18"/>
                <w:color w:val="auto"/>
              </w:rPr>
              <w:t>Thailand</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Umicore S.A. Business Unit Precious Metals Refining</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Belgium</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Gold</w:t>
            </w:r>
          </w:p>
        </w:tc>
        <w:tc>
          <w:tcPr>
            <w:tcW w:w="5540" w:type="dxa"/>
            <w:vAlign w:val="bottom"/>
          </w:tcPr>
          <w:p>
            <w:pPr>
              <w:ind w:left="220"/>
              <w:spacing w:after="0"/>
              <w:rPr>
                <w:sz w:val="20"/>
                <w:szCs w:val="20"/>
                <w:color w:val="auto"/>
              </w:rPr>
            </w:pPr>
            <w:r>
              <w:rPr>
                <w:rFonts w:ascii="Arial" w:cs="Arial" w:eastAsia="Arial" w:hAnsi="Arial"/>
                <w:sz w:val="18"/>
                <w:szCs w:val="18"/>
                <w:color w:val="auto"/>
              </w:rPr>
              <w:t>United Precious Metal Refining, Inc.</w:t>
            </w:r>
          </w:p>
        </w:tc>
        <w:tc>
          <w:tcPr>
            <w:tcW w:w="250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Valcambi S.A.</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Switzerland</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Gold</w:t>
            </w:r>
          </w:p>
        </w:tc>
        <w:tc>
          <w:tcPr>
            <w:tcW w:w="5540" w:type="dxa"/>
            <w:vAlign w:val="bottom"/>
          </w:tcPr>
          <w:p>
            <w:pPr>
              <w:ind w:left="220"/>
              <w:spacing w:after="0"/>
              <w:rPr>
                <w:sz w:val="20"/>
                <w:szCs w:val="20"/>
                <w:color w:val="auto"/>
              </w:rPr>
            </w:pPr>
            <w:r>
              <w:rPr>
                <w:rFonts w:ascii="Arial" w:cs="Arial" w:eastAsia="Arial" w:hAnsi="Arial"/>
                <w:sz w:val="18"/>
                <w:szCs w:val="18"/>
                <w:color w:val="auto"/>
              </w:rPr>
              <w:t>Western Australian Mint (T/a The Perth Mint)</w:t>
            </w:r>
          </w:p>
        </w:tc>
        <w:tc>
          <w:tcPr>
            <w:tcW w:w="2500" w:type="dxa"/>
            <w:vAlign w:val="bottom"/>
          </w:tcPr>
          <w:p>
            <w:pPr>
              <w:ind w:left="800"/>
              <w:spacing w:after="0"/>
              <w:rPr>
                <w:sz w:val="20"/>
                <w:szCs w:val="20"/>
                <w:color w:val="auto"/>
              </w:rPr>
            </w:pPr>
            <w:r>
              <w:rPr>
                <w:rFonts w:ascii="Arial" w:cs="Arial" w:eastAsia="Arial" w:hAnsi="Arial"/>
                <w:sz w:val="18"/>
                <w:szCs w:val="18"/>
                <w:color w:val="auto"/>
              </w:rPr>
              <w:t>Australia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WIELAND Edelmetalle GmbH</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Germany</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Gold</w:t>
            </w:r>
          </w:p>
        </w:tc>
        <w:tc>
          <w:tcPr>
            <w:tcW w:w="5540" w:type="dxa"/>
            <w:vAlign w:val="bottom"/>
          </w:tcPr>
          <w:p>
            <w:pPr>
              <w:ind w:left="220"/>
              <w:spacing w:after="0"/>
              <w:rPr>
                <w:sz w:val="20"/>
                <w:szCs w:val="20"/>
                <w:color w:val="auto"/>
              </w:rPr>
            </w:pPr>
            <w:r>
              <w:rPr>
                <w:rFonts w:ascii="Arial" w:cs="Arial" w:eastAsia="Arial" w:hAnsi="Arial"/>
                <w:sz w:val="18"/>
                <w:szCs w:val="18"/>
                <w:color w:val="auto"/>
              </w:rPr>
              <w:t>Yamakin Co., Ltd.</w:t>
            </w:r>
          </w:p>
        </w:tc>
        <w:tc>
          <w:tcPr>
            <w:tcW w:w="2500" w:type="dxa"/>
            <w:vAlign w:val="bottom"/>
          </w:tcPr>
          <w:p>
            <w:pPr>
              <w:ind w:left="800"/>
              <w:spacing w:after="0"/>
              <w:rPr>
                <w:sz w:val="20"/>
                <w:szCs w:val="20"/>
                <w:color w:val="auto"/>
              </w:rPr>
            </w:pPr>
            <w:r>
              <w:rPr>
                <w:rFonts w:ascii="Arial" w:cs="Arial" w:eastAsia="Arial" w:hAnsi="Arial"/>
                <w:sz w:val="18"/>
                <w:szCs w:val="18"/>
                <w:color w:val="auto"/>
              </w:rPr>
              <w:t>Japan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Gold</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Zhongyuan Gold Smelter of Zhongjin Gold Corporation</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tcPr>
          <w:p>
            <w:pPr>
              <w:ind w:left="220"/>
              <w:spacing w:after="0"/>
              <w:rPr>
                <w:sz w:val="20"/>
                <w:szCs w:val="20"/>
                <w:color w:val="auto"/>
              </w:rPr>
            </w:pPr>
            <w:r>
              <w:rPr>
                <w:rFonts w:ascii="Arial" w:cs="Arial" w:eastAsia="Arial" w:hAnsi="Arial"/>
                <w:sz w:val="18"/>
                <w:szCs w:val="18"/>
                <w:color w:val="auto"/>
              </w:rPr>
              <w:t>Asaka Riken Co., Ltd.</w:t>
            </w:r>
          </w:p>
        </w:tc>
        <w:tc>
          <w:tcPr>
            <w:tcW w:w="2500" w:type="dxa"/>
            <w:vAlign w:val="bottom"/>
          </w:tcPr>
          <w:p>
            <w:pPr>
              <w:ind w:left="800"/>
              <w:spacing w:after="0"/>
              <w:rPr>
                <w:sz w:val="20"/>
                <w:szCs w:val="20"/>
                <w:color w:val="auto"/>
              </w:rPr>
            </w:pPr>
            <w:r>
              <w:rPr>
                <w:rFonts w:ascii="Arial" w:cs="Arial" w:eastAsia="Arial" w:hAnsi="Arial"/>
                <w:sz w:val="18"/>
                <w:szCs w:val="18"/>
                <w:color w:val="auto"/>
              </w:rPr>
              <w:t>Japan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Changsha South Tantalum Niobium Co., Ltd.</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tcPr>
          <w:p>
            <w:pPr>
              <w:ind w:left="220"/>
              <w:spacing w:after="0"/>
              <w:rPr>
                <w:sz w:val="20"/>
                <w:szCs w:val="20"/>
                <w:color w:val="auto"/>
              </w:rPr>
            </w:pPr>
            <w:r>
              <w:rPr>
                <w:rFonts w:ascii="Arial" w:cs="Arial" w:eastAsia="Arial" w:hAnsi="Arial"/>
                <w:sz w:val="18"/>
                <w:szCs w:val="18"/>
                <w:color w:val="auto"/>
              </w:rPr>
              <w:t>D Block Metals, LLC</w:t>
            </w:r>
          </w:p>
        </w:tc>
        <w:tc>
          <w:tcPr>
            <w:tcW w:w="250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Exotech Inc.</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United States</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tcPr>
          <w:p>
            <w:pPr>
              <w:ind w:left="220"/>
              <w:spacing w:after="0"/>
              <w:rPr>
                <w:sz w:val="20"/>
                <w:szCs w:val="20"/>
                <w:color w:val="auto"/>
              </w:rPr>
            </w:pPr>
            <w:r>
              <w:rPr>
                <w:rFonts w:ascii="Arial" w:cs="Arial" w:eastAsia="Arial" w:hAnsi="Arial"/>
                <w:sz w:val="18"/>
                <w:szCs w:val="18"/>
                <w:color w:val="auto"/>
              </w:rPr>
              <w:t>F&amp;X Electro-Materials Ltd.</w:t>
            </w:r>
          </w:p>
        </w:tc>
        <w:tc>
          <w:tcPr>
            <w:tcW w:w="2500" w:type="dxa"/>
            <w:vAlign w:val="bottom"/>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FIR Metals &amp; Resource Ltd.</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tcPr>
          <w:p>
            <w:pPr>
              <w:ind w:left="220"/>
              <w:spacing w:after="0"/>
              <w:rPr>
                <w:sz w:val="20"/>
                <w:szCs w:val="20"/>
                <w:color w:val="auto"/>
              </w:rPr>
            </w:pPr>
            <w:r>
              <w:rPr>
                <w:rFonts w:ascii="Arial" w:cs="Arial" w:eastAsia="Arial" w:hAnsi="Arial"/>
                <w:sz w:val="18"/>
                <w:szCs w:val="18"/>
                <w:color w:val="auto"/>
              </w:rPr>
              <w:t>Global Advanced Metals Aizu</w:t>
            </w:r>
          </w:p>
        </w:tc>
        <w:tc>
          <w:tcPr>
            <w:tcW w:w="2500" w:type="dxa"/>
            <w:vAlign w:val="bottom"/>
          </w:tcPr>
          <w:p>
            <w:pPr>
              <w:ind w:left="800"/>
              <w:spacing w:after="0"/>
              <w:rPr>
                <w:sz w:val="20"/>
                <w:szCs w:val="20"/>
                <w:color w:val="auto"/>
              </w:rPr>
            </w:pPr>
            <w:r>
              <w:rPr>
                <w:rFonts w:ascii="Arial" w:cs="Arial" w:eastAsia="Arial" w:hAnsi="Arial"/>
                <w:sz w:val="18"/>
                <w:szCs w:val="18"/>
                <w:color w:val="auto"/>
              </w:rPr>
              <w:t>Japan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Global Advanced Metals Boyertown</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United States</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tcPr>
          <w:p>
            <w:pPr>
              <w:ind w:left="220"/>
              <w:spacing w:after="0"/>
              <w:rPr>
                <w:sz w:val="20"/>
                <w:szCs w:val="20"/>
                <w:color w:val="auto"/>
              </w:rPr>
            </w:pPr>
            <w:r>
              <w:rPr>
                <w:rFonts w:ascii="Arial" w:cs="Arial" w:eastAsia="Arial" w:hAnsi="Arial"/>
                <w:sz w:val="18"/>
                <w:szCs w:val="18"/>
                <w:color w:val="auto"/>
              </w:rPr>
              <w:t>H.C. Starck Hermsdorf GmbH</w:t>
            </w:r>
          </w:p>
        </w:tc>
        <w:tc>
          <w:tcPr>
            <w:tcW w:w="2500" w:type="dxa"/>
            <w:vAlign w:val="bottom"/>
          </w:tcPr>
          <w:p>
            <w:pPr>
              <w:ind w:left="800"/>
              <w:spacing w:after="0"/>
              <w:rPr>
                <w:sz w:val="20"/>
                <w:szCs w:val="20"/>
                <w:color w:val="auto"/>
              </w:rPr>
            </w:pPr>
            <w:r>
              <w:rPr>
                <w:rFonts w:ascii="Arial" w:cs="Arial" w:eastAsia="Arial" w:hAnsi="Arial"/>
                <w:sz w:val="18"/>
                <w:szCs w:val="18"/>
                <w:color w:val="auto"/>
              </w:rPr>
              <w:t>Germany</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H.C. Starck Inc.</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United States</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tcPr>
          <w:p>
            <w:pPr>
              <w:ind w:left="220"/>
              <w:spacing w:after="0"/>
              <w:rPr>
                <w:sz w:val="20"/>
                <w:szCs w:val="20"/>
                <w:color w:val="auto"/>
              </w:rPr>
            </w:pPr>
            <w:r>
              <w:rPr>
                <w:rFonts w:ascii="Arial" w:cs="Arial" w:eastAsia="Arial" w:hAnsi="Arial"/>
                <w:sz w:val="18"/>
                <w:szCs w:val="18"/>
                <w:color w:val="auto"/>
              </w:rPr>
              <w:t>Hengyang King Xing Lifeng New Materials Co., Ltd.</w:t>
            </w:r>
          </w:p>
        </w:tc>
        <w:tc>
          <w:tcPr>
            <w:tcW w:w="2500" w:type="dxa"/>
            <w:vAlign w:val="bottom"/>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Jiangxi Dinghai Tantalum &amp; Niobium Co., Ltd.</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tcPr>
          <w:p>
            <w:pPr>
              <w:ind w:left="220"/>
              <w:spacing w:after="0"/>
              <w:rPr>
                <w:sz w:val="20"/>
                <w:szCs w:val="20"/>
                <w:color w:val="auto"/>
              </w:rPr>
            </w:pPr>
            <w:r>
              <w:rPr>
                <w:rFonts w:ascii="Arial" w:cs="Arial" w:eastAsia="Arial" w:hAnsi="Arial"/>
                <w:sz w:val="18"/>
                <w:szCs w:val="18"/>
                <w:color w:val="auto"/>
              </w:rPr>
              <w:t>Jiangxi Tuohong New Raw Material</w:t>
            </w:r>
          </w:p>
        </w:tc>
        <w:tc>
          <w:tcPr>
            <w:tcW w:w="2500" w:type="dxa"/>
            <w:vAlign w:val="bottom"/>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JiuJiang JinXin Nonferrous Metals Co., Ltd.</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tcPr>
          <w:p>
            <w:pPr>
              <w:ind w:left="220"/>
              <w:spacing w:after="0"/>
              <w:rPr>
                <w:sz w:val="20"/>
                <w:szCs w:val="20"/>
                <w:color w:val="auto"/>
              </w:rPr>
            </w:pPr>
            <w:r>
              <w:rPr>
                <w:rFonts w:ascii="Arial" w:cs="Arial" w:eastAsia="Arial" w:hAnsi="Arial"/>
                <w:sz w:val="18"/>
                <w:szCs w:val="18"/>
                <w:color w:val="auto"/>
              </w:rPr>
              <w:t>Jiujiang Tanbre Co., Ltd.</w:t>
            </w:r>
          </w:p>
        </w:tc>
        <w:tc>
          <w:tcPr>
            <w:tcW w:w="2500" w:type="dxa"/>
            <w:vAlign w:val="bottom"/>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Jiujiang Zhongao Tantalum &amp; Niobium Co., Ltd.</w:t>
            </w:r>
          </w:p>
        </w:tc>
        <w:tc>
          <w:tcPr>
            <w:tcW w:w="2500" w:type="dxa"/>
            <w:vAlign w:val="bottom"/>
            <w:shd w:val="clear" w:color="auto" w:fill="D1D2D4"/>
          </w:tcPr>
          <w:p>
            <w:pPr>
              <w:ind w:left="80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40" w:type="dxa"/>
            <w:vAlign w:val="bottom"/>
          </w:tcPr>
          <w:p>
            <w:pPr>
              <w:ind w:left="220"/>
              <w:spacing w:after="0"/>
              <w:rPr>
                <w:sz w:val="20"/>
                <w:szCs w:val="20"/>
                <w:color w:val="auto"/>
              </w:rPr>
            </w:pPr>
            <w:r>
              <w:rPr>
                <w:rFonts w:ascii="Arial" w:cs="Arial" w:eastAsia="Arial" w:hAnsi="Arial"/>
                <w:sz w:val="18"/>
                <w:szCs w:val="18"/>
                <w:color w:val="auto"/>
              </w:rPr>
              <w:t>KEMET Blue Power*</w:t>
            </w:r>
          </w:p>
        </w:tc>
        <w:tc>
          <w:tcPr>
            <w:tcW w:w="250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600"/>
              <w:spacing w:after="0"/>
              <w:rPr>
                <w:sz w:val="20"/>
                <w:szCs w:val="20"/>
                <w:color w:val="auto"/>
              </w:rPr>
            </w:pPr>
            <w:r>
              <w:rPr>
                <w:rFonts w:ascii="Arial" w:cs="Arial" w:eastAsia="Arial" w:hAnsi="Arial"/>
                <w:sz w:val="18"/>
                <w:szCs w:val="18"/>
                <w:color w:val="auto"/>
              </w:rPr>
              <w:t>Not Applicable</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360" w:type="dxa"/>
            <w:vAlign w:val="bottom"/>
            <w:tcBorders>
              <w:bottom w:val="single" w:sz="8" w:color="0090DA"/>
            </w:tcBorders>
          </w:tcPr>
          <w:p>
            <w:pPr>
              <w:ind w:left="220"/>
              <w:spacing w:after="0"/>
              <w:rPr>
                <w:sz w:val="20"/>
                <w:szCs w:val="20"/>
                <w:color w:val="auto"/>
              </w:rPr>
            </w:pPr>
            <w:r>
              <w:rPr>
                <w:rFonts w:ascii="Arial" w:cs="Arial" w:eastAsia="Arial" w:hAnsi="Arial"/>
                <w:sz w:val="18"/>
                <w:szCs w:val="18"/>
                <w:b w:val="1"/>
                <w:bCs w:val="1"/>
                <w:color w:val="auto"/>
              </w:rPr>
              <w:t>Smelter or Refinery Name</w:t>
            </w:r>
          </w:p>
        </w:tc>
        <w:tc>
          <w:tcPr>
            <w:tcW w:w="2680" w:type="dxa"/>
            <w:vAlign w:val="bottom"/>
            <w:tcBorders>
              <w:bottom w:val="single" w:sz="8" w:color="0090DA"/>
            </w:tcBorders>
          </w:tcPr>
          <w:p>
            <w:pPr>
              <w:ind w:left="980"/>
              <w:spacing w:after="0"/>
              <w:rPr>
                <w:sz w:val="20"/>
                <w:szCs w:val="20"/>
                <w:color w:val="auto"/>
              </w:rPr>
            </w:pPr>
            <w:r>
              <w:rPr>
                <w:rFonts w:ascii="Arial" w:cs="Arial" w:eastAsia="Arial" w:hAnsi="Arial"/>
                <w:sz w:val="18"/>
                <w:szCs w:val="18"/>
                <w:b w:val="1"/>
                <w:bCs w:val="1"/>
                <w:color w:val="auto"/>
              </w:rPr>
              <w:t>Location</w:t>
            </w:r>
          </w:p>
        </w:tc>
        <w:tc>
          <w:tcPr>
            <w:tcW w:w="2240" w:type="dxa"/>
            <w:vAlign w:val="bottom"/>
            <w:tcBorders>
              <w:bottom w:val="single" w:sz="8" w:color="0090DA"/>
            </w:tcBorders>
          </w:tcPr>
          <w:p>
            <w:pPr>
              <w:ind w:left="600"/>
              <w:spacing w:after="0"/>
              <w:rPr>
                <w:sz w:val="20"/>
                <w:szCs w:val="20"/>
                <w:color w:val="auto"/>
              </w:rPr>
            </w:pPr>
            <w:r>
              <w:rPr>
                <w:rFonts w:ascii="Arial" w:cs="Arial" w:eastAsia="Arial" w:hAnsi="Arial"/>
                <w:sz w:val="18"/>
                <w:szCs w:val="18"/>
                <w:b w:val="1"/>
                <w:bCs w:val="1"/>
                <w:color w:val="auto"/>
              </w:rPr>
              <w:t>Status</w:t>
            </w:r>
          </w:p>
        </w:tc>
      </w:tr>
      <w:tr>
        <w:trPr>
          <w:trHeight w:val="34"/>
        </w:trPr>
        <w:tc>
          <w:tcPr>
            <w:tcW w:w="9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KEMET de Mexico</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Mexico</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LSM Brasil S.A.</w:t>
            </w:r>
          </w:p>
        </w:tc>
        <w:tc>
          <w:tcPr>
            <w:tcW w:w="2680" w:type="dxa"/>
            <w:vAlign w:val="bottom"/>
          </w:tcPr>
          <w:p>
            <w:pPr>
              <w:ind w:left="980"/>
              <w:spacing w:after="0"/>
              <w:rPr>
                <w:sz w:val="20"/>
                <w:szCs w:val="20"/>
                <w:color w:val="auto"/>
              </w:rPr>
            </w:pPr>
            <w:r>
              <w:rPr>
                <w:rFonts w:ascii="Arial" w:cs="Arial" w:eastAsia="Arial" w:hAnsi="Arial"/>
                <w:sz w:val="18"/>
                <w:szCs w:val="18"/>
                <w:color w:val="auto"/>
              </w:rPr>
              <w:t>Brazil</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Meta Materials</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Macedonia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Metallurgical Products India Pvt., Ltd.</w:t>
            </w:r>
          </w:p>
        </w:tc>
        <w:tc>
          <w:tcPr>
            <w:tcW w:w="2680" w:type="dxa"/>
            <w:vAlign w:val="bottom"/>
          </w:tcPr>
          <w:p>
            <w:pPr>
              <w:ind w:left="980"/>
              <w:spacing w:after="0"/>
              <w:rPr>
                <w:sz w:val="20"/>
                <w:szCs w:val="20"/>
                <w:color w:val="auto"/>
              </w:rPr>
            </w:pPr>
            <w:r>
              <w:rPr>
                <w:rFonts w:ascii="Arial" w:cs="Arial" w:eastAsia="Arial" w:hAnsi="Arial"/>
                <w:sz w:val="18"/>
                <w:szCs w:val="18"/>
                <w:color w:val="auto"/>
              </w:rPr>
              <w:t>India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Mineracao Taboca S.A.</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Brazil</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Mitsui Mining and Smelting Co., Ltd.</w:t>
            </w:r>
          </w:p>
        </w:tc>
        <w:tc>
          <w:tcPr>
            <w:tcW w:w="2680" w:type="dxa"/>
            <w:vAlign w:val="bottom"/>
          </w:tcPr>
          <w:p>
            <w:pPr>
              <w:ind w:left="980"/>
              <w:spacing w:after="0"/>
              <w:rPr>
                <w:sz w:val="20"/>
                <w:szCs w:val="20"/>
                <w:color w:val="auto"/>
              </w:rPr>
            </w:pPr>
            <w:r>
              <w:rPr>
                <w:rFonts w:ascii="Arial" w:cs="Arial" w:eastAsia="Arial" w:hAnsi="Arial"/>
                <w:sz w:val="18"/>
                <w:szCs w:val="18"/>
                <w:color w:val="auto"/>
              </w:rPr>
              <w:t>Japan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Ningxia Orient Tantalum Industry Co., Ltd.</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NPM Silmet AS</w:t>
            </w:r>
          </w:p>
        </w:tc>
        <w:tc>
          <w:tcPr>
            <w:tcW w:w="2680" w:type="dxa"/>
            <w:vAlign w:val="bottom"/>
          </w:tcPr>
          <w:p>
            <w:pPr>
              <w:ind w:left="980"/>
              <w:spacing w:after="0"/>
              <w:rPr>
                <w:sz w:val="20"/>
                <w:szCs w:val="20"/>
                <w:color w:val="auto"/>
              </w:rPr>
            </w:pPr>
            <w:r>
              <w:rPr>
                <w:rFonts w:ascii="Arial" w:cs="Arial" w:eastAsia="Arial" w:hAnsi="Arial"/>
                <w:sz w:val="18"/>
                <w:szCs w:val="18"/>
                <w:color w:val="auto"/>
              </w:rPr>
              <w:t>Estonia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Resind Industria e Comercio Ltda.</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Brazil</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Solikamsk Magnesium Works OAO</w:t>
            </w:r>
          </w:p>
        </w:tc>
        <w:tc>
          <w:tcPr>
            <w:tcW w:w="2680" w:type="dxa"/>
            <w:vAlign w:val="bottom"/>
          </w:tcPr>
          <w:p>
            <w:pPr>
              <w:ind w:left="980"/>
              <w:spacing w:after="0"/>
              <w:rPr>
                <w:sz w:val="20"/>
                <w:szCs w:val="20"/>
                <w:color w:val="auto"/>
              </w:rPr>
            </w:pPr>
            <w:r>
              <w:rPr>
                <w:rFonts w:ascii="Arial" w:cs="Arial" w:eastAsia="Arial" w:hAnsi="Arial"/>
                <w:sz w:val="18"/>
                <w:szCs w:val="18"/>
                <w:color w:val="auto"/>
              </w:rPr>
              <w:t>Russia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TANIOBIS Co., Ltd.</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Thailand</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TANIOBIS GmbH</w:t>
            </w:r>
          </w:p>
        </w:tc>
        <w:tc>
          <w:tcPr>
            <w:tcW w:w="2680" w:type="dxa"/>
            <w:vAlign w:val="bottom"/>
          </w:tcPr>
          <w:p>
            <w:pPr>
              <w:ind w:left="980"/>
              <w:spacing w:after="0"/>
              <w:rPr>
                <w:sz w:val="20"/>
                <w:szCs w:val="20"/>
                <w:color w:val="auto"/>
              </w:rPr>
            </w:pPr>
            <w:r>
              <w:rPr>
                <w:rFonts w:ascii="Arial" w:cs="Arial" w:eastAsia="Arial" w:hAnsi="Arial"/>
                <w:sz w:val="18"/>
                <w:szCs w:val="18"/>
                <w:color w:val="auto"/>
              </w:rPr>
              <w:t>Germany</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TANIOBIS Japan Co., Ltd.</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Japan</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TANIOBIS Smelting GmbH &amp; Co. KG</w:t>
            </w:r>
          </w:p>
        </w:tc>
        <w:tc>
          <w:tcPr>
            <w:tcW w:w="2680" w:type="dxa"/>
            <w:vAlign w:val="bottom"/>
          </w:tcPr>
          <w:p>
            <w:pPr>
              <w:ind w:left="980"/>
              <w:spacing w:after="0"/>
              <w:rPr>
                <w:sz w:val="20"/>
                <w:szCs w:val="20"/>
                <w:color w:val="auto"/>
              </w:rPr>
            </w:pPr>
            <w:r>
              <w:rPr>
                <w:rFonts w:ascii="Arial" w:cs="Arial" w:eastAsia="Arial" w:hAnsi="Arial"/>
                <w:sz w:val="18"/>
                <w:szCs w:val="18"/>
                <w:color w:val="auto"/>
              </w:rPr>
              <w:t>Germany</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Telex Metals</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United States</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Ulba Metallurgical Plant JSC</w:t>
            </w:r>
          </w:p>
        </w:tc>
        <w:tc>
          <w:tcPr>
            <w:tcW w:w="2680" w:type="dxa"/>
            <w:vAlign w:val="bottom"/>
          </w:tcPr>
          <w:p>
            <w:pPr>
              <w:ind w:left="980"/>
              <w:spacing w:after="0"/>
              <w:rPr>
                <w:sz w:val="20"/>
                <w:szCs w:val="20"/>
                <w:color w:val="auto"/>
              </w:rPr>
            </w:pPr>
            <w:r>
              <w:rPr>
                <w:rFonts w:ascii="Arial" w:cs="Arial" w:eastAsia="Arial" w:hAnsi="Arial"/>
                <w:sz w:val="18"/>
                <w:szCs w:val="18"/>
                <w:color w:val="auto"/>
              </w:rPr>
              <w:t>Kazakhstan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XIMEI RESOURCES (GUANGDONG) LIMITED</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XinXing HaoRong Electronic Material Co., Ltd.</w:t>
            </w:r>
          </w:p>
        </w:tc>
        <w:tc>
          <w:tcPr>
            <w:tcW w:w="2680" w:type="dxa"/>
            <w:vAlign w:val="bottom"/>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Yanling Jincheng Tantalum &amp; Niobium Co., Ltd.</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Alpha</w:t>
            </w:r>
          </w:p>
        </w:tc>
        <w:tc>
          <w:tcPr>
            <w:tcW w:w="2680" w:type="dxa"/>
            <w:vAlign w:val="bottom"/>
          </w:tcPr>
          <w:p>
            <w:pPr>
              <w:ind w:left="98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Chenzhou Yunxiang Mining and Metallurgy Co., Ltd.</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Chifeng Dajingzi Tin Industry Co., Ltd.</w:t>
            </w:r>
          </w:p>
        </w:tc>
        <w:tc>
          <w:tcPr>
            <w:tcW w:w="2680" w:type="dxa"/>
            <w:vAlign w:val="bottom"/>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China Tin Group Co., Ltd.</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EM Vinto</w:t>
            </w:r>
          </w:p>
        </w:tc>
        <w:tc>
          <w:tcPr>
            <w:tcW w:w="2680" w:type="dxa"/>
            <w:vAlign w:val="bottom"/>
          </w:tcPr>
          <w:p>
            <w:pPr>
              <w:ind w:left="980"/>
              <w:spacing w:after="0"/>
              <w:rPr>
                <w:sz w:val="20"/>
                <w:szCs w:val="20"/>
                <w:color w:val="auto"/>
              </w:rPr>
            </w:pPr>
            <w:r>
              <w:rPr>
                <w:rFonts w:ascii="Arial" w:cs="Arial" w:eastAsia="Arial" w:hAnsi="Arial"/>
                <w:sz w:val="18"/>
                <w:szCs w:val="18"/>
                <w:color w:val="auto"/>
              </w:rPr>
              <w:t>Bolivia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Fenix Metals</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Poland</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Gejiu Kai Meng Industry and Trade LLC</w:t>
            </w:r>
          </w:p>
        </w:tc>
        <w:tc>
          <w:tcPr>
            <w:tcW w:w="2680" w:type="dxa"/>
            <w:vAlign w:val="bottom"/>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Gejiu Non-Ferrous Metal Processing Co., Ltd.</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Gejiu Yunxin Nonferrous Electrolysis Co., Ltd.</w:t>
            </w:r>
          </w:p>
        </w:tc>
        <w:tc>
          <w:tcPr>
            <w:tcW w:w="2680" w:type="dxa"/>
            <w:vAlign w:val="bottom"/>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Gejiu Zili Mining And Metallurgy Co., Ltd.</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Guangdong Hanhe Non-Ferrous Metal Co., Ltd.</w:t>
            </w:r>
          </w:p>
        </w:tc>
        <w:tc>
          <w:tcPr>
            <w:tcW w:w="2680" w:type="dxa"/>
            <w:vAlign w:val="bottom"/>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Guanyang Guida Nonferrous Metal Smelting Plant*</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HuiChang Hill Tin Industry Co., Ltd.</w:t>
            </w:r>
          </w:p>
        </w:tc>
        <w:tc>
          <w:tcPr>
            <w:tcW w:w="2680" w:type="dxa"/>
            <w:vAlign w:val="bottom"/>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Huichang Jinshunda Tin Co., Ltd.*</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Jiangxi New Nanshan Technology Ltd.</w:t>
            </w:r>
          </w:p>
        </w:tc>
        <w:tc>
          <w:tcPr>
            <w:tcW w:w="2680" w:type="dxa"/>
            <w:vAlign w:val="bottom"/>
          </w:tcPr>
          <w:p>
            <w:pPr>
              <w:ind w:left="98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Magnu's Minerais Metais e Ligas Ltda.</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Brazil</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Malaysia Smelting Corporation (MSC)</w:t>
            </w:r>
          </w:p>
        </w:tc>
        <w:tc>
          <w:tcPr>
            <w:tcW w:w="2680" w:type="dxa"/>
            <w:vAlign w:val="bottom"/>
          </w:tcPr>
          <w:p>
            <w:pPr>
              <w:ind w:left="980"/>
              <w:spacing w:after="0"/>
              <w:rPr>
                <w:sz w:val="20"/>
                <w:szCs w:val="20"/>
                <w:color w:val="auto"/>
              </w:rPr>
            </w:pPr>
            <w:r>
              <w:rPr>
                <w:rFonts w:ascii="Arial" w:cs="Arial" w:eastAsia="Arial" w:hAnsi="Arial"/>
                <w:sz w:val="18"/>
                <w:szCs w:val="18"/>
                <w:color w:val="auto"/>
              </w:rPr>
              <w:t>Malaysia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Melt Metais e Ligas S.A.</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Brazil</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Metallic Resources, Inc.</w:t>
            </w:r>
          </w:p>
        </w:tc>
        <w:tc>
          <w:tcPr>
            <w:tcW w:w="2680" w:type="dxa"/>
            <w:vAlign w:val="bottom"/>
          </w:tcPr>
          <w:p>
            <w:pPr>
              <w:ind w:left="98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Metallo Belgium N.V.</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Belgium</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Metallo Spain S.L.U.</w:t>
            </w:r>
          </w:p>
        </w:tc>
        <w:tc>
          <w:tcPr>
            <w:tcW w:w="2680" w:type="dxa"/>
            <w:vAlign w:val="bottom"/>
          </w:tcPr>
          <w:p>
            <w:pPr>
              <w:ind w:left="980"/>
              <w:spacing w:after="0"/>
              <w:rPr>
                <w:sz w:val="20"/>
                <w:szCs w:val="20"/>
                <w:color w:val="auto"/>
              </w:rPr>
            </w:pPr>
            <w:r>
              <w:rPr>
                <w:rFonts w:ascii="Arial" w:cs="Arial" w:eastAsia="Arial" w:hAnsi="Arial"/>
                <w:sz w:val="18"/>
                <w:szCs w:val="18"/>
                <w:color w:val="auto"/>
              </w:rPr>
              <w:t>Spain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Mineracao Taboca S.A.</w:t>
            </w:r>
          </w:p>
        </w:tc>
        <w:tc>
          <w:tcPr>
            <w:tcW w:w="2680" w:type="dxa"/>
            <w:vAlign w:val="bottom"/>
            <w:shd w:val="clear" w:color="auto" w:fill="D1D2D4"/>
          </w:tcPr>
          <w:p>
            <w:pPr>
              <w:ind w:left="980"/>
              <w:spacing w:after="0"/>
              <w:rPr>
                <w:sz w:val="20"/>
                <w:szCs w:val="20"/>
                <w:color w:val="auto"/>
              </w:rPr>
            </w:pPr>
            <w:r>
              <w:rPr>
                <w:rFonts w:ascii="Arial" w:cs="Arial" w:eastAsia="Arial" w:hAnsi="Arial"/>
                <w:sz w:val="18"/>
                <w:szCs w:val="18"/>
                <w:color w:val="auto"/>
              </w:rPr>
              <w:t>Brazil</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380" w:type="dxa"/>
            <w:vAlign w:val="bottom"/>
            <w:tcBorders>
              <w:bottom w:val="single" w:sz="8" w:color="0090DA"/>
            </w:tcBorders>
          </w:tcPr>
          <w:p>
            <w:pPr>
              <w:ind w:left="200"/>
              <w:spacing w:after="0"/>
              <w:rPr>
                <w:sz w:val="20"/>
                <w:szCs w:val="20"/>
                <w:color w:val="auto"/>
              </w:rPr>
            </w:pPr>
            <w:r>
              <w:rPr>
                <w:rFonts w:ascii="Arial" w:cs="Arial" w:eastAsia="Arial" w:hAnsi="Arial"/>
                <w:sz w:val="18"/>
                <w:szCs w:val="18"/>
                <w:b w:val="1"/>
                <w:bCs w:val="1"/>
                <w:color w:val="auto"/>
              </w:rPr>
              <w:t>Smelter or Refinery Name</w:t>
            </w:r>
          </w:p>
        </w:tc>
        <w:tc>
          <w:tcPr>
            <w:tcW w:w="2640" w:type="dxa"/>
            <w:vAlign w:val="bottom"/>
            <w:tcBorders>
              <w:bottom w:val="single" w:sz="8" w:color="0090DA"/>
            </w:tcBorders>
          </w:tcPr>
          <w:p>
            <w:pPr>
              <w:ind w:left="940"/>
              <w:spacing w:after="0"/>
              <w:rPr>
                <w:sz w:val="20"/>
                <w:szCs w:val="20"/>
                <w:color w:val="auto"/>
              </w:rPr>
            </w:pPr>
            <w:r>
              <w:rPr>
                <w:rFonts w:ascii="Arial" w:cs="Arial" w:eastAsia="Arial" w:hAnsi="Arial"/>
                <w:sz w:val="18"/>
                <w:szCs w:val="18"/>
                <w:b w:val="1"/>
                <w:bCs w:val="1"/>
                <w:color w:val="auto"/>
              </w:rPr>
              <w:t>Location</w:t>
            </w:r>
          </w:p>
        </w:tc>
        <w:tc>
          <w:tcPr>
            <w:tcW w:w="2240" w:type="dxa"/>
            <w:vAlign w:val="bottom"/>
            <w:tcBorders>
              <w:bottom w:val="single" w:sz="8" w:color="0090DA"/>
            </w:tcBorders>
          </w:tcPr>
          <w:p>
            <w:pPr>
              <w:ind w:left="600"/>
              <w:spacing w:after="0"/>
              <w:rPr>
                <w:sz w:val="20"/>
                <w:szCs w:val="20"/>
                <w:color w:val="auto"/>
              </w:rPr>
            </w:pPr>
            <w:r>
              <w:rPr>
                <w:rFonts w:ascii="Arial" w:cs="Arial" w:eastAsia="Arial" w:hAnsi="Arial"/>
                <w:sz w:val="18"/>
                <w:szCs w:val="18"/>
                <w:b w:val="1"/>
                <w:bCs w:val="1"/>
                <w:color w:val="auto"/>
              </w:rPr>
              <w:t>Status</w:t>
            </w:r>
          </w:p>
        </w:tc>
      </w:tr>
      <w:tr>
        <w:trPr>
          <w:trHeight w:val="263"/>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80" w:type="dxa"/>
            <w:vAlign w:val="bottom"/>
          </w:tcPr>
          <w:p>
            <w:pPr>
              <w:ind w:left="200"/>
              <w:spacing w:after="0"/>
              <w:rPr>
                <w:sz w:val="20"/>
                <w:szCs w:val="20"/>
                <w:color w:val="auto"/>
              </w:rPr>
            </w:pPr>
            <w:r>
              <w:rPr>
                <w:rFonts w:ascii="Arial" w:cs="Arial" w:eastAsia="Arial" w:hAnsi="Arial"/>
                <w:sz w:val="18"/>
                <w:szCs w:val="18"/>
                <w:color w:val="auto"/>
              </w:rPr>
              <w:t>Minsur</w:t>
            </w:r>
          </w:p>
        </w:tc>
        <w:tc>
          <w:tcPr>
            <w:tcW w:w="2640" w:type="dxa"/>
            <w:vAlign w:val="bottom"/>
          </w:tcPr>
          <w:p>
            <w:pPr>
              <w:ind w:left="940"/>
              <w:spacing w:after="0"/>
              <w:rPr>
                <w:sz w:val="20"/>
                <w:szCs w:val="20"/>
                <w:color w:val="auto"/>
              </w:rPr>
            </w:pPr>
            <w:r>
              <w:rPr>
                <w:rFonts w:ascii="Arial" w:cs="Arial" w:eastAsia="Arial" w:hAnsi="Arial"/>
                <w:sz w:val="18"/>
                <w:szCs w:val="18"/>
                <w:color w:val="auto"/>
              </w:rPr>
              <w:t>Peru</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Operaciones Metalurgicas S.A.</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Bolivia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80" w:type="dxa"/>
            <w:vAlign w:val="bottom"/>
          </w:tcPr>
          <w:p>
            <w:pPr>
              <w:ind w:left="200"/>
              <w:spacing w:after="0"/>
              <w:rPr>
                <w:sz w:val="20"/>
                <w:szCs w:val="20"/>
                <w:color w:val="auto"/>
              </w:rPr>
            </w:pPr>
            <w:r>
              <w:rPr>
                <w:rFonts w:ascii="Arial" w:cs="Arial" w:eastAsia="Arial" w:hAnsi="Arial"/>
                <w:sz w:val="18"/>
                <w:szCs w:val="18"/>
                <w:color w:val="auto"/>
              </w:rPr>
              <w:t>PT Artha Cipta Langgeng</w:t>
            </w:r>
          </w:p>
        </w:tc>
        <w:tc>
          <w:tcPr>
            <w:tcW w:w="2640" w:type="dxa"/>
            <w:vAlign w:val="bottom"/>
          </w:tcPr>
          <w:p>
            <w:pPr>
              <w:ind w:left="940"/>
              <w:spacing w:after="0"/>
              <w:rPr>
                <w:sz w:val="20"/>
                <w:szCs w:val="20"/>
                <w:color w:val="auto"/>
              </w:rPr>
            </w:pPr>
            <w:r>
              <w:rPr>
                <w:rFonts w:ascii="Arial" w:cs="Arial" w:eastAsia="Arial" w:hAnsi="Arial"/>
                <w:sz w:val="18"/>
                <w:szCs w:val="18"/>
                <w:color w:val="auto"/>
              </w:rPr>
              <w:t>Indonesia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PT ATD Makmur Mandiri Jaya</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Indonesia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80" w:type="dxa"/>
            <w:vAlign w:val="bottom"/>
          </w:tcPr>
          <w:p>
            <w:pPr>
              <w:ind w:left="200"/>
              <w:spacing w:after="0"/>
              <w:rPr>
                <w:sz w:val="20"/>
                <w:szCs w:val="20"/>
                <w:color w:val="auto"/>
              </w:rPr>
            </w:pPr>
            <w:r>
              <w:rPr>
                <w:rFonts w:ascii="Arial" w:cs="Arial" w:eastAsia="Arial" w:hAnsi="Arial"/>
                <w:sz w:val="18"/>
                <w:szCs w:val="18"/>
                <w:color w:val="auto"/>
              </w:rPr>
              <w:t>PT Bangka Serumpun</w:t>
            </w:r>
          </w:p>
        </w:tc>
        <w:tc>
          <w:tcPr>
            <w:tcW w:w="2640" w:type="dxa"/>
            <w:vAlign w:val="bottom"/>
          </w:tcPr>
          <w:p>
            <w:pPr>
              <w:ind w:left="940"/>
              <w:spacing w:after="0"/>
              <w:rPr>
                <w:sz w:val="20"/>
                <w:szCs w:val="20"/>
                <w:color w:val="auto"/>
              </w:rPr>
            </w:pPr>
            <w:r>
              <w:rPr>
                <w:rFonts w:ascii="Arial" w:cs="Arial" w:eastAsia="Arial" w:hAnsi="Arial"/>
                <w:sz w:val="18"/>
                <w:szCs w:val="18"/>
                <w:color w:val="auto"/>
              </w:rPr>
              <w:t>Indonesia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PT Menara Cipta Mulia</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Indonesia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80" w:type="dxa"/>
            <w:vAlign w:val="bottom"/>
          </w:tcPr>
          <w:p>
            <w:pPr>
              <w:ind w:left="200"/>
              <w:spacing w:after="0"/>
              <w:rPr>
                <w:sz w:val="20"/>
                <w:szCs w:val="20"/>
                <w:color w:val="auto"/>
              </w:rPr>
            </w:pPr>
            <w:r>
              <w:rPr>
                <w:rFonts w:ascii="Arial" w:cs="Arial" w:eastAsia="Arial" w:hAnsi="Arial"/>
                <w:sz w:val="18"/>
                <w:szCs w:val="18"/>
                <w:color w:val="auto"/>
              </w:rPr>
              <w:t>PT Mitra Stania Prima</w:t>
            </w:r>
          </w:p>
        </w:tc>
        <w:tc>
          <w:tcPr>
            <w:tcW w:w="2640" w:type="dxa"/>
            <w:vAlign w:val="bottom"/>
          </w:tcPr>
          <w:p>
            <w:pPr>
              <w:ind w:left="940"/>
              <w:spacing w:after="0"/>
              <w:rPr>
                <w:sz w:val="20"/>
                <w:szCs w:val="20"/>
                <w:color w:val="auto"/>
              </w:rPr>
            </w:pPr>
            <w:r>
              <w:rPr>
                <w:rFonts w:ascii="Arial" w:cs="Arial" w:eastAsia="Arial" w:hAnsi="Arial"/>
                <w:sz w:val="18"/>
                <w:szCs w:val="18"/>
                <w:color w:val="auto"/>
              </w:rPr>
              <w:t>Indonesia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PT Prima Timah Utama</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Indonesia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80" w:type="dxa"/>
            <w:vAlign w:val="bottom"/>
          </w:tcPr>
          <w:p>
            <w:pPr>
              <w:ind w:left="200"/>
              <w:spacing w:after="0"/>
              <w:rPr>
                <w:sz w:val="20"/>
                <w:szCs w:val="20"/>
                <w:color w:val="auto"/>
              </w:rPr>
            </w:pPr>
            <w:r>
              <w:rPr>
                <w:rFonts w:ascii="Arial" w:cs="Arial" w:eastAsia="Arial" w:hAnsi="Arial"/>
                <w:sz w:val="18"/>
                <w:szCs w:val="18"/>
                <w:color w:val="auto"/>
              </w:rPr>
              <w:t>PT Rajehan Ariq</w:t>
            </w:r>
          </w:p>
        </w:tc>
        <w:tc>
          <w:tcPr>
            <w:tcW w:w="2640" w:type="dxa"/>
            <w:vAlign w:val="bottom"/>
          </w:tcPr>
          <w:p>
            <w:pPr>
              <w:ind w:left="940"/>
              <w:spacing w:after="0"/>
              <w:rPr>
                <w:sz w:val="20"/>
                <w:szCs w:val="20"/>
                <w:color w:val="auto"/>
              </w:rPr>
            </w:pPr>
            <w:r>
              <w:rPr>
                <w:rFonts w:ascii="Arial" w:cs="Arial" w:eastAsia="Arial" w:hAnsi="Arial"/>
                <w:sz w:val="18"/>
                <w:szCs w:val="18"/>
                <w:color w:val="auto"/>
              </w:rPr>
              <w:t>Indonesia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PT Refined Bangka Tin</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Indonesia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80" w:type="dxa"/>
            <w:vAlign w:val="bottom"/>
          </w:tcPr>
          <w:p>
            <w:pPr>
              <w:ind w:left="200"/>
              <w:spacing w:after="0"/>
              <w:rPr>
                <w:sz w:val="20"/>
                <w:szCs w:val="20"/>
                <w:color w:val="auto"/>
              </w:rPr>
            </w:pPr>
            <w:r>
              <w:rPr>
                <w:rFonts w:ascii="Arial" w:cs="Arial" w:eastAsia="Arial" w:hAnsi="Arial"/>
                <w:sz w:val="18"/>
                <w:szCs w:val="18"/>
                <w:color w:val="auto"/>
              </w:rPr>
              <w:t>PT Stanindo Inti Perkasa</w:t>
            </w:r>
          </w:p>
        </w:tc>
        <w:tc>
          <w:tcPr>
            <w:tcW w:w="2640" w:type="dxa"/>
            <w:vAlign w:val="bottom"/>
          </w:tcPr>
          <w:p>
            <w:pPr>
              <w:ind w:left="940"/>
              <w:spacing w:after="0"/>
              <w:rPr>
                <w:sz w:val="20"/>
                <w:szCs w:val="20"/>
                <w:color w:val="auto"/>
              </w:rPr>
            </w:pPr>
            <w:r>
              <w:rPr>
                <w:rFonts w:ascii="Arial" w:cs="Arial" w:eastAsia="Arial" w:hAnsi="Arial"/>
                <w:sz w:val="18"/>
                <w:szCs w:val="18"/>
                <w:color w:val="auto"/>
              </w:rPr>
              <w:t>Indonesia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PT Timah Tbk Kundur</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Indonesia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80" w:type="dxa"/>
            <w:vAlign w:val="bottom"/>
          </w:tcPr>
          <w:p>
            <w:pPr>
              <w:ind w:left="200"/>
              <w:spacing w:after="0"/>
              <w:rPr>
                <w:sz w:val="20"/>
                <w:szCs w:val="20"/>
                <w:color w:val="auto"/>
              </w:rPr>
            </w:pPr>
            <w:r>
              <w:rPr>
                <w:rFonts w:ascii="Arial" w:cs="Arial" w:eastAsia="Arial" w:hAnsi="Arial"/>
                <w:sz w:val="18"/>
                <w:szCs w:val="18"/>
                <w:color w:val="auto"/>
              </w:rPr>
              <w:t>PT Timah Tbk Mentok</w:t>
            </w:r>
          </w:p>
        </w:tc>
        <w:tc>
          <w:tcPr>
            <w:tcW w:w="2640" w:type="dxa"/>
            <w:vAlign w:val="bottom"/>
          </w:tcPr>
          <w:p>
            <w:pPr>
              <w:ind w:left="940"/>
              <w:spacing w:after="0"/>
              <w:rPr>
                <w:sz w:val="20"/>
                <w:szCs w:val="20"/>
                <w:color w:val="auto"/>
              </w:rPr>
            </w:pPr>
            <w:r>
              <w:rPr>
                <w:rFonts w:ascii="Arial" w:cs="Arial" w:eastAsia="Arial" w:hAnsi="Arial"/>
                <w:sz w:val="18"/>
                <w:szCs w:val="18"/>
                <w:color w:val="auto"/>
              </w:rPr>
              <w:t>Indonesia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Resind Industria e Comercio Ltda.</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Brazil</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80" w:type="dxa"/>
            <w:vAlign w:val="bottom"/>
          </w:tcPr>
          <w:p>
            <w:pPr>
              <w:ind w:left="200"/>
              <w:spacing w:after="0"/>
              <w:rPr>
                <w:sz w:val="20"/>
                <w:szCs w:val="20"/>
                <w:color w:val="auto"/>
              </w:rPr>
            </w:pPr>
            <w:r>
              <w:rPr>
                <w:rFonts w:ascii="Arial" w:cs="Arial" w:eastAsia="Arial" w:hAnsi="Arial"/>
                <w:sz w:val="18"/>
                <w:szCs w:val="18"/>
                <w:color w:val="auto"/>
              </w:rPr>
              <w:t>Rui Da Hung</w:t>
            </w:r>
          </w:p>
        </w:tc>
        <w:tc>
          <w:tcPr>
            <w:tcW w:w="2640" w:type="dxa"/>
            <w:vAlign w:val="bottom"/>
          </w:tcPr>
          <w:p>
            <w:pPr>
              <w:ind w:left="940"/>
              <w:spacing w:after="0"/>
              <w:rPr>
                <w:sz w:val="20"/>
                <w:szCs w:val="20"/>
                <w:color w:val="auto"/>
              </w:rPr>
            </w:pPr>
            <w:r>
              <w:rPr>
                <w:rFonts w:ascii="Arial" w:cs="Arial" w:eastAsia="Arial" w:hAnsi="Arial"/>
                <w:sz w:val="18"/>
                <w:szCs w:val="18"/>
                <w:color w:val="auto"/>
              </w:rPr>
              <w:t>Taiwan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Soft Metais Ltda.</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Brazil</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80" w:type="dxa"/>
            <w:vAlign w:val="bottom"/>
          </w:tcPr>
          <w:p>
            <w:pPr>
              <w:ind w:left="200"/>
              <w:spacing w:after="0"/>
              <w:rPr>
                <w:sz w:val="20"/>
                <w:szCs w:val="20"/>
                <w:color w:val="auto"/>
              </w:rPr>
            </w:pPr>
            <w:r>
              <w:rPr>
                <w:rFonts w:ascii="Arial" w:cs="Arial" w:eastAsia="Arial" w:hAnsi="Arial"/>
                <w:sz w:val="18"/>
                <w:szCs w:val="18"/>
                <w:color w:val="auto"/>
              </w:rPr>
              <w:t>Thai Nguyen Mining and Metallurgy Co., Ltd.</w:t>
            </w:r>
          </w:p>
        </w:tc>
        <w:tc>
          <w:tcPr>
            <w:tcW w:w="2640" w:type="dxa"/>
            <w:vAlign w:val="bottom"/>
          </w:tcPr>
          <w:p>
            <w:pPr>
              <w:ind w:left="940"/>
              <w:spacing w:after="0"/>
              <w:rPr>
                <w:sz w:val="20"/>
                <w:szCs w:val="20"/>
                <w:color w:val="auto"/>
              </w:rPr>
            </w:pPr>
            <w:r>
              <w:rPr>
                <w:rFonts w:ascii="Arial" w:cs="Arial" w:eastAsia="Arial" w:hAnsi="Arial"/>
                <w:sz w:val="18"/>
                <w:szCs w:val="18"/>
                <w:color w:val="auto"/>
              </w:rPr>
              <w:t>Vietnam</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Thaisarco</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Thailand</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80" w:type="dxa"/>
            <w:vAlign w:val="bottom"/>
          </w:tcPr>
          <w:p>
            <w:pPr>
              <w:ind w:left="200"/>
              <w:spacing w:after="0"/>
              <w:rPr>
                <w:sz w:val="20"/>
                <w:szCs w:val="20"/>
                <w:color w:val="auto"/>
              </w:rPr>
            </w:pPr>
            <w:r>
              <w:rPr>
                <w:rFonts w:ascii="Arial" w:cs="Arial" w:eastAsia="Arial" w:hAnsi="Arial"/>
                <w:sz w:val="18"/>
                <w:szCs w:val="18"/>
                <w:color w:val="auto"/>
              </w:rPr>
              <w:t>Tin Technology &amp; Refining</w:t>
            </w:r>
          </w:p>
        </w:tc>
        <w:tc>
          <w:tcPr>
            <w:tcW w:w="2640" w:type="dxa"/>
            <w:vAlign w:val="bottom"/>
          </w:tcPr>
          <w:p>
            <w:pPr>
              <w:ind w:left="94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White Solder Metalurgia e Mineracao Ltda.</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Brazil</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80" w:type="dxa"/>
            <w:vAlign w:val="bottom"/>
          </w:tcPr>
          <w:p>
            <w:pPr>
              <w:ind w:left="200"/>
              <w:spacing w:after="0"/>
              <w:rPr>
                <w:sz w:val="20"/>
                <w:szCs w:val="20"/>
                <w:color w:val="auto"/>
              </w:rPr>
            </w:pPr>
            <w:r>
              <w:rPr>
                <w:rFonts w:ascii="Arial" w:cs="Arial" w:eastAsia="Arial" w:hAnsi="Arial"/>
                <w:sz w:val="18"/>
                <w:szCs w:val="18"/>
                <w:color w:val="auto"/>
              </w:rPr>
              <w:t>Yunnan Chengfeng Non-ferrous Metals Co., Ltd.</w:t>
            </w:r>
          </w:p>
        </w:tc>
        <w:tc>
          <w:tcPr>
            <w:tcW w:w="2640" w:type="dxa"/>
            <w:vAlign w:val="bottom"/>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Yunnan Tin Company Limited</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80" w:type="dxa"/>
            <w:vAlign w:val="bottom"/>
          </w:tcPr>
          <w:p>
            <w:pPr>
              <w:ind w:left="200"/>
              <w:spacing w:after="0"/>
              <w:rPr>
                <w:sz w:val="20"/>
                <w:szCs w:val="20"/>
                <w:color w:val="auto"/>
              </w:rPr>
            </w:pPr>
            <w:r>
              <w:rPr>
                <w:rFonts w:ascii="Arial" w:cs="Arial" w:eastAsia="Arial" w:hAnsi="Arial"/>
                <w:sz w:val="18"/>
                <w:szCs w:val="18"/>
                <w:color w:val="auto"/>
              </w:rPr>
              <w:t>Yunnan Yunfan Non-ferrous Metals Co., Ltd.</w:t>
            </w:r>
          </w:p>
        </w:tc>
        <w:tc>
          <w:tcPr>
            <w:tcW w:w="2640" w:type="dxa"/>
            <w:vAlign w:val="bottom"/>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A.L.M.T. Corp.</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Japan</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tcPr>
          <w:p>
            <w:pPr>
              <w:ind w:left="200"/>
              <w:spacing w:after="0"/>
              <w:rPr>
                <w:sz w:val="20"/>
                <w:szCs w:val="20"/>
                <w:color w:val="auto"/>
              </w:rPr>
            </w:pPr>
            <w:r>
              <w:rPr>
                <w:rFonts w:ascii="Arial" w:cs="Arial" w:eastAsia="Arial" w:hAnsi="Arial"/>
                <w:sz w:val="18"/>
                <w:szCs w:val="18"/>
                <w:color w:val="auto"/>
              </w:rPr>
              <w:t>ACL Metais Eireli</w:t>
            </w:r>
          </w:p>
        </w:tc>
        <w:tc>
          <w:tcPr>
            <w:tcW w:w="2640" w:type="dxa"/>
            <w:vAlign w:val="bottom"/>
          </w:tcPr>
          <w:p>
            <w:pPr>
              <w:ind w:left="940"/>
              <w:spacing w:after="0"/>
              <w:rPr>
                <w:sz w:val="20"/>
                <w:szCs w:val="20"/>
                <w:color w:val="auto"/>
              </w:rPr>
            </w:pPr>
            <w:r>
              <w:rPr>
                <w:rFonts w:ascii="Arial" w:cs="Arial" w:eastAsia="Arial" w:hAnsi="Arial"/>
                <w:sz w:val="18"/>
                <w:szCs w:val="18"/>
                <w:color w:val="auto"/>
              </w:rPr>
              <w:t>Brazil</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Asia Tungsten Products Vietnam Ltd.</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Vietnam</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tcPr>
          <w:p>
            <w:pPr>
              <w:ind w:left="200"/>
              <w:spacing w:after="0"/>
              <w:rPr>
                <w:sz w:val="20"/>
                <w:szCs w:val="20"/>
                <w:color w:val="auto"/>
              </w:rPr>
            </w:pPr>
            <w:r>
              <w:rPr>
                <w:rFonts w:ascii="Arial" w:cs="Arial" w:eastAsia="Arial" w:hAnsi="Arial"/>
                <w:sz w:val="18"/>
                <w:szCs w:val="18"/>
                <w:color w:val="auto"/>
              </w:rPr>
              <w:t>Chenzhou Diamond Tungsten Products Co., Ltd.</w:t>
            </w:r>
          </w:p>
        </w:tc>
        <w:tc>
          <w:tcPr>
            <w:tcW w:w="2640" w:type="dxa"/>
            <w:vAlign w:val="bottom"/>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Chongyi Zhangyuan Tungsten Co., Ltd.</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tcPr>
          <w:p>
            <w:pPr>
              <w:ind w:left="200"/>
              <w:spacing w:after="0"/>
              <w:rPr>
                <w:sz w:val="20"/>
                <w:szCs w:val="20"/>
                <w:color w:val="auto"/>
              </w:rPr>
            </w:pPr>
            <w:r>
              <w:rPr>
                <w:rFonts w:ascii="Arial" w:cs="Arial" w:eastAsia="Arial" w:hAnsi="Arial"/>
                <w:sz w:val="18"/>
                <w:szCs w:val="18"/>
                <w:color w:val="auto"/>
              </w:rPr>
              <w:t>Fujian Jinxin Tungsten Co., Ltd.*</w:t>
            </w:r>
          </w:p>
        </w:tc>
        <w:tc>
          <w:tcPr>
            <w:tcW w:w="2640" w:type="dxa"/>
            <w:vAlign w:val="bottom"/>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Ganzhou Haichuang Tungsten Co., Ltd.</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tcPr>
          <w:p>
            <w:pPr>
              <w:ind w:left="200"/>
              <w:spacing w:after="0"/>
              <w:rPr>
                <w:sz w:val="20"/>
                <w:szCs w:val="20"/>
                <w:color w:val="auto"/>
              </w:rPr>
            </w:pPr>
            <w:r>
              <w:rPr>
                <w:rFonts w:ascii="Arial" w:cs="Arial" w:eastAsia="Arial" w:hAnsi="Arial"/>
                <w:sz w:val="18"/>
                <w:szCs w:val="18"/>
                <w:color w:val="auto"/>
              </w:rPr>
              <w:t>Ganzhou Huaxing Tungsten Products Co., Ltd.</w:t>
            </w:r>
          </w:p>
        </w:tc>
        <w:tc>
          <w:tcPr>
            <w:tcW w:w="2640" w:type="dxa"/>
            <w:vAlign w:val="bottom"/>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Ganzhou Jiangwu Ferrotungsten Co., Ltd.</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tcPr>
          <w:p>
            <w:pPr>
              <w:ind w:left="200"/>
              <w:spacing w:after="0"/>
              <w:rPr>
                <w:sz w:val="20"/>
                <w:szCs w:val="20"/>
                <w:color w:val="auto"/>
              </w:rPr>
            </w:pPr>
            <w:r>
              <w:rPr>
                <w:rFonts w:ascii="Arial" w:cs="Arial" w:eastAsia="Arial" w:hAnsi="Arial"/>
                <w:sz w:val="18"/>
                <w:szCs w:val="18"/>
                <w:color w:val="auto"/>
              </w:rPr>
              <w:t>Ganzhou Seadragon W &amp; Mo Co., Ltd.</w:t>
            </w:r>
          </w:p>
        </w:tc>
        <w:tc>
          <w:tcPr>
            <w:tcW w:w="2640" w:type="dxa"/>
            <w:vAlign w:val="bottom"/>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Global Tungsten &amp; Powders Corp.</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United States</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tcPr>
          <w:p>
            <w:pPr>
              <w:ind w:left="200"/>
              <w:spacing w:after="0"/>
              <w:rPr>
                <w:sz w:val="20"/>
                <w:szCs w:val="20"/>
                <w:color w:val="auto"/>
              </w:rPr>
            </w:pPr>
            <w:r>
              <w:rPr>
                <w:rFonts w:ascii="Arial" w:cs="Arial" w:eastAsia="Arial" w:hAnsi="Arial"/>
                <w:sz w:val="18"/>
                <w:szCs w:val="18"/>
                <w:color w:val="auto"/>
              </w:rPr>
              <w:t>Guangdong Xianglu Tungsten Co., Ltd.</w:t>
            </w:r>
          </w:p>
        </w:tc>
        <w:tc>
          <w:tcPr>
            <w:tcW w:w="2640" w:type="dxa"/>
            <w:vAlign w:val="bottom"/>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H.C. Starck Tungsten GmbH</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Germany</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tcPr>
          <w:p>
            <w:pPr>
              <w:ind w:left="200"/>
              <w:spacing w:after="0"/>
              <w:rPr>
                <w:sz w:val="20"/>
                <w:szCs w:val="20"/>
                <w:color w:val="auto"/>
              </w:rPr>
            </w:pPr>
            <w:r>
              <w:rPr>
                <w:rFonts w:ascii="Arial" w:cs="Arial" w:eastAsia="Arial" w:hAnsi="Arial"/>
                <w:sz w:val="18"/>
                <w:szCs w:val="18"/>
                <w:color w:val="auto"/>
              </w:rPr>
              <w:t>Hunan Chenzhou Mining Co., Ltd.</w:t>
            </w:r>
          </w:p>
        </w:tc>
        <w:tc>
          <w:tcPr>
            <w:tcW w:w="2640" w:type="dxa"/>
            <w:vAlign w:val="bottom"/>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Hunan Chuangda Vanadium Tungsten Co., Ltd. Wuji*</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tcPr>
          <w:p>
            <w:pPr>
              <w:ind w:left="200"/>
              <w:spacing w:after="0"/>
              <w:rPr>
                <w:sz w:val="20"/>
                <w:szCs w:val="20"/>
                <w:color w:val="auto"/>
              </w:rPr>
            </w:pPr>
            <w:r>
              <w:rPr>
                <w:rFonts w:ascii="Arial" w:cs="Arial" w:eastAsia="Arial" w:hAnsi="Arial"/>
                <w:sz w:val="18"/>
                <w:szCs w:val="18"/>
                <w:color w:val="auto"/>
              </w:rPr>
              <w:t>Hunan Chunchang Nonferrous Metals Co., Ltd.</w:t>
            </w:r>
          </w:p>
        </w:tc>
        <w:tc>
          <w:tcPr>
            <w:tcW w:w="2640" w:type="dxa"/>
            <w:vAlign w:val="bottom"/>
          </w:tcPr>
          <w:p>
            <w:pPr>
              <w:ind w:left="9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Hydrometallurg, JSC</w:t>
            </w:r>
          </w:p>
        </w:tc>
        <w:tc>
          <w:tcPr>
            <w:tcW w:w="2640" w:type="dxa"/>
            <w:vAlign w:val="bottom"/>
            <w:shd w:val="clear" w:color="auto" w:fill="D1D2D4"/>
          </w:tcPr>
          <w:p>
            <w:pPr>
              <w:ind w:left="940"/>
              <w:spacing w:after="0"/>
              <w:rPr>
                <w:sz w:val="20"/>
                <w:szCs w:val="20"/>
                <w:color w:val="auto"/>
              </w:rPr>
            </w:pPr>
            <w:r>
              <w:rPr>
                <w:rFonts w:ascii="Arial" w:cs="Arial" w:eastAsia="Arial" w:hAnsi="Arial"/>
                <w:sz w:val="18"/>
                <w:szCs w:val="18"/>
                <w:color w:val="auto"/>
              </w:rPr>
              <w:t>Russia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80" w:type="dxa"/>
            <w:vAlign w:val="bottom"/>
          </w:tcPr>
          <w:p>
            <w:pPr>
              <w:ind w:left="200"/>
              <w:spacing w:after="0"/>
              <w:rPr>
                <w:sz w:val="20"/>
                <w:szCs w:val="20"/>
                <w:color w:val="auto"/>
              </w:rPr>
            </w:pPr>
            <w:r>
              <w:rPr>
                <w:rFonts w:ascii="Arial" w:cs="Arial" w:eastAsia="Arial" w:hAnsi="Arial"/>
                <w:sz w:val="18"/>
                <w:szCs w:val="18"/>
                <w:color w:val="auto"/>
              </w:rPr>
              <w:t>Japan New Metals Co., Ltd.</w:t>
            </w:r>
          </w:p>
        </w:tc>
        <w:tc>
          <w:tcPr>
            <w:tcW w:w="2640" w:type="dxa"/>
            <w:vAlign w:val="bottom"/>
          </w:tcPr>
          <w:p>
            <w:pPr>
              <w:ind w:left="940"/>
              <w:spacing w:after="0"/>
              <w:rPr>
                <w:sz w:val="20"/>
                <w:szCs w:val="20"/>
                <w:color w:val="auto"/>
              </w:rPr>
            </w:pPr>
            <w:r>
              <w:rPr>
                <w:rFonts w:ascii="Arial" w:cs="Arial" w:eastAsia="Arial" w:hAnsi="Arial"/>
                <w:sz w:val="18"/>
                <w:szCs w:val="18"/>
                <w:color w:val="auto"/>
              </w:rPr>
              <w:t>Japan</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780" w:type="dxa"/>
            <w:vAlign w:val="bottom"/>
            <w:tcBorders>
              <w:bottom w:val="single" w:sz="8" w:color="0090DA"/>
            </w:tcBorders>
          </w:tcPr>
          <w:p>
            <w:pPr>
              <w:ind w:left="200"/>
              <w:spacing w:after="0"/>
              <w:rPr>
                <w:sz w:val="20"/>
                <w:szCs w:val="20"/>
                <w:color w:val="auto"/>
              </w:rPr>
            </w:pPr>
            <w:r>
              <w:rPr>
                <w:rFonts w:ascii="Arial" w:cs="Arial" w:eastAsia="Arial" w:hAnsi="Arial"/>
                <w:sz w:val="18"/>
                <w:szCs w:val="18"/>
                <w:b w:val="1"/>
                <w:bCs w:val="1"/>
                <w:color w:val="auto"/>
              </w:rPr>
              <w:t>Smelter or Refinery Name</w:t>
            </w:r>
          </w:p>
        </w:tc>
        <w:tc>
          <w:tcPr>
            <w:tcW w:w="2240" w:type="dxa"/>
            <w:vAlign w:val="bottom"/>
            <w:tcBorders>
              <w:bottom w:val="single" w:sz="8" w:color="0090DA"/>
            </w:tcBorders>
          </w:tcPr>
          <w:p>
            <w:pPr>
              <w:ind w:left="540"/>
              <w:spacing w:after="0"/>
              <w:rPr>
                <w:sz w:val="20"/>
                <w:szCs w:val="20"/>
                <w:color w:val="auto"/>
              </w:rPr>
            </w:pPr>
            <w:r>
              <w:rPr>
                <w:rFonts w:ascii="Arial" w:cs="Arial" w:eastAsia="Arial" w:hAnsi="Arial"/>
                <w:sz w:val="18"/>
                <w:szCs w:val="18"/>
                <w:b w:val="1"/>
                <w:bCs w:val="1"/>
                <w:color w:val="auto"/>
              </w:rPr>
              <w:t>Location</w:t>
            </w:r>
          </w:p>
        </w:tc>
        <w:tc>
          <w:tcPr>
            <w:tcW w:w="2240" w:type="dxa"/>
            <w:vAlign w:val="bottom"/>
            <w:tcBorders>
              <w:bottom w:val="single" w:sz="8" w:color="0090DA"/>
            </w:tcBorders>
          </w:tcPr>
          <w:p>
            <w:pPr>
              <w:ind w:left="600"/>
              <w:spacing w:after="0"/>
              <w:rPr>
                <w:sz w:val="20"/>
                <w:szCs w:val="20"/>
                <w:color w:val="auto"/>
              </w:rPr>
            </w:pPr>
            <w:r>
              <w:rPr>
                <w:rFonts w:ascii="Arial" w:cs="Arial" w:eastAsia="Arial" w:hAnsi="Arial"/>
                <w:sz w:val="18"/>
                <w:szCs w:val="18"/>
                <w:b w:val="1"/>
                <w:bCs w:val="1"/>
                <w:color w:val="auto"/>
              </w:rPr>
              <w:t>Status</w:t>
            </w:r>
          </w:p>
        </w:tc>
      </w:tr>
      <w:tr>
        <w:trPr>
          <w:trHeight w:val="34"/>
        </w:trPr>
        <w:tc>
          <w:tcPr>
            <w:tcW w:w="9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Jiangwu H.C. Starck Tungsten Products Co., Ltd.</w:t>
            </w:r>
          </w:p>
        </w:tc>
        <w:tc>
          <w:tcPr>
            <w:tcW w:w="2240" w:type="dxa"/>
            <w:vAlign w:val="bottom"/>
            <w:shd w:val="clear" w:color="auto" w:fill="D1D2D4"/>
          </w:tcPr>
          <w:p>
            <w:pPr>
              <w:ind w:left="54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00"/>
              <w:spacing w:after="0"/>
              <w:rPr>
                <w:sz w:val="20"/>
                <w:szCs w:val="20"/>
                <w:color w:val="auto"/>
              </w:rPr>
            </w:pPr>
            <w:r>
              <w:rPr>
                <w:rFonts w:ascii="Arial" w:cs="Arial" w:eastAsia="Arial" w:hAnsi="Arial"/>
                <w:sz w:val="18"/>
                <w:szCs w:val="18"/>
                <w:color w:val="auto"/>
              </w:rPr>
              <w:t>Jiangxi Gan Bei Tungsten Co., Ltd.</w:t>
            </w:r>
          </w:p>
        </w:tc>
        <w:tc>
          <w:tcPr>
            <w:tcW w:w="2240" w:type="dxa"/>
            <w:vAlign w:val="bottom"/>
          </w:tcPr>
          <w:p>
            <w:pPr>
              <w:ind w:left="5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Jiangxi Tonggu Non-ferrous Metallurgical &amp; Chemical Co., Ltd.</w:t>
            </w:r>
          </w:p>
        </w:tc>
        <w:tc>
          <w:tcPr>
            <w:tcW w:w="2240" w:type="dxa"/>
            <w:vAlign w:val="bottom"/>
            <w:shd w:val="clear" w:color="auto" w:fill="D1D2D4"/>
          </w:tcPr>
          <w:p>
            <w:pPr>
              <w:ind w:left="54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00"/>
              <w:spacing w:after="0"/>
              <w:rPr>
                <w:sz w:val="20"/>
                <w:szCs w:val="20"/>
                <w:color w:val="auto"/>
              </w:rPr>
            </w:pPr>
            <w:r>
              <w:rPr>
                <w:rFonts w:ascii="Arial" w:cs="Arial" w:eastAsia="Arial" w:hAnsi="Arial"/>
                <w:sz w:val="18"/>
                <w:szCs w:val="18"/>
                <w:color w:val="auto"/>
              </w:rPr>
              <w:t>Jiangxi Xinsheng Tungsten Industry Co., Ltd.</w:t>
            </w:r>
          </w:p>
        </w:tc>
        <w:tc>
          <w:tcPr>
            <w:tcW w:w="2240" w:type="dxa"/>
            <w:vAlign w:val="bottom"/>
          </w:tcPr>
          <w:p>
            <w:pPr>
              <w:ind w:left="5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Jiangxi Yaosheng Tungsten Co., Ltd.</w:t>
            </w:r>
          </w:p>
        </w:tc>
        <w:tc>
          <w:tcPr>
            <w:tcW w:w="2240" w:type="dxa"/>
            <w:vAlign w:val="bottom"/>
            <w:shd w:val="clear" w:color="auto" w:fill="D1D2D4"/>
          </w:tcPr>
          <w:p>
            <w:pPr>
              <w:ind w:left="54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00"/>
              <w:spacing w:after="0"/>
              <w:rPr>
                <w:sz w:val="20"/>
                <w:szCs w:val="20"/>
                <w:color w:val="auto"/>
              </w:rPr>
            </w:pPr>
            <w:r>
              <w:rPr>
                <w:rFonts w:ascii="Arial" w:cs="Arial" w:eastAsia="Arial" w:hAnsi="Arial"/>
                <w:sz w:val="18"/>
                <w:szCs w:val="18"/>
                <w:color w:val="auto"/>
              </w:rPr>
              <w:t>Kennametal Fallon</w:t>
            </w:r>
          </w:p>
        </w:tc>
        <w:tc>
          <w:tcPr>
            <w:tcW w:w="2240" w:type="dxa"/>
            <w:vAlign w:val="bottom"/>
          </w:tcPr>
          <w:p>
            <w:pPr>
              <w:ind w:left="54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Kennametal Huntsville</w:t>
            </w:r>
          </w:p>
        </w:tc>
        <w:tc>
          <w:tcPr>
            <w:tcW w:w="2240" w:type="dxa"/>
            <w:vAlign w:val="bottom"/>
            <w:shd w:val="clear" w:color="auto" w:fill="D1D2D4"/>
          </w:tcPr>
          <w:p>
            <w:pPr>
              <w:ind w:left="540"/>
              <w:spacing w:after="0"/>
              <w:rPr>
                <w:sz w:val="20"/>
                <w:szCs w:val="20"/>
                <w:color w:val="auto"/>
              </w:rPr>
            </w:pPr>
            <w:r>
              <w:rPr>
                <w:rFonts w:ascii="Arial" w:cs="Arial" w:eastAsia="Arial" w:hAnsi="Arial"/>
                <w:sz w:val="18"/>
                <w:szCs w:val="18"/>
                <w:color w:val="auto"/>
              </w:rPr>
              <w:t>United States</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00"/>
              <w:spacing w:after="0"/>
              <w:rPr>
                <w:sz w:val="20"/>
                <w:szCs w:val="20"/>
                <w:color w:val="auto"/>
              </w:rPr>
            </w:pPr>
            <w:r>
              <w:rPr>
                <w:rFonts w:ascii="Arial" w:cs="Arial" w:eastAsia="Arial" w:hAnsi="Arial"/>
                <w:sz w:val="18"/>
                <w:szCs w:val="18"/>
                <w:color w:val="auto"/>
              </w:rPr>
              <w:t>Malipo Haiyu Tungsten Co., Ltd.</w:t>
            </w:r>
          </w:p>
        </w:tc>
        <w:tc>
          <w:tcPr>
            <w:tcW w:w="2240" w:type="dxa"/>
            <w:vAlign w:val="bottom"/>
          </w:tcPr>
          <w:p>
            <w:pPr>
              <w:ind w:left="5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Masan High-Tech Materials</w:t>
            </w:r>
          </w:p>
        </w:tc>
        <w:tc>
          <w:tcPr>
            <w:tcW w:w="2240" w:type="dxa"/>
            <w:vAlign w:val="bottom"/>
            <w:shd w:val="clear" w:color="auto" w:fill="D1D2D4"/>
          </w:tcPr>
          <w:p>
            <w:pPr>
              <w:ind w:left="540"/>
              <w:spacing w:after="0"/>
              <w:rPr>
                <w:sz w:val="20"/>
                <w:szCs w:val="20"/>
                <w:color w:val="auto"/>
              </w:rPr>
            </w:pPr>
            <w:r>
              <w:rPr>
                <w:rFonts w:ascii="Arial" w:cs="Arial" w:eastAsia="Arial" w:hAnsi="Arial"/>
                <w:sz w:val="18"/>
                <w:szCs w:val="18"/>
                <w:color w:val="auto"/>
              </w:rPr>
              <w:t>Vietnam</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00"/>
              <w:spacing w:after="0"/>
              <w:rPr>
                <w:sz w:val="20"/>
                <w:szCs w:val="20"/>
                <w:color w:val="auto"/>
              </w:rPr>
            </w:pPr>
            <w:r>
              <w:rPr>
                <w:rFonts w:ascii="Arial" w:cs="Arial" w:eastAsia="Arial" w:hAnsi="Arial"/>
                <w:sz w:val="18"/>
                <w:szCs w:val="18"/>
                <w:color w:val="auto"/>
              </w:rPr>
              <w:t>Moliren Ltd.</w:t>
            </w:r>
          </w:p>
        </w:tc>
        <w:tc>
          <w:tcPr>
            <w:tcW w:w="2240" w:type="dxa"/>
            <w:vAlign w:val="bottom"/>
          </w:tcPr>
          <w:p>
            <w:pPr>
              <w:ind w:left="540"/>
              <w:spacing w:after="0"/>
              <w:rPr>
                <w:sz w:val="20"/>
                <w:szCs w:val="20"/>
                <w:color w:val="auto"/>
              </w:rPr>
            </w:pPr>
            <w:r>
              <w:rPr>
                <w:rFonts w:ascii="Arial" w:cs="Arial" w:eastAsia="Arial" w:hAnsi="Arial"/>
                <w:sz w:val="18"/>
                <w:szCs w:val="18"/>
                <w:color w:val="auto"/>
              </w:rPr>
              <w:t>Russia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Niagara Refining LLC</w:t>
            </w:r>
          </w:p>
        </w:tc>
        <w:tc>
          <w:tcPr>
            <w:tcW w:w="2240" w:type="dxa"/>
            <w:vAlign w:val="bottom"/>
            <w:shd w:val="clear" w:color="auto" w:fill="D1D2D4"/>
          </w:tcPr>
          <w:p>
            <w:pPr>
              <w:ind w:left="540"/>
              <w:spacing w:after="0"/>
              <w:rPr>
                <w:sz w:val="20"/>
                <w:szCs w:val="20"/>
                <w:color w:val="auto"/>
              </w:rPr>
            </w:pPr>
            <w:r>
              <w:rPr>
                <w:rFonts w:ascii="Arial" w:cs="Arial" w:eastAsia="Arial" w:hAnsi="Arial"/>
                <w:sz w:val="18"/>
                <w:szCs w:val="18"/>
                <w:color w:val="auto"/>
              </w:rPr>
              <w:t>United States</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00"/>
              <w:spacing w:after="0"/>
              <w:rPr>
                <w:sz w:val="20"/>
                <w:szCs w:val="20"/>
                <w:color w:val="auto"/>
              </w:rPr>
            </w:pPr>
            <w:r>
              <w:rPr>
                <w:rFonts w:ascii="Arial" w:cs="Arial" w:eastAsia="Arial" w:hAnsi="Arial"/>
                <w:sz w:val="18"/>
                <w:szCs w:val="18"/>
                <w:color w:val="auto"/>
              </w:rPr>
              <w:t>TANIOBIS Smelting GmbH &amp; Co. KG</w:t>
            </w:r>
          </w:p>
        </w:tc>
        <w:tc>
          <w:tcPr>
            <w:tcW w:w="2240" w:type="dxa"/>
            <w:vAlign w:val="bottom"/>
          </w:tcPr>
          <w:p>
            <w:pPr>
              <w:ind w:left="540"/>
              <w:spacing w:after="0"/>
              <w:rPr>
                <w:sz w:val="20"/>
                <w:szCs w:val="20"/>
                <w:color w:val="auto"/>
              </w:rPr>
            </w:pPr>
            <w:r>
              <w:rPr>
                <w:rFonts w:ascii="Arial" w:cs="Arial" w:eastAsia="Arial" w:hAnsi="Arial"/>
                <w:sz w:val="18"/>
                <w:szCs w:val="18"/>
                <w:color w:val="auto"/>
              </w:rPr>
              <w:t>Germany</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Tejing (Vietnam) Tungsten Co., Ltd.</w:t>
            </w:r>
          </w:p>
        </w:tc>
        <w:tc>
          <w:tcPr>
            <w:tcW w:w="2240" w:type="dxa"/>
            <w:vAlign w:val="bottom"/>
            <w:shd w:val="clear" w:color="auto" w:fill="D1D2D4"/>
          </w:tcPr>
          <w:p>
            <w:pPr>
              <w:ind w:left="540"/>
              <w:spacing w:after="0"/>
              <w:rPr>
                <w:sz w:val="20"/>
                <w:szCs w:val="20"/>
                <w:color w:val="auto"/>
              </w:rPr>
            </w:pPr>
            <w:r>
              <w:rPr>
                <w:rFonts w:ascii="Arial" w:cs="Arial" w:eastAsia="Arial" w:hAnsi="Arial"/>
                <w:sz w:val="18"/>
                <w:szCs w:val="18"/>
                <w:color w:val="auto"/>
              </w:rPr>
              <w:t>Vietnam</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00"/>
              <w:spacing w:after="0"/>
              <w:rPr>
                <w:sz w:val="20"/>
                <w:szCs w:val="20"/>
                <w:color w:val="auto"/>
              </w:rPr>
            </w:pPr>
            <w:r>
              <w:rPr>
                <w:rFonts w:ascii="Arial" w:cs="Arial" w:eastAsia="Arial" w:hAnsi="Arial"/>
                <w:sz w:val="18"/>
                <w:szCs w:val="18"/>
                <w:color w:val="auto"/>
              </w:rPr>
              <w:t>Unecha Refractory metals plant</w:t>
            </w:r>
          </w:p>
        </w:tc>
        <w:tc>
          <w:tcPr>
            <w:tcW w:w="2240" w:type="dxa"/>
            <w:vAlign w:val="bottom"/>
          </w:tcPr>
          <w:p>
            <w:pPr>
              <w:ind w:left="540"/>
              <w:spacing w:after="0"/>
              <w:rPr>
                <w:sz w:val="20"/>
                <w:szCs w:val="20"/>
                <w:color w:val="auto"/>
              </w:rPr>
            </w:pPr>
            <w:r>
              <w:rPr>
                <w:rFonts w:ascii="Arial" w:cs="Arial" w:eastAsia="Arial" w:hAnsi="Arial"/>
                <w:sz w:val="18"/>
                <w:szCs w:val="18"/>
                <w:color w:val="auto"/>
              </w:rPr>
              <w:t>Russia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Wolfram Bergbau und Hutten AG</w:t>
            </w:r>
          </w:p>
        </w:tc>
        <w:tc>
          <w:tcPr>
            <w:tcW w:w="2240" w:type="dxa"/>
            <w:vAlign w:val="bottom"/>
            <w:shd w:val="clear" w:color="auto" w:fill="D1D2D4"/>
          </w:tcPr>
          <w:p>
            <w:pPr>
              <w:ind w:left="540"/>
              <w:spacing w:after="0"/>
              <w:rPr>
                <w:sz w:val="20"/>
                <w:szCs w:val="20"/>
                <w:color w:val="auto"/>
              </w:rPr>
            </w:pPr>
            <w:r>
              <w:rPr>
                <w:rFonts w:ascii="Arial" w:cs="Arial" w:eastAsia="Arial" w:hAnsi="Arial"/>
                <w:sz w:val="18"/>
                <w:szCs w:val="18"/>
                <w:color w:val="auto"/>
              </w:rPr>
              <w:t>Austria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00"/>
              <w:spacing w:after="0"/>
              <w:rPr>
                <w:sz w:val="20"/>
                <w:szCs w:val="20"/>
                <w:color w:val="auto"/>
              </w:rPr>
            </w:pPr>
            <w:r>
              <w:rPr>
                <w:rFonts w:ascii="Arial" w:cs="Arial" w:eastAsia="Arial" w:hAnsi="Arial"/>
                <w:sz w:val="18"/>
                <w:szCs w:val="18"/>
                <w:color w:val="auto"/>
              </w:rPr>
              <w:t>Woltech Korea Co., Ltd.</w:t>
            </w:r>
          </w:p>
        </w:tc>
        <w:tc>
          <w:tcPr>
            <w:tcW w:w="2240" w:type="dxa"/>
            <w:vAlign w:val="bottom"/>
          </w:tcPr>
          <w:p>
            <w:pPr>
              <w:ind w:left="540"/>
              <w:spacing w:after="0"/>
              <w:rPr>
                <w:sz w:val="20"/>
                <w:szCs w:val="20"/>
                <w:color w:val="auto"/>
              </w:rPr>
            </w:pPr>
            <w:r>
              <w:rPr>
                <w:rFonts w:ascii="Arial" w:cs="Arial" w:eastAsia="Arial" w:hAnsi="Arial"/>
                <w:sz w:val="18"/>
                <w:szCs w:val="18"/>
                <w:color w:val="auto"/>
              </w:rPr>
              <w:t>South Korea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Xiamen Tungsten (H.C.) Co., Ltd.</w:t>
            </w:r>
          </w:p>
        </w:tc>
        <w:tc>
          <w:tcPr>
            <w:tcW w:w="2240" w:type="dxa"/>
            <w:vAlign w:val="bottom"/>
            <w:shd w:val="clear" w:color="auto" w:fill="D1D2D4"/>
          </w:tcPr>
          <w:p>
            <w:pPr>
              <w:ind w:left="54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00"/>
              <w:spacing w:after="0"/>
              <w:rPr>
                <w:sz w:val="20"/>
                <w:szCs w:val="20"/>
                <w:color w:val="auto"/>
              </w:rPr>
            </w:pPr>
            <w:r>
              <w:rPr>
                <w:rFonts w:ascii="Arial" w:cs="Arial" w:eastAsia="Arial" w:hAnsi="Arial"/>
                <w:sz w:val="18"/>
                <w:szCs w:val="18"/>
                <w:color w:val="auto"/>
              </w:rPr>
              <w:t>Xiamen Tungsten Co., Ltd.</w:t>
            </w:r>
          </w:p>
        </w:tc>
        <w:tc>
          <w:tcPr>
            <w:tcW w:w="2240" w:type="dxa"/>
            <w:vAlign w:val="bottom"/>
          </w:tcPr>
          <w:p>
            <w:pPr>
              <w:ind w:left="5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Xinfeng Huarui Tungsten &amp; Molybdenum New Material Co., Ltd.</w:t>
            </w:r>
          </w:p>
        </w:tc>
        <w:tc>
          <w:tcPr>
            <w:tcW w:w="2240" w:type="dxa"/>
            <w:vAlign w:val="bottom"/>
            <w:shd w:val="clear" w:color="auto" w:fill="D1D2D4"/>
          </w:tcPr>
          <w:p>
            <w:pPr>
              <w:ind w:left="540"/>
              <w:spacing w:after="0"/>
              <w:rPr>
                <w:sz w:val="20"/>
                <w:szCs w:val="20"/>
                <w:color w:val="auto"/>
              </w:rPr>
            </w:pPr>
            <w:r>
              <w:rPr>
                <w:rFonts w:ascii="Arial" w:cs="Arial" w:eastAsia="Arial" w:hAnsi="Arial"/>
                <w:sz w:val="18"/>
                <w:szCs w:val="18"/>
                <w:color w:val="auto"/>
              </w:rPr>
              <w:t>China</w:t>
            </w:r>
          </w:p>
        </w:tc>
        <w:tc>
          <w:tcPr>
            <w:tcW w:w="2240" w:type="dxa"/>
            <w:vAlign w:val="bottom"/>
            <w:shd w:val="clear" w:color="auto" w:fill="D1D2D4"/>
          </w:tcPr>
          <w:p>
            <w:pPr>
              <w:ind w:left="600"/>
              <w:spacing w:after="0"/>
              <w:rPr>
                <w:sz w:val="20"/>
                <w:szCs w:val="20"/>
                <w:color w:val="auto"/>
              </w:rPr>
            </w:pPr>
            <w:r>
              <w:rPr>
                <w:rFonts w:ascii="Arial" w:cs="Arial" w:eastAsia="Arial" w:hAnsi="Arial"/>
                <w:sz w:val="18"/>
                <w:szCs w:val="18"/>
                <w:color w:val="auto"/>
              </w:rPr>
              <w:t>Conformant</w:t>
            </w: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00"/>
              <w:spacing w:after="0"/>
              <w:rPr>
                <w:sz w:val="20"/>
                <w:szCs w:val="20"/>
                <w:color w:val="auto"/>
              </w:rPr>
            </w:pPr>
            <w:r>
              <w:rPr>
                <w:rFonts w:ascii="Arial" w:cs="Arial" w:eastAsia="Arial" w:hAnsi="Arial"/>
                <w:sz w:val="18"/>
                <w:szCs w:val="18"/>
                <w:color w:val="auto"/>
              </w:rPr>
              <w:t>Xinhai Rendan Shaoguan Tungsten Co., Ltd.*</w:t>
            </w:r>
          </w:p>
        </w:tc>
        <w:tc>
          <w:tcPr>
            <w:tcW w:w="2240" w:type="dxa"/>
            <w:vAlign w:val="bottom"/>
          </w:tcPr>
          <w:p>
            <w:pPr>
              <w:ind w:left="540"/>
              <w:spacing w:after="0"/>
              <w:rPr>
                <w:sz w:val="20"/>
                <w:szCs w:val="20"/>
                <w:color w:val="auto"/>
              </w:rPr>
            </w:pPr>
            <w:r>
              <w:rPr>
                <w:rFonts w:ascii="Arial" w:cs="Arial" w:eastAsia="Arial" w:hAnsi="Arial"/>
                <w:sz w:val="18"/>
                <w:szCs w:val="18"/>
                <w:color w:val="auto"/>
              </w:rPr>
              <w:t>China</w:t>
            </w:r>
          </w:p>
        </w:tc>
        <w:tc>
          <w:tcPr>
            <w:tcW w:w="2240" w:type="dxa"/>
            <w:vAlign w:val="bottom"/>
          </w:tcPr>
          <w:p>
            <w:pPr>
              <w:ind w:left="600"/>
              <w:spacing w:after="0"/>
              <w:rPr>
                <w:sz w:val="20"/>
                <w:szCs w:val="20"/>
                <w:color w:val="auto"/>
              </w:rPr>
            </w:pPr>
            <w:r>
              <w:rPr>
                <w:rFonts w:ascii="Arial" w:cs="Arial" w:eastAsia="Arial" w:hAnsi="Arial"/>
                <w:sz w:val="18"/>
                <w:szCs w:val="18"/>
                <w:color w:val="auto"/>
              </w:rPr>
              <w:t>Not Applicable</w:t>
            </w:r>
          </w:p>
        </w:tc>
      </w:tr>
    </w:tbl>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40"/>
          <w:szCs w:val="40"/>
          <w:b w:val="1"/>
          <w:bCs w:val="1"/>
          <w:color w:val="auto"/>
        </w:rPr>
        <w:t>Appendix B</w:t>
      </w:r>
    </w:p>
    <w:p>
      <w:pPr>
        <w:spacing w:after="0" w:line="6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Aggregated Countries of Origin List</w:t>
      </w:r>
    </w:p>
    <w:p>
      <w:pPr>
        <w:spacing w:after="0" w:line="23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This table sets forth an aggregated list of countries (or regions) of origin for 3TG metals that may be in our products based on information available from RMI on countries of origin for smelters or refiners that have been validated as Conformant with the RMAP. Due to confidential business information concerns, RMI provides this country of origin information on an aggregated basis. This table reflects information available from RMI as of December 31, 2020. This table does not include country of origin information for any smelters or refiners that have been validated as Conformant solely through the RJC, of which there were nine smelters or refiners as of December 31,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tcPr>
          <w:p>
            <w:pPr>
              <w:ind w:left="20"/>
              <w:spacing w:after="0"/>
              <w:rPr>
                <w:sz w:val="20"/>
                <w:szCs w:val="20"/>
                <w:color w:val="auto"/>
              </w:rPr>
            </w:pPr>
            <w:r>
              <w:rPr>
                <w:rFonts w:ascii="Arial" w:cs="Arial" w:eastAsia="Arial" w:hAnsi="Arial"/>
                <w:sz w:val="18"/>
                <w:szCs w:val="18"/>
                <w:color w:val="auto"/>
              </w:rPr>
              <w:t>Argentina</w:t>
            </w:r>
          </w:p>
        </w:tc>
        <w:tc>
          <w:tcPr>
            <w:tcW w:w="2600" w:type="dxa"/>
            <w:vAlign w:val="bottom"/>
          </w:tcPr>
          <w:p>
            <w:pPr>
              <w:ind w:left="600"/>
              <w:spacing w:after="0"/>
              <w:rPr>
                <w:sz w:val="20"/>
                <w:szCs w:val="20"/>
                <w:color w:val="auto"/>
              </w:rPr>
            </w:pPr>
            <w:r>
              <w:rPr>
                <w:rFonts w:ascii="Arial" w:cs="Arial" w:eastAsia="Arial" w:hAnsi="Arial"/>
                <w:sz w:val="18"/>
                <w:szCs w:val="18"/>
                <w:color w:val="auto"/>
              </w:rPr>
              <w:t>France</w:t>
            </w:r>
          </w:p>
        </w:tc>
        <w:tc>
          <w:tcPr>
            <w:tcW w:w="2980" w:type="dxa"/>
            <w:vAlign w:val="bottom"/>
          </w:tcPr>
          <w:p>
            <w:pPr>
              <w:ind w:left="800"/>
              <w:spacing w:after="0"/>
              <w:rPr>
                <w:sz w:val="20"/>
                <w:szCs w:val="20"/>
                <w:color w:val="auto"/>
              </w:rPr>
            </w:pPr>
            <w:r>
              <w:rPr>
                <w:rFonts w:ascii="Arial" w:cs="Arial" w:eastAsia="Arial" w:hAnsi="Arial"/>
                <w:sz w:val="18"/>
                <w:szCs w:val="18"/>
                <w:color w:val="auto"/>
              </w:rPr>
              <w:t>Madagascar</w:t>
            </w:r>
          </w:p>
        </w:tc>
        <w:tc>
          <w:tcPr>
            <w:tcW w:w="3420" w:type="dxa"/>
            <w:vAlign w:val="bottom"/>
          </w:tcPr>
          <w:p>
            <w:pPr>
              <w:ind w:left="640"/>
              <w:spacing w:after="0"/>
              <w:rPr>
                <w:sz w:val="20"/>
                <w:szCs w:val="20"/>
                <w:color w:val="auto"/>
              </w:rPr>
            </w:pPr>
            <w:r>
              <w:rPr>
                <w:rFonts w:ascii="Arial" w:cs="Arial" w:eastAsia="Arial" w:hAnsi="Arial"/>
                <w:sz w:val="18"/>
                <w:szCs w:val="18"/>
                <w:color w:val="auto"/>
              </w:rPr>
              <w:t>Sierra Leone</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Armenia</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French Guiana</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Malaysia</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Singapore</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Australia</w:t>
            </w:r>
          </w:p>
        </w:tc>
        <w:tc>
          <w:tcPr>
            <w:tcW w:w="2600" w:type="dxa"/>
            <w:vAlign w:val="bottom"/>
          </w:tcPr>
          <w:p>
            <w:pPr>
              <w:ind w:left="600"/>
              <w:spacing w:after="0"/>
              <w:rPr>
                <w:sz w:val="20"/>
                <w:szCs w:val="20"/>
                <w:color w:val="auto"/>
              </w:rPr>
            </w:pPr>
            <w:r>
              <w:rPr>
                <w:rFonts w:ascii="Arial" w:cs="Arial" w:eastAsia="Arial" w:hAnsi="Arial"/>
                <w:sz w:val="18"/>
                <w:szCs w:val="18"/>
                <w:color w:val="auto"/>
              </w:rPr>
              <w:t>Gambia</w:t>
            </w:r>
          </w:p>
        </w:tc>
        <w:tc>
          <w:tcPr>
            <w:tcW w:w="2980" w:type="dxa"/>
            <w:vAlign w:val="bottom"/>
          </w:tcPr>
          <w:p>
            <w:pPr>
              <w:ind w:left="800"/>
              <w:spacing w:after="0"/>
              <w:rPr>
                <w:sz w:val="20"/>
                <w:szCs w:val="20"/>
                <w:color w:val="auto"/>
              </w:rPr>
            </w:pPr>
            <w:r>
              <w:rPr>
                <w:rFonts w:ascii="Arial" w:cs="Arial" w:eastAsia="Arial" w:hAnsi="Arial"/>
                <w:sz w:val="18"/>
                <w:szCs w:val="18"/>
                <w:color w:val="auto"/>
              </w:rPr>
              <w:t>Mali</w:t>
            </w:r>
          </w:p>
        </w:tc>
        <w:tc>
          <w:tcPr>
            <w:tcW w:w="3420" w:type="dxa"/>
            <w:vAlign w:val="bottom"/>
          </w:tcPr>
          <w:p>
            <w:pPr>
              <w:ind w:left="640"/>
              <w:spacing w:after="0"/>
              <w:rPr>
                <w:sz w:val="20"/>
                <w:szCs w:val="20"/>
                <w:color w:val="auto"/>
              </w:rPr>
            </w:pPr>
            <w:r>
              <w:rPr>
                <w:rFonts w:ascii="Arial" w:cs="Arial" w:eastAsia="Arial" w:hAnsi="Arial"/>
                <w:sz w:val="18"/>
                <w:szCs w:val="18"/>
                <w:color w:val="auto"/>
              </w:rPr>
              <w:t>Slovakia</w:t>
            </w:r>
          </w:p>
        </w:tc>
      </w:tr>
      <w:tr>
        <w:trPr>
          <w:trHeight w:val="229"/>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Austria</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Georgia</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Malta</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Slovenia</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Azerbaijan</w:t>
            </w:r>
          </w:p>
        </w:tc>
        <w:tc>
          <w:tcPr>
            <w:tcW w:w="2600" w:type="dxa"/>
            <w:vAlign w:val="bottom"/>
          </w:tcPr>
          <w:p>
            <w:pPr>
              <w:ind w:left="600"/>
              <w:spacing w:after="0"/>
              <w:rPr>
                <w:sz w:val="20"/>
                <w:szCs w:val="20"/>
                <w:color w:val="auto"/>
              </w:rPr>
            </w:pPr>
            <w:r>
              <w:rPr>
                <w:rFonts w:ascii="Arial" w:cs="Arial" w:eastAsia="Arial" w:hAnsi="Arial"/>
                <w:sz w:val="18"/>
                <w:szCs w:val="18"/>
                <w:color w:val="auto"/>
              </w:rPr>
              <w:t>Germany</w:t>
            </w:r>
          </w:p>
        </w:tc>
        <w:tc>
          <w:tcPr>
            <w:tcW w:w="2980" w:type="dxa"/>
            <w:vAlign w:val="bottom"/>
          </w:tcPr>
          <w:p>
            <w:pPr>
              <w:ind w:left="800"/>
              <w:spacing w:after="0"/>
              <w:rPr>
                <w:sz w:val="20"/>
                <w:szCs w:val="20"/>
                <w:color w:val="auto"/>
              </w:rPr>
            </w:pPr>
            <w:r>
              <w:rPr>
                <w:rFonts w:ascii="Arial" w:cs="Arial" w:eastAsia="Arial" w:hAnsi="Arial"/>
                <w:sz w:val="18"/>
                <w:szCs w:val="18"/>
                <w:color w:val="auto"/>
              </w:rPr>
              <w:t>Mauritania</w:t>
            </w:r>
          </w:p>
        </w:tc>
        <w:tc>
          <w:tcPr>
            <w:tcW w:w="3420" w:type="dxa"/>
            <w:vAlign w:val="bottom"/>
          </w:tcPr>
          <w:p>
            <w:pPr>
              <w:ind w:left="640"/>
              <w:spacing w:after="0"/>
              <w:rPr>
                <w:sz w:val="20"/>
                <w:szCs w:val="20"/>
                <w:color w:val="auto"/>
              </w:rPr>
            </w:pPr>
            <w:r>
              <w:rPr>
                <w:rFonts w:ascii="Arial" w:cs="Arial" w:eastAsia="Arial" w:hAnsi="Arial"/>
                <w:sz w:val="18"/>
                <w:szCs w:val="18"/>
                <w:color w:val="auto"/>
              </w:rPr>
              <w:t>Solomon Islands</w:t>
            </w:r>
          </w:p>
        </w:tc>
      </w:tr>
      <w:tr>
        <w:trPr>
          <w:trHeight w:val="229"/>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Belgium</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Ghana</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Mauritius</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Somalia</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Benin</w:t>
            </w:r>
          </w:p>
        </w:tc>
        <w:tc>
          <w:tcPr>
            <w:tcW w:w="2600" w:type="dxa"/>
            <w:vAlign w:val="bottom"/>
          </w:tcPr>
          <w:p>
            <w:pPr>
              <w:ind w:left="600"/>
              <w:spacing w:after="0"/>
              <w:rPr>
                <w:sz w:val="20"/>
                <w:szCs w:val="20"/>
                <w:color w:val="auto"/>
              </w:rPr>
            </w:pPr>
            <w:r>
              <w:rPr>
                <w:rFonts w:ascii="Arial" w:cs="Arial" w:eastAsia="Arial" w:hAnsi="Arial"/>
                <w:sz w:val="18"/>
                <w:szCs w:val="18"/>
                <w:color w:val="auto"/>
              </w:rPr>
              <w:t>Greece</w:t>
            </w:r>
          </w:p>
        </w:tc>
        <w:tc>
          <w:tcPr>
            <w:tcW w:w="2980" w:type="dxa"/>
            <w:vAlign w:val="bottom"/>
          </w:tcPr>
          <w:p>
            <w:pPr>
              <w:ind w:left="800"/>
              <w:spacing w:after="0"/>
              <w:rPr>
                <w:sz w:val="20"/>
                <w:szCs w:val="20"/>
                <w:color w:val="auto"/>
              </w:rPr>
            </w:pPr>
            <w:r>
              <w:rPr>
                <w:rFonts w:ascii="Arial" w:cs="Arial" w:eastAsia="Arial" w:hAnsi="Arial"/>
                <w:sz w:val="18"/>
                <w:szCs w:val="18"/>
                <w:color w:val="auto"/>
              </w:rPr>
              <w:t>Mexico</w:t>
            </w:r>
          </w:p>
        </w:tc>
        <w:tc>
          <w:tcPr>
            <w:tcW w:w="3420" w:type="dxa"/>
            <w:vAlign w:val="bottom"/>
          </w:tcPr>
          <w:p>
            <w:pPr>
              <w:ind w:left="640"/>
              <w:spacing w:after="0"/>
              <w:rPr>
                <w:sz w:val="20"/>
                <w:szCs w:val="20"/>
                <w:color w:val="auto"/>
              </w:rPr>
            </w:pPr>
            <w:r>
              <w:rPr>
                <w:rFonts w:ascii="Arial" w:cs="Arial" w:eastAsia="Arial" w:hAnsi="Arial"/>
                <w:sz w:val="18"/>
                <w:szCs w:val="18"/>
                <w:color w:val="auto"/>
              </w:rPr>
              <w:t>South Africa</w:t>
            </w:r>
          </w:p>
        </w:tc>
      </w:tr>
      <w:tr>
        <w:trPr>
          <w:trHeight w:val="229"/>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Bolivia</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Guatemala</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Mongolia</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South Korea</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Botswana</w:t>
            </w:r>
          </w:p>
        </w:tc>
        <w:tc>
          <w:tcPr>
            <w:tcW w:w="2600" w:type="dxa"/>
            <w:vAlign w:val="bottom"/>
          </w:tcPr>
          <w:p>
            <w:pPr>
              <w:ind w:left="600"/>
              <w:spacing w:after="0"/>
              <w:rPr>
                <w:sz w:val="20"/>
                <w:szCs w:val="20"/>
                <w:color w:val="auto"/>
              </w:rPr>
            </w:pPr>
            <w:r>
              <w:rPr>
                <w:rFonts w:ascii="Arial" w:cs="Arial" w:eastAsia="Arial" w:hAnsi="Arial"/>
                <w:sz w:val="18"/>
                <w:szCs w:val="18"/>
                <w:color w:val="auto"/>
              </w:rPr>
              <w:t>Guinea</w:t>
            </w:r>
          </w:p>
        </w:tc>
        <w:tc>
          <w:tcPr>
            <w:tcW w:w="2980" w:type="dxa"/>
            <w:vAlign w:val="bottom"/>
          </w:tcPr>
          <w:p>
            <w:pPr>
              <w:ind w:left="800"/>
              <w:spacing w:after="0"/>
              <w:rPr>
                <w:sz w:val="20"/>
                <w:szCs w:val="20"/>
                <w:color w:val="auto"/>
              </w:rPr>
            </w:pPr>
            <w:r>
              <w:rPr>
                <w:rFonts w:ascii="Arial" w:cs="Arial" w:eastAsia="Arial" w:hAnsi="Arial"/>
                <w:sz w:val="18"/>
                <w:szCs w:val="18"/>
                <w:color w:val="auto"/>
              </w:rPr>
              <w:t>Morocco</w:t>
            </w:r>
          </w:p>
        </w:tc>
        <w:tc>
          <w:tcPr>
            <w:tcW w:w="3420" w:type="dxa"/>
            <w:vAlign w:val="bottom"/>
          </w:tcPr>
          <w:p>
            <w:pPr>
              <w:ind w:left="640"/>
              <w:spacing w:after="0"/>
              <w:rPr>
                <w:sz w:val="20"/>
                <w:szCs w:val="20"/>
                <w:color w:val="auto"/>
              </w:rPr>
            </w:pPr>
            <w:r>
              <w:rPr>
                <w:rFonts w:ascii="Arial" w:cs="Arial" w:eastAsia="Arial" w:hAnsi="Arial"/>
                <w:sz w:val="18"/>
                <w:szCs w:val="18"/>
                <w:color w:val="auto"/>
              </w:rPr>
              <w:t>Spain</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Brazil</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Guyana</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Mozambique</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Sudan</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Brunei</w:t>
            </w:r>
          </w:p>
        </w:tc>
        <w:tc>
          <w:tcPr>
            <w:tcW w:w="2600" w:type="dxa"/>
            <w:vAlign w:val="bottom"/>
          </w:tcPr>
          <w:p>
            <w:pPr>
              <w:ind w:left="600"/>
              <w:spacing w:after="0"/>
              <w:rPr>
                <w:sz w:val="20"/>
                <w:szCs w:val="20"/>
                <w:color w:val="auto"/>
              </w:rPr>
            </w:pPr>
            <w:r>
              <w:rPr>
                <w:rFonts w:ascii="Arial" w:cs="Arial" w:eastAsia="Arial" w:hAnsi="Arial"/>
                <w:sz w:val="18"/>
                <w:szCs w:val="18"/>
                <w:color w:val="auto"/>
              </w:rPr>
              <w:t>Honduras</w:t>
            </w:r>
          </w:p>
        </w:tc>
        <w:tc>
          <w:tcPr>
            <w:tcW w:w="2980" w:type="dxa"/>
            <w:vAlign w:val="bottom"/>
          </w:tcPr>
          <w:p>
            <w:pPr>
              <w:ind w:left="800"/>
              <w:spacing w:after="0"/>
              <w:rPr>
                <w:sz w:val="20"/>
                <w:szCs w:val="20"/>
                <w:color w:val="auto"/>
              </w:rPr>
            </w:pPr>
            <w:r>
              <w:rPr>
                <w:rFonts w:ascii="Arial" w:cs="Arial" w:eastAsia="Arial" w:hAnsi="Arial"/>
                <w:sz w:val="18"/>
                <w:szCs w:val="18"/>
                <w:color w:val="auto"/>
              </w:rPr>
              <w:t>Myanmar</w:t>
            </w:r>
          </w:p>
        </w:tc>
        <w:tc>
          <w:tcPr>
            <w:tcW w:w="3420" w:type="dxa"/>
            <w:vAlign w:val="bottom"/>
          </w:tcPr>
          <w:p>
            <w:pPr>
              <w:ind w:left="640"/>
              <w:spacing w:after="0"/>
              <w:rPr>
                <w:sz w:val="20"/>
                <w:szCs w:val="20"/>
                <w:color w:val="auto"/>
              </w:rPr>
            </w:pPr>
            <w:r>
              <w:rPr>
                <w:rFonts w:ascii="Arial" w:cs="Arial" w:eastAsia="Arial" w:hAnsi="Arial"/>
                <w:sz w:val="18"/>
                <w:szCs w:val="18"/>
                <w:color w:val="auto"/>
              </w:rPr>
              <w:t>Suriname</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Bulgaria</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Hong Kong</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Namibia</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Swaziland</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Burkina Faso</w:t>
            </w:r>
          </w:p>
        </w:tc>
        <w:tc>
          <w:tcPr>
            <w:tcW w:w="2600" w:type="dxa"/>
            <w:vAlign w:val="bottom"/>
          </w:tcPr>
          <w:p>
            <w:pPr>
              <w:ind w:left="600"/>
              <w:spacing w:after="0"/>
              <w:rPr>
                <w:sz w:val="20"/>
                <w:szCs w:val="20"/>
                <w:color w:val="auto"/>
              </w:rPr>
            </w:pPr>
            <w:r>
              <w:rPr>
                <w:rFonts w:ascii="Arial" w:cs="Arial" w:eastAsia="Arial" w:hAnsi="Arial"/>
                <w:sz w:val="18"/>
                <w:szCs w:val="18"/>
                <w:color w:val="auto"/>
              </w:rPr>
              <w:t>Hungary</w:t>
            </w:r>
          </w:p>
        </w:tc>
        <w:tc>
          <w:tcPr>
            <w:tcW w:w="2980" w:type="dxa"/>
            <w:vAlign w:val="bottom"/>
          </w:tcPr>
          <w:p>
            <w:pPr>
              <w:ind w:left="800"/>
              <w:spacing w:after="0"/>
              <w:rPr>
                <w:sz w:val="20"/>
                <w:szCs w:val="20"/>
                <w:color w:val="auto"/>
              </w:rPr>
            </w:pPr>
            <w:r>
              <w:rPr>
                <w:rFonts w:ascii="Arial" w:cs="Arial" w:eastAsia="Arial" w:hAnsi="Arial"/>
                <w:sz w:val="18"/>
                <w:szCs w:val="18"/>
                <w:color w:val="auto"/>
              </w:rPr>
              <w:t>Netherlands</w:t>
            </w:r>
          </w:p>
        </w:tc>
        <w:tc>
          <w:tcPr>
            <w:tcW w:w="3420" w:type="dxa"/>
            <w:vAlign w:val="bottom"/>
          </w:tcPr>
          <w:p>
            <w:pPr>
              <w:ind w:left="640"/>
              <w:spacing w:after="0"/>
              <w:rPr>
                <w:sz w:val="20"/>
                <w:szCs w:val="20"/>
                <w:color w:val="auto"/>
              </w:rPr>
            </w:pPr>
            <w:r>
              <w:rPr>
                <w:rFonts w:ascii="Arial" w:cs="Arial" w:eastAsia="Arial" w:hAnsi="Arial"/>
                <w:sz w:val="18"/>
                <w:szCs w:val="18"/>
                <w:color w:val="auto"/>
              </w:rPr>
              <w:t>Sweden</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Burundi</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Iceland</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New Caledonia</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Switzerland</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Cameroon</w:t>
            </w:r>
          </w:p>
        </w:tc>
        <w:tc>
          <w:tcPr>
            <w:tcW w:w="2600" w:type="dxa"/>
            <w:vAlign w:val="bottom"/>
          </w:tcPr>
          <w:p>
            <w:pPr>
              <w:ind w:left="600"/>
              <w:spacing w:after="0"/>
              <w:rPr>
                <w:sz w:val="20"/>
                <w:szCs w:val="20"/>
                <w:color w:val="auto"/>
              </w:rPr>
            </w:pPr>
            <w:r>
              <w:rPr>
                <w:rFonts w:ascii="Arial" w:cs="Arial" w:eastAsia="Arial" w:hAnsi="Arial"/>
                <w:sz w:val="18"/>
                <w:szCs w:val="18"/>
                <w:color w:val="auto"/>
              </w:rPr>
              <w:t>India</w:t>
            </w:r>
          </w:p>
        </w:tc>
        <w:tc>
          <w:tcPr>
            <w:tcW w:w="2980" w:type="dxa"/>
            <w:vAlign w:val="bottom"/>
          </w:tcPr>
          <w:p>
            <w:pPr>
              <w:ind w:left="800"/>
              <w:spacing w:after="0"/>
              <w:rPr>
                <w:sz w:val="20"/>
                <w:szCs w:val="20"/>
                <w:color w:val="auto"/>
              </w:rPr>
            </w:pPr>
            <w:r>
              <w:rPr>
                <w:rFonts w:ascii="Arial" w:cs="Arial" w:eastAsia="Arial" w:hAnsi="Arial"/>
                <w:sz w:val="18"/>
                <w:szCs w:val="18"/>
                <w:color w:val="auto"/>
              </w:rPr>
              <w:t>New Zealand</w:t>
            </w:r>
          </w:p>
        </w:tc>
        <w:tc>
          <w:tcPr>
            <w:tcW w:w="3420" w:type="dxa"/>
            <w:vAlign w:val="bottom"/>
          </w:tcPr>
          <w:p>
            <w:pPr>
              <w:ind w:left="640"/>
              <w:spacing w:after="0"/>
              <w:rPr>
                <w:sz w:val="20"/>
                <w:szCs w:val="20"/>
                <w:color w:val="auto"/>
              </w:rPr>
            </w:pPr>
            <w:r>
              <w:rPr>
                <w:rFonts w:ascii="Arial" w:cs="Arial" w:eastAsia="Arial" w:hAnsi="Arial"/>
                <w:sz w:val="18"/>
                <w:szCs w:val="18"/>
                <w:color w:val="auto"/>
              </w:rPr>
              <w:t>Taiwan</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Canada</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Indonesia</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Nicaragua</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Tajikistan</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Chile</w:t>
            </w:r>
          </w:p>
        </w:tc>
        <w:tc>
          <w:tcPr>
            <w:tcW w:w="2600" w:type="dxa"/>
            <w:vAlign w:val="bottom"/>
          </w:tcPr>
          <w:p>
            <w:pPr>
              <w:ind w:left="600"/>
              <w:spacing w:after="0"/>
              <w:rPr>
                <w:sz w:val="20"/>
                <w:szCs w:val="20"/>
                <w:color w:val="auto"/>
              </w:rPr>
            </w:pPr>
            <w:r>
              <w:rPr>
                <w:rFonts w:ascii="Arial" w:cs="Arial" w:eastAsia="Arial" w:hAnsi="Arial"/>
                <w:sz w:val="18"/>
                <w:szCs w:val="18"/>
                <w:color w:val="auto"/>
              </w:rPr>
              <w:t>Iran</w:t>
            </w:r>
          </w:p>
        </w:tc>
        <w:tc>
          <w:tcPr>
            <w:tcW w:w="2980" w:type="dxa"/>
            <w:vAlign w:val="bottom"/>
          </w:tcPr>
          <w:p>
            <w:pPr>
              <w:ind w:left="800"/>
              <w:spacing w:after="0"/>
              <w:rPr>
                <w:sz w:val="20"/>
                <w:szCs w:val="20"/>
                <w:color w:val="auto"/>
              </w:rPr>
            </w:pPr>
            <w:r>
              <w:rPr>
                <w:rFonts w:ascii="Arial" w:cs="Arial" w:eastAsia="Arial" w:hAnsi="Arial"/>
                <w:sz w:val="18"/>
                <w:szCs w:val="18"/>
                <w:color w:val="auto"/>
              </w:rPr>
              <w:t>Niger</w:t>
            </w:r>
          </w:p>
        </w:tc>
        <w:tc>
          <w:tcPr>
            <w:tcW w:w="3420" w:type="dxa"/>
            <w:vAlign w:val="bottom"/>
          </w:tcPr>
          <w:p>
            <w:pPr>
              <w:ind w:left="640"/>
              <w:spacing w:after="0"/>
              <w:rPr>
                <w:sz w:val="20"/>
                <w:szCs w:val="20"/>
                <w:color w:val="auto"/>
              </w:rPr>
            </w:pPr>
            <w:r>
              <w:rPr>
                <w:rFonts w:ascii="Arial" w:cs="Arial" w:eastAsia="Arial" w:hAnsi="Arial"/>
                <w:sz w:val="18"/>
                <w:szCs w:val="18"/>
                <w:color w:val="auto"/>
              </w:rPr>
              <w:t>Tanzania</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China</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Ireland</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Nigeria</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Thailand</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Colombia</w:t>
            </w:r>
          </w:p>
        </w:tc>
        <w:tc>
          <w:tcPr>
            <w:tcW w:w="2600" w:type="dxa"/>
            <w:vAlign w:val="bottom"/>
          </w:tcPr>
          <w:p>
            <w:pPr>
              <w:ind w:left="600"/>
              <w:spacing w:after="0"/>
              <w:rPr>
                <w:sz w:val="20"/>
                <w:szCs w:val="20"/>
                <w:color w:val="auto"/>
              </w:rPr>
            </w:pPr>
            <w:r>
              <w:rPr>
                <w:rFonts w:ascii="Arial" w:cs="Arial" w:eastAsia="Arial" w:hAnsi="Arial"/>
                <w:sz w:val="18"/>
                <w:szCs w:val="18"/>
                <w:color w:val="auto"/>
              </w:rPr>
              <w:t>Israel</w:t>
            </w:r>
          </w:p>
        </w:tc>
        <w:tc>
          <w:tcPr>
            <w:tcW w:w="2980" w:type="dxa"/>
            <w:vAlign w:val="bottom"/>
          </w:tcPr>
          <w:p>
            <w:pPr>
              <w:ind w:left="800"/>
              <w:spacing w:after="0"/>
              <w:rPr>
                <w:sz w:val="20"/>
                <w:szCs w:val="20"/>
                <w:color w:val="auto"/>
              </w:rPr>
            </w:pPr>
            <w:r>
              <w:rPr>
                <w:rFonts w:ascii="Arial" w:cs="Arial" w:eastAsia="Arial" w:hAnsi="Arial"/>
                <w:sz w:val="18"/>
                <w:szCs w:val="18"/>
                <w:color w:val="auto"/>
              </w:rPr>
              <w:t>Norway</w:t>
            </w:r>
          </w:p>
        </w:tc>
        <w:tc>
          <w:tcPr>
            <w:tcW w:w="3420" w:type="dxa"/>
            <w:vAlign w:val="bottom"/>
          </w:tcPr>
          <w:p>
            <w:pPr>
              <w:ind w:left="640"/>
              <w:spacing w:after="0"/>
              <w:rPr>
                <w:sz w:val="20"/>
                <w:szCs w:val="20"/>
                <w:color w:val="auto"/>
              </w:rPr>
            </w:pPr>
            <w:r>
              <w:rPr>
                <w:rFonts w:ascii="Arial" w:cs="Arial" w:eastAsia="Arial" w:hAnsi="Arial"/>
                <w:sz w:val="18"/>
                <w:szCs w:val="18"/>
                <w:color w:val="auto"/>
              </w:rPr>
              <w:t>Togo</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Costa Rica</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Italy</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Pakistan</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Trinidad and Tobago</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Croatia</w:t>
            </w:r>
          </w:p>
        </w:tc>
        <w:tc>
          <w:tcPr>
            <w:tcW w:w="2600" w:type="dxa"/>
            <w:vAlign w:val="bottom"/>
          </w:tcPr>
          <w:p>
            <w:pPr>
              <w:ind w:left="600"/>
              <w:spacing w:after="0"/>
              <w:rPr>
                <w:sz w:val="20"/>
                <w:szCs w:val="20"/>
                <w:color w:val="auto"/>
              </w:rPr>
            </w:pPr>
            <w:r>
              <w:rPr>
                <w:rFonts w:ascii="Arial" w:cs="Arial" w:eastAsia="Arial" w:hAnsi="Arial"/>
                <w:sz w:val="18"/>
                <w:szCs w:val="18"/>
                <w:color w:val="auto"/>
              </w:rPr>
              <w:t>Ivory Coast</w:t>
            </w:r>
          </w:p>
        </w:tc>
        <w:tc>
          <w:tcPr>
            <w:tcW w:w="2980" w:type="dxa"/>
            <w:vAlign w:val="bottom"/>
          </w:tcPr>
          <w:p>
            <w:pPr>
              <w:ind w:left="800"/>
              <w:spacing w:after="0"/>
              <w:rPr>
                <w:sz w:val="20"/>
                <w:szCs w:val="20"/>
                <w:color w:val="auto"/>
              </w:rPr>
            </w:pPr>
            <w:r>
              <w:rPr>
                <w:rFonts w:ascii="Arial" w:cs="Arial" w:eastAsia="Arial" w:hAnsi="Arial"/>
                <w:sz w:val="18"/>
                <w:szCs w:val="18"/>
                <w:color w:val="auto"/>
              </w:rPr>
              <w:t>Panama</w:t>
            </w:r>
          </w:p>
        </w:tc>
        <w:tc>
          <w:tcPr>
            <w:tcW w:w="3420" w:type="dxa"/>
            <w:vAlign w:val="bottom"/>
          </w:tcPr>
          <w:p>
            <w:pPr>
              <w:ind w:left="640"/>
              <w:spacing w:after="0"/>
              <w:rPr>
                <w:sz w:val="20"/>
                <w:szCs w:val="20"/>
                <w:color w:val="auto"/>
              </w:rPr>
            </w:pPr>
            <w:r>
              <w:rPr>
                <w:rFonts w:ascii="Arial" w:cs="Arial" w:eastAsia="Arial" w:hAnsi="Arial"/>
                <w:sz w:val="18"/>
                <w:szCs w:val="18"/>
                <w:color w:val="auto"/>
              </w:rPr>
              <w:t>Tunisia</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Cuba</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Japan</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Papua New Guinea</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Turkey</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Cyprus</w:t>
            </w:r>
          </w:p>
        </w:tc>
        <w:tc>
          <w:tcPr>
            <w:tcW w:w="2600" w:type="dxa"/>
            <w:vAlign w:val="bottom"/>
          </w:tcPr>
          <w:p>
            <w:pPr>
              <w:ind w:left="600"/>
              <w:spacing w:after="0"/>
              <w:rPr>
                <w:sz w:val="20"/>
                <w:szCs w:val="20"/>
                <w:color w:val="auto"/>
              </w:rPr>
            </w:pPr>
            <w:r>
              <w:rPr>
                <w:rFonts w:ascii="Arial" w:cs="Arial" w:eastAsia="Arial" w:hAnsi="Arial"/>
                <w:sz w:val="18"/>
                <w:szCs w:val="18"/>
                <w:color w:val="auto"/>
              </w:rPr>
              <w:t>Jordan</w:t>
            </w:r>
          </w:p>
        </w:tc>
        <w:tc>
          <w:tcPr>
            <w:tcW w:w="2980" w:type="dxa"/>
            <w:vAlign w:val="bottom"/>
          </w:tcPr>
          <w:p>
            <w:pPr>
              <w:ind w:left="800"/>
              <w:spacing w:after="0"/>
              <w:rPr>
                <w:sz w:val="20"/>
                <w:szCs w:val="20"/>
                <w:color w:val="auto"/>
              </w:rPr>
            </w:pPr>
            <w:r>
              <w:rPr>
                <w:rFonts w:ascii="Arial" w:cs="Arial" w:eastAsia="Arial" w:hAnsi="Arial"/>
                <w:sz w:val="18"/>
                <w:szCs w:val="18"/>
                <w:color w:val="auto"/>
              </w:rPr>
              <w:t>Paraguay</w:t>
            </w:r>
          </w:p>
        </w:tc>
        <w:tc>
          <w:tcPr>
            <w:tcW w:w="3420" w:type="dxa"/>
            <w:vAlign w:val="bottom"/>
          </w:tcPr>
          <w:p>
            <w:pPr>
              <w:ind w:left="640"/>
              <w:spacing w:after="0"/>
              <w:rPr>
                <w:sz w:val="20"/>
                <w:szCs w:val="20"/>
                <w:color w:val="auto"/>
              </w:rPr>
            </w:pPr>
            <w:r>
              <w:rPr>
                <w:rFonts w:ascii="Arial" w:cs="Arial" w:eastAsia="Arial" w:hAnsi="Arial"/>
                <w:sz w:val="18"/>
                <w:szCs w:val="18"/>
                <w:color w:val="auto"/>
              </w:rPr>
              <w:t>Uganda</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Czech Republic</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Kazakhstan</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Peru</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Ukraine</w:t>
            </w:r>
          </w:p>
        </w:tc>
      </w:tr>
      <w:tr>
        <w:trPr>
          <w:trHeight w:val="23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Democratic Republic of the Congo Kenya</w:t>
            </w:r>
          </w:p>
        </w:tc>
        <w:tc>
          <w:tcPr>
            <w:tcW w:w="2980" w:type="dxa"/>
            <w:vAlign w:val="bottom"/>
          </w:tcPr>
          <w:p>
            <w:pPr>
              <w:ind w:left="800"/>
              <w:spacing w:after="0"/>
              <w:rPr>
                <w:sz w:val="20"/>
                <w:szCs w:val="20"/>
                <w:color w:val="auto"/>
              </w:rPr>
            </w:pPr>
            <w:r>
              <w:rPr>
                <w:rFonts w:ascii="Arial" w:cs="Arial" w:eastAsia="Arial" w:hAnsi="Arial"/>
                <w:sz w:val="18"/>
                <w:szCs w:val="18"/>
                <w:color w:val="auto"/>
              </w:rPr>
              <w:t>Philippines</w:t>
            </w:r>
          </w:p>
        </w:tc>
        <w:tc>
          <w:tcPr>
            <w:tcW w:w="3420" w:type="dxa"/>
            <w:vAlign w:val="bottom"/>
          </w:tcPr>
          <w:p>
            <w:pPr>
              <w:ind w:left="640"/>
              <w:spacing w:after="0"/>
              <w:rPr>
                <w:sz w:val="20"/>
                <w:szCs w:val="20"/>
                <w:color w:val="auto"/>
              </w:rPr>
            </w:pPr>
            <w:r>
              <w:rPr>
                <w:rFonts w:ascii="Arial" w:cs="Arial" w:eastAsia="Arial" w:hAnsi="Arial"/>
                <w:sz w:val="18"/>
                <w:szCs w:val="18"/>
                <w:color w:val="auto"/>
              </w:rPr>
              <w:t>United Arab Emirates</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Denmark</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Kuwait</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Poland</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United Kingdom</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Dominican Republic</w:t>
            </w:r>
          </w:p>
        </w:tc>
        <w:tc>
          <w:tcPr>
            <w:tcW w:w="2600" w:type="dxa"/>
            <w:vAlign w:val="bottom"/>
          </w:tcPr>
          <w:p>
            <w:pPr>
              <w:ind w:left="600"/>
              <w:spacing w:after="0"/>
              <w:rPr>
                <w:sz w:val="20"/>
                <w:szCs w:val="20"/>
                <w:color w:val="auto"/>
              </w:rPr>
            </w:pPr>
            <w:r>
              <w:rPr>
                <w:rFonts w:ascii="Arial" w:cs="Arial" w:eastAsia="Arial" w:hAnsi="Arial"/>
                <w:sz w:val="18"/>
                <w:szCs w:val="18"/>
                <w:color w:val="auto"/>
              </w:rPr>
              <w:t>Kyrgyzstan</w:t>
            </w:r>
          </w:p>
        </w:tc>
        <w:tc>
          <w:tcPr>
            <w:tcW w:w="2980" w:type="dxa"/>
            <w:vAlign w:val="bottom"/>
          </w:tcPr>
          <w:p>
            <w:pPr>
              <w:ind w:left="800"/>
              <w:spacing w:after="0"/>
              <w:rPr>
                <w:sz w:val="20"/>
                <w:szCs w:val="20"/>
                <w:color w:val="auto"/>
              </w:rPr>
            </w:pPr>
            <w:r>
              <w:rPr>
                <w:rFonts w:ascii="Arial" w:cs="Arial" w:eastAsia="Arial" w:hAnsi="Arial"/>
                <w:sz w:val="18"/>
                <w:szCs w:val="18"/>
                <w:color w:val="auto"/>
              </w:rPr>
              <w:t>Portugal</w:t>
            </w:r>
          </w:p>
        </w:tc>
        <w:tc>
          <w:tcPr>
            <w:tcW w:w="3420" w:type="dxa"/>
            <w:vAlign w:val="bottom"/>
          </w:tcPr>
          <w:p>
            <w:pPr>
              <w:ind w:left="640"/>
              <w:spacing w:after="0"/>
              <w:rPr>
                <w:sz w:val="20"/>
                <w:szCs w:val="20"/>
                <w:color w:val="auto"/>
              </w:rPr>
            </w:pPr>
            <w:r>
              <w:rPr>
                <w:rFonts w:ascii="Arial" w:cs="Arial" w:eastAsia="Arial" w:hAnsi="Arial"/>
                <w:sz w:val="18"/>
                <w:szCs w:val="18"/>
                <w:color w:val="auto"/>
              </w:rPr>
              <w:t>United States</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Ecuador</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Laos</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Puerto Rico</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Uruguay</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Egypt</w:t>
            </w:r>
          </w:p>
        </w:tc>
        <w:tc>
          <w:tcPr>
            <w:tcW w:w="2600" w:type="dxa"/>
            <w:vAlign w:val="bottom"/>
          </w:tcPr>
          <w:p>
            <w:pPr>
              <w:ind w:left="600"/>
              <w:spacing w:after="0"/>
              <w:rPr>
                <w:sz w:val="20"/>
                <w:szCs w:val="20"/>
                <w:color w:val="auto"/>
              </w:rPr>
            </w:pPr>
            <w:r>
              <w:rPr>
                <w:rFonts w:ascii="Arial" w:cs="Arial" w:eastAsia="Arial" w:hAnsi="Arial"/>
                <w:sz w:val="18"/>
                <w:szCs w:val="18"/>
                <w:color w:val="auto"/>
              </w:rPr>
              <w:t>Latvia</w:t>
            </w:r>
          </w:p>
        </w:tc>
        <w:tc>
          <w:tcPr>
            <w:tcW w:w="2980" w:type="dxa"/>
            <w:vAlign w:val="bottom"/>
          </w:tcPr>
          <w:p>
            <w:pPr>
              <w:ind w:left="800"/>
              <w:spacing w:after="0"/>
              <w:rPr>
                <w:sz w:val="20"/>
                <w:szCs w:val="20"/>
                <w:color w:val="auto"/>
              </w:rPr>
            </w:pPr>
            <w:r>
              <w:rPr>
                <w:rFonts w:ascii="Arial" w:cs="Arial" w:eastAsia="Arial" w:hAnsi="Arial"/>
                <w:sz w:val="18"/>
                <w:szCs w:val="18"/>
                <w:color w:val="auto"/>
              </w:rPr>
              <w:t>Romania</w:t>
            </w:r>
          </w:p>
        </w:tc>
        <w:tc>
          <w:tcPr>
            <w:tcW w:w="3420" w:type="dxa"/>
            <w:vAlign w:val="bottom"/>
          </w:tcPr>
          <w:p>
            <w:pPr>
              <w:ind w:left="640"/>
              <w:spacing w:after="0"/>
              <w:rPr>
                <w:sz w:val="20"/>
                <w:szCs w:val="20"/>
                <w:color w:val="auto"/>
              </w:rPr>
            </w:pPr>
            <w:r>
              <w:rPr>
                <w:rFonts w:ascii="Arial" w:cs="Arial" w:eastAsia="Arial" w:hAnsi="Arial"/>
                <w:sz w:val="18"/>
                <w:szCs w:val="18"/>
                <w:color w:val="auto"/>
              </w:rPr>
              <w:t>Uzbekistan</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El Salvador</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Lebanon</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Russia</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Venezuela</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Eritrea</w:t>
            </w:r>
          </w:p>
        </w:tc>
        <w:tc>
          <w:tcPr>
            <w:tcW w:w="2600" w:type="dxa"/>
            <w:vAlign w:val="bottom"/>
          </w:tcPr>
          <w:p>
            <w:pPr>
              <w:ind w:left="600"/>
              <w:spacing w:after="0"/>
              <w:rPr>
                <w:sz w:val="20"/>
                <w:szCs w:val="20"/>
                <w:color w:val="auto"/>
              </w:rPr>
            </w:pPr>
            <w:r>
              <w:rPr>
                <w:rFonts w:ascii="Arial" w:cs="Arial" w:eastAsia="Arial" w:hAnsi="Arial"/>
                <w:sz w:val="18"/>
                <w:szCs w:val="18"/>
                <w:color w:val="auto"/>
              </w:rPr>
              <w:t>Liberia</w:t>
            </w:r>
          </w:p>
        </w:tc>
        <w:tc>
          <w:tcPr>
            <w:tcW w:w="2980" w:type="dxa"/>
            <w:vAlign w:val="bottom"/>
          </w:tcPr>
          <w:p>
            <w:pPr>
              <w:ind w:left="800"/>
              <w:spacing w:after="0"/>
              <w:rPr>
                <w:sz w:val="20"/>
                <w:szCs w:val="20"/>
                <w:color w:val="auto"/>
              </w:rPr>
            </w:pPr>
            <w:r>
              <w:rPr>
                <w:rFonts w:ascii="Arial" w:cs="Arial" w:eastAsia="Arial" w:hAnsi="Arial"/>
                <w:sz w:val="18"/>
                <w:szCs w:val="18"/>
                <w:color w:val="auto"/>
              </w:rPr>
              <w:t>Rwanda</w:t>
            </w:r>
          </w:p>
        </w:tc>
        <w:tc>
          <w:tcPr>
            <w:tcW w:w="3420" w:type="dxa"/>
            <w:vAlign w:val="bottom"/>
          </w:tcPr>
          <w:p>
            <w:pPr>
              <w:ind w:left="640"/>
              <w:spacing w:after="0"/>
              <w:rPr>
                <w:sz w:val="20"/>
                <w:szCs w:val="20"/>
                <w:color w:val="auto"/>
              </w:rPr>
            </w:pPr>
            <w:r>
              <w:rPr>
                <w:rFonts w:ascii="Arial" w:cs="Arial" w:eastAsia="Arial" w:hAnsi="Arial"/>
                <w:sz w:val="18"/>
                <w:szCs w:val="18"/>
                <w:color w:val="auto"/>
              </w:rPr>
              <w:t>Vietnam</w:t>
            </w:r>
          </w:p>
        </w:tc>
      </w:tr>
      <w:tr>
        <w:trPr>
          <w:trHeight w:val="230"/>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Estonia</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Liechtenstein</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San Marino</w:t>
            </w:r>
          </w:p>
        </w:tc>
        <w:tc>
          <w:tcPr>
            <w:tcW w:w="3420" w:type="dxa"/>
            <w:vAlign w:val="bottom"/>
            <w:shd w:val="clear" w:color="auto" w:fill="D1D2D4"/>
          </w:tcPr>
          <w:p>
            <w:pPr>
              <w:ind w:left="640"/>
              <w:spacing w:after="0"/>
              <w:rPr>
                <w:sz w:val="20"/>
                <w:szCs w:val="20"/>
                <w:color w:val="auto"/>
              </w:rPr>
            </w:pPr>
            <w:r>
              <w:rPr>
                <w:rFonts w:ascii="Arial" w:cs="Arial" w:eastAsia="Arial" w:hAnsi="Arial"/>
                <w:sz w:val="18"/>
                <w:szCs w:val="18"/>
                <w:color w:val="auto"/>
              </w:rPr>
              <w:t>Zambia</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Ethiopia</w:t>
            </w:r>
          </w:p>
        </w:tc>
        <w:tc>
          <w:tcPr>
            <w:tcW w:w="2600" w:type="dxa"/>
            <w:vAlign w:val="bottom"/>
          </w:tcPr>
          <w:p>
            <w:pPr>
              <w:ind w:left="600"/>
              <w:spacing w:after="0"/>
              <w:rPr>
                <w:sz w:val="20"/>
                <w:szCs w:val="20"/>
                <w:color w:val="auto"/>
              </w:rPr>
            </w:pPr>
            <w:r>
              <w:rPr>
                <w:rFonts w:ascii="Arial" w:cs="Arial" w:eastAsia="Arial" w:hAnsi="Arial"/>
                <w:sz w:val="18"/>
                <w:szCs w:val="18"/>
                <w:color w:val="auto"/>
              </w:rPr>
              <w:t>Lithuania</w:t>
            </w:r>
          </w:p>
        </w:tc>
        <w:tc>
          <w:tcPr>
            <w:tcW w:w="2980" w:type="dxa"/>
            <w:vAlign w:val="bottom"/>
          </w:tcPr>
          <w:p>
            <w:pPr>
              <w:ind w:left="800"/>
              <w:spacing w:after="0"/>
              <w:rPr>
                <w:sz w:val="20"/>
                <w:szCs w:val="20"/>
                <w:color w:val="auto"/>
              </w:rPr>
            </w:pPr>
            <w:r>
              <w:rPr>
                <w:rFonts w:ascii="Arial" w:cs="Arial" w:eastAsia="Arial" w:hAnsi="Arial"/>
                <w:sz w:val="18"/>
                <w:szCs w:val="18"/>
                <w:color w:val="auto"/>
              </w:rPr>
              <w:t>Saudi Arabia</w:t>
            </w:r>
          </w:p>
        </w:tc>
        <w:tc>
          <w:tcPr>
            <w:tcW w:w="3420" w:type="dxa"/>
            <w:vAlign w:val="bottom"/>
          </w:tcPr>
          <w:p>
            <w:pPr>
              <w:ind w:left="640"/>
              <w:spacing w:after="0"/>
              <w:rPr>
                <w:sz w:val="20"/>
                <w:szCs w:val="20"/>
                <w:color w:val="auto"/>
              </w:rPr>
            </w:pPr>
            <w:r>
              <w:rPr>
                <w:rFonts w:ascii="Arial" w:cs="Arial" w:eastAsia="Arial" w:hAnsi="Arial"/>
                <w:sz w:val="18"/>
                <w:szCs w:val="18"/>
                <w:color w:val="auto"/>
              </w:rPr>
              <w:t>Zimbabwe</w:t>
            </w:r>
          </w:p>
        </w:tc>
      </w:tr>
      <w:tr>
        <w:trPr>
          <w:trHeight w:val="229"/>
        </w:trPr>
        <w:tc>
          <w:tcPr>
            <w:tcW w:w="2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Fiji</w:t>
            </w:r>
          </w:p>
        </w:tc>
        <w:tc>
          <w:tcPr>
            <w:tcW w:w="2600" w:type="dxa"/>
            <w:vAlign w:val="bottom"/>
            <w:shd w:val="clear" w:color="auto" w:fill="D1D2D4"/>
          </w:tcPr>
          <w:p>
            <w:pPr>
              <w:ind w:left="600"/>
              <w:spacing w:after="0"/>
              <w:rPr>
                <w:sz w:val="20"/>
                <w:szCs w:val="20"/>
                <w:color w:val="auto"/>
              </w:rPr>
            </w:pPr>
            <w:r>
              <w:rPr>
                <w:rFonts w:ascii="Arial" w:cs="Arial" w:eastAsia="Arial" w:hAnsi="Arial"/>
                <w:sz w:val="18"/>
                <w:szCs w:val="18"/>
                <w:color w:val="auto"/>
              </w:rPr>
              <w:t>Luxembourg</w:t>
            </w:r>
          </w:p>
        </w:tc>
        <w:tc>
          <w:tcPr>
            <w:tcW w:w="2980" w:type="dxa"/>
            <w:vAlign w:val="bottom"/>
            <w:shd w:val="clear" w:color="auto" w:fill="D1D2D4"/>
          </w:tcPr>
          <w:p>
            <w:pPr>
              <w:ind w:left="800"/>
              <w:spacing w:after="0"/>
              <w:rPr>
                <w:sz w:val="20"/>
                <w:szCs w:val="20"/>
                <w:color w:val="auto"/>
              </w:rPr>
            </w:pPr>
            <w:r>
              <w:rPr>
                <w:rFonts w:ascii="Arial" w:cs="Arial" w:eastAsia="Arial" w:hAnsi="Arial"/>
                <w:sz w:val="18"/>
                <w:szCs w:val="18"/>
                <w:color w:val="auto"/>
              </w:rPr>
              <w:t>Senegal</w:t>
            </w:r>
          </w:p>
        </w:tc>
        <w:tc>
          <w:tcPr>
            <w:tcW w:w="3420" w:type="dxa"/>
            <w:vAlign w:val="bottom"/>
            <w:shd w:val="clear" w:color="auto" w:fill="D1D2D4"/>
          </w:tcPr>
          <w:p>
            <w:pPr>
              <w:spacing w:after="0"/>
              <w:rPr>
                <w:sz w:val="19"/>
                <w:szCs w:val="19"/>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Finland</w:t>
            </w:r>
          </w:p>
        </w:tc>
        <w:tc>
          <w:tcPr>
            <w:tcW w:w="2600" w:type="dxa"/>
            <w:vAlign w:val="bottom"/>
          </w:tcPr>
          <w:p>
            <w:pPr>
              <w:ind w:left="600"/>
              <w:spacing w:after="0"/>
              <w:rPr>
                <w:sz w:val="20"/>
                <w:szCs w:val="20"/>
                <w:color w:val="auto"/>
              </w:rPr>
            </w:pPr>
            <w:r>
              <w:rPr>
                <w:rFonts w:ascii="Arial" w:cs="Arial" w:eastAsia="Arial" w:hAnsi="Arial"/>
                <w:sz w:val="18"/>
                <w:szCs w:val="18"/>
                <w:color w:val="auto"/>
              </w:rPr>
              <w:t>Macau</w:t>
            </w:r>
          </w:p>
        </w:tc>
        <w:tc>
          <w:tcPr>
            <w:tcW w:w="2980" w:type="dxa"/>
            <w:vAlign w:val="bottom"/>
          </w:tcPr>
          <w:p>
            <w:pPr>
              <w:ind w:left="800"/>
              <w:spacing w:after="0"/>
              <w:rPr>
                <w:sz w:val="20"/>
                <w:szCs w:val="20"/>
                <w:color w:val="auto"/>
              </w:rPr>
            </w:pPr>
            <w:r>
              <w:rPr>
                <w:rFonts w:ascii="Arial" w:cs="Arial" w:eastAsia="Arial" w:hAnsi="Arial"/>
                <w:sz w:val="18"/>
                <w:szCs w:val="18"/>
                <w:color w:val="auto"/>
              </w:rPr>
              <w:t>Serbia</w:t>
            </w:r>
          </w:p>
        </w:tc>
        <w:tc>
          <w:tcPr>
            <w:tcW w:w="34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14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5"/>
      <w:numFmt w:val="bullet"/>
      <w:start w:val="1"/>
    </w:lvl>
  </w:abstractNum>
  <w:abstractNum w:abstractNumId="6">
    <w:nsid w:val="79E2A9E3"/>
    <w:multiLevelType w:val="hybridMultilevel"/>
    <w:lvl w:ilvl="0">
      <w:lvlJc w:val="left"/>
      <w:lvlText w:val="6"/>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2021-05-27T21:04:39Z</dcterms:created>
  <dcterms:modified xsi:type="dcterms:W3CDTF">2021-05-27T21:04:39Z</dcterms:modified>
</cp:coreProperties>
</file>