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January 29, 2015</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76"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80" w:space="720"/>
            <w:col w:w="2660" w:space="720"/>
            <w:col w:w="3180"/>
          </w:cols>
          <w:pgMar w:left="240" w:top="544" w:right="199" w:bottom="76" w:gutter="0" w:footer="0" w:header="0"/>
          <w:type w:val="continuous"/>
        </w:sectPr>
      </w:pP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60"/>
          </w:cols>
          <w:pgMar w:left="240" w:top="544" w:right="199" w:bottom="76" w:gutter="0" w:footer="0" w:header="0"/>
          <w:type w:val="continuous"/>
        </w:sectPr>
      </w:pPr>
    </w:p>
    <w:p>
      <w:pPr>
        <w:spacing w:after="0" w:line="234"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140" w:firstLine="648"/>
        <w:spacing w:after="0" w:line="257" w:lineRule="auto"/>
        <w:rPr>
          <w:sz w:val="20"/>
          <w:szCs w:val="20"/>
          <w:color w:val="auto"/>
        </w:rPr>
      </w:pPr>
      <w:r>
        <w:rPr>
          <w:rFonts w:ascii="Arial" w:cs="Arial" w:eastAsia="Arial" w:hAnsi="Arial"/>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18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Company is furnishing certain information regarding its business on Exhibit 99.1 to this report.</w:t>
      </w:r>
    </w:p>
    <w:p>
      <w:pPr>
        <w:spacing w:after="0" w:line="221"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color w:val="auto"/>
        </w:rPr>
        <w:t>On January 29, 2015, the Company issued a press release announcing the proposed private placement of senior notes due 2023. A copy of this press release is filed as Exhibit 99.2 to this report and is incorporated herein by reference.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480" w:type="dxa"/>
            <w:vAlign w:val="bottom"/>
            <w:gridSpan w:val="2"/>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r>
      <w:tr>
        <w:trPr>
          <w:trHeight w:val="50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4"/>
                <w:szCs w:val="24"/>
                <w:color w:val="auto"/>
              </w:rPr>
            </w:pPr>
          </w:p>
        </w:tc>
      </w:tr>
      <w:tr>
        <w:trPr>
          <w:trHeight w:val="365"/>
        </w:trPr>
        <w:tc>
          <w:tcPr>
            <w:tcW w:w="94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8"/>
              </w:rPr>
              <w:t>Exhibit No.</w:t>
            </w:r>
          </w:p>
        </w:tc>
        <w:tc>
          <w:tcPr>
            <w:tcW w:w="280" w:type="dxa"/>
            <w:vAlign w:val="bottom"/>
          </w:tcPr>
          <w:p>
            <w:pPr>
              <w:spacing w:after="0"/>
              <w:rPr>
                <w:sz w:val="24"/>
                <w:szCs w:val="24"/>
                <w:color w:val="auto"/>
              </w:rPr>
            </w:pPr>
          </w:p>
        </w:tc>
        <w:tc>
          <w:tcPr>
            <w:tcW w:w="10200" w:type="dxa"/>
            <w:vAlign w:val="bottom"/>
          </w:tcPr>
          <w:p>
            <w:pPr>
              <w:ind w:left="47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920" w:type="dxa"/>
            <w:vAlign w:val="bottom"/>
            <w:tcBorders>
              <w:top w:val="single" w:sz="8" w:color="auto"/>
            </w:tcBorders>
          </w:tcPr>
          <w:p>
            <w:pPr>
              <w:jc w:val="center"/>
              <w:ind w:right="190"/>
              <w:spacing w:after="0" w:line="195" w:lineRule="exact"/>
              <w:rPr>
                <w:sz w:val="20"/>
                <w:szCs w:val="20"/>
                <w:color w:val="auto"/>
              </w:rPr>
            </w:pPr>
            <w:r>
              <w:rPr>
                <w:rFonts w:ascii="Arial" w:cs="Arial" w:eastAsia="Arial" w:hAnsi="Arial"/>
                <w:sz w:val="18"/>
                <w:szCs w:val="18"/>
                <w:color w:val="auto"/>
                <w:w w:val="91"/>
              </w:rPr>
              <w:t>99.1</w:t>
            </w:r>
          </w:p>
        </w:tc>
        <w:tc>
          <w:tcPr>
            <w:tcW w:w="280" w:type="dxa"/>
            <w:vAlign w:val="bottom"/>
          </w:tcPr>
          <w:p>
            <w:pPr>
              <w:spacing w:after="0"/>
              <w:rPr>
                <w:sz w:val="16"/>
                <w:szCs w:val="16"/>
                <w:color w:val="auto"/>
              </w:rPr>
            </w:pPr>
          </w:p>
        </w:tc>
        <w:tc>
          <w:tcPr>
            <w:tcW w:w="10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Disclosure regarding Micron Technology Inc.’s business.</w:t>
            </w:r>
          </w:p>
        </w:tc>
        <w:tc>
          <w:tcPr>
            <w:tcW w:w="40" w:type="dxa"/>
            <w:vAlign w:val="bottom"/>
          </w:tcPr>
          <w:p>
            <w:pPr>
              <w:spacing w:after="0"/>
              <w:rPr>
                <w:sz w:val="16"/>
                <w:szCs w:val="16"/>
                <w:color w:val="auto"/>
              </w:rPr>
            </w:pPr>
          </w:p>
        </w:tc>
      </w:tr>
      <w:tr>
        <w:trPr>
          <w:trHeight w:val="230"/>
        </w:trPr>
        <w:tc>
          <w:tcPr>
            <w:tcW w:w="940" w:type="dxa"/>
            <w:vAlign w:val="bottom"/>
            <w:gridSpan w:val="2"/>
          </w:tcPr>
          <w:p>
            <w:pPr>
              <w:jc w:val="center"/>
              <w:ind w:right="170"/>
              <w:spacing w:after="0"/>
              <w:rPr>
                <w:sz w:val="20"/>
                <w:szCs w:val="20"/>
                <w:color w:val="auto"/>
              </w:rPr>
            </w:pPr>
            <w:r>
              <w:rPr>
                <w:rFonts w:ascii="Arial" w:cs="Arial" w:eastAsia="Arial" w:hAnsi="Arial"/>
                <w:sz w:val="18"/>
                <w:szCs w:val="18"/>
                <w:color w:val="auto"/>
                <w:w w:val="91"/>
              </w:rPr>
              <w:t>99.2</w:t>
            </w:r>
          </w:p>
        </w:tc>
        <w:tc>
          <w:tcPr>
            <w:tcW w:w="28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Press Release of Micron Technology, Inc., dated January 29, 2015, announcing offering of senior notes.</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80" w:type="dxa"/>
            <w:vAlign w:val="bottom"/>
            <w:gridSpan w:val="2"/>
          </w:tcPr>
          <w:p>
            <w:pPr>
              <w:jc w:val="right"/>
              <w:ind w:right="5574"/>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0" w:type="dxa"/>
            <w:vAlign w:val="bottom"/>
          </w:tcPr>
          <w:p>
            <w:pPr>
              <w:jc w:val="center"/>
              <w:ind w:right="1134"/>
              <w:spacing w:after="0"/>
              <w:rPr>
                <w:sz w:val="20"/>
                <w:szCs w:val="20"/>
                <w:color w:val="auto"/>
              </w:rPr>
            </w:pPr>
            <w:r>
              <w:rPr>
                <w:rFonts w:ascii="Arial" w:cs="Arial" w:eastAsia="Arial" w:hAnsi="Arial"/>
                <w:sz w:val="18"/>
                <w:szCs w:val="18"/>
                <w:b w:val="1"/>
                <w:bCs w:val="1"/>
                <w:color w:val="auto"/>
                <w:w w:val="99"/>
              </w:rPr>
              <w:t>SIGNATURE</w:t>
            </w: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76" w:gutter="0" w:footer="0" w:header="0"/>
          <w:type w:val="continuous"/>
        </w:sectPr>
      </w:pPr>
    </w:p>
    <w:bookmarkStart w:id="1" w:name="page2"/>
    <w:bookmarkEnd w:id="1"/>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January 29, 2015</w:t>
            </w:r>
          </w:p>
        </w:tc>
        <w:tc>
          <w:tcPr>
            <w:tcW w:w="2800" w:type="dxa"/>
            <w:vAlign w:val="bottom"/>
          </w:tcPr>
          <w:p>
            <w:pPr>
              <w:ind w:left="20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8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800" w:type="dxa"/>
            <w:vAlign w:val="bottom"/>
          </w:tcPr>
          <w:p>
            <w:pPr>
              <w:ind w:left="20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4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Vice President of Finance</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800" w:type="dxa"/>
            <w:vAlign w:val="bottom"/>
          </w:tcPr>
          <w:p>
            <w:pPr>
              <w:ind w:left="198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60" w:type="dxa"/>
            <w:vAlign w:val="bottom"/>
          </w:tcPr>
          <w:p>
            <w:pPr>
              <w:jc w:val="center"/>
              <w:ind w:right="1076"/>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jc w:val="center"/>
              <w:ind w:right="1056"/>
              <w:spacing w:after="0"/>
              <w:rPr>
                <w:sz w:val="20"/>
                <w:szCs w:val="20"/>
                <w:color w:val="auto"/>
              </w:rPr>
            </w:pPr>
            <w:r>
              <w:rPr>
                <w:rFonts w:ascii="Arial" w:cs="Arial" w:eastAsia="Arial" w:hAnsi="Arial"/>
                <w:sz w:val="18"/>
                <w:szCs w:val="18"/>
                <w:b w:val="1"/>
                <w:bCs w:val="1"/>
                <w:color w:val="auto"/>
                <w:w w:val="98"/>
              </w:rPr>
              <w:t>THE CURRENT REPORT ON FORM 8-K DATED JANUARY 29, 2015</w:t>
            </w:r>
          </w:p>
        </w:tc>
        <w:tc>
          <w:tcPr>
            <w:tcW w:w="40" w:type="dxa"/>
            <w:vAlign w:val="bottom"/>
          </w:tcPr>
          <w:p>
            <w:pPr>
              <w:spacing w:after="0"/>
              <w:rPr>
                <w:sz w:val="20"/>
                <w:szCs w:val="20"/>
                <w:color w:val="auto"/>
              </w:rPr>
            </w:pPr>
          </w:p>
        </w:tc>
      </w:tr>
      <w:tr>
        <w:trPr>
          <w:trHeight w:val="365"/>
        </w:trPr>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Exhibit No.</w:t>
            </w:r>
          </w:p>
        </w:tc>
        <w:tc>
          <w:tcPr>
            <w:tcW w:w="220" w:type="dxa"/>
            <w:vAlign w:val="bottom"/>
          </w:tcPr>
          <w:p>
            <w:pPr>
              <w:spacing w:after="0"/>
              <w:rPr>
                <w:sz w:val="24"/>
                <w:szCs w:val="2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940" w:type="dxa"/>
            <w:vAlign w:val="bottom"/>
          </w:tcPr>
          <w:p>
            <w:pPr>
              <w:jc w:val="center"/>
              <w:ind w:right="176"/>
              <w:spacing w:after="0"/>
              <w:rPr>
                <w:sz w:val="20"/>
                <w:szCs w:val="20"/>
                <w:color w:val="auto"/>
              </w:rPr>
            </w:pPr>
            <w:r>
              <w:rPr>
                <w:rFonts w:ascii="Arial" w:cs="Arial" w:eastAsia="Arial" w:hAnsi="Arial"/>
                <w:sz w:val="18"/>
                <w:szCs w:val="18"/>
                <w:color w:val="auto"/>
                <w:w w:val="91"/>
              </w:rPr>
              <w:t>99.1</w:t>
            </w:r>
          </w:p>
        </w:tc>
        <w:tc>
          <w:tcPr>
            <w:tcW w:w="10480" w:type="dxa"/>
            <w:vAlign w:val="bottom"/>
            <w:gridSpan w:val="2"/>
          </w:tcPr>
          <w:p>
            <w:pPr>
              <w:ind w:left="220"/>
              <w:spacing w:after="0"/>
              <w:rPr>
                <w:sz w:val="20"/>
                <w:szCs w:val="20"/>
                <w:color w:val="auto"/>
              </w:rPr>
            </w:pPr>
            <w:r>
              <w:rPr>
                <w:rFonts w:ascii="Arial" w:cs="Arial" w:eastAsia="Arial" w:hAnsi="Arial"/>
                <w:sz w:val="18"/>
                <w:szCs w:val="18"/>
                <w:color w:val="auto"/>
              </w:rPr>
              <w:t>Disclosure regarding Micron Technology Inc.’s business.</w:t>
            </w:r>
          </w:p>
        </w:tc>
        <w:tc>
          <w:tcPr>
            <w:tcW w:w="40" w:type="dxa"/>
            <w:vAlign w:val="bottom"/>
          </w:tcPr>
          <w:p>
            <w:pPr>
              <w:spacing w:after="0"/>
              <w:rPr>
                <w:sz w:val="24"/>
                <w:szCs w:val="24"/>
                <w:color w:val="auto"/>
              </w:rPr>
            </w:pPr>
          </w:p>
        </w:tc>
      </w:tr>
      <w:tr>
        <w:trPr>
          <w:trHeight w:val="230"/>
        </w:trPr>
        <w:tc>
          <w:tcPr>
            <w:tcW w:w="940" w:type="dxa"/>
            <w:vAlign w:val="bottom"/>
          </w:tcPr>
          <w:p>
            <w:pPr>
              <w:jc w:val="center"/>
              <w:ind w:right="176"/>
              <w:spacing w:after="0"/>
              <w:rPr>
                <w:sz w:val="20"/>
                <w:szCs w:val="20"/>
                <w:color w:val="auto"/>
              </w:rPr>
            </w:pPr>
            <w:r>
              <w:rPr>
                <w:rFonts w:ascii="Arial" w:cs="Arial" w:eastAsia="Arial" w:hAnsi="Arial"/>
                <w:sz w:val="18"/>
                <w:szCs w:val="18"/>
                <w:color w:val="auto"/>
                <w:w w:val="91"/>
              </w:rPr>
              <w:t>99.2</w:t>
            </w:r>
          </w:p>
        </w:tc>
        <w:tc>
          <w:tcPr>
            <w:tcW w:w="10480" w:type="dxa"/>
            <w:vAlign w:val="bottom"/>
            <w:gridSpan w:val="2"/>
          </w:tcPr>
          <w:p>
            <w:pPr>
              <w:ind w:left="220"/>
              <w:spacing w:after="0"/>
              <w:rPr>
                <w:sz w:val="20"/>
                <w:szCs w:val="20"/>
                <w:color w:val="auto"/>
              </w:rPr>
            </w:pPr>
            <w:r>
              <w:rPr>
                <w:rFonts w:ascii="Arial" w:cs="Arial" w:eastAsia="Arial" w:hAnsi="Arial"/>
                <w:sz w:val="18"/>
                <w:szCs w:val="18"/>
                <w:color w:val="auto"/>
              </w:rPr>
              <w:t>Press Release of Micron Technology, Inc., dated January 29, 2015, announcing offering of senior notes.</w:t>
            </w:r>
          </w:p>
        </w:tc>
        <w:tc>
          <w:tcPr>
            <w:tcW w:w="4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10480" w:type="dxa"/>
            <w:vAlign w:val="bottom"/>
            <w:gridSpan w:val="2"/>
          </w:tcPr>
          <w:p>
            <w:pPr>
              <w:jc w:val="center"/>
              <w:ind w:right="856"/>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132"/>
        </w:trPr>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169545</wp:posOffset>
            </wp:positionV>
            <wp:extent cx="6689090" cy="5017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9090" cy="50171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200" w:type="dxa"/>
            <w:vAlign w:val="bottom"/>
          </w:tcPr>
          <w:p>
            <w:pPr>
              <w:spacing w:after="0"/>
              <w:rPr>
                <w:sz w:val="20"/>
                <w:szCs w:val="20"/>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Contacts:</w:t>
            </w:r>
          </w:p>
        </w:tc>
        <w:tc>
          <w:tcPr>
            <w:tcW w:w="2360" w:type="dxa"/>
            <w:vAlign w:val="bottom"/>
          </w:tcPr>
          <w:p>
            <w:pPr>
              <w:ind w:left="340"/>
              <w:spacing w:after="0"/>
              <w:rPr>
                <w:sz w:val="20"/>
                <w:szCs w:val="20"/>
                <w:color w:val="auto"/>
              </w:rPr>
            </w:pPr>
            <w:r>
              <w:rPr>
                <w:rFonts w:ascii="Arial" w:cs="Arial" w:eastAsia="Arial" w:hAnsi="Arial"/>
                <w:sz w:val="18"/>
                <w:szCs w:val="18"/>
                <w:color w:val="auto"/>
              </w:rPr>
              <w:t>Kipp A. Bedard</w:t>
            </w:r>
          </w:p>
        </w:tc>
        <w:tc>
          <w:tcPr>
            <w:tcW w:w="2200" w:type="dxa"/>
            <w:vAlign w:val="bottom"/>
          </w:tcPr>
          <w:p>
            <w:pPr>
              <w:ind w:left="420"/>
              <w:spacing w:after="0"/>
              <w:rPr>
                <w:sz w:val="20"/>
                <w:szCs w:val="20"/>
                <w:color w:val="auto"/>
              </w:rPr>
            </w:pPr>
            <w:r>
              <w:rPr>
                <w:rFonts w:ascii="Arial" w:cs="Arial" w:eastAsia="Arial" w:hAnsi="Arial"/>
                <w:sz w:val="18"/>
                <w:szCs w:val="18"/>
                <w:color w:val="auto"/>
              </w:rPr>
              <w:t>Daniel Francisco</w:t>
            </w:r>
          </w:p>
        </w:tc>
      </w:tr>
      <w:tr>
        <w:trPr>
          <w:trHeight w:val="216"/>
        </w:trPr>
        <w:tc>
          <w:tcPr>
            <w:tcW w:w="100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Investor Relations</w:t>
            </w:r>
          </w:p>
        </w:tc>
        <w:tc>
          <w:tcPr>
            <w:tcW w:w="2200" w:type="dxa"/>
            <w:vAlign w:val="bottom"/>
          </w:tcPr>
          <w:p>
            <w:pPr>
              <w:ind w:left="420"/>
              <w:spacing w:after="0"/>
              <w:rPr>
                <w:sz w:val="20"/>
                <w:szCs w:val="20"/>
                <w:color w:val="auto"/>
              </w:rPr>
            </w:pPr>
            <w:r>
              <w:rPr>
                <w:rFonts w:ascii="Arial" w:cs="Arial" w:eastAsia="Arial" w:hAnsi="Arial"/>
                <w:sz w:val="18"/>
                <w:szCs w:val="18"/>
                <w:color w:val="auto"/>
              </w:rPr>
              <w:t>Media Relations</w:t>
            </w:r>
          </w:p>
        </w:tc>
      </w:tr>
      <w:tr>
        <w:trPr>
          <w:trHeight w:val="216"/>
        </w:trPr>
        <w:tc>
          <w:tcPr>
            <w:tcW w:w="100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kbedard@micron.com</w:t>
            </w:r>
          </w:p>
        </w:tc>
        <w:tc>
          <w:tcPr>
            <w:tcW w:w="2200" w:type="dxa"/>
            <w:vAlign w:val="bottom"/>
          </w:tcPr>
          <w:p>
            <w:pPr>
              <w:ind w:left="42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1000" w:type="dxa"/>
            <w:vAlign w:val="bottom"/>
          </w:tcPr>
          <w:p>
            <w:pPr>
              <w:spacing w:after="0"/>
              <w:rPr>
                <w:sz w:val="20"/>
                <w:szCs w:val="20"/>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(208) 368-4465</w:t>
            </w:r>
          </w:p>
        </w:tc>
        <w:tc>
          <w:tcPr>
            <w:tcW w:w="2200" w:type="dxa"/>
            <w:vAlign w:val="bottom"/>
          </w:tcPr>
          <w:p>
            <w:pPr>
              <w:ind w:left="420"/>
              <w:spacing w:after="0"/>
              <w:rPr>
                <w:sz w:val="20"/>
                <w:szCs w:val="20"/>
                <w:color w:val="auto"/>
              </w:rPr>
            </w:pPr>
            <w:r>
              <w:rPr>
                <w:rFonts w:ascii="Arial" w:cs="Arial" w:eastAsia="Arial" w:hAnsi="Arial"/>
                <w:sz w:val="18"/>
                <w:szCs w:val="18"/>
                <w:color w:val="auto"/>
              </w:rPr>
              <w:t>(208) 368-5584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ANNOUNCES PROPOSED $750 MILLION OFFERING OF SENIOR NOTES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BOISE, Idaho, January 29, 2015 — Micron Technology, Inc., (NASDAQ: MU) today announced that it intends to offer, subject to market and other considerations, $750 million aggregate principal amount of senior notes due 2023 (the “Notes”) through an offering to qualified institutional buyers pursuant to Rule 144A under the Securities Act of 1933, as amended (the “Securities Act”), and outside the United States to non-U.S. persons pursuant to Regulation S under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interest rate, redemption provisions and other terms of the Notes will be determined by negotiations between Micron and the initial purchasers.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Micron intends to use the net proceeds from the offering for the retirement or repurchase of convertible notes and debt and general corporate purposes.</w:t>
      </w:r>
    </w:p>
    <w:p>
      <w:pPr>
        <w:spacing w:after="0" w:line="23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This announcement does not constitute an offer to sell or a solicitation of an offer to buy any of the foregoing securities, nor shall there be any offer, solicitation or sale in any state or jurisdiction in which such an offer, solicitation or sale would be unlawful.</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Notes have not been registered under the Securities Act or any state securities laws and may not be offered or sold in the United States absent registration or an applicable exemption from such registration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2019-12-05T22:10:53Z</dcterms:created>
  <dcterms:modified xsi:type="dcterms:W3CDTF">2019-12-05T22:10:53Z</dcterms:modified>
</cp:coreProperties>
</file>