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February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Material Definitive Agreement.</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On February 4, 2019, Micron Technology, Inc. (“Micron”) entered into an underwriting agreement with Morgan Stanley &amp; Co. LLC, BNP Paribas Securities Corp. and Credit Suisse Securities (USA) LLC, as representatives of the several underwriters named therein (the “Underwriters”), relating to the issuance and sale by the Company of $600,000,000 aggregate principal amount of 4.640% senior unsecured notes due February 6, 2024 (the “2024 Notes”), $500,000,000 aggregate principal amount of 4.975% senior unsecured notes due February 6, 2026 (the “2026 Notes”) and $700,000,000 aggregate principal amount of 5.327% senior unsecured notes due February 6, 2029 (the “2029 Notes” and, together with the 2024 Notes and the 2026 Notes, the “Notes”). The Notes were issued and sold in a public offering pursuant to a registration statement on Form S-3 (File No. 333-220882), including the prospectus contained therein, filed with the Securities and Exchange Commission (the “SEC”) under the Securities Act of 1933, as amended, a preliminary prospectus supplement dated February 4, 2019 and a related final prospectus supplement dated February 4, 2019. The transaction closed on February 6, 2019.</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Underwriting Agreement includes customary representations, warranties and covenants by the Company. Under the terms of the Underwriting Agreement, the Company has agreed to indemnify the Underwriters against certain liabilities.</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description of the Underwriting Agreement contained herein is qualified in its entirety by reference to the Underwriting Agreement filed as Exhibit 1.1 to this Current Report on Form 8-K and incorporated herein by reference.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Indenture and Supplemental Indenture</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Each series of Notes was issued pursuant to an indenture, dated as of February 6, 2019 (the “Base Indenture”), as supplemented by a first supplemental indenture, dated as of February 6, 2019 (the “Supplemental Indenture” and referred to together with the Base Indenture as the “Indenture”), between Micron and U.S. Bank National Association, as trustee. The Indenture contains certain covenants, events of default and other customary provisions.</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2024 Notes bear interest at a rate of 4.640% per year and will mature on February 6, 2024. The 2026 Notes bear interest at a rate of 4.975% per year and will mature on February 6, 2026. The 2029 Notes bear interest at a rate of 5.327% per year and will mature on February 6, 2029. Interest on the 2024 Notes is payable on February 6 and August 6 of each year, beginning on August 6, 2019. Interest on the 2026 Notes is payable on February 6 and August 6 of each year, beginning on August 6, 2019. Interest on the 2029 Notes is payable on February 6 and August 6 of each year, beginning on August 6,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Micron may redeem some or all of the applicable series of Notes, at any time or from time to time, at a redemption price equal to the greater of</w:t>
      </w:r>
    </w:p>
    <w:p>
      <w:pPr>
        <w:spacing w:after="0" w:line="35" w:lineRule="exact"/>
        <w:rPr>
          <w:sz w:val="20"/>
          <w:szCs w:val="20"/>
          <w:color w:val="auto"/>
        </w:rPr>
      </w:pPr>
    </w:p>
    <w:p>
      <w:pPr>
        <w:ind w:firstLine="8"/>
        <w:spacing w:after="0" w:line="271"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100% of the principal amount of the Notes to be redeemed and (ii) the sum of the present values of the remaining scheduled payments of principal and interest thereon that would be due if the Notes of such series matured on the applicable Par Call Date (exclusive of interest accrued to the date of redemption), discounted to the date of redemption on a semi-annual basis (assuming a 360-day year consisting of twelve 30-day months) at the then current Treasury Rate plus 35 basis points for the 2024 Notes, 40 basis points for the 2026 Notes and 40 basis points for the 2029 Notes, plus, in each case, accrued and unpaid interest, if any, on the amount being redeemed to, but excluding, the date of redemption.</w:t>
      </w:r>
    </w:p>
    <w:p>
      <w:pPr>
        <w:spacing w:after="0" w:line="17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 addition, Micron may redeem any 2024 Notes, 2026 Notes or 2029 Notes on or the applicable Par Call Date at a redemption price equal to 100% of the principal amount of the Notes redeemed, plus accrued and unpaid interest, if any, to, but excluding, the date of redemption. The Notes are unsecured and rank equally in right of payment with all of Micron’s other unsecured senior indebtedness.</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of each series at a price equal to 101% of the principal amount of the Notes repurchased, plus accrued and unpaid interest, if any.</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“Par Call Date” means (i) January 6, 2024 with respect to any 2024 Notes (one month prior to the maturity date of the 2024 Notes), (ii) December 6, 2025 with respect to any 2026 Notes (two months prior to the maturity date of the 2026 Notes) and (iii) November 6, 2028 with respect to any 2029 Notes (three months prior to the maturity date of the 2029 Notes).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right="120" w:firstLine="648"/>
        <w:spacing w:after="0" w:line="259" w:lineRule="auto"/>
        <w:rPr>
          <w:sz w:val="20"/>
          <w:szCs w:val="20"/>
          <w:color w:val="auto"/>
        </w:rPr>
      </w:pPr>
      <w:r>
        <w:rPr>
          <w:rFonts w:ascii="Arial" w:cs="Arial" w:eastAsia="Arial" w:hAnsi="Arial"/>
          <w:sz w:val="18"/>
          <w:szCs w:val="18"/>
          <w:color w:val="auto"/>
        </w:rPr>
        <w:t>The Indenture contains limited affirmative and negative covenants of Micron; each of which are subject to a number of limitations and exceptions in the Indenture. The negative covenants restrict the ability of Micron and certain of its subsidiaries to incur liens on principal property (as defined in the Indenture); to engage in sale and lease-back transactions with respect to any principal property; and the ability of Micron to consolidate, merge or convey, transfer or lease all or substantially all of its properties and assets.</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Events of default under the Indenture include a failure to make payments, non-performance of affirmative and negative covenants, and the occurrence of bankruptcy and insolvency-related events. Micron’s obligations may be accelerated upon an event of default, in which case the entire principal amount of the Notes would become immediately due and payable.</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Micron intends to use the net proceeds of the offering of the notes primarily for the extinguishment of its obligations with respect to its 3.00% Convertible Senior Notes due 2043, which may include payments in settlement of conversion or redemption. Micron intends to use the remaining net proceeds of the offering of the notes for general corporate purposes, which may include capital expenditures, working capital and the repayment, repurchase, redemption or other retirement of our existing indebtedness.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foregoing description of certain terms of the Indenture does not purport to be complete and is qualified in its entirety by reference to the full text of the Base Indenture, the Supplemental Indenture, the form of the 2024 Notes, the form of the 2026 Notes and the form of the 2029 Notes which are filed with this report as Exhibits 4.1, 4.2, 4.3, 4.4 and 4.5,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Wilson Sonsini Goodrich &amp; Rosati, Professional Corporation, counsel to Micron, has issued an opinion to Micron dated February 6, 2019 regarding the legality of the Notes. A copy of the opinion is filed as Exhibit 5.1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0" w:type="dxa"/>
            <w:vAlign w:val="bottom"/>
            <w:gridSpan w:val="8"/>
          </w:tcPr>
          <w:p>
            <w:pPr>
              <w:ind w:left="40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9"/>
          </w:tcPr>
          <w:p>
            <w:pPr>
              <w:spacing w:after="0" w:line="170"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Underwriting Agreement, dated February 4, 2019, by and among Micron Technology, Inc. and Morgan Stanley &amp; Co. LLC, BNP Paribas</w:t>
              </w:r>
            </w:hyperlink>
          </w:p>
        </w:tc>
        <w:tc>
          <w:tcPr>
            <w:tcW w:w="4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80" w:type="dxa"/>
            <w:vAlign w:val="bottom"/>
            <w:tcBorders>
              <w:top w:val="single" w:sz="8" w:color="0000EE"/>
            </w:tcBorders>
            <w:gridSpan w:val="9"/>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Securities Corp. and Credit Suisse Securities (USA) LLC, as representatives of the several underwriters on Schedule I attached thereto</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Indenture, dated February 6, 2019, by and between Micron Technology, Inc. and U.S. Bank National Association, as Trustee</w:t>
              </w:r>
            </w:hyperlink>
          </w:p>
        </w:tc>
        <w:tc>
          <w:tcPr>
            <w:tcW w:w="720" w:type="dxa"/>
            <w:vAlign w:val="bottom"/>
            <w:tcBorders>
              <w:top w:val="single" w:sz="8" w:color="0000EE"/>
            </w:tcBorders>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94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Supplemental Indenture, dated February 6, 2019, by and between Micron Technology, Inc. and U.S. Bank National Association, as</w:t>
              </w:r>
            </w:hyperlink>
          </w:p>
        </w:tc>
        <w:tc>
          <w:tcPr>
            <w:tcW w:w="50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10"/>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Trustee</w:t>
              </w:r>
            </w:hyperlink>
          </w:p>
        </w:tc>
        <w:tc>
          <w:tcPr>
            <w:tcW w:w="40" w:type="dxa"/>
            <w:vAlign w:val="bottom"/>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4.3</w:t>
            </w:r>
          </w:p>
        </w:tc>
        <w:tc>
          <w:tcPr>
            <w:tcW w:w="340" w:type="dxa"/>
            <w:vAlign w:val="bottom"/>
          </w:tcPr>
          <w:p>
            <w:pPr>
              <w:spacing w:after="0"/>
              <w:rPr>
                <w:sz w:val="17"/>
                <w:szCs w:val="17"/>
                <w:color w:val="auto"/>
              </w:rPr>
            </w:pPr>
          </w:p>
        </w:tc>
        <w:tc>
          <w:tcPr>
            <w:tcW w:w="8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Form of Note for Micron Technology, Inc.’s 4.640% Notes due 2024 (incorporated by reference from Exhibit 4.2 hereto)</w:t>
              </w:r>
            </w:hyperlink>
          </w:p>
        </w:tc>
        <w:tc>
          <w:tcPr>
            <w:tcW w:w="12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4.4</w:t>
            </w:r>
          </w:p>
        </w:tc>
        <w:tc>
          <w:tcPr>
            <w:tcW w:w="340" w:type="dxa"/>
            <w:vAlign w:val="bottom"/>
          </w:tcPr>
          <w:p>
            <w:pPr>
              <w:spacing w:after="0"/>
              <w:rPr>
                <w:sz w:val="17"/>
                <w:szCs w:val="17"/>
                <w:color w:val="auto"/>
              </w:rPr>
            </w:pPr>
          </w:p>
        </w:tc>
        <w:tc>
          <w:tcPr>
            <w:tcW w:w="8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Form of Note for Micron Technology, Inc.’s 4.975% Notes due 2026 (incorporated by reference from Exhibit 4.2 hereto)</w:t>
              </w:r>
            </w:hyperlink>
          </w:p>
        </w:tc>
        <w:tc>
          <w:tcPr>
            <w:tcW w:w="12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4.5</w:t>
            </w:r>
          </w:p>
        </w:tc>
        <w:tc>
          <w:tcPr>
            <w:tcW w:w="340" w:type="dxa"/>
            <w:vAlign w:val="bottom"/>
          </w:tcPr>
          <w:p>
            <w:pPr>
              <w:spacing w:after="0"/>
              <w:rPr>
                <w:sz w:val="17"/>
                <w:szCs w:val="17"/>
                <w:color w:val="auto"/>
              </w:rPr>
            </w:pPr>
          </w:p>
        </w:tc>
        <w:tc>
          <w:tcPr>
            <w:tcW w:w="8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Form of Note for Micron Technology, Inc.’s 5.327% Notes due 2029 (incorporated by reference from Exhibit 4.2 hereto)</w:t>
              </w:r>
            </w:hyperlink>
          </w:p>
        </w:tc>
        <w:tc>
          <w:tcPr>
            <w:tcW w:w="122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52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148">
              <w:r>
                <w:rPr>
                  <w:rFonts w:ascii="Arial" w:cs="Arial" w:eastAsia="Arial" w:hAnsi="Arial"/>
                  <w:sz w:val="18"/>
                  <w:szCs w:val="18"/>
                  <w:color w:val="0000EE"/>
                  <w:w w:val="92"/>
                </w:rPr>
                <w:t>Opinion of Wilson Sonsini Goodrich &amp; Rosati, Professional Corporation</w:t>
              </w:r>
            </w:hyperlink>
          </w:p>
        </w:tc>
        <w:tc>
          <w:tcPr>
            <w:tcW w:w="468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23.1</w:t>
            </w:r>
          </w:p>
        </w:tc>
        <w:tc>
          <w:tcPr>
            <w:tcW w:w="340" w:type="dxa"/>
            <w:vAlign w:val="bottom"/>
          </w:tcPr>
          <w:p>
            <w:pPr>
              <w:spacing w:after="0"/>
              <w:rPr>
                <w:sz w:val="17"/>
                <w:szCs w:val="17"/>
                <w:color w:val="auto"/>
              </w:rPr>
            </w:pPr>
          </w:p>
        </w:tc>
        <w:tc>
          <w:tcPr>
            <w:tcW w:w="9920" w:type="dxa"/>
            <w:vAlign w:val="bottom"/>
            <w:gridSpan w:val="10"/>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Consent of Wilson Sonsini Goodrich &amp; Rosati, Professional Corporation (included in Exhibit 5.1)</w:t>
              </w:r>
            </w:hyperlink>
          </w:p>
        </w:tc>
        <w:tc>
          <w:tcPr>
            <w:tcW w:w="4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5220" w:type="dxa"/>
            <w:vAlign w:val="bottom"/>
            <w:tcBorders>
              <w:top w:val="single" w:sz="8" w:color="0000EE"/>
            </w:tcBorders>
            <w:gridSpan w:val="2"/>
          </w:tcPr>
          <w:p>
            <w:pPr>
              <w:jc w:val="right"/>
              <w:ind w:right="908"/>
              <w:spacing w:after="0"/>
              <w:rPr>
                <w:sz w:val="20"/>
                <w:szCs w:val="20"/>
                <w:color w:val="auto"/>
              </w:rPr>
            </w:pPr>
            <w:r>
              <w:rPr>
                <w:rFonts w:ascii="Arial" w:cs="Arial" w:eastAsia="Arial" w:hAnsi="Arial"/>
                <w:sz w:val="18"/>
                <w:szCs w:val="18"/>
                <w:color w:val="auto"/>
              </w:rPr>
              <w:t>3</w:t>
            </w:r>
          </w:p>
        </w:tc>
        <w:tc>
          <w:tcPr>
            <w:tcW w:w="180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7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David A. Zinsner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2019</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337"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$600,000,000 4.64% SENIOR NOTES DUE 2024</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$500,000,000 4.975% SENIOR NOTES DUE 2026</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$700,000,000 5.327% SENIOR NOTES DUE 2029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February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February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Representatives of the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BNP Paribas Securities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10010-3629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underwriters listed in Schedule I hereto (the “</w:t>
      </w:r>
      <w:r>
        <w:rPr>
          <w:rFonts w:ascii="Arial" w:cs="Arial" w:eastAsia="Arial" w:hAnsi="Arial"/>
          <w:sz w:val="16"/>
          <w:szCs w:val="16"/>
          <w:b w:val="1"/>
          <w:bCs w:val="1"/>
          <w:color w:val="auto"/>
        </w:rPr>
        <w:t>Underwriters</w:t>
      </w:r>
      <w:r>
        <w:rPr>
          <w:rFonts w:ascii="Arial" w:cs="Arial" w:eastAsia="Arial" w:hAnsi="Arial"/>
          <w:sz w:val="16"/>
          <w:szCs w:val="16"/>
          <w:color w:val="auto"/>
        </w:rPr>
        <w:t>”), for whom you are acting as representatives (the “</w:t>
      </w:r>
      <w:r>
        <w:rPr>
          <w:rFonts w:ascii="Arial" w:cs="Arial" w:eastAsia="Arial" w:hAnsi="Arial"/>
          <w:sz w:val="16"/>
          <w:szCs w:val="16"/>
          <w:b w:val="1"/>
          <w:bCs w:val="1"/>
          <w:color w:val="auto"/>
        </w:rPr>
        <w:t>Representatives</w:t>
      </w:r>
      <w:r>
        <w:rPr>
          <w:rFonts w:ascii="Arial" w:cs="Arial" w:eastAsia="Arial" w:hAnsi="Arial"/>
          <w:sz w:val="16"/>
          <w:szCs w:val="16"/>
          <w:color w:val="auto"/>
        </w:rPr>
        <w:t>”), $600,000,000 principal amount of its 4.64% Senior Notes due 2024 (the “</w:t>
      </w:r>
      <w:r>
        <w:rPr>
          <w:rFonts w:ascii="Arial" w:cs="Arial" w:eastAsia="Arial" w:hAnsi="Arial"/>
          <w:sz w:val="16"/>
          <w:szCs w:val="16"/>
          <w:b w:val="1"/>
          <w:bCs w:val="1"/>
          <w:color w:val="auto"/>
        </w:rPr>
        <w:t>2024 Notes</w:t>
      </w:r>
      <w:r>
        <w:rPr>
          <w:rFonts w:ascii="Arial" w:cs="Arial" w:eastAsia="Arial" w:hAnsi="Arial"/>
          <w:sz w:val="16"/>
          <w:szCs w:val="16"/>
          <w:color w:val="auto"/>
        </w:rPr>
        <w:t>”), $500,000,000 principal amount of its 4.975% Senior Notes due 2026 (the “</w:t>
      </w:r>
      <w:r>
        <w:rPr>
          <w:rFonts w:ascii="Arial" w:cs="Arial" w:eastAsia="Arial" w:hAnsi="Arial"/>
          <w:sz w:val="16"/>
          <w:szCs w:val="16"/>
          <w:b w:val="1"/>
          <w:bCs w:val="1"/>
          <w:color w:val="auto"/>
        </w:rPr>
        <w:t>2026 Notes</w:t>
      </w:r>
      <w:r>
        <w:rPr>
          <w:rFonts w:ascii="Arial" w:cs="Arial" w:eastAsia="Arial" w:hAnsi="Arial"/>
          <w:sz w:val="16"/>
          <w:szCs w:val="16"/>
          <w:color w:val="auto"/>
        </w:rPr>
        <w:t>”) and $700,000,000 principal amount of its 5.327% Senior Notes due 2029 (the “</w:t>
      </w:r>
      <w:r>
        <w:rPr>
          <w:rFonts w:ascii="Arial" w:cs="Arial" w:eastAsia="Arial" w:hAnsi="Arial"/>
          <w:sz w:val="16"/>
          <w:szCs w:val="16"/>
          <w:b w:val="1"/>
          <w:bCs w:val="1"/>
          <w:color w:val="auto"/>
        </w:rPr>
        <w:t>2029 Notes</w:t>
      </w:r>
      <w:r>
        <w:rPr>
          <w:rFonts w:ascii="Arial" w:cs="Arial" w:eastAsia="Arial" w:hAnsi="Arial"/>
          <w:sz w:val="16"/>
          <w:szCs w:val="16"/>
          <w:color w:val="auto"/>
        </w:rPr>
        <w:t>” and, together with the 2024 Notes and the 2026 Notes,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issued pursuant to a base indenture, as supplemented by the first supplemental indenture to such base indenture (collectively, the “</w:t>
      </w:r>
      <w:r>
        <w:rPr>
          <w:rFonts w:ascii="Arial" w:cs="Arial" w:eastAsia="Arial" w:hAnsi="Arial"/>
          <w:sz w:val="16"/>
          <w:szCs w:val="16"/>
          <w:b w:val="1"/>
          <w:bCs w:val="1"/>
          <w:color w:val="auto"/>
        </w:rPr>
        <w:t>Indenture</w:t>
      </w:r>
      <w:r>
        <w:rPr>
          <w:rFonts w:ascii="Arial" w:cs="Arial" w:eastAsia="Arial" w:hAnsi="Arial"/>
          <w:sz w:val="16"/>
          <w:szCs w:val="16"/>
          <w:color w:val="auto"/>
        </w:rPr>
        <w:t>”), each to be dated as of the Closing Date (as defined below), between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sale of the Securities, the Company has prepared and filed with the Securities and Exchange Commission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under the Securities Act of 1933, as amended, and the rules and regulations of the Commission thereunder (collectively, the “</w:t>
      </w:r>
      <w:r>
        <w:rPr>
          <w:rFonts w:ascii="Arial" w:cs="Arial" w:eastAsia="Arial" w:hAnsi="Arial"/>
          <w:sz w:val="16"/>
          <w:szCs w:val="16"/>
          <w:b w:val="1"/>
          <w:bCs w:val="1"/>
          <w:color w:val="auto"/>
        </w:rPr>
        <w:t>Securities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w:t>
      </w:r>
      <w:r>
        <w:rPr>
          <w:rFonts w:ascii="Arial" w:cs="Arial" w:eastAsia="Arial" w:hAnsi="Arial"/>
          <w:sz w:val="16"/>
          <w:szCs w:val="16"/>
          <w:color w:val="auto"/>
        </w:rPr>
        <w:t>”), a registration statement on Form S-3 (File No. 333-220882) including a prospectus, relating to the securities identified therein that may be issued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from time to time. Such registration statement, as amended at the time it became effective, including the information, if any, deemed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Rule 430A, 430B or 430C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under the Securities Act to be part of the registration statement at the time of its effectiveness (“</w:t>
      </w:r>
      <w:r>
        <w:rPr>
          <w:rFonts w:ascii="Arial" w:cs="Arial" w:eastAsia="Arial" w:hAnsi="Arial"/>
          <w:sz w:val="17"/>
          <w:szCs w:val="17"/>
          <w:b w:val="1"/>
          <w:bCs w:val="1"/>
          <w:color w:val="auto"/>
        </w:rPr>
        <w:t>Rule 430 Information</w:t>
      </w:r>
      <w:r>
        <w:rPr>
          <w:rFonts w:ascii="Arial" w:cs="Arial" w:eastAsia="Arial" w:hAnsi="Arial"/>
          <w:sz w:val="17"/>
          <w:szCs w:val="17"/>
          <w:color w:val="auto"/>
        </w:rPr>
        <w:t>”), is referred to herein as the</w:t>
      </w:r>
    </w:p>
    <w:p>
      <w:pPr>
        <w:spacing w:after="0" w:line="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as used herein,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the preliminary prospectus supplement of the Company, dated February 4, 2019, relating to the Securities, and filed with the Commission pursuant to Rule 424(b) under the Securities Act together with the prospectus included in the Registration Statement at the time of its effectiveness that omitted Rule 430 Information, and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final prospectus relating to the Securities in the form first furnished to the Underwriters (or made available upon request of purchasers pursuant to Rule 173 under the Securities Act) for use in connection with confirmation of sales of the Securities. Any reference in this underwriting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w:t>
      </w:r>
      <w:r>
        <w:rPr>
          <w:rFonts w:ascii="Arial" w:cs="Arial" w:eastAsia="Arial" w:hAnsi="Arial"/>
          <w:sz w:val="16"/>
          <w:szCs w:val="16"/>
          <w:b w:val="1"/>
          <w:bCs w:val="1"/>
          <w:color w:val="auto"/>
        </w:rPr>
        <w:t>amend</w:t>
      </w:r>
      <w:r>
        <w:rPr>
          <w:rFonts w:ascii="Arial" w:cs="Arial" w:eastAsia="Arial" w:hAnsi="Arial"/>
          <w:sz w:val="16"/>
          <w:szCs w:val="16"/>
          <w:color w:val="auto"/>
        </w:rPr>
        <w:t>”, “</w:t>
      </w:r>
      <w:r>
        <w:rPr>
          <w:rFonts w:ascii="Arial" w:cs="Arial" w:eastAsia="Arial" w:hAnsi="Arial"/>
          <w:sz w:val="16"/>
          <w:szCs w:val="16"/>
          <w:b w:val="1"/>
          <w:bCs w:val="1"/>
          <w:color w:val="auto"/>
        </w:rPr>
        <w:t>amendment</w:t>
      </w:r>
      <w:r>
        <w:rPr>
          <w:rFonts w:ascii="Arial" w:cs="Arial" w:eastAsia="Arial" w:hAnsi="Arial"/>
          <w:sz w:val="16"/>
          <w:szCs w:val="16"/>
          <w:color w:val="auto"/>
        </w:rPr>
        <w:t>” or “</w:t>
      </w:r>
      <w:r>
        <w:rPr>
          <w:rFonts w:ascii="Arial" w:cs="Arial" w:eastAsia="Arial" w:hAnsi="Arial"/>
          <w:sz w:val="16"/>
          <w:szCs w:val="16"/>
          <w:b w:val="1"/>
          <w:bCs w:val="1"/>
          <w:color w:val="auto"/>
        </w:rPr>
        <w:t>supplement</w:t>
      </w:r>
      <w:r>
        <w:rPr>
          <w:rFonts w:ascii="Arial" w:cs="Arial" w:eastAsia="Arial" w:hAnsi="Arial"/>
          <w:sz w:val="16"/>
          <w:szCs w:val="16"/>
          <w:color w:val="auto"/>
        </w:rPr>
        <w:t>” with respect to the Registration Statement, any Preliminary Prospectus or the Prospectus shall be deemed to refer to and include any documents filed after such date under the Securities Exchange Act of 1934, as amended, and the rules and regulations of the Commission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that are deemed to be incorporated by reference therein. Capitalized terms used but not defined herein shall have the meanings given to such terms in the Registration Statement and the Prospectus.</w:t>
      </w:r>
    </w:p>
    <w:p>
      <w:pPr>
        <w:spacing w:after="0" w:line="163"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At or prior to the Applicable Time (as defined below), the Company had prepared the following information (collectively, the “</w:t>
      </w:r>
      <w:r>
        <w:rPr>
          <w:rFonts w:ascii="Arial" w:cs="Arial" w:eastAsia="Arial" w:hAnsi="Arial"/>
          <w:sz w:val="18"/>
          <w:szCs w:val="18"/>
          <w:b w:val="1"/>
          <w:bCs w:val="1"/>
          <w:color w:val="auto"/>
        </w:rPr>
        <w:t>Time of Sale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a Preliminary Prospectus dated February 4, 2019, and each “</w:t>
      </w:r>
      <w:r>
        <w:rPr>
          <w:rFonts w:ascii="Arial" w:cs="Arial" w:eastAsia="Arial" w:hAnsi="Arial"/>
          <w:sz w:val="18"/>
          <w:szCs w:val="18"/>
          <w:b w:val="1"/>
          <w:bCs w:val="1"/>
          <w:color w:val="auto"/>
        </w:rPr>
        <w:t>free-writing prospectus</w:t>
      </w:r>
      <w:r>
        <w:rPr>
          <w:rFonts w:ascii="Arial" w:cs="Arial" w:eastAsia="Arial" w:hAnsi="Arial"/>
          <w:sz w:val="18"/>
          <w:szCs w:val="18"/>
          <w:color w:val="auto"/>
        </w:rPr>
        <w:t>” (as defined pursuant to Rule 405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listed on Schedule II hereto. “</w:t>
      </w:r>
      <w:r>
        <w:rPr>
          <w:rFonts w:ascii="Arial" w:cs="Arial" w:eastAsia="Arial" w:hAnsi="Arial"/>
          <w:sz w:val="18"/>
          <w:szCs w:val="18"/>
          <w:b w:val="1"/>
          <w:bCs w:val="1"/>
          <w:color w:val="auto"/>
        </w:rPr>
        <w:t>Applicable Time</w:t>
      </w:r>
      <w:r>
        <w:rPr>
          <w:rFonts w:ascii="Arial" w:cs="Arial" w:eastAsia="Arial" w:hAnsi="Arial"/>
          <w:sz w:val="18"/>
          <w:szCs w:val="18"/>
          <w:color w:val="auto"/>
        </w:rPr>
        <w:t>” means 8:55 p.m., New York City time, on February 4, 2019.</w:t>
      </w:r>
    </w:p>
    <w:p>
      <w:pPr>
        <w:spacing w:after="0" w:line="180"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225" w:lineRule="exact"/>
        <w:rPr>
          <w:rFonts w:ascii="Arial" w:cs="Arial" w:eastAsia="Arial" w:hAnsi="Arial"/>
          <w:sz w:val="18"/>
          <w:szCs w:val="18"/>
          <w:color w:val="auto"/>
        </w:rPr>
      </w:pPr>
    </w:p>
    <w:p>
      <w:pPr>
        <w:ind w:left="660" w:right="60" w:firstLine="645"/>
        <w:spacing w:after="0" w:line="293" w:lineRule="auto"/>
        <w:tabs>
          <w:tab w:leader="none" w:pos="1954" w:val="left"/>
        </w:tabs>
        <w:numPr>
          <w:ilvl w:val="1"/>
          <w:numId w:val="3"/>
        </w:numPr>
        <w:rPr>
          <w:rFonts w:ascii="Arial" w:cs="Arial" w:eastAsia="Arial" w:hAnsi="Arial"/>
          <w:sz w:val="16"/>
          <w:szCs w:val="16"/>
          <w:color w:val="auto"/>
        </w:rPr>
      </w:pPr>
      <w:r>
        <w:rPr>
          <w:rFonts w:ascii="Arial" w:cs="Arial" w:eastAsia="Arial" w:hAnsi="Arial"/>
          <w:sz w:val="16"/>
          <w:szCs w:val="16"/>
          <w:color w:val="auto"/>
        </w:rPr>
        <w:t>No order preventing or suspending the use of any Preliminary Prospectus has been issued by the Commission, and the Preliminary Prospectus included in the Time of Sale Information,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 w:name="page8"/>
    <w:bookmarkEnd w:id="7"/>
    <w:p>
      <w:pPr>
        <w:ind w:right="820"/>
        <w:spacing w:after="0" w:line="277" w:lineRule="auto"/>
        <w:rPr>
          <w:sz w:val="20"/>
          <w:szCs w:val="20"/>
          <w:color w:val="auto"/>
        </w:rPr>
      </w:pPr>
      <w:r>
        <w:rPr>
          <w:rFonts w:ascii="Arial" w:cs="Arial" w:eastAsia="Arial" w:hAnsi="Arial"/>
          <w:sz w:val="18"/>
          <w:szCs w:val="18"/>
          <w:color w:val="auto"/>
        </w:rPr>
        <w:t>in any Preliminary Prospectus, it being understood and agreed that the only such information furnished by any Underwriter consists of the information described as such in Section 8(b) hereof.</w:t>
      </w:r>
    </w:p>
    <w:p>
      <w:pPr>
        <w:spacing w:after="0" w:line="170" w:lineRule="exact"/>
        <w:rPr>
          <w:sz w:val="20"/>
          <w:szCs w:val="20"/>
          <w:color w:val="auto"/>
        </w:rPr>
      </w:pPr>
    </w:p>
    <w:p>
      <w:pPr>
        <w:ind w:right="100" w:firstLine="645"/>
        <w:spacing w:after="0" w:line="271" w:lineRule="auto"/>
        <w:tabs>
          <w:tab w:leader="none" w:pos="1304"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 Time of Sale Information, at the Applicable Time,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Time of Sale Information, it being understood and agreed that the only such information furnished by any Underwriter consists of the information described as such in Section 8(b) hereof. No statement of material fact included in the Prospectus has been omitted from the Time of Sale Information and no statement of material fact included in the Time of Sale Information that is required to be included in the Prospectus has been omitted therefrom.</w:t>
      </w:r>
    </w:p>
    <w:p>
      <w:pPr>
        <w:spacing w:after="0" w:line="178" w:lineRule="exact"/>
        <w:rPr>
          <w:rFonts w:ascii="Arial" w:cs="Arial" w:eastAsia="Arial" w:hAnsi="Arial"/>
          <w:sz w:val="17"/>
          <w:szCs w:val="17"/>
          <w:color w:val="auto"/>
        </w:rPr>
      </w:pPr>
    </w:p>
    <w:p>
      <w:pPr>
        <w:ind w:firstLine="645"/>
        <w:spacing w:after="0" w:line="268" w:lineRule="auto"/>
        <w:tabs>
          <w:tab w:leader="none" w:pos="1307"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than the Registration Statement, the Preliminary Prospectus and the Prospectus, the Company (including its agents and representatives, other than the Underwriters in their capacity as such) has not prepared, made, used, authorized, approved or referred to and will not prepare, make, use, authorize, approve or refer to any “</w:t>
      </w:r>
      <w:r>
        <w:rPr>
          <w:rFonts w:ascii="Arial" w:cs="Arial" w:eastAsia="Arial" w:hAnsi="Arial"/>
          <w:sz w:val="17"/>
          <w:szCs w:val="17"/>
          <w:b w:val="1"/>
          <w:bCs w:val="1"/>
          <w:color w:val="auto"/>
        </w:rPr>
        <w:t>written communication</w:t>
      </w:r>
      <w:r>
        <w:rPr>
          <w:rFonts w:ascii="Arial" w:cs="Arial" w:eastAsia="Arial" w:hAnsi="Arial"/>
          <w:sz w:val="17"/>
          <w:szCs w:val="17"/>
          <w:color w:val="auto"/>
        </w:rPr>
        <w:t>” (as defined in Rule 405 under the Securities Act) that constitutes an offer to sell or solicitation of an offer to buy the Securities (each such communication by the Company or its agents and representatives (other than a communication referred to in clause (i) below) an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other than (i) any document not constituting a prospectus pursuant to Section 2(a)(10)(a) of the Securities Act or Rule 134 under the Securities Act or (ii) the documents listed on Schedule II hereto, each 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Time of Sale Information and, when taken together with any other Issuer Free Writing Prospectus, the Preliminary Prospectus accompanying or delivered prior to the first delivery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or warranty with respect to any statements or omissions made in each such</w:t>
      </w:r>
    </w:p>
    <w:p>
      <w:pPr>
        <w:spacing w:after="0" w:line="18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t>Issuer Free Writing Prospectus in reliance upon and in conformity with 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8(b) hereof.</w:t>
      </w:r>
    </w:p>
    <w:p>
      <w:pPr>
        <w:spacing w:after="0" w:line="183" w:lineRule="exact"/>
        <w:rPr>
          <w:sz w:val="20"/>
          <w:szCs w:val="20"/>
          <w:color w:val="auto"/>
        </w:rPr>
      </w:pPr>
    </w:p>
    <w:p>
      <w:pPr>
        <w:ind w:firstLine="645"/>
        <w:spacing w:after="0" w:line="285" w:lineRule="auto"/>
        <w:tabs>
          <w:tab w:leader="none" w:pos="1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Registration Statement is an “</w:t>
      </w:r>
      <w:r>
        <w:rPr>
          <w:rFonts w:ascii="Arial" w:cs="Arial" w:eastAsia="Arial" w:hAnsi="Arial"/>
          <w:sz w:val="16"/>
          <w:szCs w:val="16"/>
          <w:b w:val="1"/>
          <w:bCs w:val="1"/>
          <w:color w:val="auto"/>
        </w:rPr>
        <w:t>automatic shelf registration statement</w:t>
      </w:r>
      <w:r>
        <w:rPr>
          <w:rFonts w:ascii="Arial" w:cs="Arial" w:eastAsia="Arial" w:hAnsi="Arial"/>
          <w:sz w:val="16"/>
          <w:szCs w:val="16"/>
          <w:color w:val="auto"/>
        </w:rPr>
        <w:t>” as defined under Rule 405 of the Securities Act that has been filed with the Commission not earlier than three years prior to the date hereof; and no notice of objection of the Commission to the use of such registration statement or any post-effective amendment thereto pursuant to Rule 401(g)(2) under the Securities Act has been received by the Company. No order suspending the effectiveness of the Registration Statement has been issued by the Commission and no proceeding for that purpose or pursuant to Section 8A of the Securities Act against the Company or related to the offering of the Securities has been initiated or, to the knowledge of the Company, threatened by the Commission; as of the applicable effective date of the Registration Statement and any post-effective amendment thereto, the Registration Statement and any post-effective amendment complied and will comply in all material respects with the Securities Act and the Trust Indenture Act of 1939, as amended, and the rules and regulations of the Commission thereunder (collectively, the “</w:t>
      </w:r>
      <w:r>
        <w:rPr>
          <w:rFonts w:ascii="Arial" w:cs="Arial" w:eastAsia="Arial" w:hAnsi="Arial"/>
          <w:sz w:val="16"/>
          <w:szCs w:val="16"/>
          <w:b w:val="1"/>
          <w:bCs w:val="1"/>
          <w:color w:val="auto"/>
        </w:rPr>
        <w:t>Trust</w:t>
      </w:r>
      <w:r>
        <w:rPr>
          <w:rFonts w:ascii="Arial" w:cs="Arial" w:eastAsia="Arial" w:hAnsi="Arial"/>
          <w:sz w:val="16"/>
          <w:szCs w:val="16"/>
          <w:color w:val="auto"/>
        </w:rPr>
        <w:t xml:space="preserve"> </w:t>
      </w:r>
      <w:r>
        <w:rPr>
          <w:rFonts w:ascii="Arial" w:cs="Arial" w:eastAsia="Arial" w:hAnsi="Arial"/>
          <w:sz w:val="16"/>
          <w:szCs w:val="16"/>
          <w:b w:val="1"/>
          <w:bCs w:val="1"/>
          <w:color w:val="auto"/>
        </w:rPr>
        <w:t>Indenture Act</w:t>
      </w:r>
      <w:r>
        <w:rPr>
          <w:rFonts w:ascii="Arial" w:cs="Arial" w:eastAsia="Arial" w:hAnsi="Arial"/>
          <w:sz w:val="16"/>
          <w:szCs w:val="16"/>
          <w:color w:val="auto"/>
        </w:rPr>
        <w:t>”), and did not and will not contain any untrue statement of a material fact or omit to state a material fact required to be stated therein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necessary in order to make the statements therein not misleading; and as of the date of the Prospectus and any amendment or supplement thereto and as of the Closing Date the Prospectus does not and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or warranty with respect to (i) that part of the Registration Statement that constitutes the Statement of Eligibility and Qualification (Form T-1) of the Trustee under the Trust Indenture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179" w:lineRule="exact"/>
        <w:rPr>
          <w:rFonts w:ascii="Arial" w:cs="Arial" w:eastAsia="Arial" w:hAnsi="Arial"/>
          <w:sz w:val="16"/>
          <w:szCs w:val="16"/>
          <w:color w:val="auto"/>
        </w:rPr>
      </w:pPr>
    </w:p>
    <w:p>
      <w:pPr>
        <w:ind w:right="100" w:firstLine="645"/>
        <w:spacing w:after="0" w:line="277" w:lineRule="auto"/>
        <w:tabs>
          <w:tab w:leader="none" w:pos="13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documents incorporated by reference in each of the Registration Statement, the Prospectus and the Time of Sale Information, when they became effective or were filed with the Commission, as the</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t>case may be, conformed in all material respects to the requirements of the Securities Act or the Exchange Act, as applicable,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Time of Sale Information, when such documents become effective or are filed with the Commission, as the case may be, will conform in all material respects to the requirements of the Securities Act or the Exchange Act, as applicable, and will not contain any untrue statement of a material fact or omit to state a material fact necessary to make the statements therein, in the light of the circumstances under which they were made, not misleading.</w:t>
      </w:r>
    </w:p>
    <w:p>
      <w:pPr>
        <w:spacing w:after="0" w:line="189" w:lineRule="exact"/>
        <w:rPr>
          <w:sz w:val="20"/>
          <w:szCs w:val="20"/>
          <w:color w:val="auto"/>
        </w:rPr>
      </w:pPr>
    </w:p>
    <w:p>
      <w:pPr>
        <w:ind w:firstLine="645"/>
        <w:spacing w:after="0" w:line="255" w:lineRule="auto"/>
        <w:tabs>
          <w:tab w:leader="none" w:pos="13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under the laws of the jurisdiction of its incorporation, has the corporate power and authority to own its property and to conduct its business as described in the Registration Statement, the Time of Sale Information and the Prospectus and is duly qualified to transact business in each jurisdiction in which the conduct of its business or its ownership or leasing of property requires such qualification, except where the failure to be so qualified, individually or in the aggregate, would not reasonably be expected to result in a Material Adverse Effect (as defined below). The Company is in good standing in each jurisdiction identified on Schedule III hereto.</w:t>
      </w:r>
    </w:p>
    <w:p>
      <w:pPr>
        <w:spacing w:after="0" w:line="193" w:lineRule="exact"/>
        <w:rPr>
          <w:rFonts w:ascii="Arial" w:cs="Arial" w:eastAsia="Arial" w:hAnsi="Arial"/>
          <w:sz w:val="18"/>
          <w:szCs w:val="18"/>
          <w:color w:val="auto"/>
        </w:rPr>
      </w:pPr>
    </w:p>
    <w:p>
      <w:pPr>
        <w:ind w:left="1320" w:hanging="675"/>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140" w:firstLine="645"/>
        <w:spacing w:after="0" w:line="286" w:lineRule="auto"/>
        <w:tabs>
          <w:tab w:leader="none" w:pos="1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Registration Statement, the Time of Sale Information and the Prospectus, and all of the shares of common stock of the Company, par value $0.10 per share (“</w:t>
      </w:r>
      <w:r>
        <w:rPr>
          <w:rFonts w:ascii="Arial" w:cs="Arial" w:eastAsia="Arial" w:hAnsi="Arial"/>
          <w:sz w:val="17"/>
          <w:szCs w:val="17"/>
          <w:b w:val="1"/>
          <w:bCs w:val="1"/>
          <w:color w:val="auto"/>
        </w:rPr>
        <w:t>Common Stock</w:t>
      </w:r>
      <w:r>
        <w:rPr>
          <w:rFonts w:ascii="Arial" w:cs="Arial" w:eastAsia="Arial" w:hAnsi="Arial"/>
          <w:sz w:val="17"/>
          <w:szCs w:val="17"/>
          <w:color w:val="auto"/>
        </w:rPr>
        <w:t>”) outstanding prior to the issuance of the Securities have been duly authorized and are validly issued, fully paid and non-assessable.</w:t>
      </w:r>
    </w:p>
    <w:p>
      <w:pPr>
        <w:spacing w:after="0" w:line="165" w:lineRule="exact"/>
        <w:rPr>
          <w:rFonts w:ascii="Arial" w:cs="Arial" w:eastAsia="Arial" w:hAnsi="Arial"/>
          <w:sz w:val="17"/>
          <w:szCs w:val="17"/>
          <w:color w:val="auto"/>
        </w:rPr>
      </w:pPr>
    </w:p>
    <w:p>
      <w:pPr>
        <w:ind w:firstLine="645"/>
        <w:spacing w:after="0" w:line="255" w:lineRule="auto"/>
        <w:tabs>
          <w:tab w:leader="none" w:pos="131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executed and authenticated in accordance with the provisions of the Indenture and delivered to and paid for by the Underwriters in accordance with the terms of this Agreement (assuming due authentication by the Trustee in the manner described in the Indenture),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w:t>
      </w:r>
    </w:p>
    <w:p>
      <w:pPr>
        <w:spacing w:after="0" w:line="1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color w:val="auto"/>
        </w:rPr>
        <w:t>proceeding at law or in equity) (collectively, the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and will be entitled to the benefits of the Indenture.</w:t>
      </w:r>
    </w:p>
    <w:p>
      <w:pPr>
        <w:spacing w:after="0" w:line="229" w:lineRule="exact"/>
        <w:rPr>
          <w:sz w:val="20"/>
          <w:szCs w:val="20"/>
          <w:color w:val="auto"/>
        </w:rPr>
      </w:pPr>
    </w:p>
    <w:p>
      <w:pPr>
        <w:ind w:left="4" w:right="600" w:firstLine="645"/>
        <w:spacing w:after="0" w:line="297" w:lineRule="auto"/>
        <w:tabs>
          <w:tab w:leader="none" w:pos="130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Indenture has been duly qualified under the Trust Indenture Act and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 will conform in all material respects to the descriptions thereof in the Registration Statement, the Time of Sale Information and the Prospectus. The Indenture will conform in all material respects to the requirements of the Trust Indenture Act.</w:t>
      </w:r>
    </w:p>
    <w:p>
      <w:pPr>
        <w:spacing w:after="0" w:line="158" w:lineRule="exact"/>
        <w:rPr>
          <w:rFonts w:ascii="Arial" w:cs="Arial" w:eastAsia="Arial" w:hAnsi="Arial"/>
          <w:sz w:val="16"/>
          <w:szCs w:val="16"/>
          <w:color w:val="auto"/>
        </w:rPr>
      </w:pPr>
    </w:p>
    <w:p>
      <w:pPr>
        <w:ind w:left="4" w:right="40" w:firstLine="645"/>
        <w:spacing w:after="0" w:line="283" w:lineRule="auto"/>
        <w:tabs>
          <w:tab w:leader="none" w:pos="1308"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the Indenture and the Securities will not conflict with or result in a breach of or violation of any of the terms or provisions of or constitute a default under any agreement or other instrument binding upon the Company or any of its “significant subsidiaries” (as defined in Regulation S-X promulgated under the Securities Act; each a “</w:t>
      </w:r>
      <w:r>
        <w:rPr>
          <w:rFonts w:ascii="Arial" w:cs="Arial" w:eastAsia="Arial" w:hAnsi="Arial"/>
          <w:sz w:val="16"/>
          <w:szCs w:val="16"/>
          <w:b w:val="1"/>
          <w:bCs w:val="1"/>
          <w:color w:val="auto"/>
        </w:rPr>
        <w:t>Significant Subsidiary</w:t>
      </w:r>
      <w:r>
        <w:rPr>
          <w:rFonts w:ascii="Arial" w:cs="Arial" w:eastAsia="Arial" w:hAnsi="Arial"/>
          <w:sz w:val="16"/>
          <w:szCs w:val="16"/>
          <w:color w:val="auto"/>
        </w:rPr>
        <w:t>” and collectively, the “</w:t>
      </w:r>
      <w:r>
        <w:rPr>
          <w:rFonts w:ascii="Arial" w:cs="Arial" w:eastAsia="Arial" w:hAnsi="Arial"/>
          <w:sz w:val="16"/>
          <w:szCs w:val="16"/>
          <w:b w:val="1"/>
          <w:bCs w:val="1"/>
          <w:color w:val="auto"/>
        </w:rPr>
        <w:t>Significant Subsidiaries</w:t>
      </w:r>
      <w:r>
        <w:rPr>
          <w:rFonts w:ascii="Arial" w:cs="Arial" w:eastAsia="Arial" w:hAnsi="Arial"/>
          <w:sz w:val="16"/>
          <w:szCs w:val="16"/>
          <w:color w:val="auto"/>
        </w:rPr>
        <w:t>”), except where such breach, violation or default would not have a Material Adverse Effect on the Company’s ability to perform its obligations under this Agreement, the Indenture or the Securities, nor will such action result in any violation of (i) the provisions of the certificate of incorporation or by-laws of the Company or (ii) any judgment, order or decree of any governmental body, agency or court having jurisdiction over the Company or any Significant Subsidiary or, to the Company’s knowledge, any applicable statute, except in the case of (ii) above, where such violation would not have a Material Adverse Effect on the Company’s ability to perform its obligations under this Agreement, the Indenture or the Securities; and no consent, approval, authorization or order of, or qualification with, any governmental body or agency is required for the performance by the Company of its obligations under this Agreement, the Indenture and the Securities, except for those (1) that have been, or will have been prior to the Closing Date, obtained and</w:t>
      </w:r>
    </w:p>
    <w:p>
      <w:pPr>
        <w:spacing w:after="0" w:line="4" w:lineRule="exact"/>
        <w:rPr>
          <w:rFonts w:ascii="Arial" w:cs="Arial" w:eastAsia="Arial" w:hAnsi="Arial"/>
          <w:sz w:val="16"/>
          <w:szCs w:val="16"/>
          <w:color w:val="auto"/>
        </w:rPr>
      </w:pPr>
    </w:p>
    <w:p>
      <w:pPr>
        <w:ind w:left="4" w:right="100" w:hanging="4"/>
        <w:spacing w:after="0" w:line="255"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may be required by the securities or Blue Sky laws of the various states in connection with the offer and sale of the Securities, except, in each case, where the failure to obtain such consents, individually or in the aggregate, would not have a Material Adverse Effect on the offering of the Securities.</w:t>
      </w:r>
    </w:p>
    <w:p>
      <w:pPr>
        <w:spacing w:after="0" w:line="190" w:lineRule="exact"/>
        <w:rPr>
          <w:rFonts w:ascii="Arial" w:cs="Arial" w:eastAsia="Arial" w:hAnsi="Arial"/>
          <w:sz w:val="18"/>
          <w:szCs w:val="18"/>
          <w:color w:val="auto"/>
        </w:rPr>
      </w:pPr>
    </w:p>
    <w:p>
      <w:pPr>
        <w:jc w:val="both"/>
        <w:ind w:left="4" w:firstLine="645"/>
        <w:spacing w:after="0" w:line="342" w:lineRule="auto"/>
        <w:tabs>
          <w:tab w:leader="none" w:pos="1322"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w:t>
      </w:r>
    </w:p>
    <w:p>
      <w:pPr>
        <w:spacing w:after="0" w:line="124"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37"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as a whole, from that set forth in the Registration Statement and Time of Sale Information.</w:t>
      </w:r>
    </w:p>
    <w:p>
      <w:pPr>
        <w:spacing w:after="0" w:line="225" w:lineRule="exact"/>
        <w:rPr>
          <w:sz w:val="20"/>
          <w:szCs w:val="20"/>
          <w:color w:val="auto"/>
        </w:rPr>
      </w:pPr>
    </w:p>
    <w:p>
      <w:pPr>
        <w:ind w:right="140" w:firstLine="645"/>
        <w:spacing w:after="0" w:line="276"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than as set forth in the Registration Statement, Time of Sale Information and Prospectus, (i) there are no legal or governmental proceedings (“</w:t>
      </w:r>
      <w:r>
        <w:rPr>
          <w:rFonts w:ascii="Arial" w:cs="Arial" w:eastAsia="Arial" w:hAnsi="Arial"/>
          <w:sz w:val="17"/>
          <w:szCs w:val="17"/>
          <w:b w:val="1"/>
          <w:bCs w:val="1"/>
          <w:color w:val="auto"/>
        </w:rPr>
        <w:t>Actions</w:t>
      </w:r>
      <w:r>
        <w:rPr>
          <w:rFonts w:ascii="Arial" w:cs="Arial" w:eastAsia="Arial" w:hAnsi="Arial"/>
          <w:sz w:val="17"/>
          <w:szCs w:val="17"/>
          <w:color w:val="auto"/>
        </w:rPr>
        <w:t>”) pending to which the Company or any of its subsidiaries is a party or to which any of the 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7"/>
          <w:szCs w:val="17"/>
          <w:b w:val="1"/>
          <w:bCs w:val="1"/>
          <w:color w:val="auto"/>
        </w:rPr>
        <w:t>Material Adverse</w:t>
      </w:r>
      <w:r>
        <w:rPr>
          <w:rFonts w:ascii="Arial" w:cs="Arial" w:eastAsia="Arial" w:hAnsi="Arial"/>
          <w:sz w:val="17"/>
          <w:szCs w:val="17"/>
          <w:color w:val="auto"/>
        </w:rPr>
        <w:t xml:space="preserve"> </w:t>
      </w:r>
      <w:r>
        <w:rPr>
          <w:rFonts w:ascii="Arial" w:cs="Arial" w:eastAsia="Arial" w:hAnsi="Arial"/>
          <w:sz w:val="17"/>
          <w:szCs w:val="17"/>
          <w:b w:val="1"/>
          <w:bCs w:val="1"/>
          <w:color w:val="auto"/>
        </w:rPr>
        <w:t>Effect</w:t>
      </w:r>
      <w:r>
        <w:rPr>
          <w:rFonts w:ascii="Arial" w:cs="Arial" w:eastAsia="Arial" w:hAnsi="Arial"/>
          <w:sz w:val="17"/>
          <w:szCs w:val="17"/>
          <w:color w:val="auto"/>
        </w:rPr>
        <w:t>”); and (ii) to the Company’s knowledge, no such Actions are threatened by governmental authorities or by others.</w:t>
      </w:r>
    </w:p>
    <w:p>
      <w:pPr>
        <w:spacing w:after="0" w:line="172" w:lineRule="exact"/>
        <w:rPr>
          <w:rFonts w:ascii="Arial" w:cs="Arial" w:eastAsia="Arial" w:hAnsi="Arial"/>
          <w:sz w:val="17"/>
          <w:szCs w:val="17"/>
          <w:color w:val="auto"/>
        </w:rPr>
      </w:pPr>
    </w:p>
    <w:p>
      <w:pPr>
        <w:ind w:right="20" w:firstLine="645"/>
        <w:spacing w:after="0" w:line="297" w:lineRule="auto"/>
        <w:tabs>
          <w:tab w:leader="none" w:pos="1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its Significant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Significant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58" w:lineRule="exact"/>
        <w:rPr>
          <w:rFonts w:ascii="Arial" w:cs="Arial" w:eastAsia="Arial" w:hAnsi="Arial"/>
          <w:sz w:val="16"/>
          <w:szCs w:val="16"/>
          <w:color w:val="auto"/>
        </w:rPr>
      </w:pPr>
    </w:p>
    <w:p>
      <w:pPr>
        <w:ind w:right="160" w:firstLine="645"/>
        <w:spacing w:after="0" w:line="264" w:lineRule="auto"/>
        <w:tabs>
          <w:tab w:leader="none" w:pos="1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statements set forth in each of the Time of Sale Information and the Final Prospectus under the caption “Description of Notes,” insofar as they purport to constitute a summary of the terms of the Indenture and the Securities, fairly summarize such terms in all material respects.</w:t>
      </w:r>
    </w:p>
    <w:p>
      <w:pPr>
        <w:spacing w:after="0" w:line="181" w:lineRule="exact"/>
        <w:rPr>
          <w:rFonts w:ascii="Arial" w:cs="Arial" w:eastAsia="Arial" w:hAnsi="Arial"/>
          <w:sz w:val="18"/>
          <w:szCs w:val="18"/>
          <w:color w:val="auto"/>
        </w:rPr>
      </w:pPr>
    </w:p>
    <w:p>
      <w:pPr>
        <w:ind w:firstLine="645"/>
        <w:spacing w:after="0" w:line="264" w:lineRule="auto"/>
        <w:tabs>
          <w:tab w:leader="none" w:pos="130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Securities Act and the rules and regulations of the Commission thereunder.</w:t>
      </w:r>
    </w:p>
    <w:p>
      <w:pPr>
        <w:spacing w:after="0" w:line="181" w:lineRule="exact"/>
        <w:rPr>
          <w:rFonts w:ascii="Arial" w:cs="Arial" w:eastAsia="Arial" w:hAnsi="Arial"/>
          <w:sz w:val="18"/>
          <w:szCs w:val="18"/>
          <w:color w:val="auto"/>
        </w:rPr>
      </w:pPr>
    </w:p>
    <w:p>
      <w:pPr>
        <w:ind w:right="140" w:firstLine="645"/>
        <w:spacing w:after="0" w:line="302" w:lineRule="auto"/>
        <w:tabs>
          <w:tab w:leader="none" w:pos="1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w:t>
      </w:r>
    </w:p>
    <w:p>
      <w:pPr>
        <w:spacing w:after="0" w:line="15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2" w:name="page13"/>
    <w:bookmarkEnd w:id="12"/>
    <w:p>
      <w:pPr>
        <w:ind w:right="40"/>
        <w:spacing w:after="0" w:line="255" w:lineRule="auto"/>
        <w:rPr>
          <w:sz w:val="20"/>
          <w:szCs w:val="20"/>
          <w:color w:val="auto"/>
        </w:rPr>
      </w:pPr>
      <w:r>
        <w:rPr>
          <w:rFonts w:ascii="Arial" w:cs="Arial" w:eastAsia="Arial" w:hAnsi="Arial"/>
          <w:sz w:val="18"/>
          <w:szCs w:val="18"/>
          <w:color w:val="auto"/>
        </w:rPr>
        <w:t>America. The Company maintains internal accounting controls sufficient to provide reasonable assurance that interactive data in eXtensible Business Reporting Language included or incorporated by reference in each of the Registration Statement, Time of Sale Information and the Prospectus is prepared in accordance with the Commission’s rules and guidelines applicable thereto. Except as disclosed in the Registration Statement, Time of Sale Information and Prospectus, the Company’s internal control over financial reporting and the Company’s internal control over financial reporting was effective as of November 29, 2018 and the Company is not aware of any material weaknesses in its internal control over financial reporting.</w:t>
      </w:r>
    </w:p>
    <w:p>
      <w:pPr>
        <w:spacing w:after="0" w:line="193" w:lineRule="exact"/>
        <w:rPr>
          <w:sz w:val="20"/>
          <w:szCs w:val="20"/>
          <w:color w:val="auto"/>
        </w:rPr>
      </w:pPr>
    </w:p>
    <w:p>
      <w:pPr>
        <w:ind w:right="140" w:firstLine="645"/>
        <w:spacing w:after="0" w:line="302" w:lineRule="auto"/>
        <w:tabs>
          <w:tab w:leader="none" w:pos="13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November 29, 2018.</w:t>
      </w:r>
    </w:p>
    <w:p>
      <w:pPr>
        <w:spacing w:after="0" w:line="154" w:lineRule="exact"/>
        <w:rPr>
          <w:rFonts w:ascii="Arial" w:cs="Arial" w:eastAsia="Arial" w:hAnsi="Arial"/>
          <w:sz w:val="16"/>
          <w:szCs w:val="16"/>
          <w:color w:val="auto"/>
        </w:rPr>
      </w:pPr>
    </w:p>
    <w:p>
      <w:pPr>
        <w:ind w:right="320" w:firstLine="645"/>
        <w:spacing w:after="0" w:line="264" w:lineRule="auto"/>
        <w:tabs>
          <w:tab w:leader="none" w:pos="13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maintains a system of internal accounting controls sufficient to provide reasonable assurance that the interactive data in eXtensible Business Reporting Language included or incorporated by reference in each of the Registration Statement, Time of Sale Information and Prospectus is accurate.</w:t>
      </w:r>
    </w:p>
    <w:p>
      <w:pPr>
        <w:spacing w:after="0" w:line="181" w:lineRule="exact"/>
        <w:rPr>
          <w:rFonts w:ascii="Arial" w:cs="Arial" w:eastAsia="Arial" w:hAnsi="Arial"/>
          <w:sz w:val="18"/>
          <w:szCs w:val="18"/>
          <w:color w:val="auto"/>
        </w:rPr>
      </w:pPr>
    </w:p>
    <w:p>
      <w:pPr>
        <w:ind w:firstLine="645"/>
        <w:spacing w:after="0" w:line="288" w:lineRule="auto"/>
        <w:tabs>
          <w:tab w:leader="none" w:pos="1304"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(i) has taken any action in furtherance of an offer, payment, promise to pay, or authorization or approval of the payment or giving of money, property, gifts or anything else of value, directly or indirectly, to any “</w:t>
      </w:r>
      <w:r>
        <w:rPr>
          <w:rFonts w:ascii="Arial" w:cs="Arial" w:eastAsia="Arial" w:hAnsi="Arial"/>
          <w:sz w:val="16"/>
          <w:szCs w:val="16"/>
          <w:b w:val="1"/>
          <w:bCs w:val="1"/>
          <w:color w:val="auto"/>
        </w:rPr>
        <w:t>government official</w:t>
      </w:r>
      <w:r>
        <w:rPr>
          <w:rFonts w:ascii="Arial" w:cs="Arial" w:eastAsia="Arial" w:hAnsi="Arial"/>
          <w:sz w:val="16"/>
          <w:szCs w:val="16"/>
          <w:color w:val="auto"/>
        </w:rPr>
        <w:t>”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or (ii)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 any jurisdiction in which the Company or any of its subsidiaries conducts business; and the Company and its subsidiaries have conducted their businesses in compliance with applicable anti-corruption laws and</w:t>
      </w:r>
    </w:p>
    <w:p>
      <w:pPr>
        <w:spacing w:after="0" w:line="16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have instituted and maintain policies and procedures designed to promote and achieve continued compliance with such laws.</w:t>
      </w:r>
    </w:p>
    <w:p>
      <w:pPr>
        <w:spacing w:after="0" w:line="225" w:lineRule="exact"/>
        <w:rPr>
          <w:sz w:val="20"/>
          <w:szCs w:val="20"/>
          <w:color w:val="auto"/>
        </w:rPr>
      </w:pPr>
    </w:p>
    <w:p>
      <w:pPr>
        <w:ind w:right="20" w:firstLine="645"/>
        <w:spacing w:after="0" w:line="271" w:lineRule="auto"/>
        <w:tabs>
          <w:tab w:leader="none" w:pos="130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the Currency and Foreign Transactions Reporting Act of 1970, as amended, and the applicable anti-money laundering statutes of all jurisdictions where the Company or any of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78" w:lineRule="exact"/>
        <w:rPr>
          <w:rFonts w:ascii="Arial" w:cs="Arial" w:eastAsia="Arial" w:hAnsi="Arial"/>
          <w:sz w:val="17"/>
          <w:szCs w:val="17"/>
          <w:color w:val="auto"/>
        </w:rPr>
      </w:pPr>
    </w:p>
    <w:p>
      <w:pPr>
        <w:ind w:left="1300" w:hanging="655"/>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Neither the Company nor any of its subsidiaries, nor any director, officer, or employee thereof, is an individual or entity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207" w:lineRule="exact"/>
        <w:rPr>
          <w:sz w:val="20"/>
          <w:szCs w:val="20"/>
          <w:color w:val="auto"/>
        </w:rPr>
      </w:pPr>
    </w:p>
    <w:p>
      <w:pPr>
        <w:ind w:left="640" w:firstLine="1301"/>
        <w:spacing w:after="0" w:line="261" w:lineRule="auto"/>
        <w:tabs>
          <w:tab w:leader="none" w:pos="26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U.S. Department of State (including without limitation, the designation as a “specially designated national” or “blocked person”), the United Nations Security Council, the European Union or Her Majesty’s Treasury or other relevant sanctions authority, nor</w:t>
      </w:r>
    </w:p>
    <w:p>
      <w:pPr>
        <w:spacing w:after="0" w:line="184" w:lineRule="exact"/>
        <w:rPr>
          <w:rFonts w:ascii="Arial" w:cs="Arial" w:eastAsia="Arial" w:hAnsi="Arial"/>
          <w:sz w:val="18"/>
          <w:szCs w:val="18"/>
          <w:color w:val="auto"/>
        </w:rPr>
      </w:pPr>
    </w:p>
    <w:p>
      <w:pPr>
        <w:ind w:left="640" w:right="640" w:firstLine="1301"/>
        <w:spacing w:after="0" w:line="308" w:lineRule="auto"/>
        <w:tabs>
          <w:tab w:leader="none" w:pos="25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located, organized or resident in a country or territory that is the subject of Sanctions (including, without limitation, Burma/Myanmar, Cuba, Iran, Libya, North Korea, Sudan and Syria) (each, a “</w:t>
      </w:r>
      <w:r>
        <w:rPr>
          <w:rFonts w:ascii="Arial" w:cs="Arial" w:eastAsia="Arial" w:hAnsi="Arial"/>
          <w:sz w:val="17"/>
          <w:szCs w:val="17"/>
          <w:b w:val="1"/>
          <w:bCs w:val="1"/>
          <w:color w:val="auto"/>
        </w:rPr>
        <w:t>Sanctioned Country</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640" w:right="460" w:firstLine="653"/>
        <w:spacing w:after="0" w:line="277" w:lineRule="auto"/>
        <w:tabs>
          <w:tab w:leader="none" w:pos="19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640" w:right="40" w:firstLine="1301"/>
        <w:spacing w:after="0" w:line="277" w:lineRule="auto"/>
        <w:tabs>
          <w:tab w:leader="none" w:pos="26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4" w:name="page15"/>
    <w:bookmarkEnd w:id="14"/>
    <w:p>
      <w:pPr>
        <w:ind w:left="1280" w:right="40" w:firstLine="1301"/>
        <w:spacing w:after="0" w:line="277" w:lineRule="auto"/>
        <w:tabs>
          <w:tab w:leader="none" w:pos="3235" w:val="left"/>
        </w:tabs>
        <w:numPr>
          <w:ilvl w:val="3"/>
          <w:numId w:val="1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1280" w:right="100" w:firstLine="653"/>
        <w:spacing w:after="0" w:line="277" w:lineRule="auto"/>
        <w:tabs>
          <w:tab w:leader="none" w:pos="2617"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Company and its subsidiaries are not now knowingly engaged in any dealings or transactions with any Person, or in any country or territory that is the subject of Sanctions.</w:t>
      </w:r>
    </w:p>
    <w:p>
      <w:pPr>
        <w:spacing w:after="0" w:line="170" w:lineRule="exact"/>
        <w:rPr>
          <w:rFonts w:ascii="Arial" w:cs="Arial" w:eastAsia="Arial" w:hAnsi="Arial"/>
          <w:sz w:val="18"/>
          <w:szCs w:val="18"/>
          <w:color w:val="auto"/>
        </w:rPr>
      </w:pPr>
    </w:p>
    <w:p>
      <w:pPr>
        <w:ind w:left="640" w:right="100" w:firstLine="645"/>
        <w:spacing w:after="0" w:line="264" w:lineRule="auto"/>
        <w:tabs>
          <w:tab w:leader="none" w:pos="195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each of the Registration Statement, Time of Sale Information and Prospectus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left="640" w:right="40" w:firstLine="645"/>
        <w:spacing w:after="0" w:line="277" w:lineRule="auto"/>
        <w:tabs>
          <w:tab w:leader="none" w:pos="19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Company has not taken, directly or indirectly, without giving effect to activities by any Underwriter, any action designed to or that could reasonably be expected to cause or result in any stabilization or manipulation of the price of the Securities.</w:t>
      </w:r>
    </w:p>
    <w:p>
      <w:pPr>
        <w:spacing w:after="0" w:line="170" w:lineRule="exact"/>
        <w:rPr>
          <w:rFonts w:ascii="Arial" w:cs="Arial" w:eastAsia="Arial" w:hAnsi="Arial"/>
          <w:sz w:val="18"/>
          <w:szCs w:val="18"/>
          <w:color w:val="auto"/>
        </w:rPr>
      </w:pPr>
    </w:p>
    <w:p>
      <w:pPr>
        <w:ind w:left="640" w:right="60" w:firstLine="645"/>
        <w:spacing w:after="0" w:line="297" w:lineRule="auto"/>
        <w:tabs>
          <w:tab w:leader="none" w:pos="1944" w:val="left"/>
        </w:tabs>
        <w:numPr>
          <w:ilvl w:val="1"/>
          <w:numId w:val="16"/>
        </w:numPr>
        <w:rPr>
          <w:rFonts w:ascii="Arial" w:cs="Arial" w:eastAsia="Arial" w:hAnsi="Arial"/>
          <w:sz w:val="16"/>
          <w:szCs w:val="16"/>
          <w:color w:val="auto"/>
        </w:rPr>
      </w:pPr>
      <w:r>
        <w:rPr>
          <w:rFonts w:ascii="Arial" w:cs="Arial" w:eastAsia="Arial" w:hAnsi="Arial"/>
          <w:sz w:val="16"/>
          <w:szCs w:val="16"/>
          <w:color w:val="auto"/>
        </w:rPr>
        <w:t xml:space="preserve">At the time of filing the Registration Statement and any post-effective amendments thereto, at the earliest time thereafter that the Company or any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under the Securities Act) of the Securities and at the date hereof, the Company was not and is not an “ineligible issuer,” and is a well-known seasoned issuer, in each case as defined in Rule 405 under the Securities Act. The Company has paid the registration fee for this offering pursuant to Rule 456(b)(1) under the Securities Act or will pay such fees within the time period required by such rule (without giving effect to the proviso therein) and in any event prior to the Closing Date.</w:t>
      </w:r>
    </w:p>
    <w:p>
      <w:pPr>
        <w:spacing w:after="0" w:line="158" w:lineRule="exact"/>
        <w:rPr>
          <w:rFonts w:ascii="Arial" w:cs="Arial" w:eastAsia="Arial" w:hAnsi="Arial"/>
          <w:sz w:val="16"/>
          <w:szCs w:val="16"/>
          <w:color w:val="auto"/>
        </w:rPr>
      </w:pPr>
    </w:p>
    <w:p>
      <w:pPr>
        <w:ind w:left="-20" w:firstLine="656"/>
        <w:spacing w:after="0" w:line="272" w:lineRule="auto"/>
        <w:tabs>
          <w:tab w:leader="none" w:pos="127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Agreements to Sell and Purchase</w:t>
      </w:r>
      <w:r>
        <w:rPr>
          <w:rFonts w:ascii="Arial" w:cs="Arial" w:eastAsia="Arial" w:hAnsi="Arial"/>
          <w:sz w:val="17"/>
          <w:szCs w:val="17"/>
          <w:color w:val="auto"/>
        </w:rPr>
        <w:t>. The Company hereby agrees to issue and sell to the several Underwriters, and each Underwriter,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 basis of the representations and warranties herein contained, but subject to the conditions hereinafter stated, agrees, severally and not jointly, to purchase from the Company the respective principal amounts of 2024 Notes, 2026 Notes and 2029 Notes, as applicable, set forth in Schedule I hereto opposite its name at a purchase price of (a) in the case of the 2024 Notes, 99.650% of the principal amount thereof (the “</w:t>
      </w:r>
      <w:r>
        <w:rPr>
          <w:rFonts w:ascii="Arial" w:cs="Arial" w:eastAsia="Arial" w:hAnsi="Arial"/>
          <w:sz w:val="17"/>
          <w:szCs w:val="17"/>
          <w:b w:val="1"/>
          <w:bCs w:val="1"/>
          <w:color w:val="auto"/>
        </w:rPr>
        <w:t>2024 Purchase Price</w:t>
      </w:r>
      <w:r>
        <w:rPr>
          <w:rFonts w:ascii="Arial" w:cs="Arial" w:eastAsia="Arial" w:hAnsi="Arial"/>
          <w:sz w:val="17"/>
          <w:szCs w:val="17"/>
          <w:color w:val="auto"/>
        </w:rPr>
        <w:t>”) (b) in the case of the 2026 Notes, 99.600% of the principal amount thereof (the “</w:t>
      </w:r>
      <w:r>
        <w:rPr>
          <w:rFonts w:ascii="Arial" w:cs="Arial" w:eastAsia="Arial" w:hAnsi="Arial"/>
          <w:sz w:val="17"/>
          <w:szCs w:val="17"/>
          <w:b w:val="1"/>
          <w:bCs w:val="1"/>
          <w:color w:val="auto"/>
        </w:rPr>
        <w:t>2026 Purchase Price</w:t>
      </w:r>
      <w:r>
        <w:rPr>
          <w:rFonts w:ascii="Arial" w:cs="Arial" w:eastAsia="Arial" w:hAnsi="Arial"/>
          <w:sz w:val="17"/>
          <w:szCs w:val="17"/>
          <w:color w:val="auto"/>
        </w:rPr>
        <w:t>”) and (c) in the case of the 2029 Notes, 99.550% of the principal amount thereof (the “</w:t>
      </w:r>
      <w:r>
        <w:rPr>
          <w:rFonts w:ascii="Arial" w:cs="Arial" w:eastAsia="Arial" w:hAnsi="Arial"/>
          <w:sz w:val="17"/>
          <w:szCs w:val="17"/>
          <w:b w:val="1"/>
          <w:bCs w:val="1"/>
          <w:color w:val="auto"/>
        </w:rPr>
        <w:t>2029 Purchase Price</w:t>
      </w:r>
      <w:r>
        <w:rPr>
          <w:rFonts w:ascii="Arial" w:cs="Arial" w:eastAsia="Arial" w:hAnsi="Arial"/>
          <w:sz w:val="17"/>
          <w:szCs w:val="17"/>
          <w:color w:val="auto"/>
        </w:rPr>
        <w:t>” and, each of the 2024 Purchase Price, 2026 Purchase Price and the 2029 Purchase Price, as applicable, the “</w:t>
      </w:r>
      <w:r>
        <w:rPr>
          <w:rFonts w:ascii="Arial" w:cs="Arial" w:eastAsia="Arial" w:hAnsi="Arial"/>
          <w:sz w:val="17"/>
          <w:szCs w:val="17"/>
          <w:b w:val="1"/>
          <w:bCs w:val="1"/>
          <w:color w:val="auto"/>
        </w:rPr>
        <w:t>Purchase Price</w:t>
      </w:r>
      <w:r>
        <w:rPr>
          <w:rFonts w:ascii="Arial" w:cs="Arial" w:eastAsia="Arial" w:hAnsi="Arial"/>
          <w:sz w:val="17"/>
          <w:szCs w:val="17"/>
          <w:color w:val="auto"/>
        </w:rPr>
        <w:t>”), plus accrued interest, if any, from February 6, 2019 to the Closing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15" w:name="page16"/>
    <w:bookmarkEnd w:id="15"/>
    <w:p>
      <w:pPr>
        <w:ind w:right="60" w:firstLine="656"/>
        <w:spacing w:after="0" w:line="302" w:lineRule="auto"/>
        <w:tabs>
          <w:tab w:leader="none" w:pos="1296"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Terms of Offering</w:t>
      </w:r>
      <w:r>
        <w:rPr>
          <w:rFonts w:ascii="Arial" w:cs="Arial" w:eastAsia="Arial" w:hAnsi="Arial"/>
          <w:sz w:val="16"/>
          <w:szCs w:val="16"/>
          <w:color w:val="auto"/>
        </w:rPr>
        <w:t>. You have advised the Company that the Underwriters intend to make a public offering of the Securities as soon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and this Agreement have become effective as in the judgment of the Representatives is advisable, and initially to offer the Securities on the terms set forth in the Time of Sale Information. The Company acknowledges and agrees that the Underwriters may offer and sell Securities to or through any affiliate of an Underwriter and that any such affiliate may offer and sell Securities purchased by it to or through any Underwriter.</w:t>
      </w:r>
    </w:p>
    <w:p>
      <w:pPr>
        <w:spacing w:after="0" w:line="154" w:lineRule="exact"/>
        <w:rPr>
          <w:rFonts w:ascii="Arial" w:cs="Arial" w:eastAsia="Arial" w:hAnsi="Arial"/>
          <w:sz w:val="16"/>
          <w:szCs w:val="16"/>
          <w:color w:val="auto"/>
        </w:rPr>
      </w:pPr>
    </w:p>
    <w:p>
      <w:pPr>
        <w:ind w:right="140" w:firstLine="656"/>
        <w:spacing w:after="0" w:line="257" w:lineRule="auto"/>
        <w:tabs>
          <w:tab w:leader="none" w:pos="129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Securities shall be made to the Company in Federal or other funds immediately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specified by the Company to you at the office of Wilson Sonsini Goodrich &amp; Rosati, Professional Corporation, 650 Page Mill Road, Palo Alto, California, at approximately 7:00 a.m., California time, on February 6, 2019,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Securities shall be in definitive form or global form, as specified by you, and registered in such names and in such denominations as you shall request in writing not later than one full business day prior to the Closing Date. The Securities shall be delivered to you on the Closing Date for the respective accounts of the several Underwriters, with any transfer taxes payable in connection with the transfer of the Securities to the Underwriters duly paid, against payment of the Purchase Price therefor.</w:t>
      </w:r>
    </w:p>
    <w:p>
      <w:pPr>
        <w:spacing w:after="0" w:line="187" w:lineRule="exact"/>
        <w:rPr>
          <w:sz w:val="20"/>
          <w:szCs w:val="20"/>
          <w:color w:val="auto"/>
        </w:rPr>
      </w:pPr>
    </w:p>
    <w:p>
      <w:pPr>
        <w:ind w:right="400" w:firstLine="656"/>
        <w:spacing w:after="0" w:line="342" w:lineRule="auto"/>
        <w:tabs>
          <w:tab w:leader="none" w:pos="1296"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Conditions to the Underwriters’ Obligations</w:t>
      </w:r>
      <w:r>
        <w:rPr>
          <w:rFonts w:ascii="Arial" w:cs="Arial" w:eastAsia="Arial" w:hAnsi="Arial"/>
          <w:sz w:val="16"/>
          <w:szCs w:val="16"/>
          <w:color w:val="auto"/>
        </w:rPr>
        <w:t>. The several obligations of the Underwriters to purchase and pay for the Securities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Date is subject to the performance by the Company of its covenants and other obligations hereunder and to the following additional conditions:</w:t>
      </w:r>
    </w:p>
    <w:p>
      <w:pPr>
        <w:spacing w:after="0" w:line="123" w:lineRule="exact"/>
        <w:rPr>
          <w:rFonts w:ascii="Arial" w:cs="Arial" w:eastAsia="Arial" w:hAnsi="Arial"/>
          <w:sz w:val="16"/>
          <w:szCs w:val="16"/>
          <w:color w:val="auto"/>
        </w:rPr>
      </w:pPr>
    </w:p>
    <w:p>
      <w:pPr>
        <w:ind w:left="660" w:right="360" w:firstLine="645"/>
        <w:spacing w:after="0" w:line="297" w:lineRule="auto"/>
        <w:tabs>
          <w:tab w:leader="none" w:pos="19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 order suspending the effectiveness of the Registration Statement shall be in effect, and no proceeding for such 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4(a) hereof; and all requests by the Commission for additional information shall have been complied with to the reasonable satisfaction of the Representatives.</w:t>
      </w:r>
    </w:p>
    <w:p>
      <w:pPr>
        <w:spacing w:after="0" w:line="158" w:lineRule="exact"/>
        <w:rPr>
          <w:rFonts w:ascii="Arial" w:cs="Arial" w:eastAsia="Arial" w:hAnsi="Arial"/>
          <w:sz w:val="16"/>
          <w:szCs w:val="16"/>
          <w:color w:val="auto"/>
        </w:rPr>
      </w:pPr>
    </w:p>
    <w:p>
      <w:pPr>
        <w:ind w:left="660" w:right="180" w:firstLine="645"/>
        <w:spacing w:after="0" w:line="264" w:lineRule="auto"/>
        <w:tabs>
          <w:tab w:leader="none" w:pos="1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herein (x) if qualified as to materiality or Material Adverse Effect, shall be true and correct and (y) in all other cases are true and correct in all material respects on the date hereof and on and as of the Closing Date; and the statements of the Company and its officers made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ind w:right="420"/>
        <w:spacing w:after="0" w:line="342" w:lineRule="auto"/>
        <w:rPr>
          <w:sz w:val="20"/>
          <w:szCs w:val="20"/>
          <w:color w:val="auto"/>
        </w:rPr>
      </w:pPr>
      <w:r>
        <w:rPr>
          <w:rFonts w:ascii="Arial" w:cs="Arial" w:eastAsia="Arial" w:hAnsi="Arial"/>
          <w:sz w:val="16"/>
          <w:szCs w:val="16"/>
          <w:color w:val="auto"/>
        </w:rPr>
        <w:t>any certificates delivered pursuant to this Agreement shall be true and correct in all material respects (other than representations and warranties qualified by materiality, in which case such representations shall be true and correct in all respects) on and as of the Closing Date.</w:t>
      </w:r>
    </w:p>
    <w:p>
      <w:pPr>
        <w:spacing w:after="0" w:line="124" w:lineRule="exact"/>
        <w:rPr>
          <w:sz w:val="20"/>
          <w:szCs w:val="20"/>
          <w:color w:val="auto"/>
        </w:rPr>
      </w:pPr>
    </w:p>
    <w:p>
      <w:pPr>
        <w:ind w:left="1300" w:hanging="65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w:t>
      </w:r>
    </w:p>
    <w:p>
      <w:pPr>
        <w:spacing w:after="0" w:line="225" w:lineRule="exact"/>
        <w:rPr>
          <w:rFonts w:ascii="Arial" w:cs="Arial" w:eastAsia="Arial" w:hAnsi="Arial"/>
          <w:sz w:val="18"/>
          <w:szCs w:val="18"/>
          <w:color w:val="auto"/>
        </w:rPr>
      </w:pPr>
    </w:p>
    <w:p>
      <w:pPr>
        <w:ind w:left="640" w:right="20" w:firstLine="653"/>
        <w:spacing w:after="0" w:line="259" w:lineRule="auto"/>
        <w:tabs>
          <w:tab w:leader="none" w:pos="195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and</w:t>
      </w:r>
    </w:p>
    <w:p>
      <w:pPr>
        <w:spacing w:after="0" w:line="186" w:lineRule="exact"/>
        <w:rPr>
          <w:rFonts w:ascii="Arial" w:cs="Arial" w:eastAsia="Arial" w:hAnsi="Arial"/>
          <w:sz w:val="18"/>
          <w:szCs w:val="18"/>
          <w:color w:val="auto"/>
        </w:rPr>
      </w:pPr>
    </w:p>
    <w:p>
      <w:pPr>
        <w:ind w:left="640" w:right="120" w:firstLine="653"/>
        <w:spacing w:after="0" w:line="297" w:lineRule="auto"/>
        <w:tabs>
          <w:tab w:leader="none" w:pos="1967"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Information (excluding any amendment or supplement thereto) and the Prospectus (excluding any amendment or supplement thereto) that, in your judgment, is material and adverse and that makes it, in your judgment, impracticable to market the Securities on the terms and in the manner contemplated in this Agreement, the Time of Sale Information and the Prospectus.</w:t>
      </w:r>
    </w:p>
    <w:p>
      <w:pPr>
        <w:spacing w:after="0" w:line="158" w:lineRule="exact"/>
        <w:rPr>
          <w:rFonts w:ascii="Arial" w:cs="Arial" w:eastAsia="Arial" w:hAnsi="Arial"/>
          <w:sz w:val="16"/>
          <w:szCs w:val="16"/>
          <w:color w:val="auto"/>
        </w:rPr>
      </w:pPr>
    </w:p>
    <w:p>
      <w:pPr>
        <w:ind w:firstLine="645"/>
        <w:spacing w:after="0" w:line="253" w:lineRule="auto"/>
        <w:tabs>
          <w:tab w:leader="none" w:pos="13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the chief executive officer or the chief financial officer of the Company, to the effect set forth in Section 5(c)(i)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(ii) that the Company has complied in all material respects with all of the agreements and satisfied all of the conditions on its part to be performed or satisfied hereunder on or before the Closing Date, and (iii) since the date of the most recent financial statements included in the Registration Statement and Time of Sale Information, there has been no material adverse change in the financial condition, earnings, business or properties of the Company and its subsidiaries, taken as a whole, except as set forth or contemplated in the Registration Statement and Time of Sale Information.</w:t>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7" w:name="page18"/>
    <w:bookmarkEnd w:id="17"/>
    <w:p>
      <w:pPr>
        <w:ind w:left="644"/>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37" w:lineRule="exact"/>
        <w:rPr>
          <w:sz w:val="20"/>
          <w:szCs w:val="20"/>
          <w:color w:val="auto"/>
        </w:rPr>
      </w:pPr>
    </w:p>
    <w:p>
      <w:pPr>
        <w:ind w:left="4" w:right="320" w:firstLine="645"/>
        <w:spacing w:after="0" w:line="264" w:lineRule="auto"/>
        <w:tabs>
          <w:tab w:leader="none" w:pos="13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Wilson Sonsini Goodrich &amp; Rosati, Professional Corporation, outside counsel for the Company, dated the Closing Date, to the effect set forth in Exhibit A. Such opinion shall be rendered to the Underwriters at the request of the Company and shall so state therein.</w:t>
      </w:r>
    </w:p>
    <w:p>
      <w:pPr>
        <w:spacing w:after="0" w:line="181" w:lineRule="exact"/>
        <w:rPr>
          <w:rFonts w:ascii="Arial" w:cs="Arial" w:eastAsia="Arial" w:hAnsi="Arial"/>
          <w:sz w:val="18"/>
          <w:szCs w:val="18"/>
          <w:color w:val="auto"/>
        </w:rPr>
      </w:pPr>
    </w:p>
    <w:p>
      <w:pPr>
        <w:ind w:left="4" w:right="200" w:firstLine="645"/>
        <w:spacing w:after="0" w:line="277" w:lineRule="auto"/>
        <w:tabs>
          <w:tab w:leader="none" w:pos="13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Joel L. Poppen, the Company’s General Counsel, dated the Closing Date, to the effect set forth in Exhibit B.</w:t>
      </w:r>
    </w:p>
    <w:p>
      <w:pPr>
        <w:spacing w:after="0" w:line="170" w:lineRule="exact"/>
        <w:rPr>
          <w:rFonts w:ascii="Arial" w:cs="Arial" w:eastAsia="Arial" w:hAnsi="Arial"/>
          <w:sz w:val="18"/>
          <w:szCs w:val="18"/>
          <w:color w:val="auto"/>
        </w:rPr>
      </w:pPr>
    </w:p>
    <w:p>
      <w:pPr>
        <w:ind w:left="4" w:right="620" w:firstLine="645"/>
        <w:spacing w:after="0" w:line="277" w:lineRule="auto"/>
        <w:tabs>
          <w:tab w:leader="none" w:pos="132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Simpson Thacher &amp; Bartlett LLP, counsel for the Underwriters, dated the Closing Date, in form and substance reasonably satisfactory to the Underwriters.</w:t>
      </w:r>
    </w:p>
    <w:p>
      <w:pPr>
        <w:spacing w:after="0" w:line="170" w:lineRule="exact"/>
        <w:rPr>
          <w:rFonts w:ascii="Arial" w:cs="Arial" w:eastAsia="Arial" w:hAnsi="Arial"/>
          <w:sz w:val="18"/>
          <w:szCs w:val="18"/>
          <w:color w:val="auto"/>
        </w:rPr>
      </w:pPr>
    </w:p>
    <w:p>
      <w:pPr>
        <w:ind w:left="4" w:right="40" w:firstLine="645"/>
        <w:spacing w:after="0" w:line="297" w:lineRule="auto"/>
        <w:tabs>
          <w:tab w:leader="none" w:pos="1308"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Underwriters shall have received on each of the date hereof and the Closing Date a letter, dated the date hereof or the Closing Date, as the case may be, in form and substance satisfactory to the Underwriters, from PricewaterhouseCoopers LLP, independent public accountants, containing statements and information of the type ordinarily included in accountants’ “</w:t>
      </w:r>
      <w:r>
        <w:rPr>
          <w:rFonts w:ascii="Arial" w:cs="Arial" w:eastAsia="Arial" w:hAnsi="Arial"/>
          <w:sz w:val="16"/>
          <w:szCs w:val="16"/>
          <w:b w:val="1"/>
          <w:bCs w:val="1"/>
          <w:color w:val="auto"/>
        </w:rPr>
        <w:t>comfort letters</w:t>
      </w:r>
      <w:r>
        <w:rPr>
          <w:rFonts w:ascii="Arial" w:cs="Arial" w:eastAsia="Arial" w:hAnsi="Arial"/>
          <w:sz w:val="16"/>
          <w:szCs w:val="16"/>
          <w:color w:val="auto"/>
        </w:rPr>
        <w:t>” to underwriters with respect to the financial statements and certain financial information contained in or incorporated by reference into the Registration Statement, Time of Sale Information and Prospectus; provided that the letter delivered on the Closing Date shall use a “cut-off date” not earlier than February 4, 2019.</w:t>
      </w:r>
    </w:p>
    <w:p>
      <w:pPr>
        <w:spacing w:after="0" w:line="158" w:lineRule="exact"/>
        <w:rPr>
          <w:rFonts w:ascii="Arial" w:cs="Arial" w:eastAsia="Arial" w:hAnsi="Arial"/>
          <w:sz w:val="16"/>
          <w:szCs w:val="16"/>
          <w:color w:val="auto"/>
        </w:rPr>
      </w:pPr>
    </w:p>
    <w:p>
      <w:pPr>
        <w:ind w:left="4" w:right="200" w:firstLine="645"/>
        <w:spacing w:after="0" w:line="302" w:lineRule="auto"/>
        <w:tabs>
          <w:tab w:leader="none" w:pos="13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Prior to the Closing Date, the Company shall have received all waivers or consents under any agreement or other instrument binding upon the Company or any of its subsidiaries, including any indenture,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 and the Securities.</w:t>
      </w:r>
    </w:p>
    <w:p>
      <w:pPr>
        <w:spacing w:after="0" w:line="154" w:lineRule="exact"/>
        <w:rPr>
          <w:rFonts w:ascii="Arial" w:cs="Arial" w:eastAsia="Arial" w:hAnsi="Arial"/>
          <w:sz w:val="16"/>
          <w:szCs w:val="16"/>
          <w:color w:val="auto"/>
        </w:rPr>
      </w:pPr>
    </w:p>
    <w:p>
      <w:pPr>
        <w:ind w:left="644" w:hanging="644"/>
        <w:spacing w:after="0"/>
        <w:tabs>
          <w:tab w:leader="none" w:pos="644"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rFonts w:ascii="Arial" w:cs="Arial" w:eastAsia="Arial" w:hAnsi="Arial"/>
          <w:sz w:val="18"/>
          <w:szCs w:val="18"/>
          <w:color w:val="auto"/>
        </w:rPr>
      </w:pPr>
    </w:p>
    <w:p>
      <w:pPr>
        <w:ind w:left="4" w:firstLine="645"/>
        <w:spacing w:after="0" w:line="286" w:lineRule="auto"/>
        <w:tabs>
          <w:tab w:leader="none" w:pos="1297"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will file the final Prospectus with the Commission within the time periods specified by Rule 424(b) and Rule 430A, 430B or 430C under the Securities Act, will file any Issuer Free Writing Prospectus (including the term sheet substantially in the form of Annex A hereto) to the extent required by Rule 433 under the Securities Act; and will file promptly all reports and any definitive proxy or</w:t>
      </w:r>
    </w:p>
    <w:p>
      <w:pPr>
        <w:spacing w:after="0" w:line="16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04"/>
          </w:cols>
          <w:pgMar w:left="896" w:top="341" w:right="299" w:bottom="1440" w:gutter="0" w:footer="0" w:header="0"/>
        </w:sectPr>
      </w:pPr>
    </w:p>
    <w:bookmarkStart w:id="18" w:name="page19"/>
    <w:bookmarkEnd w:id="18"/>
    <w:p>
      <w:pPr>
        <w:ind w:right="40"/>
        <w:spacing w:after="0" w:line="255" w:lineRule="auto"/>
        <w:rPr>
          <w:sz w:val="20"/>
          <w:szCs w:val="20"/>
          <w:color w:val="auto"/>
        </w:rPr>
      </w:pPr>
      <w:r>
        <w:rPr>
          <w:rFonts w:ascii="Arial" w:cs="Arial" w:eastAsia="Arial" w:hAnsi="Arial"/>
          <w:sz w:val="18"/>
          <w:szCs w:val="18"/>
          <w:color w:val="auto"/>
        </w:rPr>
        <w:t>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the Company will furnish copies of the Prospectus and each Issuer Free Writing Prospectus (to the extent not previously delivered) to the Underwriters in New York City prior to 10:00 A.M., New York City time, on the business day next succeeding the date of this Agreement, or as soon as reasonably practicable thereafter, in such quantities as the Representatives may reasonably request. The Company will pay the registration fees for this offering within the time period required by Rule 456(b)(1) under the Securities Act (without giving effect to the proviso therein) and in any event prior to the Closing Date.</w:t>
      </w:r>
    </w:p>
    <w:p>
      <w:pPr>
        <w:spacing w:after="0" w:line="189" w:lineRule="exact"/>
        <w:rPr>
          <w:sz w:val="20"/>
          <w:szCs w:val="20"/>
          <w:color w:val="auto"/>
        </w:rPr>
      </w:pPr>
    </w:p>
    <w:p>
      <w:pPr>
        <w:ind w:right="100" w:firstLine="645"/>
        <w:spacing w:after="0" w:line="254" w:lineRule="auto"/>
        <w:tabs>
          <w:tab w:leader="none" w:pos="1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deliver, without charge, (i) to the Representatives, a signed copy of the Registration Statement (including exhibits thereto and documents incorporated by reference);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(or required to be delivered but for Rule 172 under the Securities Act) in connection with sales of the Securities by any Underwriter or dealer.</w:t>
      </w:r>
    </w:p>
    <w:p>
      <w:pPr>
        <w:spacing w:after="0" w:line="192" w:lineRule="exact"/>
        <w:rPr>
          <w:rFonts w:ascii="Arial" w:cs="Arial" w:eastAsia="Arial" w:hAnsi="Arial"/>
          <w:sz w:val="18"/>
          <w:szCs w:val="18"/>
          <w:color w:val="auto"/>
        </w:rPr>
      </w:pPr>
    </w:p>
    <w:p>
      <w:pPr>
        <w:ind w:firstLine="645"/>
        <w:spacing w:after="0" w:line="255" w:lineRule="auto"/>
        <w:tabs>
          <w:tab w:leader="none" w:pos="13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Before making, preparing, using, authorizing, approving, referring to or filing any Issuer Free Writing Prospectus, and before filing any amendment or supplement to the Registration Statement or the Prospectus, whether before or after the time that the Registration Statement becomes effective,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objects, except as may be required by applicable law.</w:t>
      </w:r>
    </w:p>
    <w:p>
      <w:pPr>
        <w:spacing w:after="0" w:line="193" w:lineRule="exact"/>
        <w:rPr>
          <w:rFonts w:ascii="Arial" w:cs="Arial" w:eastAsia="Arial" w:hAnsi="Arial"/>
          <w:sz w:val="18"/>
          <w:szCs w:val="18"/>
          <w:color w:val="auto"/>
        </w:rPr>
      </w:pPr>
    </w:p>
    <w:p>
      <w:pPr>
        <w:ind w:right="640" w:firstLine="645"/>
        <w:spacing w:after="0" w:line="264" w:lineRule="auto"/>
        <w:tabs>
          <w:tab w:leader="none" w:pos="13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not take any action that would result in an Underwriter or the Company being required to file with the Commission pursuant to Rule 433(d) under the Securities Act a free writing prospectus prepared by or on behalf of the Underwriters that the Underwriters otherwise would not have been required to file thereunder.</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1" w:right="239" w:bottom="1440" w:gutter="0" w:footer="0" w:header="0"/>
        </w:sectPr>
      </w:pPr>
    </w:p>
    <w:bookmarkStart w:id="19" w:name="page20"/>
    <w:bookmarkEnd w:id="19"/>
    <w:p>
      <w:pPr>
        <w:ind w:left="4" w:right="40" w:firstLine="645"/>
        <w:spacing w:after="0" w:line="284" w:lineRule="auto"/>
        <w:tabs>
          <w:tab w:leader="none" w:pos="1311" w:val="left"/>
        </w:tabs>
        <w:numPr>
          <w:ilvl w:val="1"/>
          <w:numId w:val="24"/>
        </w:numPr>
        <w:rPr>
          <w:rFonts w:ascii="Arial" w:cs="Arial" w:eastAsia="Arial" w:hAnsi="Arial"/>
          <w:sz w:val="16"/>
          <w:szCs w:val="16"/>
          <w:color w:val="auto"/>
        </w:rPr>
      </w:pPr>
      <w:r>
        <w:rPr>
          <w:rFonts w:ascii="Arial" w:cs="Arial" w:eastAsia="Arial" w:hAnsi="Arial"/>
          <w:sz w:val="16"/>
          <w:szCs w:val="16"/>
          <w:color w:val="auto"/>
        </w:rPr>
        <w:t>Prior to the completion of the distribution of the Securities by the Underwriters contemplated hereby, the Company will advise the Representatives promptly, and confirm such advice in writing, (i) when the Registration Statement has become effective, (ii) when any amendment to the Registration Statement has been filed or becomes effective; (iii) when any supplement to the Prospectus or any Issuer Free Writing Prospectus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(v) of the issuance by the Commission of any order suspending the effectiveness of the Registration Statement or preventing or suspending the use of any Preliminary Prospectus, any of the Time of Sale Information or the Prospectus or the initiation or threatening of any proceeding for that purpose or pursuant to Section 8A of the Securities Act;</w:t>
      </w:r>
    </w:p>
    <w:p>
      <w:pPr>
        <w:spacing w:after="0" w:line="1" w:lineRule="exact"/>
        <w:rPr>
          <w:rFonts w:ascii="Arial" w:cs="Arial" w:eastAsia="Arial" w:hAnsi="Arial"/>
          <w:sz w:val="16"/>
          <w:szCs w:val="16"/>
          <w:color w:val="auto"/>
        </w:rPr>
      </w:pPr>
    </w:p>
    <w:p>
      <w:pPr>
        <w:ind w:left="4" w:hanging="4"/>
        <w:spacing w:after="0" w:line="281" w:lineRule="auto"/>
        <w:tabs>
          <w:tab w:leader="none" w:pos="3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of the occurrence of any event or development within the Prospectus Delivery Period as a result of which the Prospectus, the Time of Sale Information or any Issuer Free Writing Prospectus as then amended or supplemented would include any untrue statement of a material fact or omit to state a material fact necessary in order to make the statements therein, in the light of the circumstances existing when the Prospectus, the Time of Sale Information or any such Issuer Free Writing Prospectus is delivered to a purchaser, not misleading; (vii) of the receipt by the Company of any notice of objection of the Commission to the use of the Registration Statement or any post-effective amendment thereto pursuant to Rule 401(g)</w:t>
      </w:r>
    </w:p>
    <w:p>
      <w:pPr>
        <w:spacing w:after="0" w:line="3" w:lineRule="exact"/>
        <w:rPr>
          <w:rFonts w:ascii="Arial" w:cs="Arial" w:eastAsia="Arial" w:hAnsi="Arial"/>
          <w:sz w:val="16"/>
          <w:szCs w:val="16"/>
          <w:color w:val="auto"/>
        </w:rPr>
      </w:pPr>
    </w:p>
    <w:p>
      <w:pPr>
        <w:ind w:left="4"/>
        <w:spacing w:after="0" w:line="292" w:lineRule="auto"/>
        <w:rPr>
          <w:rFonts w:ascii="Arial" w:cs="Arial" w:eastAsia="Arial" w:hAnsi="Arial"/>
          <w:sz w:val="16"/>
          <w:szCs w:val="16"/>
          <w:color w:val="auto"/>
        </w:rPr>
      </w:pPr>
      <w:r>
        <w:rPr>
          <w:rFonts w:ascii="Arial" w:cs="Arial" w:eastAsia="Arial" w:hAnsi="Arial"/>
          <w:sz w:val="16"/>
          <w:szCs w:val="16"/>
          <w:color w:val="auto"/>
        </w:rPr>
        <w:t>(2) under the Securities Act; and (viii) of the receipt by the Company of any notice with respect to any suspension of the qualification of the Securities for offer and sale in any jurisdiction or the initiation or, to the Company’s knowledge, threatening of any proceeding for such purpose; and the Company will use its reasonable best efforts to prevent the issuance of any such order suspending the effectiveness of the Registration Statement, preventing or suspending the use of any Preliminary Prospectus, any of the Time of Sale Information or the Prospectus or suspending any such qualification of the Securities and, if any such order is issued, will obtain as soon as possible the withdrawal thereof.</w:t>
      </w:r>
    </w:p>
    <w:p>
      <w:pPr>
        <w:spacing w:after="0" w:line="162" w:lineRule="exact"/>
        <w:rPr>
          <w:rFonts w:ascii="Arial" w:cs="Arial" w:eastAsia="Arial" w:hAnsi="Arial"/>
          <w:sz w:val="16"/>
          <w:szCs w:val="16"/>
          <w:color w:val="auto"/>
        </w:rPr>
      </w:pPr>
    </w:p>
    <w:p>
      <w:pPr>
        <w:ind w:left="4" w:right="180" w:firstLine="645"/>
        <w:spacing w:after="0" w:line="288" w:lineRule="auto"/>
        <w:tabs>
          <w:tab w:leader="none" w:pos="1305"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w:t>
      </w:r>
    </w:p>
    <w:p>
      <w:pPr>
        <w:ind w:left="4" w:right="20" w:hanging="4"/>
        <w:spacing w:after="0" w:line="261" w:lineRule="auto"/>
        <w:tabs>
          <w:tab w:leader="none" w:pos="2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is necessary to amend or supplement the Prospectus to comply with applicable law, the Company will promptly notify the Underwriters thereof and forthwith prepare and, subject to paragraph (c) above, file with</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20" w:name="page21"/>
    <w:bookmarkEnd w:id="20"/>
    <w:p>
      <w:pPr>
        <w:ind w:right="60"/>
        <w:spacing w:after="0" w:line="286" w:lineRule="auto"/>
        <w:rPr>
          <w:sz w:val="20"/>
          <w:szCs w:val="20"/>
          <w:color w:val="auto"/>
        </w:rPr>
      </w:pPr>
      <w:r>
        <w:rPr>
          <w:rFonts w:ascii="Arial" w:cs="Arial" w:eastAsia="Arial" w:hAnsi="Arial"/>
          <w:sz w:val="16"/>
          <w:szCs w:val="16"/>
          <w:color w:val="auto"/>
        </w:rPr>
        <w:t>the Commission and furnish to the Underwriters and to such dealers as the Representatives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existing when the Time of Sale Information is delivered to a purchaser, not misleading or (ii) it is necessary to amend or supplement the Time of Sale Information to comply with applicable law, the Company will promptly notify the Underwriters thereof and forthwith prepare and, subject to paragraph (c) above, file with the Commission (to the extent required) and furnish to the Underwriters and to such dealers as the Representatives may designate, such amendments or supplements to the Time of Sale Information (or any document to be filed with the Commission and incorporated by reference therein) as may be necessary so that the statements in the Time of Sale Information as so amended or supplemented will not, in the light of the circumstances, be misleading or so that the Time of Sale Information will comply with applicable law.</w:t>
      </w:r>
    </w:p>
    <w:p>
      <w:pPr>
        <w:spacing w:after="0" w:line="175" w:lineRule="exact"/>
        <w:rPr>
          <w:sz w:val="20"/>
          <w:szCs w:val="20"/>
          <w:color w:val="auto"/>
        </w:rPr>
      </w:pPr>
    </w:p>
    <w:p>
      <w:pPr>
        <w:ind w:firstLine="645"/>
        <w:spacing w:after="0" w:line="279" w:lineRule="auto"/>
        <w:tabs>
          <w:tab w:leader="none" w:pos="131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will endeavor to qualify the Securities for offer and sale under the securities or Blue Sky laws of such jurisdictions within the United States and Canada as the Underwriters shall reasonably request in writing prior 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71" w:lineRule="exact"/>
        <w:rPr>
          <w:rFonts w:ascii="Arial" w:cs="Arial" w:eastAsia="Arial" w:hAnsi="Arial"/>
          <w:sz w:val="17"/>
          <w:szCs w:val="17"/>
          <w:color w:val="auto"/>
        </w:rPr>
      </w:pPr>
    </w:p>
    <w:p>
      <w:pPr>
        <w:ind w:right="260" w:firstLine="645"/>
        <w:spacing w:after="0" w:line="276" w:lineRule="auto"/>
        <w:tabs>
          <w:tab w:leader="none" w:pos="1304"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will make generally available to its security holders and to the Representatives as soon as practicable an earning statement covering a period of at least twelve months beginning with the first fiscal quarter of the Company occurring after the date of this Agreement which shall satisfy the provisions of Section 11(a) of the Securities Act and Rule 158 of the Commission promulgated thereunder; provided that the Company will be deemed to have furnished such statements to its security holders and the Representatives to the extent they are filed on the Commission’s Electronic Data Gather, Analysis and Retrieval System.</w:t>
      </w:r>
    </w:p>
    <w:p>
      <w:pPr>
        <w:spacing w:after="0" w:line="17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21" w:name="page22"/>
    <w:bookmarkEnd w:id="21"/>
    <w:p>
      <w:pPr>
        <w:ind w:left="-540" w:firstLine="645"/>
        <w:spacing w:after="0" w:line="284" w:lineRule="auto"/>
        <w:tabs>
          <w:tab w:leader="none" w:pos="7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the Company will pay or cause to be paid all expenses incident to the performance of its obligations under this Agreement, including: (i) the fees, disbursements and expenses of the Company’s counsel and the Company’s accountants in connection with the registration and sale of the Securities under the Securities Act and all other fees or expenses in connection with the preparation and filing under the Securities Act of the Registration Statement, the Preliminary Prospectus, any Issuer Free Writing Prospectus, any Time of Sale Information and the Prospectus prepared by or on behalf of, used by, or referred to by the Company and any exhibits, amendments and supplements to any of the foregoing, including all filing fees payable to the Commission relating to the Securities (within the time required by Rule 456(b)(1), if applicable), all printing costs associated therewith, and the mailing and delivering of copies thereof to the Underwriters, in the quantities herein above specified, (ii) all costs and expenses related to the transfer and delivery of the Securities to the Underwriters,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Underwriters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 with printing this Agreement and (x) all other cost and expenses incident to the performance of the obligations of the Company hereunder for which provision is not otherwise made in this Section. It is understood, however, that except as provided in this Section, Section 8, and the last paragraph of Section 9, the Underwriters will pay all of their costs and expenses,</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00"/>
          </w:cols>
          <w:pgMar w:left="1440" w:top="341" w:right="259" w:bottom="1440" w:gutter="0" w:footer="0" w:header="0"/>
        </w:sectPr>
      </w:pPr>
    </w:p>
    <w:bookmarkStart w:id="22" w:name="page23"/>
    <w:bookmarkEnd w:id="22"/>
    <w:p>
      <w:pPr>
        <w:ind w:left="640" w:right="360"/>
        <w:spacing w:after="0" w:line="277" w:lineRule="auto"/>
        <w:rPr>
          <w:sz w:val="20"/>
          <w:szCs w:val="20"/>
          <w:color w:val="auto"/>
        </w:rPr>
      </w:pPr>
      <w:r>
        <w:rPr>
          <w:rFonts w:ascii="Arial" w:cs="Arial" w:eastAsia="Arial" w:hAnsi="Arial"/>
          <w:sz w:val="18"/>
          <w:szCs w:val="18"/>
          <w:color w:val="auto"/>
        </w:rPr>
        <w:t>including fees and disbursements of their counsel, transfer taxes payable on resale of any of the Securities by them and any advertising expenses connected with any offers they may make.</w:t>
      </w:r>
    </w:p>
    <w:p>
      <w:pPr>
        <w:spacing w:after="0" w:line="170" w:lineRule="exact"/>
        <w:rPr>
          <w:sz w:val="20"/>
          <w:szCs w:val="20"/>
          <w:color w:val="auto"/>
        </w:rPr>
      </w:pPr>
    </w:p>
    <w:p>
      <w:pPr>
        <w:ind w:left="640" w:right="360" w:firstLine="645"/>
        <w:spacing w:after="0" w:line="342" w:lineRule="auto"/>
        <w:tabs>
          <w:tab w:leader="none" w:pos="194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will use the net proceeds received by it from the sale of the Securities pursuant to this Agreement in the manner specified in each of the Registration Statement, the Time of Sale Information and the Prospectus under the caption “Use of Proceeds.”</w:t>
      </w:r>
    </w:p>
    <w:p>
      <w:pPr>
        <w:spacing w:after="0" w:line="123" w:lineRule="exact"/>
        <w:rPr>
          <w:rFonts w:ascii="Arial" w:cs="Arial" w:eastAsia="Arial" w:hAnsi="Arial"/>
          <w:sz w:val="16"/>
          <w:szCs w:val="16"/>
          <w:color w:val="auto"/>
        </w:rPr>
      </w:pPr>
    </w:p>
    <w:p>
      <w:pPr>
        <w:ind w:left="640" w:firstLine="645"/>
        <w:spacing w:after="0" w:line="286" w:lineRule="auto"/>
        <w:tabs>
          <w:tab w:leader="none" w:pos="19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shall not, without giving effect to the activities by the Underwriters, take any action designed to or that could reasonably be expected to cause or result in any prohibited stabilization or any manipulation of the price of the Securities and will not take any action prohibited by Regulation M under the Exchange Act in connection with the distribution of the Securities contemplated hereby.</w:t>
      </w:r>
    </w:p>
    <w:p>
      <w:pPr>
        <w:spacing w:after="0" w:line="165" w:lineRule="exact"/>
        <w:rPr>
          <w:rFonts w:ascii="Arial" w:cs="Arial" w:eastAsia="Arial" w:hAnsi="Arial"/>
          <w:sz w:val="17"/>
          <w:szCs w:val="17"/>
          <w:color w:val="auto"/>
        </w:rPr>
      </w:pPr>
    </w:p>
    <w:p>
      <w:pPr>
        <w:ind w:left="640" w:right="800" w:firstLine="645"/>
        <w:spacing w:after="0" w:line="277" w:lineRule="auto"/>
        <w:tabs>
          <w:tab w:leader="none" w:pos="19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Securities Act.</w:t>
      </w:r>
    </w:p>
    <w:p>
      <w:pPr>
        <w:spacing w:after="0" w:line="170" w:lineRule="exact"/>
        <w:rPr>
          <w:rFonts w:ascii="Arial" w:cs="Arial" w:eastAsia="Arial" w:hAnsi="Arial"/>
          <w:sz w:val="18"/>
          <w:szCs w:val="18"/>
          <w:color w:val="auto"/>
        </w:rPr>
      </w:pPr>
    </w:p>
    <w:p>
      <w:pPr>
        <w:jc w:val="both"/>
        <w:ind w:left="640" w:right="140" w:firstLine="645"/>
        <w:spacing w:after="0" w:line="286" w:lineRule="auto"/>
        <w:tabs>
          <w:tab w:leader="none" w:pos="1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agrees that, without the prior written consent of the Representatives, it will not, during the period beginning on the date hereof and continuing to and including the Closing Date, offer, sell, contract to sell or otherwise dispose of any debt securities of the Company or warrants to purchase debt securities of the Company (other than the sale of the Securities under this Agreement).</w:t>
      </w:r>
    </w:p>
    <w:p>
      <w:pPr>
        <w:spacing w:after="0" w:line="165" w:lineRule="exact"/>
        <w:rPr>
          <w:rFonts w:ascii="Arial" w:cs="Arial" w:eastAsia="Arial" w:hAnsi="Arial"/>
          <w:sz w:val="17"/>
          <w:szCs w:val="17"/>
          <w:color w:val="auto"/>
        </w:rPr>
      </w:pPr>
    </w:p>
    <w:p>
      <w:pPr>
        <w:ind w:left="640" w:right="300" w:firstLine="645"/>
        <w:spacing w:after="0" w:line="277" w:lineRule="auto"/>
        <w:tabs>
          <w:tab w:leader="none" w:pos="19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make the Securities eligible for clearance and settlement through The Depository Trust Company.</w:t>
      </w:r>
    </w:p>
    <w:p>
      <w:pPr>
        <w:spacing w:after="0" w:line="170" w:lineRule="exact"/>
        <w:rPr>
          <w:sz w:val="20"/>
          <w:szCs w:val="20"/>
          <w:color w:val="auto"/>
        </w:rPr>
      </w:pPr>
    </w:p>
    <w:p>
      <w:pPr>
        <w:ind w:left="1280" w:hanging="644"/>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sz w:val="20"/>
          <w:szCs w:val="20"/>
          <w:color w:val="auto"/>
        </w:rPr>
      </w:pPr>
    </w:p>
    <w:p>
      <w:pPr>
        <w:ind w:left="-20" w:right="20" w:firstLine="656"/>
        <w:spacing w:after="0" w:line="255" w:lineRule="auto"/>
        <w:tabs>
          <w:tab w:leader="none" w:pos="127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Schedule II or prepared pursuant to Section 1(c) or Section 6(c) above (including any electronic road show), or (iii) any free writing prospectus prepared by such underwriter and approved by the Company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advance in writing (each such free writing prospectus referred to in clauses (i) or (iii), an “</w:t>
      </w:r>
      <w:r>
        <w:rPr>
          <w:rFonts w:ascii="Arial" w:cs="Arial" w:eastAsia="Arial" w:hAnsi="Arial"/>
          <w:sz w:val="18"/>
          <w:szCs w:val="18"/>
          <w:b w:val="1"/>
          <w:bCs w:val="1"/>
          <w:color w:val="auto"/>
        </w:rPr>
        <w:t>Underwriter Free Writing Prospectus</w:t>
      </w:r>
      <w:r>
        <w:rPr>
          <w:rFonts w:ascii="Arial" w:cs="Arial" w:eastAsia="Arial" w:hAnsi="Arial"/>
          <w:sz w:val="18"/>
          <w:szCs w:val="18"/>
          <w:color w:val="auto"/>
        </w:rPr>
        <w:t>”).</w:t>
      </w:r>
    </w:p>
    <w:p>
      <w:pPr>
        <w:spacing w:after="0" w:line="229" w:lineRule="exact"/>
        <w:rPr>
          <w:sz w:val="20"/>
          <w:szCs w:val="20"/>
          <w:color w:val="auto"/>
        </w:rPr>
      </w:pPr>
    </w:p>
    <w:p>
      <w:pPr>
        <w:ind w:firstLine="656"/>
        <w:spacing w:after="0" w:line="257" w:lineRule="auto"/>
        <w:tabs>
          <w:tab w:leader="none" w:pos="130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It has not and will not, without the prior written consent of the Company, use any free writing prospectus that contains the final terms of the Securities unless such terms have previously been included in a free writing prospectus filed with the Commission;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Underwriters may use a term sheet substantially in the form of that referred to in Schedule II hereto without the consent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Underwriter using such term sheet shall notify the Company, and provide a copy of such term sheet to the Company, prior to, or substantially concurrently with, the first use of such term sheet.</w:t>
      </w:r>
    </w:p>
    <w:p>
      <w:pPr>
        <w:spacing w:after="0" w:line="188" w:lineRule="exact"/>
        <w:rPr>
          <w:rFonts w:ascii="Arial" w:cs="Arial" w:eastAsia="Arial" w:hAnsi="Arial"/>
          <w:sz w:val="18"/>
          <w:szCs w:val="18"/>
          <w:color w:val="auto"/>
        </w:rPr>
      </w:pPr>
    </w:p>
    <w:p>
      <w:pPr>
        <w:ind w:right="60" w:firstLine="656"/>
        <w:spacing w:after="0" w:line="277" w:lineRule="auto"/>
        <w:tabs>
          <w:tab w:leader="none" w:pos="13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Securities Act with respect to the offering (and will promptly notify the Company if any such proceeding against it is initiated during the Prospectus Delivery Period).</w:t>
      </w:r>
    </w:p>
    <w:p>
      <w:pPr>
        <w:spacing w:after="0" w:line="170" w:lineRule="exact"/>
        <w:rPr>
          <w:sz w:val="20"/>
          <w:szCs w:val="20"/>
          <w:color w:val="auto"/>
        </w:rPr>
      </w:pPr>
    </w:p>
    <w:p>
      <w:pPr>
        <w:ind w:right="40" w:firstLine="656"/>
        <w:spacing w:after="0" w:line="286" w:lineRule="auto"/>
        <w:tabs>
          <w:tab w:leader="none" w:pos="129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Indemnity and Contribution</w:t>
      </w:r>
      <w:r>
        <w:rPr>
          <w:rFonts w:ascii="Arial" w:cs="Arial" w:eastAsia="Arial" w:hAnsi="Arial"/>
          <w:sz w:val="16"/>
          <w:szCs w:val="16"/>
          <w:color w:val="auto"/>
        </w:rPr>
        <w:t>. (a) The Company agrees to indemnify and hold harmless each Underwriter, the directors, officers,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and agents of the Underwriters and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(i) any untrue statement or alleged untrue statement of a material fact contained in the Registration Statement or caused by any omission or alleged omission to state therein a material fact required to be stated therein or necessary to make the statements therein, not misleading, (ii) any untrue statement or alleged untrue statement of a material fact contained in the Preliminary Prospectus (or any amendment or supplement thereto), Prospectus (or any amendment or supplement thereto), any Issuer Free Writing Prospectus, any “issuer information” filed or required to be filed pursuant to Rule 433(d), any “road show” as defined in Rule 433(h) under the Securities Act (a “</w:t>
      </w:r>
      <w:r>
        <w:rPr>
          <w:rFonts w:ascii="Arial" w:cs="Arial" w:eastAsia="Arial" w:hAnsi="Arial"/>
          <w:sz w:val="16"/>
          <w:szCs w:val="16"/>
          <w:b w:val="1"/>
          <w:bCs w:val="1"/>
          <w:color w:val="auto"/>
        </w:rPr>
        <w:t>road show</w:t>
      </w:r>
      <w:r>
        <w:rPr>
          <w:rFonts w:ascii="Arial" w:cs="Arial" w:eastAsia="Arial" w:hAnsi="Arial"/>
          <w:sz w:val="16"/>
          <w:szCs w:val="16"/>
          <w:color w:val="auto"/>
        </w:rPr>
        <w:t>”) or any Time of Sale Information (including any Time of Sale Information that has subsequently been amended), or caused by any omission or alleged omission to state therein a material fact necessary to make the statements therein, in light of the circumstances under which they were made, not misleading, in each case except insofar as such losses, claims, damages or liabilities are caused by, any untrue statement or omission or alleged untrue statement or omission based upon any information relating to any Underwriter furnished to the Company in writing by such Underwriter through the Representatives expressly for use therein.</w:t>
      </w:r>
    </w:p>
    <w:p>
      <w:pPr>
        <w:spacing w:after="0" w:line="174" w:lineRule="exact"/>
        <w:rPr>
          <w:rFonts w:ascii="Arial" w:cs="Arial" w:eastAsia="Arial" w:hAnsi="Arial"/>
          <w:sz w:val="16"/>
          <w:szCs w:val="16"/>
          <w:color w:val="auto"/>
        </w:rPr>
      </w:pPr>
    </w:p>
    <w:p>
      <w:pPr>
        <w:ind w:right="100" w:firstLine="1305"/>
        <w:spacing w:after="0" w:line="277" w:lineRule="auto"/>
        <w:tabs>
          <w:tab w:leader="none" w:pos="1628"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Underwriter agrees, severally and not jointly, to indemnify and hold harmless the Company, its directors, its officers who signed the Registration Statement and each person, if any, who controls the Company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spacing w:after="0" w:line="290" w:lineRule="auto"/>
        <w:rPr>
          <w:sz w:val="20"/>
          <w:szCs w:val="20"/>
          <w:color w:val="auto"/>
        </w:rPr>
      </w:pPr>
      <w:r>
        <w:rPr>
          <w:rFonts w:ascii="Arial" w:cs="Arial" w:eastAsia="Arial" w:hAnsi="Arial"/>
          <w:sz w:val="16"/>
          <w:szCs w:val="16"/>
          <w:color w:val="auto"/>
        </w:rPr>
        <w:t>within the meaning of Section 15 of the Securities Act or Section 20 of the Exchange Act to the same extent as the indemnity set forth in paragraph (a) above, but only with respect to any losses, claims, damages or liabilities that are caused by any untrue statement or omission or alleged untrue statement or omission based upon any information relating to such Underwriter furnished to the Company in writing by such Underwriter through the Representatives expressly for use in the Registration Statement, the Prospectus (or any amendment or supplement thereto), any Issuer Free Writing Prospectus, any road show or any Time of Sale Information (including any Time of Sale Information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fourth paragraph under the caption “Underwriting” and the information contained in the third sentence of the seventh paragraph, the eighth paragraph and the ninth paragraph under the caption “Underwriting.”</w:t>
      </w:r>
    </w:p>
    <w:p>
      <w:pPr>
        <w:spacing w:after="0" w:line="166" w:lineRule="exact"/>
        <w:rPr>
          <w:sz w:val="20"/>
          <w:szCs w:val="20"/>
          <w:color w:val="auto"/>
        </w:rPr>
      </w:pPr>
    </w:p>
    <w:p>
      <w:pPr>
        <w:ind w:right="20" w:firstLine="1305"/>
        <w:spacing w:after="0" w:line="268" w:lineRule="auto"/>
        <w:tabs>
          <w:tab w:leader="none" w:pos="1631"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7"/>
          <w:szCs w:val="17"/>
          <w:b w:val="1"/>
          <w:bCs w:val="1"/>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b w:val="1"/>
          <w:bCs w:val="1"/>
          <w:color w:val="auto"/>
        </w:rPr>
        <w:t>indemnifying party</w:t>
      </w:r>
      <w:r>
        <w:rPr>
          <w:rFonts w:ascii="Arial" w:cs="Arial" w:eastAsia="Arial" w:hAnsi="Arial"/>
          <w:sz w:val="17"/>
          <w:szCs w:val="17"/>
          <w:color w:val="auto"/>
        </w:rPr>
        <w:t>”) in writing, but 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ind w:right="100"/>
        <w:spacing w:after="0" w:line="255" w:lineRule="auto"/>
        <w:rPr>
          <w:sz w:val="20"/>
          <w:szCs w:val="20"/>
          <w:color w:val="auto"/>
        </w:rPr>
      </w:pPr>
      <w:r>
        <w:rPr>
          <w:rFonts w:ascii="Arial" w:cs="Arial" w:eastAsia="Arial" w:hAnsi="Arial"/>
          <w:sz w:val="18"/>
          <w:szCs w:val="18"/>
          <w:color w:val="auto"/>
        </w:rPr>
        <w:t>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93" w:lineRule="exact"/>
        <w:rPr>
          <w:sz w:val="20"/>
          <w:szCs w:val="20"/>
          <w:color w:val="auto"/>
        </w:rPr>
      </w:pPr>
    </w:p>
    <w:p>
      <w:pPr>
        <w:ind w:firstLine="1305"/>
        <w:spacing w:after="0" w:line="286" w:lineRule="auto"/>
        <w:tabs>
          <w:tab w:leader="none" w:pos="16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underwriting discounts and commissions received by the Underwriters, in each case as set forth on the cover of the Prospectus, bear to the aggregate offering price of the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 of Securities they have purchased hereunder, and not joint.</w:t>
      </w:r>
    </w:p>
    <w:p>
      <w:pPr>
        <w:spacing w:after="0" w:line="168" w:lineRule="exact"/>
        <w:rPr>
          <w:rFonts w:ascii="Arial" w:cs="Arial" w:eastAsia="Arial" w:hAnsi="Arial"/>
          <w:sz w:val="16"/>
          <w:szCs w:val="16"/>
          <w:color w:val="auto"/>
        </w:rPr>
      </w:pPr>
    </w:p>
    <w:p>
      <w:pPr>
        <w:ind w:right="20" w:firstLine="1305"/>
        <w:spacing w:after="0" w:line="264" w:lineRule="auto"/>
        <w:tabs>
          <w:tab w:leader="none" w:pos="16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and the Underwriters agree that it would not be just or equitable if contribution pursuant to Section 8 were determined by pro rata allocation (even if the Underwriters were treated as one entity for such purpose) or by any other method of allocation that does not take account of the equitable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line="253" w:lineRule="auto"/>
        <w:rPr>
          <w:sz w:val="20"/>
          <w:szCs w:val="20"/>
          <w:color w:val="auto"/>
        </w:rPr>
      </w:pPr>
      <w:r>
        <w:rPr>
          <w:rFonts w:ascii="Arial" w:cs="Arial" w:eastAsia="Arial" w:hAnsi="Arial"/>
          <w:sz w:val="18"/>
          <w:szCs w:val="18"/>
          <w:color w:val="auto"/>
        </w:rPr>
        <w:t>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Section 8(d) or this Section 8(e), no Underwriter shall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9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the officers or directors of the Company or any person controlling the Company and (iii) acceptance of and payment for any of the Securities. The Underwriters’ respective obligations to contribute pursuant to this Section 8 are several in proportion to the respective principal amount of Securities they have purchased hereunder, and not joint.</w:t>
      </w:r>
    </w:p>
    <w:p>
      <w:pPr>
        <w:spacing w:after="0" w:line="193" w:lineRule="exact"/>
        <w:rPr>
          <w:sz w:val="20"/>
          <w:szCs w:val="20"/>
          <w:color w:val="auto"/>
        </w:rPr>
      </w:pPr>
    </w:p>
    <w:p>
      <w:pPr>
        <w:ind w:right="140" w:firstLine="656"/>
        <w:spacing w:after="0" w:line="291" w:lineRule="auto"/>
        <w:tabs>
          <w:tab w:leader="none" w:pos="1296"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Recognition of the U.S. Special Resolutions Regimes</w:t>
      </w:r>
      <w:r>
        <w:rPr>
          <w:rFonts w:ascii="Arial" w:cs="Arial" w:eastAsia="Arial" w:hAnsi="Arial"/>
          <w:sz w:val="16"/>
          <w:szCs w:val="16"/>
          <w:color w:val="auto"/>
        </w:rPr>
        <w:t>: (a) In the event that any Underwriter that is a Covered Entity becomes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left="340"/>
        <w:spacing w:after="0"/>
        <w:tabs>
          <w:tab w:leader="none" w:pos="7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1" w:lineRule="exact"/>
        <w:rPr>
          <w:sz w:val="20"/>
          <w:szCs w:val="20"/>
          <w:color w:val="auto"/>
        </w:rPr>
      </w:pPr>
    </w:p>
    <w:p>
      <w:pPr>
        <w:ind w:left="660" w:right="66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0" w:lineRule="exact"/>
        <w:rPr>
          <w:sz w:val="20"/>
          <w:szCs w:val="20"/>
          <w:color w:val="auto"/>
        </w:rPr>
      </w:pPr>
    </w:p>
    <w:p>
      <w:pPr>
        <w:ind w:firstLine="656"/>
        <w:spacing w:after="0" w:line="289" w:lineRule="auto"/>
        <w:tabs>
          <w:tab w:leader="none" w:pos="1292"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you to the Company, if after the execution and delivery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the Representatives’ judgment, is material and adverse and that, singly or together with any other event specified in this Section 10, makes it, in the Representatives’ judgment, impracticable or inadvisable to proceed with the offer, sale or delivery of the Securities on the terms and in the manner contemplated in this Agreement, the Time of Sale Information and the Prospectus.</w:t>
      </w:r>
    </w:p>
    <w:p>
      <w:pPr>
        <w:spacing w:after="0" w:line="16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If this Agreement shall be terminated by the Underwriters, or any of them, (i) because of any failure or refusal on the part of the Company to comply with the terms or to fulfill any of the conditions of this Agreement, (ii) for any reason set forth in the first paragraph of this Section 10, or (iii) if for any reason the Company shall be unable to perform its obligations under this Agreement, the Company will reimburse the Underwriters or such Underwriters as have so terminated this Agreement with respect to themselves, severally, for all out of pocket expenses (including the fees and disbursements of their counsel)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reasonably incurred by such Underwriters in connection with this Agreement or the offering contemplated hereunder.</w:t>
      </w:r>
    </w:p>
    <w:p>
      <w:pPr>
        <w:spacing w:after="0" w:line="225"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on the Closing Date, any one or more of the Underwriters shall fail or refuse to purchase Securities that it or they have agreed to purchase hereunder on such date, and the aggregate principal amount of Securities which such defaulting Underwriter or Underwriters agreed but failed or refused to purchase is not more than one tenth of the aggregate principal amount of Securities to be purchased on such date, the other Underwriters shall be obligated severally in the proportions that the principal amount of Securities set forth opposite their respective names in Schedule I bears to the aggregate principal amount of Securities set forth opposite the names of all such non defaulting Underwriters, or in such other proportions as you may specify, to purchase the Securities that such defaulting Underwriter or Underwriters agreed but failed or refused to purchase on such date; provided that in no event shall the principal amount of Securities that any Underwriter has agreed to purchase pursuant to this Agreement be increased pursuant to this Section 11 by an amount in excess of one ninth of such principal amount of Securities without the written consent of such Underwriter. If, on the Closing Date any Underwriter or Underwriters shall fail or refuse to purchase Securities which it or they have agreed to purchase hereunder on such date and the aggregate principal amount of Securities with respect to which such default occurs is more than one 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Underwriter or of the Company. In any such case either you or the Company shall have the right to postpone the Closing Date, but in no event for longer than seven days, in order that the required changes, if any, in the Registration Statement, in the Time of Sale Information,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right="240" w:firstLine="656"/>
        <w:spacing w:after="0" w:line="259" w:lineRule="auto"/>
        <w:tabs>
          <w:tab w:leader="none" w:pos="1292"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Underwriters with respect to the preparation of the Registration Statement, Time of Sale Information and Prospectus, the conduct of the offering, and the purchase and sale of the Securities.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 w:name="page30"/>
    <w:bookmarkEnd w:id="29"/>
    <w:p>
      <w:pPr>
        <w:ind w:left="640" w:firstLine="645"/>
        <w:spacing w:after="0" w:line="297" w:lineRule="auto"/>
        <w:tabs>
          <w:tab w:leader="none" w:pos="1944"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and (iii) the Underwriters may have interests that differ from those of the Company. The Company waives to the full extent permitted by applicable law any claims it may have against the Underwriters arising from an alleged breach of fiduciary duty in connection with the offering of the Securities.</w:t>
      </w:r>
    </w:p>
    <w:p>
      <w:pPr>
        <w:spacing w:after="0" w:line="158" w:lineRule="exact"/>
        <w:rPr>
          <w:rFonts w:ascii="Arial" w:cs="Arial" w:eastAsia="Arial" w:hAnsi="Arial"/>
          <w:sz w:val="16"/>
          <w:szCs w:val="16"/>
          <w:color w:val="auto"/>
        </w:rPr>
      </w:pPr>
    </w:p>
    <w:p>
      <w:pPr>
        <w:ind w:left="-20" w:right="40" w:firstLine="656"/>
        <w:spacing w:after="0" w:line="277" w:lineRule="auto"/>
        <w:tabs>
          <w:tab w:leader="none" w:pos="127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280" w:hanging="644"/>
        <w:spacing w:after="0"/>
        <w:tabs>
          <w:tab w:leader="none" w:pos="12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left="-20" w:right="120" w:firstLine="656"/>
        <w:spacing w:after="0" w:line="277" w:lineRule="auto"/>
        <w:tabs>
          <w:tab w:leader="none" w:pos="127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left="-20" w:right="60" w:firstLine="656"/>
        <w:spacing w:after="0" w:line="254" w:lineRule="auto"/>
        <w:tabs>
          <w:tab w:leader="none" w:pos="127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communications hereunder shall be in writing and effective only upon receipt (a) if to the Underwriters shall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or sent to you at (i) c/o Morgan Stanley &amp; Co. LLC, 1585 Broadway, New York, New York 10036, Attention: Investment Grade Syndicate Desk, with a copy to the Legal Department; (ii) c/o BNP Paribas Securities Corp., 787 Seventh Avenue, New York, NY 10019, Attention: Syndicate Desk; and (iii) c/o Credit Suisse Securities (USA) LLC, Eleven Madison Avenue, New York, NY 10010-3629, Attention: IBCM-Legal; with a copy to Simpson Thacher &amp; Bartlett LLP, 2475 Hanover Street, Palo Alto, California 94304, Attention: Daniel Webb, Fax: (650) 251-5002; and (b) if to the Company shall be delivered, mailed or sent to Micron Technology, Inc., 8000 South Federal Way, Boise, Idaho 83716, Attention: General Counsel, Fax: (208) 368-4540, with a copy to Wilson Sonsini Goodrich &amp; Rosati, Professional Corporation, 650 Page Mill Road, Palo Alto, California 94304, Attention: John A. Fore, Fax: (650) 493-6811.</w:t>
      </w:r>
    </w:p>
    <w:p>
      <w:pPr>
        <w:spacing w:after="0" w:line="192" w:lineRule="exact"/>
        <w:rPr>
          <w:rFonts w:ascii="Arial" w:cs="Arial" w:eastAsia="Arial" w:hAnsi="Arial"/>
          <w:sz w:val="18"/>
          <w:szCs w:val="18"/>
          <w:color w:val="auto"/>
        </w:rPr>
      </w:pPr>
    </w:p>
    <w:p>
      <w:pPr>
        <w:ind w:left="-20" w:right="80" w:firstLine="656"/>
        <w:spacing w:after="0" w:line="286" w:lineRule="auto"/>
        <w:tabs>
          <w:tab w:leader="none" w:pos="1272"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Certain Defined Terms</w:t>
      </w:r>
      <w:r>
        <w:rPr>
          <w:rFonts w:ascii="Arial" w:cs="Arial" w:eastAsia="Arial" w:hAnsi="Arial"/>
          <w:sz w:val="17"/>
          <w:szCs w:val="17"/>
          <w:color w:val="auto"/>
        </w:rPr>
        <w:t>. For purposes of this Agreement, (a) except where otherwise expressly provided, the term “affiliate” has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20" w:right="20" w:firstLine="656"/>
        <w:spacing w:after="0" w:line="277" w:lineRule="auto"/>
        <w:tabs>
          <w:tab w:leader="none" w:pos="1272"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Compliance with USA Patriot Act</w:t>
      </w:r>
      <w:r>
        <w:rPr>
          <w:rFonts w:ascii="Arial" w:cs="Arial" w:eastAsia="Arial" w:hAnsi="Arial"/>
          <w:sz w:val="18"/>
          <w:szCs w:val="18"/>
          <w:color w:val="auto"/>
        </w:rPr>
        <w:t>. In accordance with the requirements of the USA Patriot Act (Title III of Pub. L. 107-56 (signed into law</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26, 2001)), the Underwriters are required to obtain, verify and record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41" w:right="25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1" w:name="page32"/>
    <w:bookmarkEnd w:id="31"/>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2079"/>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Greg Routin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Name: Greg Routin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jc w:val="right"/>
        <w:ind w:right="6839"/>
        <w:spacing w:after="0"/>
        <w:rPr>
          <w:sz w:val="20"/>
          <w:szCs w:val="20"/>
          <w:color w:val="auto"/>
        </w:rPr>
      </w:pPr>
      <w:r>
        <w:rPr>
          <w:rFonts w:ascii="Arial" w:cs="Arial" w:eastAsia="Arial" w:hAnsi="Arial"/>
          <w:sz w:val="16"/>
          <w:szCs w:val="16"/>
          <w:color w:val="auto"/>
        </w:rPr>
        <w:t>Acting on behalf of themselves and the several</w:t>
      </w:r>
    </w:p>
    <w:p>
      <w:pPr>
        <w:spacing w:after="0" w:line="46" w:lineRule="exact"/>
        <w:rPr>
          <w:sz w:val="20"/>
          <w:szCs w:val="20"/>
          <w:color w:val="auto"/>
        </w:rPr>
      </w:pPr>
    </w:p>
    <w:p>
      <w:pPr>
        <w:jc w:val="right"/>
        <w:ind w:right="6879"/>
        <w:spacing w:after="0"/>
        <w:rPr>
          <w:sz w:val="20"/>
          <w:szCs w:val="20"/>
          <w:color w:val="auto"/>
        </w:rPr>
      </w:pPr>
      <w:r>
        <w:rPr>
          <w:rFonts w:ascii="Arial" w:cs="Arial" w:eastAsia="Arial" w:hAnsi="Arial"/>
          <w:sz w:val="18"/>
          <w:szCs w:val="18"/>
          <w:color w:val="auto"/>
        </w:rPr>
        <w:t>Underwriters named in Schedule I hereto.</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Morgan Stanley &amp; Co. LLC</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Brewe</w:t>
            </w:r>
          </w:p>
        </w:tc>
      </w:tr>
      <w:tr>
        <w:trPr>
          <w:trHeight w:val="195"/>
        </w:trPr>
        <w:tc>
          <w:tcPr>
            <w:tcW w:w="6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Ian Brewe</w:t>
            </w:r>
          </w:p>
        </w:tc>
      </w:tr>
      <w:tr>
        <w:trPr>
          <w:trHeight w:val="230"/>
        </w:trPr>
        <w:tc>
          <w:tcPr>
            <w:tcW w:w="6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Executive Director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225" w:lineRule="exact"/>
        <w:rPr>
          <w:sz w:val="20"/>
          <w:szCs w:val="20"/>
          <w:color w:val="auto"/>
        </w:rPr>
      </w:pPr>
    </w:p>
    <w:p>
      <w:pPr>
        <w:jc w:val="right"/>
        <w:ind w:right="6839"/>
        <w:spacing w:after="0"/>
        <w:rPr>
          <w:sz w:val="20"/>
          <w:szCs w:val="20"/>
          <w:color w:val="auto"/>
        </w:rPr>
      </w:pPr>
      <w:r>
        <w:rPr>
          <w:rFonts w:ascii="Arial" w:cs="Arial" w:eastAsia="Arial" w:hAnsi="Arial"/>
          <w:sz w:val="16"/>
          <w:szCs w:val="16"/>
          <w:color w:val="auto"/>
        </w:rPr>
        <w:t>Acting on behalf of themselves and the several</w:t>
      </w:r>
    </w:p>
    <w:p>
      <w:pPr>
        <w:spacing w:after="0" w:line="46" w:lineRule="exact"/>
        <w:rPr>
          <w:sz w:val="20"/>
          <w:szCs w:val="20"/>
          <w:color w:val="auto"/>
        </w:rPr>
      </w:pPr>
    </w:p>
    <w:p>
      <w:pPr>
        <w:jc w:val="right"/>
        <w:ind w:right="6879"/>
        <w:spacing w:after="0"/>
        <w:rPr>
          <w:sz w:val="20"/>
          <w:szCs w:val="20"/>
          <w:color w:val="auto"/>
        </w:rPr>
      </w:pPr>
      <w:r>
        <w:rPr>
          <w:rFonts w:ascii="Arial" w:cs="Arial" w:eastAsia="Arial" w:hAnsi="Arial"/>
          <w:sz w:val="18"/>
          <w:szCs w:val="18"/>
          <w:color w:val="auto"/>
        </w:rPr>
        <w:t>Underwriters named in Schedule I hereto.</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BNP Paribas Securities Corp.</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Rafael Ribeiro</w:t>
            </w:r>
          </w:p>
        </w:tc>
      </w:tr>
      <w:tr>
        <w:trPr>
          <w:trHeight w:val="195"/>
        </w:trPr>
        <w:tc>
          <w:tcPr>
            <w:tcW w:w="6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Rafael Ribeiro</w:t>
            </w:r>
          </w:p>
        </w:tc>
      </w:tr>
      <w:tr>
        <w:trPr>
          <w:trHeight w:val="230"/>
        </w:trPr>
        <w:tc>
          <w:tcPr>
            <w:tcW w:w="6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jc w:val="right"/>
        <w:ind w:right="6839"/>
        <w:spacing w:after="0"/>
        <w:rPr>
          <w:sz w:val="20"/>
          <w:szCs w:val="20"/>
          <w:color w:val="auto"/>
        </w:rPr>
      </w:pPr>
      <w:r>
        <w:rPr>
          <w:rFonts w:ascii="Arial" w:cs="Arial" w:eastAsia="Arial" w:hAnsi="Arial"/>
          <w:sz w:val="16"/>
          <w:szCs w:val="16"/>
          <w:color w:val="auto"/>
        </w:rPr>
        <w:t>Acting on behalf of themselves and the several</w:t>
      </w:r>
    </w:p>
    <w:p>
      <w:pPr>
        <w:spacing w:after="0" w:line="46" w:lineRule="exact"/>
        <w:rPr>
          <w:sz w:val="20"/>
          <w:szCs w:val="20"/>
          <w:color w:val="auto"/>
        </w:rPr>
      </w:pPr>
    </w:p>
    <w:p>
      <w:pPr>
        <w:jc w:val="right"/>
        <w:ind w:right="6879"/>
        <w:spacing w:after="0"/>
        <w:rPr>
          <w:sz w:val="20"/>
          <w:szCs w:val="20"/>
          <w:color w:val="auto"/>
        </w:rPr>
      </w:pPr>
      <w:r>
        <w:rPr>
          <w:rFonts w:ascii="Arial" w:cs="Arial" w:eastAsia="Arial" w:hAnsi="Arial"/>
          <w:sz w:val="18"/>
          <w:szCs w:val="18"/>
          <w:color w:val="auto"/>
        </w:rPr>
        <w:t>Underwriters named in Schedule I hereto.</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Pr>
          <w:p>
            <w:pPr>
              <w:spacing w:after="0"/>
              <w:rPr>
                <w:sz w:val="20"/>
                <w:szCs w:val="20"/>
                <w:color w:val="auto"/>
              </w:rPr>
            </w:pPr>
            <w:r>
              <w:rPr>
                <w:rFonts w:ascii="Arial" w:cs="Arial" w:eastAsia="Arial" w:hAnsi="Arial"/>
                <w:sz w:val="18"/>
                <w:szCs w:val="18"/>
                <w:color w:val="auto"/>
              </w:rPr>
              <w:t>Credit Suisse Securities (USA) LLC</w:t>
            </w:r>
          </w:p>
        </w:tc>
      </w:tr>
      <w:tr>
        <w:trPr>
          <w:trHeight w:val="648"/>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Murphy</w:t>
            </w:r>
          </w:p>
        </w:tc>
      </w:tr>
      <w:tr>
        <w:trPr>
          <w:trHeight w:val="195"/>
        </w:trPr>
        <w:tc>
          <w:tcPr>
            <w:tcW w:w="62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Name: Christopher Murphy</w:t>
            </w:r>
          </w:p>
        </w:tc>
      </w:tr>
      <w:tr>
        <w:trPr>
          <w:trHeight w:val="230"/>
        </w:trPr>
        <w:tc>
          <w:tcPr>
            <w:tcW w:w="6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2"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3"/>
          </w:tcPr>
          <w:p>
            <w:pPr>
              <w:ind w:left="48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24"/>
                <w:szCs w:val="2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Amount of 2024</w:t>
            </w:r>
          </w:p>
        </w:tc>
        <w:tc>
          <w:tcPr>
            <w:tcW w:w="220" w:type="dxa"/>
            <w:vAlign w:val="bottom"/>
          </w:tcPr>
          <w:p>
            <w:pPr>
              <w:spacing w:after="0"/>
              <w:rPr>
                <w:sz w:val="12"/>
                <w:szCs w:val="12"/>
                <w:color w:val="auto"/>
              </w:rPr>
            </w:pPr>
          </w:p>
        </w:tc>
        <w:tc>
          <w:tcPr>
            <w:tcW w:w="16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Amount of 2026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Amount of 2029</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Notes to be</w:t>
            </w:r>
          </w:p>
        </w:tc>
        <w:tc>
          <w:tcPr>
            <w:tcW w:w="220" w:type="dxa"/>
            <w:vAlign w:val="bottom"/>
          </w:tcPr>
          <w:p>
            <w:pPr>
              <w:spacing w:after="0"/>
              <w:rPr>
                <w:sz w:val="12"/>
                <w:szCs w:val="12"/>
                <w:color w:val="auto"/>
              </w:rPr>
            </w:pPr>
          </w:p>
        </w:tc>
        <w:tc>
          <w:tcPr>
            <w:tcW w:w="1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Notes to be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Notes to be</w:t>
            </w: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120,000,000.00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100,000,000.00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84,000,000.00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70,000,000.00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84,000,000.00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70,000,000.00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36,000,000.00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30,000,000.00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36,000,000.00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36,000,000.00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30,000,000.00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20,000,000.00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30,000,000.00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25,000,000.00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25,000,000.00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The Williams Capital Group, L.P.</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30,000,000.00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25,000,000.00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30,000,000.00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25,000,000.00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24,000,000.00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20,000,000.00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24,000,000.00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20,000,000.00</w:t>
            </w:r>
          </w:p>
        </w:tc>
        <w:tc>
          <w:tcPr>
            <w:tcW w:w="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ANZ Securities, Inc.</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12,000,000.00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10,000,000.00</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14,000,000.00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tcBorders>
              <w:top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600,000,000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500,000,000</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700,000,000</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I-1</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Information</w:t>
      </w:r>
    </w:p>
    <w:p>
      <w:pPr>
        <w:spacing w:after="0" w:line="229" w:lineRule="exact"/>
        <w:rPr>
          <w:sz w:val="20"/>
          <w:szCs w:val="20"/>
          <w:color w:val="auto"/>
        </w:rPr>
      </w:pPr>
    </w:p>
    <w:p>
      <w:pPr>
        <w:ind w:left="5580" w:right="3840" w:hanging="5572"/>
        <w:spacing w:after="0" w:line="528" w:lineRule="auto"/>
        <w:tabs>
          <w:tab w:leader="none" w:pos="6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 Sheet containing the terms of the Securities, substantially in the form set forth in Annex A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left="260" w:right="22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Circulated separately.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JOEL L. POPPEN, GENERAL COUNSEL OF THE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Circulated separately.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Circulated separately.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223520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February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220980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U.S. Bank National Association</w:t>
      </w: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74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8740" w:type="dxa"/>
            <w:vAlign w:val="bottom"/>
          </w:tcPr>
          <w:p>
            <w:pPr>
              <w:ind w:left="280"/>
              <w:spacing w:after="0"/>
              <w:rPr>
                <w:sz w:val="20"/>
                <w:szCs w:val="20"/>
                <w:color w:val="auto"/>
              </w:rPr>
            </w:pPr>
            <w:r>
              <w:rPr>
                <w:rFonts w:ascii="Arial" w:cs="Arial" w:eastAsia="Arial" w:hAnsi="Arial"/>
                <w:sz w:val="18"/>
                <w:szCs w:val="18"/>
                <w:color w:val="auto"/>
              </w:rPr>
              <w:t>Other Definitions</w:t>
            </w: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8740" w:type="dxa"/>
            <w:vAlign w:val="bottom"/>
          </w:tcPr>
          <w:p>
            <w:pPr>
              <w:ind w:left="280"/>
              <w:spacing w:after="0"/>
              <w:rPr>
                <w:sz w:val="20"/>
                <w:szCs w:val="20"/>
                <w:color w:val="auto"/>
              </w:rPr>
            </w:pPr>
            <w:r>
              <w:rPr>
                <w:rFonts w:ascii="Arial" w:cs="Arial" w:eastAsia="Arial" w:hAnsi="Arial"/>
                <w:sz w:val="18"/>
                <w:szCs w:val="18"/>
                <w:color w:val="auto"/>
              </w:rPr>
              <w:t>Incorporation by Reference of Trust Indenture Act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8740" w:type="dxa"/>
            <w:vAlign w:val="bottom"/>
          </w:tcPr>
          <w:p>
            <w:pPr>
              <w:ind w:left="280"/>
              <w:spacing w:after="0"/>
              <w:rPr>
                <w:sz w:val="20"/>
                <w:szCs w:val="20"/>
                <w:color w:val="auto"/>
              </w:rPr>
            </w:pPr>
            <w:r>
              <w:rPr>
                <w:rFonts w:ascii="Arial" w:cs="Arial" w:eastAsia="Arial" w:hAnsi="Arial"/>
                <w:sz w:val="18"/>
                <w:szCs w:val="18"/>
                <w:color w:val="auto"/>
              </w:rPr>
              <w:t>Rules of Construction</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740" w:type="dxa"/>
            <w:vAlign w:val="bottom"/>
          </w:tcPr>
          <w:p>
            <w:pPr>
              <w:ind w:left="280"/>
              <w:spacing w:after="0"/>
              <w:rPr>
                <w:sz w:val="20"/>
                <w:szCs w:val="20"/>
                <w:color w:val="auto"/>
              </w:rPr>
            </w:pPr>
            <w:r>
              <w:rPr>
                <w:rFonts w:ascii="Arial" w:cs="Arial" w:eastAsia="Arial" w:hAnsi="Arial"/>
                <w:sz w:val="18"/>
                <w:szCs w:val="18"/>
                <w:color w:val="auto"/>
              </w:rPr>
              <w:t>Issuable in Series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740" w:type="dxa"/>
            <w:vAlign w:val="bottom"/>
          </w:tcPr>
          <w:p>
            <w:pPr>
              <w:ind w:left="280"/>
              <w:spacing w:after="0"/>
              <w:rPr>
                <w:sz w:val="20"/>
                <w:szCs w:val="20"/>
                <w:color w:val="auto"/>
              </w:rPr>
            </w:pPr>
            <w:r>
              <w:rPr>
                <w:rFonts w:ascii="Arial" w:cs="Arial" w:eastAsia="Arial" w:hAnsi="Arial"/>
                <w:sz w:val="18"/>
                <w:szCs w:val="18"/>
                <w:color w:val="auto"/>
              </w:rPr>
              <w:t>Establishment of Terms of Series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740" w:type="dxa"/>
            <w:vAlign w:val="bottom"/>
          </w:tcPr>
          <w:p>
            <w:pPr>
              <w:ind w:left="280"/>
              <w:spacing w:after="0"/>
              <w:rPr>
                <w:sz w:val="20"/>
                <w:szCs w:val="20"/>
                <w:color w:val="auto"/>
              </w:rPr>
            </w:pPr>
            <w:r>
              <w:rPr>
                <w:rFonts w:ascii="Arial" w:cs="Arial" w:eastAsia="Arial" w:hAnsi="Arial"/>
                <w:sz w:val="18"/>
                <w:szCs w:val="18"/>
                <w:color w:val="auto"/>
              </w:rPr>
              <w:t>Execution and Authentication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740" w:type="dxa"/>
            <w:vAlign w:val="bottom"/>
          </w:tcPr>
          <w:p>
            <w:pPr>
              <w:ind w:left="280"/>
              <w:spacing w:after="0"/>
              <w:rPr>
                <w:sz w:val="20"/>
                <w:szCs w:val="20"/>
                <w:color w:val="auto"/>
              </w:rPr>
            </w:pPr>
            <w:r>
              <w:rPr>
                <w:rFonts w:ascii="Arial" w:cs="Arial" w:eastAsia="Arial" w:hAnsi="Arial"/>
                <w:sz w:val="18"/>
                <w:szCs w:val="18"/>
                <w:color w:val="auto"/>
              </w:rPr>
              <w:t>Registrar and Paying Agent</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740" w:type="dxa"/>
            <w:vAlign w:val="bottom"/>
          </w:tcPr>
          <w:p>
            <w:pPr>
              <w:ind w:left="280"/>
              <w:spacing w:after="0"/>
              <w:rPr>
                <w:sz w:val="20"/>
                <w:szCs w:val="20"/>
                <w:color w:val="auto"/>
              </w:rPr>
            </w:pPr>
            <w:r>
              <w:rPr>
                <w:rFonts w:ascii="Arial" w:cs="Arial" w:eastAsia="Arial" w:hAnsi="Arial"/>
                <w:sz w:val="18"/>
                <w:szCs w:val="18"/>
                <w:color w:val="auto"/>
              </w:rPr>
              <w:t>Paying Agent to Hold Money in Trust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740" w:type="dxa"/>
            <w:vAlign w:val="bottom"/>
          </w:tcPr>
          <w:p>
            <w:pPr>
              <w:ind w:left="280"/>
              <w:spacing w:after="0"/>
              <w:rPr>
                <w:sz w:val="20"/>
                <w:szCs w:val="20"/>
                <w:color w:val="auto"/>
              </w:rPr>
            </w:pPr>
            <w:r>
              <w:rPr>
                <w:rFonts w:ascii="Arial" w:cs="Arial" w:eastAsia="Arial" w:hAnsi="Arial"/>
                <w:sz w:val="18"/>
                <w:szCs w:val="18"/>
                <w:color w:val="auto"/>
              </w:rPr>
              <w:t>Securityholder Lists</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8740" w:type="dxa"/>
            <w:vAlign w:val="bottom"/>
          </w:tcPr>
          <w:p>
            <w:pPr>
              <w:ind w:left="280"/>
              <w:spacing w:after="0"/>
              <w:rPr>
                <w:sz w:val="20"/>
                <w:szCs w:val="20"/>
                <w:color w:val="auto"/>
              </w:rPr>
            </w:pPr>
            <w:r>
              <w:rPr>
                <w:rFonts w:ascii="Arial" w:cs="Arial" w:eastAsia="Arial" w:hAnsi="Arial"/>
                <w:sz w:val="18"/>
                <w:szCs w:val="18"/>
                <w:color w:val="auto"/>
              </w:rPr>
              <w:t>Transfer and Exchange</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8740" w:type="dxa"/>
            <w:vAlign w:val="bottom"/>
          </w:tcPr>
          <w:p>
            <w:pPr>
              <w:ind w:left="280"/>
              <w:spacing w:after="0"/>
              <w:rPr>
                <w:sz w:val="20"/>
                <w:szCs w:val="20"/>
                <w:color w:val="auto"/>
              </w:rPr>
            </w:pPr>
            <w:r>
              <w:rPr>
                <w:rFonts w:ascii="Arial" w:cs="Arial" w:eastAsia="Arial" w:hAnsi="Arial"/>
                <w:sz w:val="18"/>
                <w:szCs w:val="18"/>
                <w:color w:val="auto"/>
              </w:rPr>
              <w:t>Mutilated, Destroyed, Lost and Stolen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740" w:type="dxa"/>
            <w:vAlign w:val="bottom"/>
          </w:tcPr>
          <w:p>
            <w:pPr>
              <w:ind w:left="280"/>
              <w:spacing w:after="0"/>
              <w:rPr>
                <w:sz w:val="20"/>
                <w:szCs w:val="20"/>
                <w:color w:val="auto"/>
              </w:rPr>
            </w:pPr>
            <w:r>
              <w:rPr>
                <w:rFonts w:ascii="Arial" w:cs="Arial" w:eastAsia="Arial" w:hAnsi="Arial"/>
                <w:sz w:val="18"/>
                <w:szCs w:val="18"/>
                <w:color w:val="auto"/>
              </w:rPr>
              <w:t>Outstanding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740" w:type="dxa"/>
            <w:vAlign w:val="bottom"/>
          </w:tcPr>
          <w:p>
            <w:pPr>
              <w:ind w:left="280"/>
              <w:spacing w:after="0"/>
              <w:rPr>
                <w:sz w:val="20"/>
                <w:szCs w:val="20"/>
                <w:color w:val="auto"/>
              </w:rPr>
            </w:pPr>
            <w:r>
              <w:rPr>
                <w:rFonts w:ascii="Arial" w:cs="Arial" w:eastAsia="Arial" w:hAnsi="Arial"/>
                <w:sz w:val="18"/>
                <w:szCs w:val="18"/>
                <w:color w:val="auto"/>
              </w:rPr>
              <w:t>Treasury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74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8740" w:type="dxa"/>
            <w:vAlign w:val="bottom"/>
          </w:tcPr>
          <w:p>
            <w:pPr>
              <w:ind w:left="280"/>
              <w:spacing w:after="0"/>
              <w:rPr>
                <w:sz w:val="20"/>
                <w:szCs w:val="20"/>
                <w:color w:val="auto"/>
              </w:rPr>
            </w:pPr>
            <w:r>
              <w:rPr>
                <w:rFonts w:ascii="Arial" w:cs="Arial" w:eastAsia="Arial" w:hAnsi="Arial"/>
                <w:sz w:val="18"/>
                <w:szCs w:val="18"/>
                <w:color w:val="auto"/>
              </w:rPr>
              <w:t>Cancellation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8740" w:type="dxa"/>
            <w:vAlign w:val="bottom"/>
          </w:tcPr>
          <w:p>
            <w:pPr>
              <w:ind w:left="280"/>
              <w:spacing w:after="0"/>
              <w:rPr>
                <w:sz w:val="20"/>
                <w:szCs w:val="20"/>
                <w:color w:val="auto"/>
              </w:rPr>
            </w:pPr>
            <w:r>
              <w:rPr>
                <w:rFonts w:ascii="Arial" w:cs="Arial" w:eastAsia="Arial" w:hAnsi="Arial"/>
                <w:sz w:val="18"/>
                <w:szCs w:val="18"/>
                <w:color w:val="auto"/>
              </w:rPr>
              <w:t>Defaulted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8740" w:type="dxa"/>
            <w:vAlign w:val="bottom"/>
          </w:tcPr>
          <w:p>
            <w:pPr>
              <w:ind w:left="280"/>
              <w:spacing w:after="0"/>
              <w:rPr>
                <w:sz w:val="20"/>
                <w:szCs w:val="20"/>
                <w:color w:val="auto"/>
              </w:rPr>
            </w:pPr>
            <w:r>
              <w:rPr>
                <w:rFonts w:ascii="Arial" w:cs="Arial" w:eastAsia="Arial" w:hAnsi="Arial"/>
                <w:sz w:val="18"/>
                <w:szCs w:val="18"/>
                <w:color w:val="auto"/>
              </w:rPr>
              <w:t>Global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8740" w:type="dxa"/>
            <w:vAlign w:val="bottom"/>
          </w:tcPr>
          <w:p>
            <w:pPr>
              <w:ind w:left="280"/>
              <w:spacing w:after="0"/>
              <w:rPr>
                <w:sz w:val="20"/>
                <w:szCs w:val="20"/>
                <w:color w:val="auto"/>
              </w:rPr>
            </w:pPr>
            <w:r>
              <w:rPr>
                <w:rFonts w:ascii="Arial" w:cs="Arial" w:eastAsia="Arial" w:hAnsi="Arial"/>
                <w:sz w:val="18"/>
                <w:szCs w:val="18"/>
                <w:color w:val="auto"/>
              </w:rPr>
              <w:t>CUSIP Numbers</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740" w:type="dxa"/>
            <w:vAlign w:val="bottom"/>
          </w:tcPr>
          <w:p>
            <w:pPr>
              <w:ind w:left="280"/>
              <w:spacing w:after="0"/>
              <w:rPr>
                <w:sz w:val="20"/>
                <w:szCs w:val="20"/>
                <w:color w:val="auto"/>
              </w:rPr>
            </w:pPr>
            <w:r>
              <w:rPr>
                <w:rFonts w:ascii="Arial" w:cs="Arial" w:eastAsia="Arial" w:hAnsi="Arial"/>
                <w:sz w:val="18"/>
                <w:szCs w:val="18"/>
                <w:color w:val="auto"/>
              </w:rPr>
              <w:t>Notice to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740" w:type="dxa"/>
            <w:vAlign w:val="bottom"/>
          </w:tcPr>
          <w:p>
            <w:pPr>
              <w:ind w:left="280"/>
              <w:spacing w:after="0"/>
              <w:rPr>
                <w:sz w:val="20"/>
                <w:szCs w:val="20"/>
                <w:color w:val="auto"/>
              </w:rPr>
            </w:pPr>
            <w:r>
              <w:rPr>
                <w:rFonts w:ascii="Arial" w:cs="Arial" w:eastAsia="Arial" w:hAnsi="Arial"/>
                <w:sz w:val="18"/>
                <w:szCs w:val="18"/>
                <w:color w:val="auto"/>
              </w:rPr>
              <w:t>Selection of Securities to be Redeemed</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74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740" w:type="dxa"/>
            <w:vAlign w:val="bottom"/>
          </w:tcPr>
          <w:p>
            <w:pPr>
              <w:ind w:left="280"/>
              <w:spacing w:after="0"/>
              <w:rPr>
                <w:sz w:val="20"/>
                <w:szCs w:val="20"/>
                <w:color w:val="auto"/>
              </w:rPr>
            </w:pPr>
            <w:r>
              <w:rPr>
                <w:rFonts w:ascii="Arial" w:cs="Arial" w:eastAsia="Arial" w:hAnsi="Arial"/>
                <w:sz w:val="18"/>
                <w:szCs w:val="18"/>
                <w:color w:val="auto"/>
              </w:rPr>
              <w:t>Effect of Notice of Redemption</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740" w:type="dxa"/>
            <w:vAlign w:val="bottom"/>
          </w:tcPr>
          <w:p>
            <w:pPr>
              <w:ind w:left="280"/>
              <w:spacing w:after="0"/>
              <w:rPr>
                <w:sz w:val="20"/>
                <w:szCs w:val="20"/>
                <w:color w:val="auto"/>
              </w:rPr>
            </w:pPr>
            <w:r>
              <w:rPr>
                <w:rFonts w:ascii="Arial" w:cs="Arial" w:eastAsia="Arial" w:hAnsi="Arial"/>
                <w:sz w:val="18"/>
                <w:szCs w:val="18"/>
                <w:color w:val="auto"/>
              </w:rPr>
              <w:t>Deposit of Redemption Price</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740" w:type="dxa"/>
            <w:vAlign w:val="bottom"/>
          </w:tcPr>
          <w:p>
            <w:pPr>
              <w:ind w:left="280"/>
              <w:spacing w:after="0"/>
              <w:rPr>
                <w:sz w:val="20"/>
                <w:szCs w:val="20"/>
                <w:color w:val="auto"/>
              </w:rPr>
            </w:pPr>
            <w:r>
              <w:rPr>
                <w:rFonts w:ascii="Arial" w:cs="Arial" w:eastAsia="Arial" w:hAnsi="Arial"/>
                <w:sz w:val="18"/>
                <w:szCs w:val="18"/>
                <w:color w:val="auto"/>
              </w:rPr>
              <w:t>Securities Redeemed in Part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740" w:type="dxa"/>
            <w:vAlign w:val="bottom"/>
          </w:tcPr>
          <w:p>
            <w:pPr>
              <w:ind w:left="280"/>
              <w:spacing w:after="0"/>
              <w:rPr>
                <w:sz w:val="20"/>
                <w:szCs w:val="20"/>
                <w:color w:val="auto"/>
              </w:rPr>
            </w:pPr>
            <w:r>
              <w:rPr>
                <w:rFonts w:ascii="Arial" w:cs="Arial" w:eastAsia="Arial" w:hAnsi="Arial"/>
                <w:sz w:val="18"/>
                <w:szCs w:val="18"/>
                <w:color w:val="auto"/>
              </w:rPr>
              <w:t>Payment of Principal and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740" w:type="dxa"/>
            <w:vAlign w:val="bottom"/>
          </w:tcPr>
          <w:p>
            <w:pPr>
              <w:ind w:left="280"/>
              <w:spacing w:after="0"/>
              <w:rPr>
                <w:sz w:val="20"/>
                <w:szCs w:val="20"/>
                <w:color w:val="auto"/>
              </w:rPr>
            </w:pPr>
            <w:r>
              <w:rPr>
                <w:rFonts w:ascii="Arial" w:cs="Arial" w:eastAsia="Arial" w:hAnsi="Arial"/>
                <w:sz w:val="18"/>
                <w:szCs w:val="18"/>
                <w:color w:val="auto"/>
              </w:rPr>
              <w:t>SEC Reports</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740" w:type="dxa"/>
            <w:vAlign w:val="bottom"/>
          </w:tcPr>
          <w:p>
            <w:pPr>
              <w:ind w:left="280"/>
              <w:spacing w:after="0"/>
              <w:rPr>
                <w:sz w:val="20"/>
                <w:szCs w:val="20"/>
                <w:color w:val="auto"/>
              </w:rPr>
            </w:pPr>
            <w:r>
              <w:rPr>
                <w:rFonts w:ascii="Arial" w:cs="Arial" w:eastAsia="Arial" w:hAnsi="Arial"/>
                <w:sz w:val="18"/>
                <w:szCs w:val="18"/>
                <w:color w:val="auto"/>
              </w:rPr>
              <w:t>Compliance Certificate</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740" w:type="dxa"/>
            <w:vAlign w:val="bottom"/>
          </w:tcPr>
          <w:p>
            <w:pPr>
              <w:ind w:left="280"/>
              <w:spacing w:after="0"/>
              <w:rPr>
                <w:sz w:val="20"/>
                <w:szCs w:val="20"/>
                <w:color w:val="auto"/>
              </w:rPr>
            </w:pPr>
            <w:r>
              <w:rPr>
                <w:rFonts w:ascii="Arial" w:cs="Arial" w:eastAsia="Arial" w:hAnsi="Arial"/>
                <w:sz w:val="18"/>
                <w:szCs w:val="18"/>
                <w:color w:val="auto"/>
              </w:rPr>
              <w:t>Stay, Extension and Usury Laws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740" w:type="dxa"/>
            <w:vAlign w:val="bottom"/>
          </w:tcPr>
          <w:p>
            <w:pPr>
              <w:ind w:left="280"/>
              <w:spacing w:after="0"/>
              <w:rPr>
                <w:sz w:val="20"/>
                <w:szCs w:val="20"/>
                <w:color w:val="auto"/>
              </w:rPr>
            </w:pPr>
            <w:r>
              <w:rPr>
                <w:rFonts w:ascii="Arial" w:cs="Arial" w:eastAsia="Arial" w:hAnsi="Arial"/>
                <w:sz w:val="18"/>
                <w:szCs w:val="18"/>
                <w:color w:val="auto"/>
              </w:rPr>
              <w:t>When Company May Merge, Etc.</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740" w:type="dxa"/>
            <w:vAlign w:val="bottom"/>
          </w:tcPr>
          <w:p>
            <w:pPr>
              <w:ind w:left="280"/>
              <w:spacing w:after="0"/>
              <w:rPr>
                <w:sz w:val="20"/>
                <w:szCs w:val="20"/>
                <w:color w:val="auto"/>
              </w:rPr>
            </w:pPr>
            <w:r>
              <w:rPr>
                <w:rFonts w:ascii="Arial" w:cs="Arial" w:eastAsia="Arial" w:hAnsi="Arial"/>
                <w:sz w:val="18"/>
                <w:szCs w:val="18"/>
                <w:color w:val="auto"/>
              </w:rPr>
              <w:t>Successor Corporation Substituted</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740" w:type="dxa"/>
            <w:vAlign w:val="bottom"/>
          </w:tcPr>
          <w:p>
            <w:pPr>
              <w:ind w:left="280"/>
              <w:spacing w:after="0"/>
              <w:rPr>
                <w:sz w:val="20"/>
                <w:szCs w:val="20"/>
                <w:color w:val="auto"/>
              </w:rPr>
            </w:pPr>
            <w:r>
              <w:rPr>
                <w:rFonts w:ascii="Arial" w:cs="Arial" w:eastAsia="Arial" w:hAnsi="Arial"/>
                <w:sz w:val="18"/>
                <w:szCs w:val="18"/>
                <w:color w:val="auto"/>
              </w:rPr>
              <w:t>Events of Default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740" w:type="dxa"/>
            <w:vAlign w:val="bottom"/>
          </w:tcPr>
          <w:p>
            <w:pPr>
              <w:ind w:left="280"/>
              <w:spacing w:after="0"/>
              <w:rPr>
                <w:sz w:val="20"/>
                <w:szCs w:val="20"/>
                <w:color w:val="auto"/>
              </w:rPr>
            </w:pPr>
            <w:r>
              <w:rPr>
                <w:rFonts w:ascii="Arial" w:cs="Arial" w:eastAsia="Arial" w:hAnsi="Arial"/>
                <w:sz w:val="18"/>
                <w:szCs w:val="18"/>
                <w:color w:val="auto"/>
              </w:rPr>
              <w:t>Acceleration of Maturity; Rescission and Annulment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740" w:type="dxa"/>
            <w:vAlign w:val="bottom"/>
          </w:tcPr>
          <w:p>
            <w:pPr>
              <w:ind w:left="280"/>
              <w:spacing w:after="0"/>
              <w:rPr>
                <w:sz w:val="20"/>
                <w:szCs w:val="20"/>
                <w:color w:val="auto"/>
              </w:rPr>
            </w:pPr>
            <w:r>
              <w:rPr>
                <w:rFonts w:ascii="Arial" w:cs="Arial" w:eastAsia="Arial" w:hAnsi="Arial"/>
                <w:sz w:val="18"/>
                <w:szCs w:val="18"/>
                <w:color w:val="auto"/>
              </w:rPr>
              <w:t>Collection of Indebtedness and Suits for Enforcement by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8740" w:type="dxa"/>
            <w:vAlign w:val="bottom"/>
          </w:tcPr>
          <w:p>
            <w:pPr>
              <w:ind w:left="280"/>
              <w:spacing w:after="0"/>
              <w:rPr>
                <w:sz w:val="20"/>
                <w:szCs w:val="20"/>
                <w:color w:val="auto"/>
              </w:rPr>
            </w:pPr>
            <w:r>
              <w:rPr>
                <w:rFonts w:ascii="Arial" w:cs="Arial" w:eastAsia="Arial" w:hAnsi="Arial"/>
                <w:sz w:val="18"/>
                <w:szCs w:val="18"/>
                <w:color w:val="auto"/>
              </w:rPr>
              <w:t>Trustee May File Proofs of Claim</w:t>
            </w: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8740" w:type="dxa"/>
            <w:vAlign w:val="bottom"/>
          </w:tcPr>
          <w:p>
            <w:pPr>
              <w:ind w:left="280"/>
              <w:spacing w:after="0"/>
              <w:rPr>
                <w:sz w:val="20"/>
                <w:szCs w:val="20"/>
                <w:color w:val="auto"/>
              </w:rPr>
            </w:pPr>
            <w:r>
              <w:rPr>
                <w:rFonts w:ascii="Arial" w:cs="Arial" w:eastAsia="Arial" w:hAnsi="Arial"/>
                <w:sz w:val="18"/>
                <w:szCs w:val="18"/>
                <w:color w:val="auto"/>
              </w:rPr>
              <w:t>Trustee May Enforce Claims Without Possession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740" w:type="dxa"/>
            <w:vAlign w:val="bottom"/>
          </w:tcPr>
          <w:p>
            <w:pPr>
              <w:ind w:left="280"/>
              <w:spacing w:after="0"/>
              <w:rPr>
                <w:sz w:val="20"/>
                <w:szCs w:val="20"/>
                <w:color w:val="auto"/>
              </w:rPr>
            </w:pPr>
            <w:r>
              <w:rPr>
                <w:rFonts w:ascii="Arial" w:cs="Arial" w:eastAsia="Arial" w:hAnsi="Arial"/>
                <w:sz w:val="18"/>
                <w:szCs w:val="18"/>
                <w:color w:val="auto"/>
              </w:rPr>
              <w:t>Application of Money Collected</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740" w:type="dxa"/>
            <w:vAlign w:val="bottom"/>
          </w:tcPr>
          <w:p>
            <w:pPr>
              <w:ind w:left="280"/>
              <w:spacing w:after="0"/>
              <w:rPr>
                <w:sz w:val="20"/>
                <w:szCs w:val="20"/>
                <w:color w:val="auto"/>
              </w:rPr>
            </w:pPr>
            <w:r>
              <w:rPr>
                <w:rFonts w:ascii="Arial" w:cs="Arial" w:eastAsia="Arial" w:hAnsi="Arial"/>
                <w:sz w:val="18"/>
                <w:szCs w:val="18"/>
                <w:color w:val="auto"/>
              </w:rPr>
              <w:t>Limitation on Suits</w:t>
            </w: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8740" w:type="dxa"/>
            <w:vAlign w:val="bottom"/>
          </w:tcPr>
          <w:p>
            <w:pPr>
              <w:ind w:left="280"/>
              <w:spacing w:after="0"/>
              <w:rPr>
                <w:sz w:val="20"/>
                <w:szCs w:val="20"/>
                <w:color w:val="auto"/>
              </w:rPr>
            </w:pPr>
            <w:r>
              <w:rPr>
                <w:rFonts w:ascii="Arial" w:cs="Arial" w:eastAsia="Arial" w:hAnsi="Arial"/>
                <w:sz w:val="18"/>
                <w:szCs w:val="18"/>
                <w:color w:val="auto"/>
              </w:rPr>
              <w:t>Unconditional Right of Holders to Receive Principal and Interest</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8740" w:type="dxa"/>
            <w:vAlign w:val="bottom"/>
          </w:tcPr>
          <w:p>
            <w:pPr>
              <w:ind w:left="280"/>
              <w:spacing w:after="0"/>
              <w:rPr>
                <w:sz w:val="20"/>
                <w:szCs w:val="20"/>
                <w:color w:val="auto"/>
              </w:rPr>
            </w:pPr>
            <w:r>
              <w:rPr>
                <w:rFonts w:ascii="Arial" w:cs="Arial" w:eastAsia="Arial" w:hAnsi="Arial"/>
                <w:sz w:val="18"/>
                <w:szCs w:val="18"/>
                <w:color w:val="auto"/>
              </w:rPr>
              <w:t>Restoration of Rights and Remedies</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740" w:type="dxa"/>
            <w:vAlign w:val="bottom"/>
          </w:tcPr>
          <w:p>
            <w:pPr>
              <w:ind w:left="280"/>
              <w:spacing w:after="0"/>
              <w:rPr>
                <w:sz w:val="20"/>
                <w:szCs w:val="20"/>
                <w:color w:val="auto"/>
              </w:rPr>
            </w:pPr>
            <w:r>
              <w:rPr>
                <w:rFonts w:ascii="Arial" w:cs="Arial" w:eastAsia="Arial" w:hAnsi="Arial"/>
                <w:sz w:val="18"/>
                <w:szCs w:val="18"/>
                <w:color w:val="auto"/>
              </w:rPr>
              <w:t>Rights and Remedies Cumulative</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740" w:type="dxa"/>
            <w:vAlign w:val="bottom"/>
          </w:tcPr>
          <w:p>
            <w:pPr>
              <w:ind w:left="280"/>
              <w:spacing w:after="0"/>
              <w:rPr>
                <w:sz w:val="20"/>
                <w:szCs w:val="20"/>
                <w:color w:val="auto"/>
              </w:rPr>
            </w:pPr>
            <w:r>
              <w:rPr>
                <w:rFonts w:ascii="Arial" w:cs="Arial" w:eastAsia="Arial" w:hAnsi="Arial"/>
                <w:sz w:val="18"/>
                <w:szCs w:val="18"/>
                <w:color w:val="auto"/>
              </w:rPr>
              <w:t>Delay or Omission Not Waiver</w:t>
            </w: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740" w:type="dxa"/>
            <w:vAlign w:val="bottom"/>
          </w:tcPr>
          <w:p>
            <w:pPr>
              <w:ind w:left="280"/>
              <w:spacing w:after="0"/>
              <w:rPr>
                <w:sz w:val="20"/>
                <w:szCs w:val="20"/>
                <w:color w:val="auto"/>
              </w:rPr>
            </w:pPr>
            <w:r>
              <w:rPr>
                <w:rFonts w:ascii="Arial" w:cs="Arial" w:eastAsia="Arial" w:hAnsi="Arial"/>
                <w:sz w:val="18"/>
                <w:szCs w:val="18"/>
                <w:color w:val="auto"/>
              </w:rPr>
              <w:t>Control by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740" w:type="dxa"/>
            <w:vAlign w:val="bottom"/>
          </w:tcPr>
          <w:p>
            <w:pPr>
              <w:ind w:left="280"/>
              <w:spacing w:after="0"/>
              <w:rPr>
                <w:sz w:val="20"/>
                <w:szCs w:val="20"/>
                <w:color w:val="auto"/>
              </w:rPr>
            </w:pPr>
            <w:r>
              <w:rPr>
                <w:rFonts w:ascii="Arial" w:cs="Arial" w:eastAsia="Arial" w:hAnsi="Arial"/>
                <w:sz w:val="18"/>
                <w:szCs w:val="18"/>
                <w:color w:val="auto"/>
              </w:rPr>
              <w:t>Waiver of Past Defaults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8740" w:type="dxa"/>
            <w:vAlign w:val="bottom"/>
          </w:tcPr>
          <w:p>
            <w:pPr>
              <w:ind w:left="280"/>
              <w:spacing w:after="0"/>
              <w:rPr>
                <w:sz w:val="20"/>
                <w:szCs w:val="20"/>
                <w:color w:val="auto"/>
              </w:rPr>
            </w:pPr>
            <w:r>
              <w:rPr>
                <w:rFonts w:ascii="Arial" w:cs="Arial" w:eastAsia="Arial" w:hAnsi="Arial"/>
                <w:sz w:val="18"/>
                <w:szCs w:val="18"/>
                <w:color w:val="auto"/>
              </w:rPr>
              <w:t>Undertaking for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740" w:type="dxa"/>
            <w:vAlign w:val="bottom"/>
          </w:tcPr>
          <w:p>
            <w:pPr>
              <w:ind w:left="280"/>
              <w:spacing w:after="0"/>
              <w:rPr>
                <w:sz w:val="20"/>
                <w:szCs w:val="20"/>
                <w:color w:val="auto"/>
              </w:rPr>
            </w:pPr>
            <w:r>
              <w:rPr>
                <w:rFonts w:ascii="Arial" w:cs="Arial" w:eastAsia="Arial" w:hAnsi="Arial"/>
                <w:sz w:val="18"/>
                <w:szCs w:val="18"/>
                <w:color w:val="auto"/>
              </w:rPr>
              <w:t>Duties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740" w:type="dxa"/>
            <w:vAlign w:val="bottom"/>
          </w:tcPr>
          <w:p>
            <w:pPr>
              <w:ind w:left="280"/>
              <w:spacing w:after="0"/>
              <w:rPr>
                <w:sz w:val="20"/>
                <w:szCs w:val="20"/>
                <w:color w:val="auto"/>
              </w:rPr>
            </w:pPr>
            <w:r>
              <w:rPr>
                <w:rFonts w:ascii="Arial" w:cs="Arial" w:eastAsia="Arial" w:hAnsi="Arial"/>
                <w:sz w:val="18"/>
                <w:szCs w:val="18"/>
                <w:color w:val="auto"/>
              </w:rPr>
              <w:t>Rights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740" w:type="dxa"/>
            <w:vAlign w:val="bottom"/>
          </w:tcPr>
          <w:p>
            <w:pPr>
              <w:ind w:left="280"/>
              <w:spacing w:after="0"/>
              <w:rPr>
                <w:sz w:val="20"/>
                <w:szCs w:val="20"/>
                <w:color w:val="auto"/>
              </w:rPr>
            </w:pPr>
            <w:r>
              <w:rPr>
                <w:rFonts w:ascii="Arial" w:cs="Arial" w:eastAsia="Arial" w:hAnsi="Arial"/>
                <w:sz w:val="18"/>
                <w:szCs w:val="18"/>
                <w:color w:val="auto"/>
              </w:rPr>
              <w:t>Individual Rights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740" w:type="dxa"/>
            <w:vAlign w:val="bottom"/>
          </w:tcPr>
          <w:p>
            <w:pPr>
              <w:ind w:left="280"/>
              <w:spacing w:after="0"/>
              <w:rPr>
                <w:sz w:val="20"/>
                <w:szCs w:val="20"/>
                <w:color w:val="auto"/>
              </w:rPr>
            </w:pPr>
            <w:r>
              <w:rPr>
                <w:rFonts w:ascii="Arial" w:cs="Arial" w:eastAsia="Arial" w:hAnsi="Arial"/>
                <w:sz w:val="18"/>
                <w:szCs w:val="18"/>
                <w:color w:val="auto"/>
              </w:rPr>
              <w:t>Trustee’s Disclaimer</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8740" w:type="dxa"/>
            <w:vAlign w:val="bottom"/>
          </w:tcPr>
          <w:p>
            <w:pPr>
              <w:ind w:left="280"/>
              <w:spacing w:after="0"/>
              <w:rPr>
                <w:sz w:val="20"/>
                <w:szCs w:val="20"/>
                <w:color w:val="auto"/>
              </w:rPr>
            </w:pPr>
            <w:r>
              <w:rPr>
                <w:rFonts w:ascii="Arial" w:cs="Arial" w:eastAsia="Arial" w:hAnsi="Arial"/>
                <w:sz w:val="18"/>
                <w:szCs w:val="18"/>
                <w:color w:val="auto"/>
              </w:rPr>
              <w:t>Notice of Defaults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8740" w:type="dxa"/>
            <w:vAlign w:val="bottom"/>
          </w:tcPr>
          <w:p>
            <w:pPr>
              <w:ind w:left="280"/>
              <w:spacing w:after="0"/>
              <w:rPr>
                <w:sz w:val="20"/>
                <w:szCs w:val="20"/>
                <w:color w:val="auto"/>
              </w:rPr>
            </w:pPr>
            <w:r>
              <w:rPr>
                <w:rFonts w:ascii="Arial" w:cs="Arial" w:eastAsia="Arial" w:hAnsi="Arial"/>
                <w:sz w:val="18"/>
                <w:szCs w:val="18"/>
                <w:color w:val="auto"/>
              </w:rPr>
              <w:t>Reports by Trustee to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8740" w:type="dxa"/>
            <w:vAlign w:val="bottom"/>
          </w:tcPr>
          <w:p>
            <w:pPr>
              <w:ind w:left="280"/>
              <w:spacing w:after="0"/>
              <w:rPr>
                <w:sz w:val="20"/>
                <w:szCs w:val="20"/>
                <w:color w:val="auto"/>
              </w:rPr>
            </w:pPr>
            <w:r>
              <w:rPr>
                <w:rFonts w:ascii="Arial" w:cs="Arial" w:eastAsia="Arial" w:hAnsi="Arial"/>
                <w:sz w:val="18"/>
                <w:szCs w:val="18"/>
                <w:color w:val="auto"/>
              </w:rPr>
              <w:t>Compensation and Indemnity</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8740" w:type="dxa"/>
            <w:vAlign w:val="bottom"/>
          </w:tcPr>
          <w:p>
            <w:pPr>
              <w:ind w:left="280"/>
              <w:spacing w:after="0"/>
              <w:rPr>
                <w:sz w:val="20"/>
                <w:szCs w:val="20"/>
                <w:color w:val="auto"/>
              </w:rPr>
            </w:pPr>
            <w:r>
              <w:rPr>
                <w:rFonts w:ascii="Arial" w:cs="Arial" w:eastAsia="Arial" w:hAnsi="Arial"/>
                <w:sz w:val="18"/>
                <w:szCs w:val="18"/>
                <w:color w:val="auto"/>
              </w:rPr>
              <w:t>Replacement of Trustee</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8740" w:type="dxa"/>
            <w:vAlign w:val="bottom"/>
          </w:tcPr>
          <w:p>
            <w:pPr>
              <w:ind w:left="280"/>
              <w:spacing w:after="0"/>
              <w:rPr>
                <w:sz w:val="20"/>
                <w:szCs w:val="20"/>
                <w:color w:val="auto"/>
              </w:rPr>
            </w:pPr>
            <w:r>
              <w:rPr>
                <w:rFonts w:ascii="Arial" w:cs="Arial" w:eastAsia="Arial" w:hAnsi="Arial"/>
                <w:sz w:val="18"/>
                <w:szCs w:val="18"/>
                <w:color w:val="auto"/>
              </w:rPr>
              <w:t>Successor Trustee by Merger, Etc.</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8740" w:type="dxa"/>
            <w:vAlign w:val="bottom"/>
          </w:tcPr>
          <w:p>
            <w:pPr>
              <w:ind w:left="280"/>
              <w:spacing w:after="0"/>
              <w:rPr>
                <w:sz w:val="20"/>
                <w:szCs w:val="20"/>
                <w:color w:val="auto"/>
              </w:rPr>
            </w:pPr>
            <w:r>
              <w:rPr>
                <w:rFonts w:ascii="Arial" w:cs="Arial" w:eastAsia="Arial" w:hAnsi="Arial"/>
                <w:sz w:val="18"/>
                <w:szCs w:val="18"/>
                <w:color w:val="auto"/>
              </w:rPr>
              <w:t>Eligibility; Disqualification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8740" w:type="dxa"/>
            <w:vAlign w:val="bottom"/>
          </w:tcPr>
          <w:p>
            <w:pPr>
              <w:ind w:left="280"/>
              <w:spacing w:after="0"/>
              <w:rPr>
                <w:sz w:val="20"/>
                <w:szCs w:val="20"/>
                <w:color w:val="auto"/>
              </w:rPr>
            </w:pPr>
            <w:r>
              <w:rPr>
                <w:rFonts w:ascii="Arial" w:cs="Arial" w:eastAsia="Arial" w:hAnsi="Arial"/>
                <w:sz w:val="18"/>
                <w:szCs w:val="18"/>
                <w:color w:val="auto"/>
              </w:rPr>
              <w:t>Preferential Collection of Claims Against Company</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740" w:type="dxa"/>
            <w:vAlign w:val="bottom"/>
          </w:tcPr>
          <w:p>
            <w:pPr>
              <w:ind w:left="280"/>
              <w:spacing w:after="0"/>
              <w:rPr>
                <w:sz w:val="20"/>
                <w:szCs w:val="20"/>
                <w:color w:val="auto"/>
              </w:rPr>
            </w:pPr>
            <w:r>
              <w:rPr>
                <w:rFonts w:ascii="Arial" w:cs="Arial" w:eastAsia="Arial" w:hAnsi="Arial"/>
                <w:sz w:val="18"/>
                <w:szCs w:val="18"/>
                <w:color w:val="auto"/>
              </w:rPr>
              <w:t>Satisfaction and Discharge of Indenture</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740" w:type="dxa"/>
            <w:vAlign w:val="bottom"/>
          </w:tcPr>
          <w:p>
            <w:pPr>
              <w:ind w:left="280"/>
              <w:spacing w:after="0"/>
              <w:rPr>
                <w:sz w:val="20"/>
                <w:szCs w:val="20"/>
                <w:color w:val="auto"/>
              </w:rPr>
            </w:pPr>
            <w:r>
              <w:rPr>
                <w:rFonts w:ascii="Arial" w:cs="Arial" w:eastAsia="Arial" w:hAnsi="Arial"/>
                <w:sz w:val="18"/>
                <w:szCs w:val="18"/>
                <w:color w:val="auto"/>
              </w:rPr>
              <w:t>Application of Trust Funds; Indemnification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8740" w:type="dxa"/>
            <w:vAlign w:val="bottom"/>
          </w:tcPr>
          <w:p>
            <w:pPr>
              <w:ind w:left="280"/>
              <w:spacing w:after="0"/>
              <w:rPr>
                <w:sz w:val="20"/>
                <w:szCs w:val="20"/>
                <w:color w:val="auto"/>
              </w:rPr>
            </w:pPr>
            <w:r>
              <w:rPr>
                <w:rFonts w:ascii="Arial" w:cs="Arial" w:eastAsia="Arial" w:hAnsi="Arial"/>
                <w:sz w:val="18"/>
                <w:szCs w:val="18"/>
                <w:color w:val="auto"/>
              </w:rPr>
              <w:t>Legal Defeasance of Securities of any Series</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8740" w:type="dxa"/>
            <w:vAlign w:val="bottom"/>
          </w:tcPr>
          <w:p>
            <w:pPr>
              <w:ind w:left="280"/>
              <w:spacing w:after="0"/>
              <w:rPr>
                <w:sz w:val="20"/>
                <w:szCs w:val="20"/>
                <w:color w:val="auto"/>
              </w:rPr>
            </w:pPr>
            <w:r>
              <w:rPr>
                <w:rFonts w:ascii="Arial" w:cs="Arial" w:eastAsia="Arial" w:hAnsi="Arial"/>
                <w:sz w:val="18"/>
                <w:szCs w:val="18"/>
                <w:color w:val="auto"/>
              </w:rPr>
              <w:t>Covenant Defeasance</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8740" w:type="dxa"/>
            <w:vAlign w:val="bottom"/>
          </w:tcPr>
          <w:p>
            <w:pPr>
              <w:ind w:left="280"/>
              <w:spacing w:after="0"/>
              <w:rPr>
                <w:sz w:val="20"/>
                <w:szCs w:val="20"/>
                <w:color w:val="auto"/>
              </w:rPr>
            </w:pPr>
            <w:r>
              <w:rPr>
                <w:rFonts w:ascii="Arial" w:cs="Arial" w:eastAsia="Arial" w:hAnsi="Arial"/>
                <w:sz w:val="18"/>
                <w:szCs w:val="18"/>
                <w:color w:val="auto"/>
              </w:rPr>
              <w:t>Repayment to Company</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8740" w:type="dxa"/>
            <w:vAlign w:val="bottom"/>
          </w:tcPr>
          <w:p>
            <w:pPr>
              <w:ind w:left="280"/>
              <w:spacing w:after="0"/>
              <w:rPr>
                <w:sz w:val="20"/>
                <w:szCs w:val="20"/>
                <w:color w:val="auto"/>
              </w:rPr>
            </w:pPr>
            <w:r>
              <w:rPr>
                <w:rFonts w:ascii="Arial" w:cs="Arial" w:eastAsia="Arial" w:hAnsi="Arial"/>
                <w:sz w:val="18"/>
                <w:szCs w:val="18"/>
                <w:color w:val="auto"/>
              </w:rPr>
              <w:t>Reinstatement</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54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740" w:type="dxa"/>
            <w:vAlign w:val="bottom"/>
          </w:tcPr>
          <w:p>
            <w:pPr>
              <w:ind w:left="280"/>
              <w:spacing w:after="0"/>
              <w:rPr>
                <w:sz w:val="20"/>
                <w:szCs w:val="20"/>
                <w:color w:val="auto"/>
              </w:rPr>
            </w:pPr>
            <w:r>
              <w:rPr>
                <w:rFonts w:ascii="Arial" w:cs="Arial" w:eastAsia="Arial" w:hAnsi="Arial"/>
                <w:sz w:val="18"/>
                <w:szCs w:val="18"/>
                <w:color w:val="auto"/>
              </w:rPr>
              <w:t>Without Consent of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8740" w:type="dxa"/>
            <w:vAlign w:val="bottom"/>
          </w:tcPr>
          <w:p>
            <w:pPr>
              <w:ind w:left="280"/>
              <w:spacing w:after="0"/>
              <w:rPr>
                <w:sz w:val="20"/>
                <w:szCs w:val="20"/>
                <w:color w:val="auto"/>
              </w:rPr>
            </w:pPr>
            <w:r>
              <w:rPr>
                <w:rFonts w:ascii="Arial" w:cs="Arial" w:eastAsia="Arial" w:hAnsi="Arial"/>
                <w:sz w:val="18"/>
                <w:szCs w:val="18"/>
                <w:color w:val="auto"/>
              </w:rPr>
              <w:t>With Consent of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8740" w:type="dxa"/>
            <w:vAlign w:val="bottom"/>
          </w:tcPr>
          <w:p>
            <w:pPr>
              <w:ind w:left="280"/>
              <w:spacing w:after="0"/>
              <w:rPr>
                <w:sz w:val="20"/>
                <w:szCs w:val="20"/>
                <w:color w:val="auto"/>
              </w:rPr>
            </w:pPr>
            <w:r>
              <w:rPr>
                <w:rFonts w:ascii="Arial" w:cs="Arial" w:eastAsia="Arial" w:hAnsi="Arial"/>
                <w:sz w:val="18"/>
                <w:szCs w:val="18"/>
                <w:color w:val="auto"/>
              </w:rPr>
              <w:t>Limitations</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8740" w:type="dxa"/>
            <w:vAlign w:val="bottom"/>
          </w:tcPr>
          <w:p>
            <w:pPr>
              <w:ind w:left="280"/>
              <w:spacing w:after="0"/>
              <w:rPr>
                <w:sz w:val="20"/>
                <w:szCs w:val="20"/>
                <w:color w:val="auto"/>
              </w:rPr>
            </w:pPr>
            <w:r>
              <w:rPr>
                <w:rFonts w:ascii="Arial" w:cs="Arial" w:eastAsia="Arial" w:hAnsi="Arial"/>
                <w:sz w:val="18"/>
                <w:szCs w:val="18"/>
                <w:color w:val="auto"/>
              </w:rPr>
              <w:t>Compliance with Trust Indenture Act</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8740" w:type="dxa"/>
            <w:vAlign w:val="bottom"/>
          </w:tcPr>
          <w:p>
            <w:pPr>
              <w:ind w:left="280"/>
              <w:spacing w:after="0"/>
              <w:rPr>
                <w:sz w:val="20"/>
                <w:szCs w:val="20"/>
                <w:color w:val="auto"/>
              </w:rPr>
            </w:pPr>
            <w:r>
              <w:rPr>
                <w:rFonts w:ascii="Arial" w:cs="Arial" w:eastAsia="Arial" w:hAnsi="Arial"/>
                <w:sz w:val="18"/>
                <w:szCs w:val="18"/>
                <w:color w:val="auto"/>
              </w:rPr>
              <w:t>Revocation and Effect of Consents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870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18"/>
                <w:szCs w:val="18"/>
                <w:color w:val="auto"/>
              </w:rPr>
            </w:pPr>
          </w:p>
        </w:tc>
      </w:tr>
      <w:tr>
        <w:trPr>
          <w:trHeight w:val="234"/>
        </w:trPr>
        <w:tc>
          <w:tcPr>
            <w:tcW w:w="1580" w:type="dxa"/>
            <w:vAlign w:val="bottom"/>
          </w:tcPr>
          <w:p>
            <w:pPr>
              <w:spacing w:after="0"/>
              <w:rPr>
                <w:sz w:val="20"/>
                <w:szCs w:val="20"/>
                <w:color w:val="auto"/>
              </w:rPr>
            </w:pPr>
          </w:p>
        </w:tc>
        <w:tc>
          <w:tcPr>
            <w:tcW w:w="8700" w:type="dxa"/>
            <w:vAlign w:val="bottom"/>
          </w:tcPr>
          <w:p>
            <w:pPr>
              <w:ind w:left="3660"/>
              <w:spacing w:after="0"/>
              <w:rPr>
                <w:sz w:val="20"/>
                <w:szCs w:val="20"/>
                <w:color w:val="auto"/>
              </w:rPr>
            </w:pPr>
            <w:r>
              <w:rPr>
                <w:rFonts w:ascii="Arial" w:cs="Arial" w:eastAsia="Arial" w:hAnsi="Arial"/>
                <w:sz w:val="18"/>
                <w:szCs w:val="18"/>
                <w:b w:val="1"/>
                <w:bCs w:val="1"/>
                <w:color w:val="auto"/>
              </w:rPr>
              <w:t>(Continued)</w:t>
            </w:r>
          </w:p>
        </w:tc>
        <w:tc>
          <w:tcPr>
            <w:tcW w:w="1140" w:type="dxa"/>
            <w:vAlign w:val="bottom"/>
          </w:tcPr>
          <w:p>
            <w:pPr>
              <w:spacing w:after="0"/>
              <w:rPr>
                <w:sz w:val="20"/>
                <w:szCs w:val="20"/>
                <w:color w:val="auto"/>
              </w:rPr>
            </w:pPr>
          </w:p>
        </w:tc>
      </w:tr>
      <w:tr>
        <w:trPr>
          <w:trHeight w:val="365"/>
        </w:trPr>
        <w:tc>
          <w:tcPr>
            <w:tcW w:w="15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r>
      <w:tr>
        <w:trPr>
          <w:trHeight w:val="411"/>
        </w:trPr>
        <w:tc>
          <w:tcPr>
            <w:tcW w:w="158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8700" w:type="dxa"/>
            <w:vAlign w:val="bottom"/>
          </w:tcPr>
          <w:p>
            <w:pPr>
              <w:ind w:left="240"/>
              <w:spacing w:after="0"/>
              <w:rPr>
                <w:sz w:val="20"/>
                <w:szCs w:val="20"/>
                <w:color w:val="auto"/>
              </w:rPr>
            </w:pPr>
            <w:r>
              <w:rPr>
                <w:rFonts w:ascii="Arial" w:cs="Arial" w:eastAsia="Arial" w:hAnsi="Arial"/>
                <w:sz w:val="18"/>
                <w:szCs w:val="18"/>
                <w:color w:val="auto"/>
              </w:rPr>
              <w:t>Notation on or Exchange of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8700" w:type="dxa"/>
            <w:vAlign w:val="bottom"/>
          </w:tcPr>
          <w:p>
            <w:pPr>
              <w:ind w:left="240"/>
              <w:spacing w:after="0"/>
              <w:rPr>
                <w:sz w:val="20"/>
                <w:szCs w:val="20"/>
                <w:color w:val="auto"/>
              </w:rPr>
            </w:pPr>
            <w:r>
              <w:rPr>
                <w:rFonts w:ascii="Arial" w:cs="Arial" w:eastAsia="Arial" w:hAnsi="Arial"/>
                <w:sz w:val="18"/>
                <w:szCs w:val="18"/>
                <w:color w:val="auto"/>
              </w:rPr>
              <w:t>Trustee Protected</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58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700" w:type="dxa"/>
            <w:vAlign w:val="bottom"/>
          </w:tcPr>
          <w:p>
            <w:pPr>
              <w:ind w:left="240"/>
              <w:spacing w:after="0"/>
              <w:rPr>
                <w:sz w:val="20"/>
                <w:szCs w:val="20"/>
                <w:color w:val="auto"/>
              </w:rPr>
            </w:pPr>
            <w:r>
              <w:rPr>
                <w:rFonts w:ascii="Arial" w:cs="Arial" w:eastAsia="Arial" w:hAnsi="Arial"/>
                <w:sz w:val="18"/>
                <w:szCs w:val="18"/>
                <w:color w:val="auto"/>
              </w:rPr>
              <w:t>Trust Indenture Act Controls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8700" w:type="dxa"/>
            <w:vAlign w:val="bottom"/>
          </w:tcPr>
          <w:p>
            <w:pPr>
              <w:ind w:left="240"/>
              <w:spacing w:after="0"/>
              <w:rPr>
                <w:sz w:val="20"/>
                <w:szCs w:val="20"/>
                <w:color w:val="auto"/>
              </w:rPr>
            </w:pPr>
            <w:r>
              <w:rPr>
                <w:rFonts w:ascii="Arial" w:cs="Arial" w:eastAsia="Arial" w:hAnsi="Arial"/>
                <w:sz w:val="18"/>
                <w:szCs w:val="18"/>
                <w:color w:val="auto"/>
              </w:rPr>
              <w:t>Notices</w:t>
            </w: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8700" w:type="dxa"/>
            <w:vAlign w:val="bottom"/>
          </w:tcPr>
          <w:p>
            <w:pPr>
              <w:ind w:left="240"/>
              <w:spacing w:after="0"/>
              <w:rPr>
                <w:sz w:val="20"/>
                <w:szCs w:val="20"/>
                <w:color w:val="auto"/>
              </w:rPr>
            </w:pPr>
            <w:r>
              <w:rPr>
                <w:rFonts w:ascii="Arial" w:cs="Arial" w:eastAsia="Arial" w:hAnsi="Arial"/>
                <w:sz w:val="18"/>
                <w:szCs w:val="18"/>
                <w:color w:val="auto"/>
              </w:rPr>
              <w:t>Communication by Holders with Other 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8700" w:type="dxa"/>
            <w:vAlign w:val="bottom"/>
          </w:tcPr>
          <w:p>
            <w:pPr>
              <w:ind w:left="240"/>
              <w:spacing w:after="0"/>
              <w:rPr>
                <w:sz w:val="20"/>
                <w:szCs w:val="20"/>
                <w:color w:val="auto"/>
              </w:rPr>
            </w:pPr>
            <w:r>
              <w:rPr>
                <w:rFonts w:ascii="Arial" w:cs="Arial" w:eastAsia="Arial" w:hAnsi="Arial"/>
                <w:sz w:val="18"/>
                <w:szCs w:val="18"/>
                <w:color w:val="auto"/>
              </w:rPr>
              <w:t>Certificate and Opinion as to Conditions Precedent</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8700" w:type="dxa"/>
            <w:vAlign w:val="bottom"/>
          </w:tcPr>
          <w:p>
            <w:pPr>
              <w:ind w:left="240"/>
              <w:spacing w:after="0"/>
              <w:rPr>
                <w:sz w:val="20"/>
                <w:szCs w:val="20"/>
                <w:color w:val="auto"/>
              </w:rPr>
            </w:pPr>
            <w:r>
              <w:rPr>
                <w:rFonts w:ascii="Arial" w:cs="Arial" w:eastAsia="Arial" w:hAnsi="Arial"/>
                <w:sz w:val="18"/>
                <w:szCs w:val="18"/>
                <w:color w:val="auto"/>
              </w:rPr>
              <w:t>Statements Required in Certificate or Opinion</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8700" w:type="dxa"/>
            <w:vAlign w:val="bottom"/>
          </w:tcPr>
          <w:p>
            <w:pPr>
              <w:ind w:left="240"/>
              <w:spacing w:after="0"/>
              <w:rPr>
                <w:sz w:val="20"/>
                <w:szCs w:val="20"/>
                <w:color w:val="auto"/>
              </w:rPr>
            </w:pPr>
            <w:r>
              <w:rPr>
                <w:rFonts w:ascii="Arial" w:cs="Arial" w:eastAsia="Arial" w:hAnsi="Arial"/>
                <w:sz w:val="18"/>
                <w:szCs w:val="18"/>
                <w:color w:val="auto"/>
              </w:rPr>
              <w:t>Rules by Trustee and Agents</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8700" w:type="dxa"/>
            <w:vAlign w:val="bottom"/>
          </w:tcPr>
          <w:p>
            <w:pPr>
              <w:ind w:left="240"/>
              <w:spacing w:after="0"/>
              <w:rPr>
                <w:sz w:val="20"/>
                <w:szCs w:val="20"/>
                <w:color w:val="auto"/>
              </w:rPr>
            </w:pPr>
            <w:r>
              <w:rPr>
                <w:rFonts w:ascii="Arial" w:cs="Arial" w:eastAsia="Arial" w:hAnsi="Arial"/>
                <w:sz w:val="18"/>
                <w:szCs w:val="18"/>
                <w:color w:val="auto"/>
              </w:rPr>
              <w:t>Legal Holidays</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8700" w:type="dxa"/>
            <w:vAlign w:val="bottom"/>
          </w:tcPr>
          <w:p>
            <w:pPr>
              <w:ind w:left="240"/>
              <w:spacing w:after="0"/>
              <w:rPr>
                <w:sz w:val="20"/>
                <w:szCs w:val="20"/>
                <w:color w:val="auto"/>
              </w:rPr>
            </w:pPr>
            <w:r>
              <w:rPr>
                <w:rFonts w:ascii="Arial" w:cs="Arial" w:eastAsia="Arial" w:hAnsi="Arial"/>
                <w:sz w:val="18"/>
                <w:szCs w:val="18"/>
                <w:color w:val="auto"/>
              </w:rPr>
              <w:t>No Recourse Against Others</w:t>
            </w: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870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8700" w:type="dxa"/>
            <w:vAlign w:val="bottom"/>
          </w:tcPr>
          <w:p>
            <w:pPr>
              <w:ind w:left="240"/>
              <w:spacing w:after="0"/>
              <w:rPr>
                <w:sz w:val="20"/>
                <w:szCs w:val="20"/>
                <w:color w:val="auto"/>
              </w:rPr>
            </w:pPr>
            <w:r>
              <w:rPr>
                <w:rFonts w:ascii="Arial" w:cs="Arial" w:eastAsia="Arial" w:hAnsi="Arial"/>
                <w:sz w:val="18"/>
                <w:szCs w:val="18"/>
                <w:color w:val="auto"/>
              </w:rPr>
              <w:t>Governing Law; Waiver of Jury Trial; Consent to Jurisdiction</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8700" w:type="dxa"/>
            <w:vAlign w:val="bottom"/>
          </w:tcPr>
          <w:p>
            <w:pPr>
              <w:ind w:left="240"/>
              <w:spacing w:after="0"/>
              <w:rPr>
                <w:sz w:val="20"/>
                <w:szCs w:val="20"/>
                <w:color w:val="auto"/>
              </w:rPr>
            </w:pPr>
            <w:r>
              <w:rPr>
                <w:rFonts w:ascii="Arial" w:cs="Arial" w:eastAsia="Arial" w:hAnsi="Arial"/>
                <w:sz w:val="18"/>
                <w:szCs w:val="18"/>
                <w:color w:val="auto"/>
              </w:rPr>
              <w:t>No Adverse Interpretation of Other Agreements</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8700" w:type="dxa"/>
            <w:vAlign w:val="bottom"/>
          </w:tcPr>
          <w:p>
            <w:pPr>
              <w:ind w:left="240"/>
              <w:spacing w:after="0"/>
              <w:rPr>
                <w:sz w:val="20"/>
                <w:szCs w:val="20"/>
                <w:color w:val="auto"/>
              </w:rPr>
            </w:pPr>
            <w:r>
              <w:rPr>
                <w:rFonts w:ascii="Arial" w:cs="Arial" w:eastAsia="Arial" w:hAnsi="Arial"/>
                <w:sz w:val="18"/>
                <w:szCs w:val="18"/>
                <w:color w:val="auto"/>
              </w:rPr>
              <w:t>Successors</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870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8700" w:type="dxa"/>
            <w:vAlign w:val="bottom"/>
          </w:tcPr>
          <w:p>
            <w:pPr>
              <w:ind w:left="240"/>
              <w:spacing w:after="0"/>
              <w:rPr>
                <w:sz w:val="20"/>
                <w:szCs w:val="20"/>
                <w:color w:val="auto"/>
              </w:rPr>
            </w:pPr>
            <w:r>
              <w:rPr>
                <w:rFonts w:ascii="Arial" w:cs="Arial" w:eastAsia="Arial" w:hAnsi="Arial"/>
                <w:sz w:val="18"/>
                <w:szCs w:val="18"/>
                <w:color w:val="auto"/>
              </w:rPr>
              <w:t>Table of Contents, Headings, Etc.</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8700" w:type="dxa"/>
            <w:vAlign w:val="bottom"/>
          </w:tcPr>
          <w:p>
            <w:pPr>
              <w:ind w:left="240"/>
              <w:spacing w:after="0"/>
              <w:rPr>
                <w:sz w:val="20"/>
                <w:szCs w:val="20"/>
                <w:color w:val="auto"/>
              </w:rPr>
            </w:pPr>
            <w:r>
              <w:rPr>
                <w:rFonts w:ascii="Arial" w:cs="Arial" w:eastAsia="Arial" w:hAnsi="Arial"/>
                <w:sz w:val="18"/>
                <w:szCs w:val="18"/>
                <w:color w:val="auto"/>
              </w:rPr>
              <w:t>Securities in a Foreign Currency</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10.16</w:t>
            </w:r>
          </w:p>
        </w:tc>
        <w:tc>
          <w:tcPr>
            <w:tcW w:w="8700" w:type="dxa"/>
            <w:vAlign w:val="bottom"/>
          </w:tcPr>
          <w:p>
            <w:pPr>
              <w:ind w:left="240"/>
              <w:spacing w:after="0"/>
              <w:rPr>
                <w:sz w:val="20"/>
                <w:szCs w:val="20"/>
                <w:color w:val="auto"/>
              </w:rPr>
            </w:pPr>
            <w:r>
              <w:rPr>
                <w:rFonts w:ascii="Arial" w:cs="Arial" w:eastAsia="Arial" w:hAnsi="Arial"/>
                <w:sz w:val="18"/>
                <w:szCs w:val="18"/>
                <w:color w:val="auto"/>
              </w:rPr>
              <w:t>Judgment Currency</w:t>
            </w: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Section 10.17</w:t>
            </w:r>
          </w:p>
        </w:tc>
        <w:tc>
          <w:tcPr>
            <w:tcW w:w="8700" w:type="dxa"/>
            <w:vAlign w:val="bottom"/>
          </w:tcPr>
          <w:p>
            <w:pPr>
              <w:ind w:left="240"/>
              <w:spacing w:after="0"/>
              <w:rPr>
                <w:sz w:val="20"/>
                <w:szCs w:val="20"/>
                <w:color w:val="auto"/>
              </w:rPr>
            </w:pPr>
            <w:r>
              <w:rPr>
                <w:rFonts w:ascii="Arial" w:cs="Arial" w:eastAsia="Arial" w:hAnsi="Arial"/>
                <w:sz w:val="18"/>
                <w:szCs w:val="18"/>
                <w:color w:val="auto"/>
              </w:rPr>
              <w:t>Force Majeure</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028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58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870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8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8700" w:type="dxa"/>
            <w:vAlign w:val="bottom"/>
          </w:tcPr>
          <w:p>
            <w:pPr>
              <w:ind w:left="240"/>
              <w:spacing w:after="0"/>
              <w:rPr>
                <w:sz w:val="20"/>
                <w:szCs w:val="20"/>
                <w:color w:val="auto"/>
              </w:rPr>
            </w:pPr>
            <w:r>
              <w:rPr>
                <w:rFonts w:ascii="Arial" w:cs="Arial" w:eastAsia="Arial" w:hAnsi="Arial"/>
                <w:sz w:val="18"/>
                <w:szCs w:val="18"/>
                <w:color w:val="auto"/>
              </w:rPr>
              <w:t>Satisfaction of Sinking Fund Payments with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58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8700" w:type="dxa"/>
            <w:vAlign w:val="bottom"/>
          </w:tcPr>
          <w:p>
            <w:pPr>
              <w:ind w:left="240"/>
              <w:spacing w:after="0"/>
              <w:rPr>
                <w:sz w:val="20"/>
                <w:szCs w:val="20"/>
                <w:color w:val="auto"/>
              </w:rPr>
            </w:pPr>
            <w:r>
              <w:rPr>
                <w:rFonts w:ascii="Arial" w:cs="Arial" w:eastAsia="Arial" w:hAnsi="Arial"/>
                <w:sz w:val="18"/>
                <w:szCs w:val="18"/>
                <w:color w:val="auto"/>
              </w:rPr>
              <w:t>Redemption of Securities for Sinking Fund</w:t>
            </w: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Reconciliation and tie between Trust Indenture Act of 1939 and Indenture, dated as of February 6, 2019</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 310(a)(1)</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7.10</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(a)(2)</w:t>
            </w:r>
          </w:p>
        </w:tc>
        <w:tc>
          <w:tcPr>
            <w:tcW w:w="3740" w:type="dxa"/>
            <w:vAlign w:val="bottom"/>
          </w:tcPr>
          <w:p>
            <w:pPr>
              <w:ind w:left="2060"/>
              <w:spacing w:after="0"/>
              <w:rPr>
                <w:sz w:val="20"/>
                <w:szCs w:val="20"/>
                <w:color w:val="auto"/>
              </w:rPr>
            </w:pPr>
            <w:r>
              <w:rPr>
                <w:rFonts w:ascii="Arial" w:cs="Arial" w:eastAsia="Arial" w:hAnsi="Arial"/>
                <w:sz w:val="18"/>
                <w:szCs w:val="18"/>
                <w:color w:val="auto"/>
              </w:rPr>
              <w:t>7.10</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(a)(3)</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Not Applicable</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(a)(4)</w:t>
            </w:r>
          </w:p>
        </w:tc>
        <w:tc>
          <w:tcPr>
            <w:tcW w:w="3740" w:type="dxa"/>
            <w:vAlign w:val="bottom"/>
          </w:tcPr>
          <w:p>
            <w:pPr>
              <w:ind w:left="2060"/>
              <w:spacing w:after="0"/>
              <w:rPr>
                <w:sz w:val="20"/>
                <w:szCs w:val="20"/>
                <w:color w:val="auto"/>
              </w:rPr>
            </w:pPr>
            <w:r>
              <w:rPr>
                <w:rFonts w:ascii="Arial" w:cs="Arial" w:eastAsia="Arial" w:hAnsi="Arial"/>
                <w:sz w:val="18"/>
                <w:szCs w:val="18"/>
                <w:color w:val="auto"/>
              </w:rPr>
              <w:t>Not Applicable</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(a)(5)</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7.10</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(b)</w:t>
            </w:r>
          </w:p>
        </w:tc>
        <w:tc>
          <w:tcPr>
            <w:tcW w:w="3740" w:type="dxa"/>
            <w:vAlign w:val="bottom"/>
          </w:tcPr>
          <w:p>
            <w:pPr>
              <w:ind w:left="2060"/>
              <w:spacing w:after="0"/>
              <w:rPr>
                <w:sz w:val="20"/>
                <w:szCs w:val="20"/>
                <w:color w:val="auto"/>
              </w:rPr>
            </w:pPr>
            <w:r>
              <w:rPr>
                <w:rFonts w:ascii="Arial" w:cs="Arial" w:eastAsia="Arial" w:hAnsi="Arial"/>
                <w:sz w:val="18"/>
                <w:szCs w:val="18"/>
                <w:color w:val="auto"/>
              </w:rPr>
              <w:t>7.10</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 311(a)</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7.11</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(b)</w:t>
            </w:r>
          </w:p>
        </w:tc>
        <w:tc>
          <w:tcPr>
            <w:tcW w:w="3740" w:type="dxa"/>
            <w:vAlign w:val="bottom"/>
          </w:tcPr>
          <w:p>
            <w:pPr>
              <w:ind w:left="2060"/>
              <w:spacing w:after="0"/>
              <w:rPr>
                <w:sz w:val="20"/>
                <w:szCs w:val="20"/>
                <w:color w:val="auto"/>
              </w:rPr>
            </w:pPr>
            <w:r>
              <w:rPr>
                <w:rFonts w:ascii="Arial" w:cs="Arial" w:eastAsia="Arial" w:hAnsi="Arial"/>
                <w:sz w:val="18"/>
                <w:szCs w:val="18"/>
                <w:color w:val="auto"/>
              </w:rPr>
              <w:t>7.11</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(c)</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Not Applicable</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 312(a)</w:t>
            </w:r>
          </w:p>
        </w:tc>
        <w:tc>
          <w:tcPr>
            <w:tcW w:w="3740" w:type="dxa"/>
            <w:vAlign w:val="bottom"/>
          </w:tcPr>
          <w:p>
            <w:pPr>
              <w:ind w:left="2060"/>
              <w:spacing w:after="0"/>
              <w:rPr>
                <w:sz w:val="20"/>
                <w:szCs w:val="20"/>
                <w:color w:val="auto"/>
              </w:rPr>
            </w:pPr>
            <w:r>
              <w:rPr>
                <w:rFonts w:ascii="Arial" w:cs="Arial" w:eastAsia="Arial" w:hAnsi="Arial"/>
                <w:sz w:val="18"/>
                <w:szCs w:val="18"/>
                <w:color w:val="auto"/>
              </w:rPr>
              <w:t>2.6</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(b)</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10.3</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(c)</w:t>
            </w:r>
          </w:p>
        </w:tc>
        <w:tc>
          <w:tcPr>
            <w:tcW w:w="3740" w:type="dxa"/>
            <w:vAlign w:val="bottom"/>
          </w:tcPr>
          <w:p>
            <w:pPr>
              <w:ind w:left="2060"/>
              <w:spacing w:after="0"/>
              <w:rPr>
                <w:sz w:val="20"/>
                <w:szCs w:val="20"/>
                <w:color w:val="auto"/>
              </w:rPr>
            </w:pPr>
            <w:r>
              <w:rPr>
                <w:rFonts w:ascii="Arial" w:cs="Arial" w:eastAsia="Arial" w:hAnsi="Arial"/>
                <w:sz w:val="18"/>
                <w:szCs w:val="18"/>
                <w:color w:val="auto"/>
              </w:rPr>
              <w:t>10.3</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 313(a)</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7.6</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(b)(1)</w:t>
            </w:r>
          </w:p>
        </w:tc>
        <w:tc>
          <w:tcPr>
            <w:tcW w:w="3740" w:type="dxa"/>
            <w:vAlign w:val="bottom"/>
          </w:tcPr>
          <w:p>
            <w:pPr>
              <w:ind w:left="2060"/>
              <w:spacing w:after="0"/>
              <w:rPr>
                <w:sz w:val="20"/>
                <w:szCs w:val="20"/>
                <w:color w:val="auto"/>
              </w:rPr>
            </w:pPr>
            <w:r>
              <w:rPr>
                <w:rFonts w:ascii="Arial" w:cs="Arial" w:eastAsia="Arial" w:hAnsi="Arial"/>
                <w:sz w:val="18"/>
                <w:szCs w:val="18"/>
                <w:color w:val="auto"/>
              </w:rPr>
              <w:t>7.6</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(b)(2)</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7.6</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(c)(1)</w:t>
            </w:r>
          </w:p>
        </w:tc>
        <w:tc>
          <w:tcPr>
            <w:tcW w:w="3740" w:type="dxa"/>
            <w:vAlign w:val="bottom"/>
          </w:tcPr>
          <w:p>
            <w:pPr>
              <w:ind w:left="2060"/>
              <w:spacing w:after="0"/>
              <w:rPr>
                <w:sz w:val="20"/>
                <w:szCs w:val="20"/>
                <w:color w:val="auto"/>
              </w:rPr>
            </w:pPr>
            <w:r>
              <w:rPr>
                <w:rFonts w:ascii="Arial" w:cs="Arial" w:eastAsia="Arial" w:hAnsi="Arial"/>
                <w:sz w:val="18"/>
                <w:szCs w:val="18"/>
                <w:color w:val="auto"/>
              </w:rPr>
              <w:t>7.6</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(d)</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7.6</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 314(a)</w:t>
            </w:r>
          </w:p>
        </w:tc>
        <w:tc>
          <w:tcPr>
            <w:tcW w:w="3740" w:type="dxa"/>
            <w:vAlign w:val="bottom"/>
          </w:tcPr>
          <w:p>
            <w:pPr>
              <w:ind w:left="2060"/>
              <w:spacing w:after="0"/>
              <w:rPr>
                <w:sz w:val="20"/>
                <w:szCs w:val="20"/>
                <w:color w:val="auto"/>
              </w:rPr>
            </w:pPr>
            <w:r>
              <w:rPr>
                <w:rFonts w:ascii="Arial" w:cs="Arial" w:eastAsia="Arial" w:hAnsi="Arial"/>
                <w:sz w:val="18"/>
                <w:szCs w:val="18"/>
                <w:color w:val="auto"/>
              </w:rPr>
              <w:t>4.2, 10.5</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(b)</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Not Applicable</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(c)(1)</w:t>
            </w:r>
          </w:p>
        </w:tc>
        <w:tc>
          <w:tcPr>
            <w:tcW w:w="3740" w:type="dxa"/>
            <w:vAlign w:val="bottom"/>
          </w:tcPr>
          <w:p>
            <w:pPr>
              <w:ind w:left="2060"/>
              <w:spacing w:after="0"/>
              <w:rPr>
                <w:sz w:val="20"/>
                <w:szCs w:val="20"/>
                <w:color w:val="auto"/>
              </w:rPr>
            </w:pPr>
            <w:r>
              <w:rPr>
                <w:rFonts w:ascii="Arial" w:cs="Arial" w:eastAsia="Arial" w:hAnsi="Arial"/>
                <w:sz w:val="18"/>
                <w:szCs w:val="18"/>
                <w:color w:val="auto"/>
              </w:rPr>
              <w:t>10.4</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(c)(2)</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10.4</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(c)(3)</w:t>
            </w:r>
          </w:p>
        </w:tc>
        <w:tc>
          <w:tcPr>
            <w:tcW w:w="3740" w:type="dxa"/>
            <w:vAlign w:val="bottom"/>
          </w:tcPr>
          <w:p>
            <w:pPr>
              <w:ind w:left="2060"/>
              <w:spacing w:after="0"/>
              <w:rPr>
                <w:sz w:val="20"/>
                <w:szCs w:val="20"/>
                <w:color w:val="auto"/>
              </w:rPr>
            </w:pPr>
            <w:r>
              <w:rPr>
                <w:rFonts w:ascii="Arial" w:cs="Arial" w:eastAsia="Arial" w:hAnsi="Arial"/>
                <w:sz w:val="18"/>
                <w:szCs w:val="18"/>
                <w:color w:val="auto"/>
              </w:rPr>
              <w:t>Not Applicable</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(d)</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Not Applicable</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(e)</w:t>
            </w:r>
          </w:p>
        </w:tc>
        <w:tc>
          <w:tcPr>
            <w:tcW w:w="3740" w:type="dxa"/>
            <w:vAlign w:val="bottom"/>
          </w:tcPr>
          <w:p>
            <w:pPr>
              <w:ind w:left="2060"/>
              <w:spacing w:after="0"/>
              <w:rPr>
                <w:sz w:val="20"/>
                <w:szCs w:val="20"/>
                <w:color w:val="auto"/>
              </w:rPr>
            </w:pPr>
            <w:r>
              <w:rPr>
                <w:rFonts w:ascii="Arial" w:cs="Arial" w:eastAsia="Arial" w:hAnsi="Arial"/>
                <w:sz w:val="18"/>
                <w:szCs w:val="18"/>
                <w:color w:val="auto"/>
              </w:rPr>
              <w:t>10.5</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(f)</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Not Applicable</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 315(a)</w:t>
            </w:r>
          </w:p>
        </w:tc>
        <w:tc>
          <w:tcPr>
            <w:tcW w:w="3740" w:type="dxa"/>
            <w:vAlign w:val="bottom"/>
          </w:tcPr>
          <w:p>
            <w:pPr>
              <w:ind w:left="2060"/>
              <w:spacing w:after="0"/>
              <w:rPr>
                <w:sz w:val="20"/>
                <w:szCs w:val="20"/>
                <w:color w:val="auto"/>
              </w:rPr>
            </w:pPr>
            <w:r>
              <w:rPr>
                <w:rFonts w:ascii="Arial" w:cs="Arial" w:eastAsia="Arial" w:hAnsi="Arial"/>
                <w:sz w:val="18"/>
                <w:szCs w:val="18"/>
                <w:color w:val="auto"/>
              </w:rPr>
              <w:t>7.1</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(b)</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7.5</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(c)</w:t>
            </w:r>
          </w:p>
        </w:tc>
        <w:tc>
          <w:tcPr>
            <w:tcW w:w="3740" w:type="dxa"/>
            <w:vAlign w:val="bottom"/>
          </w:tcPr>
          <w:p>
            <w:pPr>
              <w:ind w:left="2060"/>
              <w:spacing w:after="0"/>
              <w:rPr>
                <w:sz w:val="20"/>
                <w:szCs w:val="20"/>
                <w:color w:val="auto"/>
              </w:rPr>
            </w:pPr>
            <w:r>
              <w:rPr>
                <w:rFonts w:ascii="Arial" w:cs="Arial" w:eastAsia="Arial" w:hAnsi="Arial"/>
                <w:sz w:val="18"/>
                <w:szCs w:val="18"/>
                <w:color w:val="auto"/>
              </w:rPr>
              <w:t>7.1</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(d)</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7.1</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(e)</w:t>
            </w:r>
          </w:p>
        </w:tc>
        <w:tc>
          <w:tcPr>
            <w:tcW w:w="3740" w:type="dxa"/>
            <w:vAlign w:val="bottom"/>
          </w:tcPr>
          <w:p>
            <w:pPr>
              <w:ind w:left="2060"/>
              <w:spacing w:after="0"/>
              <w:rPr>
                <w:sz w:val="20"/>
                <w:szCs w:val="20"/>
                <w:color w:val="auto"/>
              </w:rPr>
            </w:pPr>
            <w:r>
              <w:rPr>
                <w:rFonts w:ascii="Arial" w:cs="Arial" w:eastAsia="Arial" w:hAnsi="Arial"/>
                <w:sz w:val="18"/>
                <w:szCs w:val="18"/>
                <w:color w:val="auto"/>
              </w:rPr>
              <w:t>6.14</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 316(a)</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2.10</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(a)(1)(A)</w:t>
            </w:r>
          </w:p>
        </w:tc>
        <w:tc>
          <w:tcPr>
            <w:tcW w:w="3740" w:type="dxa"/>
            <w:vAlign w:val="bottom"/>
          </w:tcPr>
          <w:p>
            <w:pPr>
              <w:ind w:left="2060"/>
              <w:spacing w:after="0"/>
              <w:rPr>
                <w:sz w:val="20"/>
                <w:szCs w:val="20"/>
                <w:color w:val="auto"/>
              </w:rPr>
            </w:pPr>
            <w:r>
              <w:rPr>
                <w:rFonts w:ascii="Arial" w:cs="Arial" w:eastAsia="Arial" w:hAnsi="Arial"/>
                <w:sz w:val="18"/>
                <w:szCs w:val="18"/>
                <w:color w:val="auto"/>
              </w:rPr>
              <w:t>6.12</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(a)(1)(B)</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6.13</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(b)</w:t>
            </w:r>
          </w:p>
        </w:tc>
        <w:tc>
          <w:tcPr>
            <w:tcW w:w="3740" w:type="dxa"/>
            <w:vAlign w:val="bottom"/>
          </w:tcPr>
          <w:p>
            <w:pPr>
              <w:ind w:left="2060"/>
              <w:spacing w:after="0"/>
              <w:rPr>
                <w:sz w:val="20"/>
                <w:szCs w:val="20"/>
                <w:color w:val="auto"/>
              </w:rPr>
            </w:pPr>
            <w:r>
              <w:rPr>
                <w:rFonts w:ascii="Arial" w:cs="Arial" w:eastAsia="Arial" w:hAnsi="Arial"/>
                <w:sz w:val="18"/>
                <w:szCs w:val="18"/>
                <w:color w:val="auto"/>
              </w:rPr>
              <w:t>6.8</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 317(a)(1)</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6.3</w:t>
            </w:r>
          </w:p>
        </w:tc>
      </w:tr>
      <w:tr>
        <w:trPr>
          <w:trHeight w:val="216"/>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(a)(2)</w:t>
            </w:r>
          </w:p>
        </w:tc>
        <w:tc>
          <w:tcPr>
            <w:tcW w:w="3740" w:type="dxa"/>
            <w:vAlign w:val="bottom"/>
          </w:tcPr>
          <w:p>
            <w:pPr>
              <w:ind w:left="2060"/>
              <w:spacing w:after="0"/>
              <w:rPr>
                <w:sz w:val="20"/>
                <w:szCs w:val="20"/>
                <w:color w:val="auto"/>
              </w:rPr>
            </w:pPr>
            <w:r>
              <w:rPr>
                <w:rFonts w:ascii="Arial" w:cs="Arial" w:eastAsia="Arial" w:hAnsi="Arial"/>
                <w:sz w:val="18"/>
                <w:szCs w:val="18"/>
                <w:color w:val="auto"/>
              </w:rPr>
              <w:t>6.4</w:t>
            </w:r>
          </w:p>
        </w:tc>
      </w:tr>
      <w:tr>
        <w:trPr>
          <w:trHeight w:val="216"/>
        </w:trPr>
        <w:tc>
          <w:tcPr>
            <w:tcW w:w="368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(b)</w:t>
            </w:r>
          </w:p>
        </w:tc>
        <w:tc>
          <w:tcPr>
            <w:tcW w:w="3740" w:type="dxa"/>
            <w:vAlign w:val="bottom"/>
            <w:shd w:val="clear" w:color="auto" w:fill="CCEEFF"/>
          </w:tcPr>
          <w:p>
            <w:pPr>
              <w:ind w:left="2060"/>
              <w:spacing w:after="0"/>
              <w:rPr>
                <w:sz w:val="20"/>
                <w:szCs w:val="20"/>
                <w:color w:val="auto"/>
              </w:rPr>
            </w:pPr>
            <w:r>
              <w:rPr>
                <w:rFonts w:ascii="Arial" w:cs="Arial" w:eastAsia="Arial" w:hAnsi="Arial"/>
                <w:sz w:val="18"/>
                <w:szCs w:val="18"/>
                <w:color w:val="auto"/>
              </w:rPr>
              <w:t>2.5</w:t>
            </w:r>
          </w:p>
        </w:tc>
      </w:tr>
      <w:tr>
        <w:trPr>
          <w:trHeight w:val="230"/>
        </w:trPr>
        <w:tc>
          <w:tcPr>
            <w:tcW w:w="3680" w:type="dxa"/>
            <w:vAlign w:val="bottom"/>
          </w:tcPr>
          <w:p>
            <w:pPr>
              <w:jc w:val="right"/>
              <w:ind w:right="1970"/>
              <w:spacing w:after="0"/>
              <w:rPr>
                <w:sz w:val="20"/>
                <w:szCs w:val="20"/>
                <w:color w:val="auto"/>
              </w:rPr>
            </w:pPr>
            <w:r>
              <w:rPr>
                <w:rFonts w:ascii="Arial" w:cs="Arial" w:eastAsia="Arial" w:hAnsi="Arial"/>
                <w:sz w:val="18"/>
                <w:szCs w:val="18"/>
                <w:color w:val="auto"/>
              </w:rPr>
              <w:t>§ 318(a)</w:t>
            </w:r>
          </w:p>
        </w:tc>
        <w:tc>
          <w:tcPr>
            <w:tcW w:w="3740" w:type="dxa"/>
            <w:vAlign w:val="bottom"/>
          </w:tcPr>
          <w:p>
            <w:pPr>
              <w:ind w:left="2060"/>
              <w:spacing w:after="0"/>
              <w:rPr>
                <w:sz w:val="20"/>
                <w:szCs w:val="20"/>
                <w:color w:val="auto"/>
              </w:rPr>
            </w:pPr>
            <w:r>
              <w:rPr>
                <w:rFonts w:ascii="Arial" w:cs="Arial" w:eastAsia="Arial" w:hAnsi="Arial"/>
                <w:sz w:val="18"/>
                <w:szCs w:val="18"/>
                <w:color w:val="auto"/>
              </w:rPr>
              <w:t>10.1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4" w:name="page45"/>
    <w:bookmarkEnd w:id="44"/>
    <w:p>
      <w:pPr>
        <w:jc w:val="center"/>
        <w:ind w:right="-4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(Continued)</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6514465</wp:posOffset>
            </wp:positionH>
            <wp:positionV relativeFrom="paragraph">
              <wp:posOffset>6350</wp:posOffset>
            </wp:positionV>
            <wp:extent cx="7372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80"/>
          </w:cols>
          <w:pgMar w:left="240" w:top="337" w:right="679" w:bottom="1440" w:gutter="0" w:footer="0" w:header="0"/>
        </w:sectPr>
      </w:pPr>
    </w:p>
    <w:bookmarkStart w:id="45" w:name="page46"/>
    <w:bookmarkEnd w:id="45"/>
    <w:p>
      <w:pPr>
        <w:ind w:left="880"/>
        <w:spacing w:after="0"/>
        <w:rPr>
          <w:sz w:val="20"/>
          <w:szCs w:val="20"/>
          <w:color w:val="auto"/>
        </w:rPr>
      </w:pPr>
      <w:r>
        <w:rPr>
          <w:rFonts w:ascii="Arial" w:cs="Arial" w:eastAsia="Arial" w:hAnsi="Arial"/>
          <w:sz w:val="17"/>
          <w:szCs w:val="17"/>
          <w:color w:val="auto"/>
        </w:rPr>
        <w:t>Indenture dated as of February 6, 2019 between MICRON TECHNOLOGY, INC., a company incorporated under the laws of Delaware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and U.S. Bank National Association, a national banking association organized under the laws of the United States, as trustee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222"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44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 of Directors</w:t>
      </w:r>
      <w:r>
        <w:rPr>
          <w:rFonts w:ascii="Arial" w:cs="Arial" w:eastAsia="Arial" w:hAnsi="Arial"/>
          <w:sz w:val="17"/>
          <w:szCs w:val="17"/>
          <w:color w:val="auto"/>
        </w:rPr>
        <w:t>” means the board of directors of the Company or any committee thereof duly authorized to act on behalf of such board.</w:t>
      </w:r>
    </w:p>
    <w:p>
      <w:pPr>
        <w:spacing w:after="0" w:line="237"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each day that is not a Legal Holiday.</w:t>
      </w:r>
    </w:p>
    <w:p>
      <w:pPr>
        <w:spacing w:after="0" w:line="225" w:lineRule="exact"/>
        <w:rPr>
          <w:sz w:val="20"/>
          <w:szCs w:val="20"/>
          <w:color w:val="auto"/>
        </w:rPr>
      </w:pPr>
    </w:p>
    <w:p>
      <w:pPr>
        <w:jc w:val="both"/>
        <w:ind w:right="60" w:firstLine="89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6" w:name="page47"/>
    <w:bookmarkEnd w:id="46"/>
    <w:p>
      <w:pPr>
        <w:ind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w:t>
      </w:r>
      <w:r>
        <w:rPr>
          <w:rFonts w:ascii="Arial" w:cs="Arial" w:eastAsia="Arial" w:hAnsi="Arial"/>
          <w:sz w:val="16"/>
          <w:szCs w:val="16"/>
          <w:color w:val="auto"/>
        </w:rPr>
        <w:t>” means any currency or currency unit issued by a government other than the government of The United States of America.</w:t>
      </w:r>
    </w:p>
    <w:p>
      <w:pPr>
        <w:spacing w:after="0" w:line="248"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1" w:lineRule="exact"/>
        <w:rPr>
          <w:sz w:val="20"/>
          <w:szCs w:val="20"/>
          <w:color w:val="auto"/>
        </w:rPr>
      </w:pPr>
    </w:p>
    <w:p>
      <w:pPr>
        <w:jc w:val="both"/>
        <w:ind w:right="280" w:firstLine="891"/>
        <w:spacing w:after="0" w:line="264"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generally accepted accounting principles in the United States set forth in the statements and pronouncements of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jc w:val="both"/>
        <w:ind w:right="48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 on the books of the Registrar.</w:t>
      </w:r>
    </w:p>
    <w:p>
      <w:pPr>
        <w:spacing w:after="0" w:line="225"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w:t>
      </w:r>
      <w:r>
        <w:rPr>
          <w:rFonts w:ascii="Arial" w:cs="Arial" w:eastAsia="Arial" w:hAnsi="Arial"/>
          <w:sz w:val="17"/>
          <w:szCs w:val="17"/>
          <w:color w:val="auto"/>
        </w:rPr>
        <w:t>” with respect to any Discount Security which by its terms bears interest only after Maturity, means interest payable after Maturity.</w:t>
      </w:r>
    </w:p>
    <w:p>
      <w:pPr>
        <w:spacing w:after="0" w:line="237" w:lineRule="exact"/>
        <w:rPr>
          <w:sz w:val="20"/>
          <w:szCs w:val="20"/>
          <w:color w:val="auto"/>
        </w:rPr>
      </w:pPr>
    </w:p>
    <w:p>
      <w:pPr>
        <w:ind w:right="140" w:firstLine="8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 means a Saturday, a Sunday or a day on which commercial banking institutions or the corporate trust office are not required to be open in the State of New York or the place of payment.</w:t>
      </w:r>
    </w:p>
    <w:p>
      <w:pPr>
        <w:spacing w:after="0" w:line="170"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 that meets the requirements of Section 10.5.</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opinion may contain customary limitations, qualifications, conditions and exceptions. The counsel may be an employee of or counsel to the Company.</w:t>
      </w:r>
    </w:p>
    <w:p>
      <w:pPr>
        <w:spacing w:after="0" w:line="170" w:lineRule="exact"/>
        <w:rPr>
          <w:sz w:val="20"/>
          <w:szCs w:val="20"/>
          <w:color w:val="auto"/>
        </w:rPr>
      </w:pPr>
    </w:p>
    <w:p>
      <w:pPr>
        <w:ind w:right="6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3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Securities</w:t>
      </w:r>
      <w:r>
        <w:rPr>
          <w:rFonts w:ascii="Arial" w:cs="Arial" w:eastAsia="Arial" w:hAnsi="Arial"/>
          <w:sz w:val="17"/>
          <w:szCs w:val="17"/>
          <w:color w:val="auto"/>
        </w:rPr>
        <w:t>” means the debentures, notes or other debt instruments of the Company of any Series authenticated and delivered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ind w:right="3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jc w:val="both"/>
        <w:ind w:right="4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87"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1"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right="80" w:firstLine="88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U.S. Government Obligations</w:t>
      </w:r>
      <w:r>
        <w:rPr>
          <w:rFonts w:ascii="Arial" w:cs="Arial" w:eastAsia="Arial" w:hAnsi="Arial"/>
          <w:sz w:val="17"/>
          <w:szCs w:val="17"/>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ind w:left="660"/>
              <w:spacing w:after="0"/>
              <w:rPr>
                <w:sz w:val="20"/>
                <w:szCs w:val="20"/>
                <w:color w:val="auto"/>
              </w:rPr>
            </w:pPr>
            <w:r>
              <w:rPr>
                <w:rFonts w:ascii="Arial" w:cs="Arial" w:eastAsia="Arial" w:hAnsi="Arial"/>
                <w:sz w:val="18"/>
                <w:szCs w:val="18"/>
                <w:color w:val="auto"/>
              </w:rPr>
              <w:t>Section 1.2</w:t>
            </w:r>
          </w:p>
        </w:tc>
        <w:tc>
          <w:tcPr>
            <w:tcW w:w="3580" w:type="dxa"/>
            <w:vAlign w:val="bottom"/>
            <w:gridSpan w:val="3"/>
          </w:tcPr>
          <w:p>
            <w:pPr>
              <w:spacing w:after="0"/>
              <w:rPr>
                <w:sz w:val="20"/>
                <w:szCs w:val="20"/>
                <w:color w:val="auto"/>
              </w:rPr>
            </w:pPr>
            <w:r>
              <w:rPr>
                <w:rFonts w:ascii="Arial" w:cs="Arial" w:eastAsia="Arial" w:hAnsi="Arial"/>
                <w:sz w:val="18"/>
                <w:szCs w:val="18"/>
                <w:color w:val="auto"/>
              </w:rPr>
              <w:t>Other Definitions.</w:t>
            </w:r>
          </w:p>
        </w:tc>
        <w:tc>
          <w:tcPr>
            <w:tcW w:w="45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85"/>
        </w:trPr>
        <w:tc>
          <w:tcPr>
            <w:tcW w:w="1960" w:type="dxa"/>
            <w:vAlign w:val="bottom"/>
            <w:gridSpan w:val="2"/>
          </w:tcPr>
          <w:p>
            <w:pPr>
              <w:ind w:left="980"/>
              <w:spacing w:after="0"/>
              <w:rPr>
                <w:sz w:val="20"/>
                <w:szCs w:val="20"/>
                <w:color w:val="auto"/>
              </w:rPr>
            </w:pPr>
            <w:r>
              <w:rPr>
                <w:rFonts w:ascii="Arial" w:cs="Arial" w:eastAsia="Arial" w:hAnsi="Arial"/>
                <w:sz w:val="14"/>
                <w:szCs w:val="14"/>
                <w:b w:val="1"/>
                <w:bCs w:val="1"/>
                <w:color w:val="auto"/>
              </w:rPr>
              <w:t>TERM</w:t>
            </w:r>
          </w:p>
        </w:tc>
        <w:tc>
          <w:tcPr>
            <w:tcW w:w="126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jc w:val="right"/>
              <w:ind w:right="1411"/>
              <w:spacing w:after="0"/>
              <w:rPr>
                <w:sz w:val="20"/>
                <w:szCs w:val="20"/>
                <w:color w:val="auto"/>
              </w:rPr>
            </w:pPr>
            <w:r>
              <w:rPr>
                <w:rFonts w:ascii="Arial" w:cs="Arial" w:eastAsia="Arial" w:hAnsi="Arial"/>
                <w:sz w:val="14"/>
                <w:szCs w:val="14"/>
                <w:b w:val="1"/>
                <w:bCs w:val="1"/>
                <w:color w:val="auto"/>
              </w:rPr>
              <w:t>DEFINED IN SECTION</w:t>
            </w:r>
          </w:p>
        </w:tc>
        <w:tc>
          <w:tcPr>
            <w:tcW w:w="1360" w:type="dxa"/>
            <w:vAlign w:val="bottom"/>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43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10.7</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4560" w:type="dxa"/>
            <w:vAlign w:val="bottom"/>
          </w:tcPr>
          <w:p>
            <w:pPr>
              <w:jc w:val="center"/>
              <w:spacing w:after="0"/>
              <w:rPr>
                <w:sz w:val="20"/>
                <w:szCs w:val="20"/>
                <w:color w:val="auto"/>
              </w:rPr>
            </w:pPr>
            <w:r>
              <w:rPr>
                <w:rFonts w:ascii="Arial" w:cs="Arial" w:eastAsia="Arial" w:hAnsi="Arial"/>
                <w:sz w:val="18"/>
                <w:szCs w:val="18"/>
                <w:color w:val="auto"/>
                <w:w w:val="85"/>
              </w:rPr>
              <w:t>11.1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10.16</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45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45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1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tcPr>
          <w:p>
            <w:pPr>
              <w:spacing w:after="0"/>
              <w:rPr>
                <w:sz w:val="20"/>
                <w:szCs w:val="20"/>
                <w:color w:val="auto"/>
              </w:rPr>
            </w:pPr>
            <w:r>
              <w:rPr>
                <w:rFonts w:ascii="Arial" w:cs="Arial" w:eastAsia="Arial" w:hAnsi="Arial"/>
                <w:sz w:val="18"/>
                <w:szCs w:val="18"/>
                <w:color w:val="auto"/>
              </w:rPr>
              <w:t>“Required Currency”</w:t>
            </w: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5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“Specified Courts”</w:t>
            </w:r>
          </w:p>
        </w:tc>
        <w:tc>
          <w:tcPr>
            <w:tcW w:w="4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10.10</w:t>
            </w:r>
          </w:p>
        </w:tc>
        <w:tc>
          <w:tcPr>
            <w:tcW w:w="1360" w:type="dxa"/>
            <w:vAlign w:val="bottom"/>
          </w:tcPr>
          <w:p>
            <w:pPr>
              <w:spacing w:after="0"/>
              <w:rPr>
                <w:sz w:val="18"/>
                <w:szCs w:val="18"/>
                <w:color w:val="auto"/>
              </w:rPr>
            </w:pPr>
          </w:p>
        </w:tc>
      </w:tr>
      <w:tr>
        <w:trPr>
          <w:trHeight w:val="432"/>
        </w:trPr>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60" w:type="dxa"/>
            <w:vAlign w:val="bottom"/>
          </w:tcPr>
          <w:p>
            <w:pPr>
              <w:jc w:val="right"/>
              <w:ind w:right="4251"/>
              <w:spacing w:after="0"/>
              <w:rPr>
                <w:sz w:val="20"/>
                <w:szCs w:val="20"/>
                <w:color w:val="auto"/>
              </w:rPr>
            </w:pPr>
            <w:r>
              <w:rPr>
                <w:rFonts w:ascii="Arial" w:cs="Arial" w:eastAsia="Arial" w:hAnsi="Arial"/>
                <w:sz w:val="18"/>
                <w:szCs w:val="18"/>
                <w:color w:val="auto"/>
              </w:rPr>
              <w:t>4</w:t>
            </w: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9" w:name="page50"/>
    <w:bookmarkEnd w:id="49"/>
    <w:tbl>
      <w:tblPr>
        <w:tblLayout w:type="fixed"/>
        <w:tblInd w:w="660" w:type="dxa"/>
        <w:tblCellMar>
          <w:top w:w="0" w:type="dxa"/>
          <w:left w:w="0" w:type="dxa"/>
          <w:bottom w:w="0" w:type="dxa"/>
          <w:right w:w="0" w:type="dxa"/>
        </w:tblCellMar>
      </w:tblPr>
      <w:tr>
        <w:trPr>
          <w:trHeight w:val="171"/>
        </w:trPr>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TERM</w:t>
            </w:r>
          </w:p>
        </w:tc>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60" w:type="dxa"/>
            <w:vAlign w:val="bottom"/>
          </w:tcPr>
          <w:p>
            <w:pPr>
              <w:jc w:val="center"/>
              <w:ind w:right="699"/>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320" w:type="dxa"/>
            <w:vAlign w:val="bottom"/>
          </w:tcPr>
          <w:p>
            <w:pPr>
              <w:spacing w:after="0"/>
              <w:rPr>
                <w:sz w:val="18"/>
                <w:szCs w:val="18"/>
                <w:color w:val="auto"/>
              </w:rPr>
            </w:pPr>
          </w:p>
        </w:tc>
        <w:tc>
          <w:tcPr>
            <w:tcW w:w="4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“successor person”</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right"/>
              <w:ind w:right="2079"/>
              <w:spacing w:after="0"/>
              <w:rPr>
                <w:sz w:val="20"/>
                <w:szCs w:val="20"/>
                <w:color w:val="auto"/>
              </w:rPr>
            </w:pPr>
            <w:r>
              <w:rPr>
                <w:rFonts w:ascii="Arial" w:cs="Arial" w:eastAsia="Arial" w:hAnsi="Arial"/>
                <w:sz w:val="18"/>
                <w:szCs w:val="18"/>
                <w:color w:val="auto"/>
              </w:rPr>
              <w:t>5.1</w:t>
            </w:r>
          </w:p>
        </w:tc>
      </w:tr>
      <w:tr>
        <w:trPr>
          <w:trHeight w:val="392"/>
        </w:trPr>
        <w:tc>
          <w:tcPr>
            <w:tcW w:w="1300" w:type="dxa"/>
            <w:vAlign w:val="bottom"/>
            <w:gridSpan w:val="2"/>
          </w:tcPr>
          <w:p>
            <w:pPr>
              <w:spacing w:after="0"/>
              <w:rPr>
                <w:sz w:val="20"/>
                <w:szCs w:val="20"/>
                <w:color w:val="auto"/>
              </w:rPr>
            </w:pPr>
            <w:r>
              <w:rPr>
                <w:rFonts w:ascii="Arial" w:cs="Arial" w:eastAsia="Arial" w:hAnsi="Arial"/>
                <w:sz w:val="18"/>
                <w:szCs w:val="18"/>
                <w:color w:val="auto"/>
              </w:rPr>
              <w:t>Section 1.3</w:t>
            </w:r>
          </w:p>
        </w:tc>
        <w:tc>
          <w:tcPr>
            <w:tcW w:w="4380" w:type="dxa"/>
            <w:vAlign w:val="bottom"/>
            <w:gridSpan w:val="3"/>
          </w:tcPr>
          <w:p>
            <w:pPr>
              <w:spacing w:after="0"/>
              <w:rPr>
                <w:sz w:val="20"/>
                <w:szCs w:val="20"/>
                <w:color w:val="auto"/>
              </w:rPr>
            </w:pPr>
            <w:r>
              <w:rPr>
                <w:rFonts w:ascii="Arial" w:cs="Arial" w:eastAsia="Arial" w:hAnsi="Arial"/>
                <w:sz w:val="18"/>
                <w:szCs w:val="18"/>
                <w:color w:val="auto"/>
              </w:rPr>
              <w:t>Incorporation by Reference of Trust Indenture Act.</w:t>
            </w:r>
          </w:p>
        </w:tc>
        <w:tc>
          <w:tcPr>
            <w:tcW w:w="37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Whenever this Indenture refers to a provision of the TIA, the provision is incorporated by reference in and made a part of this Indenture. The following TIA terms used in this Indenture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xml:space="preserve">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40" w:hanging="635"/>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33" w:right="4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r>
        <w:rPr>
          <w:rFonts w:ascii="Arial" w:cs="Arial" w:eastAsia="Arial" w:hAnsi="Arial"/>
          <w:sz w:val="15"/>
          <w:szCs w:val="15"/>
          <w:color w:val="auto"/>
        </w:rPr>
        <w:t>.</w:t>
      </w:r>
    </w:p>
    <w:p>
      <w:pPr>
        <w:spacing w:after="0" w:line="225"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312"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7" w:lineRule="exact"/>
        <w:rPr>
          <w:sz w:val="20"/>
          <w:szCs w:val="20"/>
          <w:color w:val="auto"/>
        </w:rPr>
      </w:pPr>
    </w:p>
    <w:p>
      <w:pPr>
        <w:ind w:right="620" w:firstLine="881"/>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 issued;</w:t>
      </w:r>
    </w:p>
    <w:p>
      <w:pPr>
        <w:spacing w:after="0" w:line="225"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1"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1" w:name="page52"/>
    <w:bookmarkEnd w:id="51"/>
    <w:p>
      <w:pPr>
        <w:ind w:firstLine="881"/>
        <w:spacing w:after="0" w:line="286" w:lineRule="auto"/>
        <w:rPr>
          <w:sz w:val="20"/>
          <w:szCs w:val="20"/>
          <w:color w:val="auto"/>
        </w:rPr>
      </w:pPr>
      <w:r>
        <w:rPr>
          <w:rFonts w:ascii="Arial" w:cs="Arial" w:eastAsia="Arial" w:hAnsi="Arial"/>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66"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1"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ind w:right="760" w:firstLine="881"/>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880"/>
        <w:spacing w:after="0"/>
        <w:tabs>
          <w:tab w:leader="none" w:pos="192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forms of the Securities of the Series and whether the Securities will be issuable as Global Securities;</w:t>
      </w:r>
    </w:p>
    <w:p>
      <w:pPr>
        <w:spacing w:after="0" w:line="225"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70" w:lineRule="exact"/>
        <w:rPr>
          <w:sz w:val="20"/>
          <w:szCs w:val="20"/>
          <w:color w:val="auto"/>
        </w:rPr>
      </w:pPr>
    </w:p>
    <w:p>
      <w:pPr>
        <w:ind w:right="560" w:firstLine="881"/>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ind w:right="180" w:firstLine="881"/>
        <w:spacing w:after="0" w:line="264"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1"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2" w:name="page53"/>
    <w:bookmarkEnd w:id="52"/>
    <w:p>
      <w:pPr>
        <w:ind w:left="880"/>
        <w:spacing w:after="0"/>
        <w:tabs>
          <w:tab w:leader="none" w:pos="194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the provisions, if any, relating to any security provided for the Securities of the Series;</w:t>
      </w:r>
    </w:p>
    <w:p>
      <w:pPr>
        <w:spacing w:after="0" w:line="225" w:lineRule="exact"/>
        <w:rPr>
          <w:sz w:val="20"/>
          <w:szCs w:val="20"/>
          <w:color w:val="auto"/>
        </w:rPr>
      </w:pPr>
    </w:p>
    <w:p>
      <w:pPr>
        <w:ind w:right="160" w:firstLine="881"/>
        <w:spacing w:after="0" w:line="308" w:lineRule="auto"/>
        <w:rPr>
          <w:sz w:val="20"/>
          <w:szCs w:val="20"/>
          <w:color w:val="auto"/>
        </w:rPr>
      </w:pPr>
      <w:r>
        <w:rPr>
          <w:rFonts w:ascii="Arial" w:cs="Arial" w:eastAsia="Arial" w:hAnsi="Arial"/>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47"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color w:val="auto"/>
        </w:rPr>
        <w:t>any addition to, deletion of or change in the covenants set forth in Articles IV or V which applies to Securities of the Series;</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conversion agents or other agents with respect to Securities of such Series if other than those appointed herein;</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87"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1"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own rights, duties or immunities under this Indenture or otherwise with respect to any Series of Securities except as the Trustee may agree in writing.</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 valid.</w:t>
      </w:r>
    </w:p>
    <w:p>
      <w:pPr>
        <w:spacing w:after="0" w:line="211"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100" w:firstLine="881"/>
        <w:spacing w:after="0" w:line="264"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1" w:lineRule="exact"/>
        <w:rPr>
          <w:sz w:val="20"/>
          <w:szCs w:val="20"/>
          <w:color w:val="auto"/>
        </w:rPr>
      </w:pPr>
    </w:p>
    <w:p>
      <w:pPr>
        <w:ind w:right="200" w:firstLine="881"/>
        <w:spacing w:after="0" w:line="264"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 the Board Resolution, supplemental indenture hereto or Officer’s Certificate establishing the form of the Securities of that Series or of 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within that Series and the terms of the Securities of that Series or of Securities within that Series, (b) an Officer’s Certificate complying with Section 10.4,</w:t>
      </w:r>
    </w:p>
    <w:p>
      <w:pPr>
        <w:spacing w:after="0" w:line="32" w:lineRule="exact"/>
        <w:rPr>
          <w:sz w:val="20"/>
          <w:szCs w:val="20"/>
          <w:color w:val="auto"/>
        </w:rPr>
      </w:pPr>
    </w:p>
    <w:p>
      <w:pPr>
        <w:ind w:right="100" w:firstLine="8"/>
        <w:spacing w:after="0" w:line="254" w:lineRule="auto"/>
        <w:tabs>
          <w:tab w:leader="none" w:pos="2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spacing w:after="0" w:line="190"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spacing w:after="0" w:line="181" w:lineRule="exact"/>
        <w:rPr>
          <w:sz w:val="20"/>
          <w:szCs w:val="20"/>
          <w:color w:val="auto"/>
        </w:rPr>
      </w:pPr>
    </w:p>
    <w:p>
      <w:pPr>
        <w:ind w:right="20" w:firstLine="881"/>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right="220" w:firstLine="881"/>
        <w:spacing w:after="0" w:line="291"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ind w:right="60"/>
        <w:spacing w:after="0" w:line="264" w:lineRule="auto"/>
        <w:rPr>
          <w:sz w:val="20"/>
          <w:szCs w:val="20"/>
          <w:color w:val="auto"/>
        </w:rPr>
      </w:pPr>
      <w:r>
        <w:rPr>
          <w:rFonts w:ascii="Arial" w:cs="Arial" w:eastAsia="Arial" w:hAnsi="Arial"/>
          <w:sz w:val="18"/>
          <w:szCs w:val="18"/>
          <w:color w:val="auto"/>
        </w:rPr>
        <w:t xml:space="preserve">be made or served at the Corporate Trust Office of the Trustee, and the Company hereby appoints the Trustee as its agent to receive all such presentations, surrenders, notices and demands;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appointment of the Trustee as the Notice Agent shall exclude the appointment of the Trustee or any office of the Trustee as an agent to receive the service of legal process on the Company.</w:t>
      </w:r>
    </w:p>
    <w:p>
      <w:pPr>
        <w:spacing w:after="0" w:line="181" w:lineRule="exact"/>
        <w:rPr>
          <w:sz w:val="20"/>
          <w:szCs w:val="20"/>
          <w:color w:val="auto"/>
        </w:rPr>
      </w:pPr>
    </w:p>
    <w:p>
      <w:pPr>
        <w:ind w:right="40" w:firstLine="881"/>
        <w:spacing w:after="0" w:line="255"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 may serve as Registrar or Paying Agent.</w:t>
      </w:r>
    </w:p>
    <w:p>
      <w:pPr>
        <w:spacing w:after="0" w:line="189" w:lineRule="exact"/>
        <w:rPr>
          <w:sz w:val="20"/>
          <w:szCs w:val="20"/>
          <w:color w:val="auto"/>
        </w:rPr>
      </w:pPr>
    </w:p>
    <w:p>
      <w:pPr>
        <w:ind w:right="160" w:firstLine="881"/>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Securityholder Lists</w:t>
      </w:r>
      <w:r>
        <w:rPr>
          <w:rFonts w:ascii="Arial" w:cs="Arial" w:eastAsia="Arial" w:hAnsi="Arial"/>
          <w:sz w:val="16"/>
          <w:szCs w:val="16"/>
          <w:color w:val="auto"/>
        </w:rPr>
        <w:t>.</w:t>
      </w:r>
    </w:p>
    <w:p>
      <w:pPr>
        <w:spacing w:after="0" w:line="225"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40" w:firstLine="881"/>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ind w:right="40" w:firstLine="881"/>
        <w:spacing w:after="0" w:line="302" w:lineRule="auto"/>
        <w:rPr>
          <w:sz w:val="20"/>
          <w:szCs w:val="20"/>
          <w:color w:val="auto"/>
        </w:rPr>
      </w:pPr>
      <w:r>
        <w:rPr>
          <w:rFonts w:ascii="Arial" w:cs="Arial" w:eastAsia="Arial" w:hAnsi="Arial"/>
          <w:sz w:val="16"/>
          <w:szCs w:val="16"/>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225" w:lineRule="exact"/>
        <w:rPr>
          <w:sz w:val="20"/>
          <w:szCs w:val="20"/>
          <w:color w:val="auto"/>
        </w:rPr>
      </w:pPr>
    </w:p>
    <w:p>
      <w:pPr>
        <w:ind w:right="280" w:firstLine="881"/>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If there shall be delivered to the Company and the Trustee (i) evidence to their satisfaction of the destruction, loss or theft of any Security and</w:t>
      </w:r>
    </w:p>
    <w:p>
      <w:pPr>
        <w:spacing w:after="0" w:line="46" w:lineRule="exact"/>
        <w:rPr>
          <w:sz w:val="20"/>
          <w:szCs w:val="20"/>
          <w:color w:val="auto"/>
        </w:rPr>
      </w:pPr>
    </w:p>
    <w:p>
      <w:pPr>
        <w:ind w:firstLine="8"/>
        <w:spacing w:after="0" w:line="254" w:lineRule="auto"/>
        <w:tabs>
          <w:tab w:leader="none" w:pos="265"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90"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right="160" w:firstLine="881"/>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420" w:firstLine="881"/>
        <w:spacing w:after="0" w:line="277"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shall constitute an original additional contractual obligation of the Company,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56" w:name="page57"/>
    <w:bookmarkEnd w:id="56"/>
    <w:p>
      <w:pPr>
        <w:ind w:right="500"/>
        <w:spacing w:after="0" w:line="277" w:lineRule="auto"/>
        <w:rPr>
          <w:sz w:val="20"/>
          <w:szCs w:val="20"/>
          <w:color w:val="auto"/>
        </w:rPr>
      </w:pPr>
      <w:r>
        <w:rPr>
          <w:rFonts w:ascii="Arial" w:cs="Arial" w:eastAsia="Arial" w:hAnsi="Arial"/>
          <w:sz w:val="18"/>
          <w:szCs w:val="18"/>
          <w:color w:val="auto"/>
        </w:rPr>
        <w:t>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0"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r>
        <w:rPr>
          <w:rFonts w:ascii="Arial" w:cs="Arial" w:eastAsia="Arial" w:hAnsi="Arial"/>
          <w:sz w:val="16"/>
          <w:szCs w:val="16"/>
          <w:color w:val="auto"/>
        </w:rPr>
        <w:t>.</w:t>
      </w:r>
    </w:p>
    <w:p>
      <w:pPr>
        <w:spacing w:after="0" w:line="225" w:lineRule="exact"/>
        <w:rPr>
          <w:sz w:val="20"/>
          <w:szCs w:val="20"/>
          <w:color w:val="auto"/>
        </w:rPr>
      </w:pPr>
    </w:p>
    <w:p>
      <w:pPr>
        <w:jc w:val="both"/>
        <w:ind w:right="100" w:firstLine="881"/>
        <w:spacing w:after="0" w:line="264"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1"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81" w:lineRule="exact"/>
        <w:rPr>
          <w:sz w:val="20"/>
          <w:szCs w:val="20"/>
          <w:color w:val="auto"/>
        </w:rPr>
      </w:pPr>
    </w:p>
    <w:p>
      <w:pPr>
        <w:ind w:right="380" w:firstLine="881"/>
        <w:spacing w:after="0" w:line="342" w:lineRule="auto"/>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24" w:lineRule="exact"/>
        <w:rPr>
          <w:sz w:val="20"/>
          <w:szCs w:val="20"/>
          <w:color w:val="auto"/>
        </w:rPr>
      </w:pPr>
    </w:p>
    <w:p>
      <w:pPr>
        <w:ind w:right="140" w:firstLine="881"/>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Treasury Securities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79" w:lineRule="auto"/>
        <w:rPr>
          <w:sz w:val="20"/>
          <w:szCs w:val="20"/>
          <w:color w:val="auto"/>
        </w:rPr>
      </w:pPr>
      <w:r>
        <w:rPr>
          <w:rFonts w:ascii="Arial" w:cs="Arial" w:eastAsia="Arial" w:hAnsi="Arial"/>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r>
        <w:rPr>
          <w:rFonts w:ascii="Arial" w:cs="Arial" w:eastAsia="Arial" w:hAnsi="Arial"/>
          <w:sz w:val="16"/>
          <w:szCs w:val="16"/>
          <w:color w:val="auto"/>
        </w:rPr>
        <w:t>.</w:t>
      </w:r>
    </w:p>
    <w:p>
      <w:pPr>
        <w:spacing w:after="0" w:line="225" w:lineRule="exact"/>
        <w:rPr>
          <w:sz w:val="20"/>
          <w:szCs w:val="20"/>
          <w:color w:val="auto"/>
        </w:rPr>
      </w:pPr>
    </w:p>
    <w:p>
      <w:pPr>
        <w:ind w:right="560" w:firstLine="881"/>
        <w:spacing w:after="0" w:line="27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p>
      <w:pPr>
        <w:spacing w:after="0"/>
        <w:rPr>
          <w:sz w:val="20"/>
          <w:szCs w:val="20"/>
          <w:color w:val="auto"/>
        </w:rPr>
      </w:pPr>
      <w:r>
        <w:rPr>
          <w:rFonts w:ascii="Arial" w:cs="Arial" w:eastAsia="Arial" w:hAnsi="Arial"/>
          <w:sz w:val="17"/>
          <w:szCs w:val="17"/>
          <w:color w:val="auto"/>
        </w:rPr>
        <w:t>be substantially in the form of definitive Securities but may have variations that the Company considers appropriate for temporary Securities. Without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unreasonable delay, the Company shall prepare and the Trustee upon receipt of a Company Order shall authenticate definitive Securities of the same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and date of maturity in exchange for temporary Securities. Until so exchanged, temporary securities shall have the same rights under this Indenture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definitive Securities.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r>
        <w:rPr>
          <w:rFonts w:ascii="Arial" w:cs="Arial" w:eastAsia="Arial" w:hAnsi="Arial"/>
          <w:sz w:val="16"/>
          <w:szCs w:val="16"/>
          <w:color w:val="auto"/>
        </w:rPr>
        <w:t>.</w:t>
      </w:r>
    </w:p>
    <w:p>
      <w:pPr>
        <w:spacing w:after="0" w:line="225" w:lineRule="exact"/>
        <w:rPr>
          <w:sz w:val="20"/>
          <w:szCs w:val="20"/>
          <w:color w:val="auto"/>
        </w:rPr>
      </w:pPr>
    </w:p>
    <w:p>
      <w:pPr>
        <w:ind w:right="260" w:firstLine="881"/>
        <w:spacing w:after="0" w:line="264"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1" w:lineRule="exact"/>
        <w:rPr>
          <w:sz w:val="20"/>
          <w:szCs w:val="20"/>
          <w:color w:val="auto"/>
        </w:rPr>
      </w:pPr>
    </w:p>
    <w:p>
      <w:pPr>
        <w:ind w:right="140" w:firstLine="881"/>
        <w:spacing w:after="0" w:line="273" w:lineRule="auto"/>
        <w:rPr>
          <w:sz w:val="20"/>
          <w:szCs w:val="20"/>
          <w:color w:val="auto"/>
        </w:rPr>
      </w:pPr>
      <w:r>
        <w:rPr>
          <w:rFonts w:ascii="Arial" w:cs="Arial" w:eastAsia="Arial" w:hAnsi="Arial"/>
          <w:sz w:val="17"/>
          <w:szCs w:val="17"/>
          <w:color w:val="auto"/>
        </w:rPr>
        <w:t xml:space="preserve">2.14.2. </w:t>
      </w:r>
      <w:r>
        <w:rPr>
          <w:rFonts w:ascii="Arial" w:cs="Arial" w:eastAsia="Arial" w:hAnsi="Arial"/>
          <w:sz w:val="17"/>
          <w:szCs w:val="17"/>
          <w:u w:val="single" w:color="auto"/>
          <w:color w:val="auto"/>
        </w:rPr>
        <w:t>Transfer and Exchange</w:t>
      </w:r>
      <w:r>
        <w:rPr>
          <w:rFonts w:ascii="Arial" w:cs="Arial" w:eastAsia="Arial" w:hAnsi="Arial"/>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spacing w:after="0" w:line="17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Global Security shall be so exchangeable. Any Global Security that is exchangeable pursuant to the preceding sentence shall be exchangeable for Securities registered in such names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color w:val="auto"/>
        </w:rPr>
        <w:t>the Depositary shall direct in writing in an aggregate principal amount equal to the principal amount of the Global Security with like tenor and terms.</w:t>
      </w:r>
    </w:p>
    <w:p>
      <w:pPr>
        <w:spacing w:after="0" w:line="237" w:lineRule="exact"/>
        <w:rPr>
          <w:sz w:val="20"/>
          <w:szCs w:val="20"/>
          <w:color w:val="auto"/>
        </w:rPr>
      </w:pPr>
    </w:p>
    <w:p>
      <w:pPr>
        <w:jc w:val="both"/>
        <w:ind w:right="440" w:firstLine="881"/>
        <w:spacing w:after="0" w:line="286" w:lineRule="auto"/>
        <w:rPr>
          <w:sz w:val="20"/>
          <w:szCs w:val="20"/>
          <w:color w:val="auto"/>
        </w:rPr>
      </w:pPr>
      <w:r>
        <w:rPr>
          <w:rFonts w:ascii="Arial" w:cs="Arial" w:eastAsia="Arial" w:hAnsi="Arial"/>
          <w:sz w:val="17"/>
          <w:szCs w:val="17"/>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for any actions taken or not taken by the Depositary.</w:t>
      </w:r>
    </w:p>
    <w:p>
      <w:pPr>
        <w:spacing w:after="0" w:line="225" w:lineRule="exact"/>
        <w:rPr>
          <w:sz w:val="20"/>
          <w:szCs w:val="20"/>
          <w:color w:val="auto"/>
        </w:rPr>
      </w:pPr>
    </w:p>
    <w:p>
      <w:pPr>
        <w:ind w:left="880"/>
        <w:spacing w:after="0"/>
        <w:tabs>
          <w:tab w:leader="none" w:pos="194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Any Global Security issued hereunder shall bear a legend in substantially the following form:</w:t>
      </w:r>
    </w:p>
    <w:p>
      <w:pPr>
        <w:spacing w:after="0" w:line="225"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170"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spacing w:after="0" w:line="178" w:lineRule="exact"/>
        <w:rPr>
          <w:sz w:val="20"/>
          <w:szCs w:val="20"/>
          <w:color w:val="auto"/>
        </w:rPr>
      </w:pPr>
    </w:p>
    <w:p>
      <w:pPr>
        <w:ind w:right="60" w:firstLine="881"/>
        <w:spacing w:after="0" w:line="277" w:lineRule="auto"/>
        <w:rPr>
          <w:sz w:val="20"/>
          <w:szCs w:val="20"/>
          <w:color w:val="auto"/>
        </w:rPr>
      </w:pPr>
      <w:r>
        <w:rPr>
          <w:rFonts w:ascii="Arial" w:cs="Arial" w:eastAsia="Arial" w:hAnsi="Arial"/>
          <w:sz w:val="18"/>
          <w:szCs w:val="18"/>
          <w:color w:val="auto"/>
        </w:rPr>
        <w:t xml:space="preserve">2.14.4. </w:t>
      </w:r>
      <w:r>
        <w:rPr>
          <w:rFonts w:ascii="Arial" w:cs="Arial" w:eastAsia="Arial" w:hAnsi="Arial"/>
          <w:sz w:val="18"/>
          <w:szCs w:val="18"/>
          <w:u w:val="single" w:color="auto"/>
          <w:color w:val="auto"/>
        </w:rPr>
        <w:t>Acts of Holders</w:t>
      </w:r>
      <w:r>
        <w:rPr>
          <w:rFonts w:ascii="Arial" w:cs="Arial" w:eastAsia="Arial" w:hAnsi="Arial"/>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ind w:right="140" w:firstLine="1305"/>
        <w:spacing w:after="0" w:line="255" w:lineRule="auto"/>
        <w:tabs>
          <w:tab w:leader="none" w:pos="19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spacing w:after="0" w:line="189" w:lineRule="exact"/>
        <w:rPr>
          <w:rFonts w:ascii="Arial" w:cs="Arial" w:eastAsia="Arial" w:hAnsi="Arial"/>
          <w:sz w:val="18"/>
          <w:szCs w:val="18"/>
          <w:color w:val="auto"/>
        </w:rPr>
      </w:pPr>
    </w:p>
    <w:p>
      <w:pPr>
        <w:ind w:right="140" w:firstLine="1305"/>
        <w:spacing w:after="0" w:line="255"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Global Securities or any Securities issued in certificated form shall be proved by the Registrar.</w:t>
      </w:r>
    </w:p>
    <w:p>
      <w:pPr>
        <w:spacing w:after="0" w:line="225" w:lineRule="exact"/>
        <w:rPr>
          <w:rFonts w:ascii="Arial" w:cs="Arial" w:eastAsia="Arial" w:hAnsi="Arial"/>
          <w:sz w:val="18"/>
          <w:szCs w:val="18"/>
          <w:color w:val="auto"/>
        </w:rPr>
      </w:pPr>
    </w:p>
    <w:p>
      <w:pPr>
        <w:ind w:right="20" w:firstLine="1305"/>
        <w:spacing w:after="0" w:line="259" w:lineRule="auto"/>
        <w:tabs>
          <w:tab w:leader="none" w:pos="19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6" w:lineRule="exact"/>
        <w:rPr>
          <w:rFonts w:ascii="Arial" w:cs="Arial" w:eastAsia="Arial" w:hAnsi="Arial"/>
          <w:sz w:val="18"/>
          <w:szCs w:val="18"/>
          <w:color w:val="auto"/>
        </w:rPr>
      </w:pPr>
    </w:p>
    <w:p>
      <w:pPr>
        <w:ind w:firstLine="1305"/>
        <w:spacing w:after="0" w:line="253" w:lineRule="auto"/>
        <w:tabs>
          <w:tab w:leader="none" w:pos="19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spacing w:after="0" w:line="197" w:lineRule="exact"/>
        <w:rPr>
          <w:sz w:val="20"/>
          <w:szCs w:val="20"/>
          <w:color w:val="auto"/>
        </w:rPr>
      </w:pPr>
    </w:p>
    <w:p>
      <w:pPr>
        <w:ind w:right="400" w:firstLine="881"/>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ind w:right="60" w:firstLine="881"/>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76" w:lineRule="auto"/>
        <w:rPr>
          <w:sz w:val="20"/>
          <w:szCs w:val="20"/>
          <w:color w:val="auto"/>
        </w:rPr>
      </w:pPr>
      <w:r>
        <w:rPr>
          <w:rFonts w:ascii="Arial" w:cs="Arial" w:eastAsia="Arial" w:hAnsi="Arial"/>
          <w:sz w:val="17"/>
          <w:szCs w:val="17"/>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as promptly as practicable notify the Trustee of any change that the Company is aware of in the CUSIP numbers.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r>
        <w:rPr>
          <w:rFonts w:ascii="Arial" w:cs="Arial" w:eastAsia="Arial" w:hAnsi="Arial"/>
          <w:sz w:val="16"/>
          <w:szCs w:val="16"/>
          <w:color w:val="auto"/>
        </w:rPr>
        <w:t>.</w:t>
      </w:r>
    </w:p>
    <w:p>
      <w:pPr>
        <w:spacing w:after="0" w:line="225" w:lineRule="exact"/>
        <w:rPr>
          <w:sz w:val="20"/>
          <w:szCs w:val="20"/>
          <w:color w:val="auto"/>
        </w:rPr>
      </w:pPr>
    </w:p>
    <w:p>
      <w:pPr>
        <w:ind w:right="100" w:firstLine="881"/>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r>
        <w:rPr>
          <w:rFonts w:ascii="Arial" w:cs="Arial" w:eastAsia="Arial" w:hAnsi="Arial"/>
          <w:sz w:val="16"/>
          <w:szCs w:val="16"/>
          <w:color w:val="auto"/>
        </w:rPr>
        <w:t>.</w:t>
      </w:r>
    </w:p>
    <w:p>
      <w:pPr>
        <w:spacing w:after="0" w:line="225" w:lineRule="exact"/>
        <w:rPr>
          <w:sz w:val="20"/>
          <w:szCs w:val="20"/>
          <w:color w:val="auto"/>
        </w:rPr>
      </w:pPr>
    </w:p>
    <w:p>
      <w:pPr>
        <w:jc w:val="both"/>
        <w:ind w:right="20" w:firstLine="881"/>
        <w:spacing w:after="0" w:line="286"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w:t>
      </w:r>
    </w:p>
    <w:p>
      <w:pPr>
        <w:spacing w:after="0" w:line="2" w:lineRule="exact"/>
        <w:rPr>
          <w:sz w:val="20"/>
          <w:szCs w:val="20"/>
          <w:color w:val="auto"/>
        </w:rPr>
      </w:pPr>
    </w:p>
    <w:p>
      <w:pPr>
        <w:jc w:val="both"/>
        <w:ind w:firstLine="8"/>
        <w:spacing w:after="0" w:line="277" w:lineRule="auto"/>
        <w:tabs>
          <w:tab w:leader="none" w:pos="2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in the manner that the Trustee deems fair and appropriate, including </w:t>
      </w:r>
      <w:r>
        <w:rPr>
          <w:rFonts w:ascii="Arial" w:cs="Arial" w:eastAsia="Arial" w:hAnsi="Arial"/>
          <w:sz w:val="17"/>
          <w:szCs w:val="17"/>
          <w:i w:val="1"/>
          <w:iCs w:val="1"/>
          <w:color w:val="auto"/>
        </w:rPr>
        <w:t>pro rata</w:t>
      </w:r>
      <w:r>
        <w:rPr>
          <w:rFonts w:ascii="Arial" w:cs="Arial" w:eastAsia="Arial" w:hAnsi="Arial"/>
          <w:sz w:val="17"/>
          <w:szCs w:val="17"/>
          <w:color w:val="auto"/>
        </w:rPr>
        <w:t>,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ind w:right="160"/>
        <w:spacing w:after="0" w:line="302" w:lineRule="auto"/>
        <w:rPr>
          <w:sz w:val="20"/>
          <w:szCs w:val="20"/>
          <w:color w:val="auto"/>
        </w:rPr>
      </w:pPr>
      <w:r>
        <w:rPr>
          <w:rFonts w:ascii="Arial" w:cs="Arial" w:eastAsia="Arial" w:hAnsi="Arial"/>
          <w:sz w:val="16"/>
          <w:szCs w:val="16"/>
          <w:color w:val="auto"/>
        </w:rPr>
        <w:t>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120" w:firstLine="881"/>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1940" w:hanging="635"/>
        <w:spacing w:after="0"/>
        <w:tabs>
          <w:tab w:leader="none" w:pos="19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price (or manner of calculation if not then known);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right="200" w:firstLine="1305"/>
        <w:spacing w:after="0" w:line="264" w:lineRule="auto"/>
        <w:tabs>
          <w:tab w:leader="none" w:pos="19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that Securities of the Series called for redemption must be surrendered to the Paying Agent to collect the redemption price;</w:t>
      </w:r>
    </w:p>
    <w:p>
      <w:pPr>
        <w:spacing w:after="0" w:line="236" w:lineRule="exact"/>
        <w:rPr>
          <w:rFonts w:ascii="Arial" w:cs="Arial" w:eastAsia="Arial" w:hAnsi="Arial"/>
          <w:sz w:val="17"/>
          <w:szCs w:val="17"/>
          <w:color w:val="auto"/>
        </w:rPr>
      </w:pPr>
    </w:p>
    <w:p>
      <w:pPr>
        <w:ind w:firstLine="1305"/>
        <w:spacing w:after="0" w:line="277" w:lineRule="auto"/>
        <w:tabs>
          <w:tab w:leader="none" w:pos="19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other information as may be required by the terms of the particular Series or the Securities of a Series being redeemed.</w:t>
      </w:r>
    </w:p>
    <w:p>
      <w:pPr>
        <w:spacing w:after="0" w:line="237" w:lineRule="exact"/>
        <w:rPr>
          <w:sz w:val="20"/>
          <w:szCs w:val="20"/>
          <w:color w:val="auto"/>
        </w:rPr>
      </w:pPr>
    </w:p>
    <w:p>
      <w:pPr>
        <w:jc w:val="both"/>
        <w:ind w:right="60" w:firstLine="881"/>
        <w:spacing w:after="0" w:line="264" w:lineRule="auto"/>
        <w:rPr>
          <w:sz w:val="20"/>
          <w:szCs w:val="20"/>
          <w:color w:val="auto"/>
        </w:rPr>
      </w:pPr>
      <w:r>
        <w:rPr>
          <w:rFonts w:ascii="Arial" w:cs="Arial" w:eastAsia="Arial" w:hAnsi="Arial"/>
          <w:sz w:val="18"/>
          <w:szCs w:val="18"/>
          <w:color w:val="auto"/>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left="660"/>
        <w:spacing w:after="0"/>
        <w:tabs>
          <w:tab w:leader="none" w:pos="194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ind w:right="420" w:firstLine="881"/>
        <w:spacing w:after="0" w:line="342" w:lineRule="auto"/>
        <w:rPr>
          <w:sz w:val="20"/>
          <w:szCs w:val="20"/>
          <w:color w:val="auto"/>
        </w:rPr>
      </w:pPr>
      <w:r>
        <w:rPr>
          <w:rFonts w:ascii="Arial" w:cs="Arial" w:eastAsia="Arial" w:hAnsi="Arial"/>
          <w:sz w:val="16"/>
          <w:szCs w:val="16"/>
          <w:color w:val="auto"/>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r>
        <w:rPr>
          <w:rFonts w:ascii="Arial" w:cs="Arial" w:eastAsia="Arial" w:hAnsi="Arial"/>
          <w:sz w:val="15"/>
          <w:szCs w:val="15"/>
          <w:color w:val="auto"/>
        </w:rPr>
        <w:t>.</w:t>
      </w:r>
    </w:p>
    <w:p>
      <w:pPr>
        <w:spacing w:after="0" w:line="225" w:lineRule="exact"/>
        <w:rPr>
          <w:sz w:val="20"/>
          <w:szCs w:val="20"/>
          <w:color w:val="auto"/>
        </w:rPr>
      </w:pPr>
    </w:p>
    <w:p>
      <w:pPr>
        <w:ind w:right="380" w:firstLine="881"/>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r>
        <w:rPr>
          <w:rFonts w:ascii="Arial" w:cs="Arial" w:eastAsia="Arial" w:hAnsi="Arial"/>
          <w:sz w:val="16"/>
          <w:szCs w:val="16"/>
          <w:color w:val="auto"/>
        </w:rPr>
        <w:t>.</w:t>
      </w:r>
    </w:p>
    <w:p>
      <w:pPr>
        <w:spacing w:after="0" w:line="225"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54" w:lineRule="auto"/>
        <w:rPr>
          <w:sz w:val="20"/>
          <w:szCs w:val="20"/>
          <w:color w:val="auto"/>
        </w:rPr>
      </w:pPr>
      <w:r>
        <w:rPr>
          <w:rFonts w:ascii="Arial" w:cs="Arial" w:eastAsia="Arial" w:hAnsi="Arial"/>
          <w:sz w:val="18"/>
          <w:szCs w:val="18"/>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(other than confidential filings, documents subject to confidential treatment and correspondence with the SEC).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3" w:name="page64"/>
    <w:bookmarkEnd w:id="63"/>
    <w:p>
      <w:pPr>
        <w:ind w:right="40" w:firstLine="881"/>
        <w:spacing w:after="0" w:line="312" w:lineRule="auto"/>
        <w:rPr>
          <w:sz w:val="20"/>
          <w:szCs w:val="20"/>
          <w:color w:val="auto"/>
        </w:rPr>
      </w:pPr>
      <w:r>
        <w:rPr>
          <w:rFonts w:ascii="Arial" w:cs="Arial" w:eastAsia="Arial" w:hAnsi="Arial"/>
          <w:sz w:val="16"/>
          <w:szCs w:val="16"/>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8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ind w:right="40" w:firstLine="881"/>
        <w:spacing w:after="0" w:line="276" w:lineRule="auto"/>
        <w:rPr>
          <w:sz w:val="20"/>
          <w:szCs w:val="20"/>
          <w:color w:val="auto"/>
        </w:rPr>
      </w:pPr>
      <w:r>
        <w:rPr>
          <w:rFonts w:ascii="Arial" w:cs="Arial" w:eastAsia="Arial" w:hAnsi="Arial"/>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SUCCESSORS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r>
        <w:rPr>
          <w:rFonts w:ascii="Arial" w:cs="Arial" w:eastAsia="Arial" w:hAnsi="Arial"/>
          <w:sz w:val="16"/>
          <w:szCs w:val="16"/>
          <w:color w:val="auto"/>
        </w:rPr>
        <w:t>.</w:t>
      </w:r>
    </w:p>
    <w:p>
      <w:pPr>
        <w:spacing w:after="0" w:line="225"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170" w:lineRule="exact"/>
        <w:rPr>
          <w:sz w:val="20"/>
          <w:szCs w:val="20"/>
          <w:color w:val="auto"/>
        </w:rPr>
      </w:pPr>
    </w:p>
    <w:p>
      <w:pPr>
        <w:ind w:right="140" w:firstLine="1305"/>
        <w:spacing w:after="0" w:line="264" w:lineRule="auto"/>
        <w:tabs>
          <w:tab w:leader="none" w:pos="194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or Event of Default, shall have occurred and be continuing.</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4" w:name="page65"/>
    <w:bookmarkEnd w:id="64"/>
    <w:p>
      <w:pPr>
        <w:ind w:right="280" w:firstLine="881"/>
        <w:spacing w:after="0" w:line="264" w:lineRule="auto"/>
        <w:rPr>
          <w:sz w:val="20"/>
          <w:szCs w:val="20"/>
          <w:color w:val="auto"/>
        </w:rPr>
      </w:pPr>
      <w:r>
        <w:rPr>
          <w:rFonts w:ascii="Arial" w:cs="Arial" w:eastAsia="Arial" w:hAnsi="Arial"/>
          <w:sz w:val="18"/>
          <w:szCs w:val="18"/>
          <w:color w:val="auto"/>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81" w:lineRule="exact"/>
        <w:rPr>
          <w:sz w:val="20"/>
          <w:szCs w:val="20"/>
          <w:color w:val="auto"/>
        </w:rPr>
      </w:pPr>
    </w:p>
    <w:p>
      <w:pPr>
        <w:ind w:right="600" w:firstLine="881"/>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97" w:lineRule="auto"/>
        <w:rPr>
          <w:sz w:val="20"/>
          <w:szCs w:val="20"/>
          <w:color w:val="auto"/>
        </w:rPr>
      </w:pPr>
      <w:r>
        <w:rPr>
          <w:rFonts w:ascii="Arial" w:cs="Arial" w:eastAsia="Arial" w:hAnsi="Arial"/>
          <w:sz w:val="16"/>
          <w:szCs w:val="16"/>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predecessor Company in the case of a sale, conveyance or other disposition (other than a lease) shall be released from all obligations and covenants under this Indenture and the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DEFAULTS AND REMEDIES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right="50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81" w:lineRule="exact"/>
        <w:rPr>
          <w:sz w:val="20"/>
          <w:szCs w:val="20"/>
          <w:color w:val="auto"/>
        </w:rPr>
      </w:pPr>
    </w:p>
    <w:p>
      <w:pPr>
        <w:ind w:right="40" w:firstLine="1305"/>
        <w:spacing w:after="0" w:line="273" w:lineRule="auto"/>
        <w:tabs>
          <w:tab w:leader="none" w:pos="1942"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such period); or</w:t>
      </w:r>
    </w:p>
    <w:p>
      <w:pPr>
        <w:spacing w:after="0" w:line="92" w:lineRule="exact"/>
        <w:rPr>
          <w:rFonts w:ascii="Arial" w:cs="Arial" w:eastAsia="Arial" w:hAnsi="Arial"/>
          <w:sz w:val="18"/>
          <w:szCs w:val="18"/>
          <w:color w:val="auto"/>
        </w:rPr>
      </w:pPr>
    </w:p>
    <w:p>
      <w:pPr>
        <w:ind w:left="1960" w:hanging="655"/>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Security of that Series at its Maturity; or</w:t>
      </w:r>
    </w:p>
    <w:p>
      <w:pPr>
        <w:spacing w:after="0" w:line="225" w:lineRule="exact"/>
        <w:rPr>
          <w:rFonts w:ascii="Arial" w:cs="Arial" w:eastAsia="Arial" w:hAnsi="Arial"/>
          <w:sz w:val="18"/>
          <w:szCs w:val="18"/>
          <w:color w:val="auto"/>
        </w:rPr>
      </w:pPr>
    </w:p>
    <w:p>
      <w:pPr>
        <w:ind w:right="100" w:firstLine="1305"/>
        <w:spacing w:after="0" w:line="277" w:lineRule="auto"/>
        <w:tabs>
          <w:tab w:leader="none" w:pos="19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by the Company to comply with a requirement to make an offer to purchase any Security of that Series if required to do so pursuant to this Indenture or the Securities of such Series for 30 days; or</w:t>
      </w:r>
    </w:p>
    <w:p>
      <w:pPr>
        <w:spacing w:after="0" w:line="170" w:lineRule="exact"/>
        <w:rPr>
          <w:rFonts w:ascii="Arial" w:cs="Arial" w:eastAsia="Arial" w:hAnsi="Arial"/>
          <w:sz w:val="18"/>
          <w:szCs w:val="18"/>
          <w:color w:val="auto"/>
        </w:rPr>
      </w:pPr>
    </w:p>
    <w:p>
      <w:pPr>
        <w:ind w:right="20" w:firstLine="1305"/>
        <w:spacing w:after="0" w:line="259"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90 days after there has been given, by registered or certified mail, to the Company by the Trustee or to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5" w:name="page66"/>
    <w:bookmarkEnd w:id="65"/>
    <w:p>
      <w:pPr>
        <w:ind w:right="340"/>
        <w:spacing w:after="0" w:line="277" w:lineRule="auto"/>
        <w:rPr>
          <w:sz w:val="20"/>
          <w:szCs w:val="20"/>
          <w:color w:val="auto"/>
        </w:rPr>
      </w:pPr>
      <w:r>
        <w:rPr>
          <w:rFonts w:ascii="Arial" w:cs="Arial" w:eastAsia="Arial" w:hAnsi="Arial"/>
          <w:sz w:val="18"/>
          <w:szCs w:val="18"/>
          <w:color w:val="auto"/>
        </w:rPr>
        <w:t>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0" w:lineRule="exact"/>
        <w:rPr>
          <w:sz w:val="20"/>
          <w:szCs w:val="20"/>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orders the liquidation of the Company, and the order or decree remains unstayed and in effect for 60 days; or</w:t>
      </w:r>
    </w:p>
    <w:p>
      <w:pPr>
        <w:spacing w:after="0" w:line="236" w:lineRule="exact"/>
        <w:rPr>
          <w:rFonts w:ascii="Arial" w:cs="Arial" w:eastAsia="Arial" w:hAnsi="Arial"/>
          <w:sz w:val="17"/>
          <w:szCs w:val="17"/>
          <w:color w:val="auto"/>
        </w:rPr>
      </w:pPr>
    </w:p>
    <w:p>
      <w:pPr>
        <w:ind w:right="680" w:firstLine="1305"/>
        <w:spacing w:after="0" w:line="277" w:lineRule="auto"/>
        <w:tabs>
          <w:tab w:leader="none" w:pos="19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70"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i w:val="1"/>
          <w:iCs w:val="1"/>
          <w:color w:val="auto"/>
        </w:rPr>
        <w:t>Bankruptcy Law</w:t>
      </w:r>
      <w:r>
        <w:rPr>
          <w:rFonts w:ascii="Arial" w:cs="Arial" w:eastAsia="Arial" w:hAnsi="Arial"/>
          <w:sz w:val="18"/>
          <w:szCs w:val="18"/>
          <w:color w:val="auto"/>
        </w:rPr>
        <w:t>” means title 11, U.S. Code or any similar U.S. Federal or State law for the relief of debtors. The term “</w:t>
      </w:r>
      <w:r>
        <w:rPr>
          <w:rFonts w:ascii="Arial" w:cs="Arial" w:eastAsia="Arial" w:hAnsi="Arial"/>
          <w:sz w:val="18"/>
          <w:szCs w:val="18"/>
          <w:i w:val="1"/>
          <w:i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170" w:lineRule="exact"/>
        <w:rPr>
          <w:sz w:val="20"/>
          <w:szCs w:val="20"/>
          <w:color w:val="auto"/>
        </w:rPr>
      </w:pPr>
    </w:p>
    <w:p>
      <w:pPr>
        <w:jc w:val="both"/>
        <w:ind w:firstLine="881"/>
        <w:spacing w:after="0" w:line="259"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provided that the Company is not required to deliver such notice if such Default or Event of Default has been cured.</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ind w:right="200" w:firstLine="881"/>
        <w:spacing w:after="0" w:line="277" w:lineRule="auto"/>
        <w:rPr>
          <w:sz w:val="20"/>
          <w:szCs w:val="20"/>
          <w:color w:val="auto"/>
        </w:rPr>
      </w:pPr>
      <w:r>
        <w:rPr>
          <w:rFonts w:ascii="Arial" w:cs="Arial" w:eastAsia="Arial" w:hAnsi="Arial"/>
          <w:sz w:val="18"/>
          <w:szCs w:val="18"/>
          <w:color w:val="auto"/>
        </w:rPr>
        <w:t>If an Event of Default with respect to Securities of any Series at the time outstanding occurs and is continuing (other than an Event of Default referred to in Section 6.1(d) or (e)) then in</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66" w:name="page67"/>
    <w:bookmarkEnd w:id="66"/>
    <w:p>
      <w:pPr>
        <w:spacing w:after="0" w:line="272" w:lineRule="auto"/>
        <w:rPr>
          <w:sz w:val="20"/>
          <w:szCs w:val="20"/>
          <w:color w:val="auto"/>
        </w:rPr>
      </w:pPr>
      <w:r>
        <w:rPr>
          <w:rFonts w:ascii="Arial" w:cs="Arial" w:eastAsia="Arial" w:hAnsi="Arial"/>
          <w:sz w:val="17"/>
          <w:szCs w:val="17"/>
          <w:color w:val="auto"/>
        </w:rPr>
        <w:t xml:space="preserve">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Arial" w:cs="Arial" w:eastAsia="Arial" w:hAnsi="Arial"/>
          <w:sz w:val="17"/>
          <w:szCs w:val="17"/>
          <w:i w:val="1"/>
          <w:iCs w:val="1"/>
          <w:color w:val="auto"/>
        </w:rPr>
        <w:t>ipso facto</w:t>
      </w:r>
      <w:r>
        <w:rPr>
          <w:rFonts w:ascii="Arial" w:cs="Arial" w:eastAsia="Arial" w:hAnsi="Arial"/>
          <w:sz w:val="17"/>
          <w:szCs w:val="17"/>
          <w:color w:val="auto"/>
        </w:rPr>
        <w:t xml:space="preserve"> become and be immediately due and payable without any declaration or other act on the part of the Trustee or any Holder.</w:t>
      </w:r>
    </w:p>
    <w:p>
      <w:pPr>
        <w:spacing w:after="0" w:line="178" w:lineRule="exact"/>
        <w:rPr>
          <w:sz w:val="20"/>
          <w:szCs w:val="20"/>
          <w:color w:val="auto"/>
        </w:rPr>
      </w:pPr>
    </w:p>
    <w:p>
      <w:pPr>
        <w:ind w:right="20" w:firstLine="881"/>
        <w:spacing w:after="0" w:line="276"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right="500" w:firstLine="1305"/>
        <w:spacing w:after="0" w:line="277" w:lineRule="auto"/>
        <w:tabs>
          <w:tab w:leader="none" w:pos="19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then</w:t>
      </w:r>
      <w:r>
        <w:rPr>
          <w:rFonts w:ascii="Arial" w:cs="Arial" w:eastAsia="Arial" w:hAnsi="Arial"/>
          <w:sz w:val="16"/>
          <w:szCs w:val="16"/>
          <w:color w:val="auto"/>
        </w:rPr>
        <w:t>, 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firstLine="881"/>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ind w:right="260" w:firstLine="1305"/>
        <w:spacing w:after="0" w:line="312" w:lineRule="auto"/>
        <w:tabs>
          <w:tab w:leader="none" w:pos="194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46" w:lineRule="exact"/>
        <w:rPr>
          <w:rFonts w:ascii="Arial" w:cs="Arial" w:eastAsia="Arial" w:hAnsi="Arial"/>
          <w:sz w:val="16"/>
          <w:szCs w:val="16"/>
          <w:color w:val="auto"/>
        </w:rPr>
      </w:pPr>
    </w:p>
    <w:p>
      <w:pPr>
        <w:ind w:right="20" w:firstLine="1305"/>
        <w:spacing w:after="0" w:line="270" w:lineRule="auto"/>
        <w:tabs>
          <w:tab w:leader="none" w:pos="195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 To the extent that the payment of any such compensation, expenses, disbursements and advances of the Trustee, its agents and counsel, and any other amounts due the Trustee under Section 7. 7 hereof out of the estate in any such proceeding, shall be denied for any reason, payment of the same shall be secured by a lien on, and shall be paid out of, any and all distributions, dividends, money, securities and other properties that the Holders of such Series may be entitled to receive in such proceeding whether in liquidation or under any plan of reorganization or arrangement or otherwise.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8" w:name="page69"/>
    <w:bookmarkEnd w:id="68"/>
    <w:p>
      <w:pPr>
        <w:ind w:right="120" w:firstLine="881"/>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r>
        <w:rPr>
          <w:rFonts w:ascii="Arial" w:cs="Arial" w:eastAsia="Arial" w:hAnsi="Arial"/>
          <w:sz w:val="16"/>
          <w:szCs w:val="16"/>
          <w:color w:val="auto"/>
        </w:rPr>
        <w:t>.</w:t>
      </w:r>
    </w:p>
    <w:p>
      <w:pPr>
        <w:spacing w:after="0" w:line="225"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22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Third: To the Company.</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w:t>
      </w:r>
    </w:p>
    <w:p>
      <w:pPr>
        <w:spacing w:after="0" w:line="225"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940" w:hanging="635"/>
        <w:spacing w:after="0"/>
        <w:tabs>
          <w:tab w:leader="none" w:pos="19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that Series;</w:t>
      </w:r>
    </w:p>
    <w:p>
      <w:pPr>
        <w:spacing w:after="0" w:line="211" w:lineRule="exact"/>
        <w:rPr>
          <w:sz w:val="20"/>
          <w:szCs w:val="20"/>
          <w:color w:val="auto"/>
        </w:rPr>
      </w:pPr>
    </w:p>
    <w:p>
      <w:pPr>
        <w:ind w:right="60" w:firstLine="1305"/>
        <w:spacing w:after="0" w:line="277" w:lineRule="auto"/>
        <w:tabs>
          <w:tab w:leader="none" w:pos="19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right="220" w:firstLine="1305"/>
        <w:spacing w:after="0" w:line="277" w:lineRule="auto"/>
        <w:tabs>
          <w:tab w:leader="none" w:pos="19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reasonably satisfactory to the Trustee against the costs, expenses and liabilities which might be incurred by the Trustee in compliance with such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left="1960" w:hanging="655"/>
        <w:spacing w:after="0"/>
        <w:tabs>
          <w:tab w:leader="none" w:pos="19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240" w:firstLine="1305"/>
        <w:spacing w:after="0" w:line="277" w:lineRule="auto"/>
        <w:tabs>
          <w:tab w:leader="none" w:pos="19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r>
        <w:rPr>
          <w:rFonts w:ascii="Arial" w:cs="Arial" w:eastAsia="Arial" w:hAnsi="Arial"/>
          <w:sz w:val="16"/>
          <w:szCs w:val="16"/>
          <w:color w:val="auto"/>
        </w:rPr>
        <w:t>.</w:t>
      </w:r>
    </w:p>
    <w:p>
      <w:pPr>
        <w:spacing w:after="0" w:line="225" w:lineRule="exact"/>
        <w:rPr>
          <w:sz w:val="20"/>
          <w:szCs w:val="20"/>
          <w:color w:val="auto"/>
        </w:rPr>
      </w:pPr>
    </w:p>
    <w:p>
      <w:pPr>
        <w:ind w:right="260" w:firstLine="881"/>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any premium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120" w:firstLine="881"/>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0" w:name="page71"/>
    <w:bookmarkEnd w:id="70"/>
    <w:p>
      <w:pPr>
        <w:ind w:right="180"/>
        <w:spacing w:after="0" w:line="308" w:lineRule="auto"/>
        <w:rPr>
          <w:sz w:val="20"/>
          <w:szCs w:val="20"/>
          <w:color w:val="auto"/>
        </w:rPr>
      </w:pPr>
      <w:r>
        <w:rPr>
          <w:rFonts w:ascii="Arial" w:cs="Arial" w:eastAsia="Arial" w:hAnsi="Arial"/>
          <w:sz w:val="17"/>
          <w:szCs w:val="17"/>
          <w:color w:val="auto"/>
        </w:rPr>
        <w:t>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1940" w:hanging="635"/>
        <w:spacing w:after="0"/>
        <w:tabs>
          <w:tab w:leader="none" w:pos="19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rFonts w:ascii="Arial" w:cs="Arial" w:eastAsia="Arial" w:hAnsi="Arial"/>
          <w:sz w:val="18"/>
          <w:szCs w:val="18"/>
          <w:color w:val="auto"/>
        </w:rPr>
      </w:pPr>
    </w:p>
    <w:p>
      <w:pPr>
        <w:ind w:right="300" w:firstLine="1305"/>
        <w:spacing w:after="0" w:line="342" w:lineRule="auto"/>
        <w:tabs>
          <w:tab w:leader="none" w:pos="19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23" w:lineRule="exact"/>
        <w:rPr>
          <w:rFonts w:ascii="Arial" w:cs="Arial" w:eastAsia="Arial" w:hAnsi="Arial"/>
          <w:sz w:val="16"/>
          <w:szCs w:val="16"/>
          <w:color w:val="auto"/>
        </w:rPr>
      </w:pPr>
    </w:p>
    <w:p>
      <w:pPr>
        <w:ind w:right="20" w:firstLine="1305"/>
        <w:spacing w:after="0" w:line="277" w:lineRule="auto"/>
        <w:tabs>
          <w:tab w:leader="none" w:pos="19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losses, costs, expenses and liabilities which might be incurred by it in compliance with such request or direction.</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60" w:firstLine="881"/>
        <w:spacing w:after="0" w:line="279" w:lineRule="auto"/>
        <w:rPr>
          <w:sz w:val="20"/>
          <w:szCs w:val="20"/>
          <w:color w:val="auto"/>
        </w:rPr>
      </w:pPr>
      <w:r>
        <w:rPr>
          <w:rFonts w:ascii="Arial" w:cs="Arial" w:eastAsia="Arial" w:hAnsi="Arial"/>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1" w:name="page72"/>
    <w:bookmarkEnd w:id="71"/>
    <w:p>
      <w:pPr>
        <w:ind w:right="120"/>
        <w:spacing w:after="0" w:line="257" w:lineRule="auto"/>
        <w:rPr>
          <w:sz w:val="20"/>
          <w:szCs w:val="20"/>
          <w:color w:val="auto"/>
        </w:rPr>
      </w:pPr>
      <w:r>
        <w:rPr>
          <w:rFonts w:ascii="Arial" w:cs="Arial" w:eastAsia="Arial" w:hAnsi="Arial"/>
          <w:sz w:val="18"/>
          <w:szCs w:val="18"/>
          <w:color w:val="auto"/>
        </w:rPr>
        <w:t>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TRUSTEE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4" w:lineRule="auto"/>
        <w:tabs>
          <w:tab w:leader="none" w:pos="19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right="120" w:firstLine="1953"/>
        <w:spacing w:after="0" w:line="277" w:lineRule="auto"/>
        <w:tabs>
          <w:tab w:leader="none" w:pos="261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covenants or obligations shall be read into this Indenture against the Trustee.</w:t>
      </w:r>
    </w:p>
    <w:p>
      <w:pPr>
        <w:spacing w:after="0" w:line="170" w:lineRule="exact"/>
        <w:rPr>
          <w:rFonts w:ascii="Arial" w:cs="Arial" w:eastAsia="Arial" w:hAnsi="Arial"/>
          <w:sz w:val="18"/>
          <w:szCs w:val="18"/>
          <w:color w:val="auto"/>
        </w:rPr>
      </w:pPr>
    </w:p>
    <w:p>
      <w:pPr>
        <w:ind w:right="20" w:firstLine="1953"/>
        <w:spacing w:after="0" w:line="297" w:lineRule="auto"/>
        <w:tabs>
          <w:tab w:leader="none" w:pos="2624"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may not be relieved from liability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pacing w:after="0" w:line="210" w:lineRule="exact"/>
        <w:rPr>
          <w:rFonts w:ascii="Arial" w:cs="Arial" w:eastAsia="Arial" w:hAnsi="Arial"/>
          <w:sz w:val="17"/>
          <w:szCs w:val="17"/>
          <w:color w:val="auto"/>
        </w:rPr>
      </w:pPr>
    </w:p>
    <w:p>
      <w:pPr>
        <w:ind w:left="2620" w:hanging="667"/>
        <w:spacing w:after="0"/>
        <w:tabs>
          <w:tab w:leader="none" w:pos="2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right="80" w:firstLine="1953"/>
        <w:spacing w:after="0" w:line="277" w:lineRule="auto"/>
        <w:tabs>
          <w:tab w:leader="none" w:pos="26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w:t>
      </w:r>
    </w:p>
    <w:p>
      <w:pPr>
        <w:spacing w:after="0" w:line="170" w:lineRule="exact"/>
        <w:rPr>
          <w:rFonts w:ascii="Arial" w:cs="Arial" w:eastAsia="Arial" w:hAnsi="Arial"/>
          <w:sz w:val="18"/>
          <w:szCs w:val="18"/>
          <w:color w:val="auto"/>
        </w:rPr>
      </w:pPr>
    </w:p>
    <w:p>
      <w:pPr>
        <w:ind w:right="180" w:firstLine="1953"/>
        <w:spacing w:after="0" w:line="264" w:lineRule="auto"/>
        <w:tabs>
          <w:tab w:leader="none" w:pos="2633"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2" w:name="page73"/>
    <w:bookmarkEnd w:id="72"/>
    <w:p>
      <w:pPr>
        <w:ind w:right="480"/>
        <w:spacing w:after="0" w:line="277" w:lineRule="auto"/>
        <w:rPr>
          <w:sz w:val="20"/>
          <w:szCs w:val="20"/>
          <w:color w:val="auto"/>
        </w:rPr>
      </w:pPr>
      <w:r>
        <w:rPr>
          <w:rFonts w:ascii="Arial" w:cs="Arial" w:eastAsia="Arial" w:hAnsi="Arial"/>
          <w:sz w:val="18"/>
          <w:szCs w:val="18"/>
          <w:color w:val="auto"/>
        </w:rPr>
        <w:t>remedy available to the Trustee, or exercising any trust or power conferred upon the Trustee, under this Indenture with respect to the Securities of such Series in accordance with Section 6.12.</w:t>
      </w:r>
    </w:p>
    <w:p>
      <w:pPr>
        <w:spacing w:after="0" w:line="170" w:lineRule="exact"/>
        <w:rPr>
          <w:sz w:val="20"/>
          <w:szCs w:val="20"/>
          <w:color w:val="auto"/>
        </w:rPr>
      </w:pPr>
    </w:p>
    <w:p>
      <w:pPr>
        <w:ind w:right="100" w:firstLine="1305"/>
        <w:spacing w:after="0" w:line="277" w:lineRule="auto"/>
        <w:tabs>
          <w:tab w:leader="none" w:pos="19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paragraph (a), (b) and (c) of this Section.</w:t>
      </w:r>
    </w:p>
    <w:p>
      <w:pPr>
        <w:spacing w:after="0" w:line="170" w:lineRule="exact"/>
        <w:rPr>
          <w:rFonts w:ascii="Arial" w:cs="Arial" w:eastAsia="Arial" w:hAnsi="Arial"/>
          <w:sz w:val="18"/>
          <w:szCs w:val="18"/>
          <w:color w:val="auto"/>
        </w:rPr>
      </w:pPr>
    </w:p>
    <w:p>
      <w:pPr>
        <w:ind w:right="200" w:firstLine="1305"/>
        <w:spacing w:after="0" w:line="308" w:lineRule="auto"/>
        <w:tabs>
          <w:tab w:leader="none" w:pos="19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may refuse to perform any duty or exercise any right or power unless it receives indemnity satisfactory to it against the losses, costs, expenses and liabilities which might be incurred by it in performing such duty or exercising such right or power.</w:t>
      </w:r>
    </w:p>
    <w:p>
      <w:pPr>
        <w:spacing w:after="0" w:line="146" w:lineRule="exact"/>
        <w:rPr>
          <w:rFonts w:ascii="Arial" w:cs="Arial" w:eastAsia="Arial" w:hAnsi="Arial"/>
          <w:sz w:val="17"/>
          <w:szCs w:val="17"/>
          <w:color w:val="auto"/>
        </w:rPr>
      </w:pPr>
    </w:p>
    <w:p>
      <w:pPr>
        <w:ind w:right="180" w:firstLine="1305"/>
        <w:spacing w:after="0" w:line="308" w:lineRule="auto"/>
        <w:tabs>
          <w:tab w:leader="none" w:pos="194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shall not be liable for interest or investment on any money received by it except as the Trustee may agree in writing with the Company. Money held in trust by the Trustee need not be segregated from other funds except to the extent required by law.</w:t>
      </w:r>
    </w:p>
    <w:p>
      <w:pPr>
        <w:spacing w:after="0" w:line="146" w:lineRule="exact"/>
        <w:rPr>
          <w:rFonts w:ascii="Arial" w:cs="Arial" w:eastAsia="Arial" w:hAnsi="Arial"/>
          <w:sz w:val="17"/>
          <w:szCs w:val="17"/>
          <w:color w:val="auto"/>
        </w:rPr>
      </w:pPr>
    </w:p>
    <w:p>
      <w:pPr>
        <w:ind w:right="20" w:firstLine="1305"/>
        <w:spacing w:after="0" w:line="277" w:lineRule="auto"/>
        <w:tabs>
          <w:tab w:leader="none" w:pos="196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or in the exercise of any of its rights or powers.</w:t>
      </w:r>
    </w:p>
    <w:p>
      <w:pPr>
        <w:spacing w:after="0" w:line="170" w:lineRule="exact"/>
        <w:rPr>
          <w:rFonts w:ascii="Arial" w:cs="Arial" w:eastAsia="Arial" w:hAnsi="Arial"/>
          <w:sz w:val="18"/>
          <w:szCs w:val="18"/>
          <w:color w:val="auto"/>
        </w:rPr>
      </w:pPr>
    </w:p>
    <w:p>
      <w:pPr>
        <w:ind w:right="40" w:firstLine="1305"/>
        <w:spacing w:after="0" w:line="277" w:lineRule="auto"/>
        <w:tabs>
          <w:tab w:leader="none" w:pos="19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5"/>
        <w:spacing w:after="0" w:line="264" w:lineRule="auto"/>
        <w:tabs>
          <w:tab w:leader="none" w:pos="19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81" w:lineRule="exact"/>
        <w:rPr>
          <w:rFonts w:ascii="Arial" w:cs="Arial" w:eastAsia="Arial" w:hAnsi="Arial"/>
          <w:sz w:val="18"/>
          <w:szCs w:val="18"/>
          <w:color w:val="auto"/>
        </w:rPr>
      </w:pPr>
    </w:p>
    <w:p>
      <w:pPr>
        <w:ind w:right="420" w:firstLine="1305"/>
        <w:spacing w:after="0" w:line="308" w:lineRule="auto"/>
        <w:tabs>
          <w:tab w:leader="none" w:pos="1952" w:val="left"/>
        </w:tabs>
        <w:numPr>
          <w:ilvl w:val="0"/>
          <w:numId w:val="61"/>
        </w:numPr>
        <w:rPr>
          <w:rFonts w:ascii="Arial" w:cs="Arial" w:eastAsia="Arial" w:hAnsi="Arial"/>
          <w:sz w:val="17"/>
          <w:szCs w:val="17"/>
          <w:color w:val="auto"/>
        </w:rPr>
      </w:pPr>
      <w:r>
        <w:rPr>
          <w:rFonts w:ascii="Arial" w:cs="Arial" w:eastAsia="Arial" w:hAnsi="Arial"/>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46" w:lineRule="exact"/>
        <w:rPr>
          <w:rFonts w:ascii="Arial" w:cs="Arial" w:eastAsia="Arial" w:hAnsi="Arial"/>
          <w:sz w:val="17"/>
          <w:szCs w:val="17"/>
          <w:color w:val="auto"/>
        </w:rPr>
      </w:pPr>
    </w:p>
    <w:p>
      <w:pPr>
        <w:ind w:firstLine="1305"/>
        <w:spacing w:after="0" w:line="264" w:lineRule="auto"/>
        <w:tabs>
          <w:tab w:leader="none" w:pos="1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spacing w:after="0" w:line="181" w:lineRule="exact"/>
        <w:rPr>
          <w:rFonts w:ascii="Arial" w:cs="Arial" w:eastAsia="Arial" w:hAnsi="Arial"/>
          <w:sz w:val="18"/>
          <w:szCs w:val="18"/>
          <w:color w:val="auto"/>
        </w:rPr>
      </w:pPr>
    </w:p>
    <w:p>
      <w:pPr>
        <w:ind w:right="100" w:firstLine="1305"/>
        <w:spacing w:after="0" w:line="277" w:lineRule="auto"/>
        <w:tabs>
          <w:tab w:leader="none" w:pos="19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conferred upon it by this Indenture.</w:t>
      </w:r>
    </w:p>
    <w:p>
      <w:pPr>
        <w:spacing w:after="0" w:line="170" w:lineRule="exact"/>
        <w:rPr>
          <w:rFonts w:ascii="Arial" w:cs="Arial" w:eastAsia="Arial" w:hAnsi="Arial"/>
          <w:sz w:val="18"/>
          <w:szCs w:val="18"/>
          <w:color w:val="auto"/>
        </w:rPr>
      </w:pPr>
    </w:p>
    <w:p>
      <w:pPr>
        <w:ind w:right="540" w:firstLine="1305"/>
        <w:spacing w:after="0" w:line="277" w:lineRule="auto"/>
        <w:tabs>
          <w:tab w:leader="none" w:pos="19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in reliance thereon.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3" w:name="page74"/>
    <w:bookmarkEnd w:id="73"/>
    <w:p>
      <w:pPr>
        <w:ind w:right="460" w:firstLine="1305"/>
        <w:spacing w:after="0" w:line="312" w:lineRule="auto"/>
        <w:tabs>
          <w:tab w:leader="none" w:pos="19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 direction of any of the Holders of Securities unless such Holders shall have offered (and, if requested, provided) to the Trustee security or indemnity satisfactory to it against the losses, costs, expenses and liabilities which might be incurred by it in compliance with such request or direction.</w:t>
      </w:r>
    </w:p>
    <w:p>
      <w:pPr>
        <w:spacing w:after="0" w:line="146" w:lineRule="exact"/>
        <w:rPr>
          <w:rFonts w:ascii="Arial" w:cs="Arial" w:eastAsia="Arial" w:hAnsi="Arial"/>
          <w:sz w:val="16"/>
          <w:szCs w:val="16"/>
          <w:color w:val="auto"/>
        </w:rPr>
      </w:pPr>
    </w:p>
    <w:p>
      <w:pPr>
        <w:jc w:val="both"/>
        <w:ind w:right="220" w:firstLine="1305"/>
        <w:spacing w:after="0" w:line="286" w:lineRule="auto"/>
        <w:tabs>
          <w:tab w:leader="none" w:pos="196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65" w:lineRule="exact"/>
        <w:rPr>
          <w:rFonts w:ascii="Arial" w:cs="Arial" w:eastAsia="Arial" w:hAnsi="Arial"/>
          <w:sz w:val="17"/>
          <w:szCs w:val="17"/>
          <w:color w:val="auto"/>
        </w:rPr>
      </w:pPr>
    </w:p>
    <w:p>
      <w:pPr>
        <w:ind w:right="120" w:firstLine="1305"/>
        <w:spacing w:after="0" w:line="259" w:lineRule="auto"/>
        <w:tabs>
          <w:tab w:leader="none" w:pos="19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spacing w:after="0" w:line="186" w:lineRule="exact"/>
        <w:rPr>
          <w:rFonts w:ascii="Arial" w:cs="Arial" w:eastAsia="Arial" w:hAnsi="Arial"/>
          <w:sz w:val="18"/>
          <w:szCs w:val="18"/>
          <w:color w:val="auto"/>
        </w:rPr>
      </w:pPr>
    </w:p>
    <w:p>
      <w:pPr>
        <w:ind w:firstLine="1305"/>
        <w:spacing w:after="0" w:line="264" w:lineRule="auto"/>
        <w:tabs>
          <w:tab w:leader="none" w:pos="196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 duty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do so.</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bond or surety shall be required with respect to performance of Trustee’s duties and powers.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Under no circumstances shall the Trustee be liable in its individual capacity for the obligations evidenced by the Securities.</w:t>
      </w:r>
    </w:p>
    <w:p>
      <w:pPr>
        <w:spacing w:after="0" w:line="236" w:lineRule="exact"/>
        <w:rPr>
          <w:rFonts w:ascii="Arial" w:cs="Arial" w:eastAsia="Arial" w:hAnsi="Arial"/>
          <w:sz w:val="17"/>
          <w:szCs w:val="17"/>
          <w:color w:val="auto"/>
        </w:rPr>
      </w:pPr>
    </w:p>
    <w:p>
      <w:pPr>
        <w:ind w:right="40" w:firstLine="1305"/>
        <w:spacing w:after="0" w:line="277" w:lineRule="auto"/>
        <w:tabs>
          <w:tab w:leader="none" w:pos="19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Order and any resolution of the Board of Directors may be sufficiently evidenced by a Board Resolution.</w:t>
      </w:r>
    </w:p>
    <w:p>
      <w:pPr>
        <w:spacing w:after="0" w:line="170" w:lineRule="exact"/>
        <w:rPr>
          <w:rFonts w:ascii="Arial" w:cs="Arial" w:eastAsia="Arial" w:hAnsi="Arial"/>
          <w:sz w:val="18"/>
          <w:szCs w:val="18"/>
          <w:color w:val="auto"/>
        </w:rPr>
      </w:pPr>
    </w:p>
    <w:p>
      <w:pPr>
        <w:ind w:right="500" w:firstLine="1305"/>
        <w:spacing w:after="0" w:line="277" w:lineRule="auto"/>
        <w:tabs>
          <w:tab w:leader="none" w:pos="19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70" w:lineRule="exact"/>
        <w:rPr>
          <w:rFonts w:ascii="Arial" w:cs="Arial" w:eastAsia="Arial" w:hAnsi="Arial"/>
          <w:sz w:val="18"/>
          <w:szCs w:val="18"/>
          <w:color w:val="auto"/>
        </w:rPr>
      </w:pPr>
    </w:p>
    <w:p>
      <w:pPr>
        <w:ind w:right="540" w:firstLine="1305"/>
        <w:spacing w:after="0" w:line="264" w:lineRule="auto"/>
        <w:tabs>
          <w:tab w:leader="none" w:pos="19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left="660"/>
        <w:spacing w:after="0"/>
        <w:tabs>
          <w:tab w:leader="none" w:pos="194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25" w:lineRule="exact"/>
        <w:rPr>
          <w:sz w:val="20"/>
          <w:szCs w:val="20"/>
          <w:color w:val="auto"/>
        </w:rPr>
      </w:pPr>
    </w:p>
    <w:p>
      <w:pPr>
        <w:ind w:right="100" w:firstLine="881"/>
        <w:spacing w:after="0" w:line="293" w:lineRule="auto"/>
        <w:rPr>
          <w:sz w:val="20"/>
          <w:szCs w:val="20"/>
          <w:color w:val="auto"/>
        </w:rPr>
      </w:pPr>
      <w:r>
        <w:rPr>
          <w:rFonts w:ascii="Arial" w:cs="Arial" w:eastAsia="Arial" w:hAnsi="Arial"/>
          <w:sz w:val="16"/>
          <w:szCs w:val="16"/>
          <w:color w:val="auto"/>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certificate of authentication. The recitals contained herein and in the Securities, except the Trustee’s certificates of authentication, shall be taken as the statements of the Company, and the Trustee or any Authenticating Agent assumes no responsibility for their correctness.</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Reports by Trustee to Holders</w:t>
      </w:r>
      <w:r>
        <w:rPr>
          <w:rFonts w:ascii="Arial" w:cs="Arial" w:eastAsia="Arial" w:hAnsi="Arial"/>
          <w:sz w:val="16"/>
          <w:szCs w:val="16"/>
          <w:color w:val="auto"/>
        </w:rPr>
        <w:t>.</w:t>
      </w:r>
    </w:p>
    <w:p>
      <w:pPr>
        <w:spacing w:after="0" w:line="225" w:lineRule="exact"/>
        <w:rPr>
          <w:sz w:val="20"/>
          <w:szCs w:val="20"/>
          <w:color w:val="auto"/>
        </w:rPr>
      </w:pPr>
    </w:p>
    <w:p>
      <w:pPr>
        <w:ind w:right="160" w:firstLine="881"/>
        <w:spacing w:after="0" w:line="264" w:lineRule="auto"/>
        <w:rPr>
          <w:sz w:val="20"/>
          <w:szCs w:val="20"/>
          <w:color w:val="auto"/>
        </w:rPr>
      </w:pPr>
      <w:r>
        <w:rPr>
          <w:rFonts w:ascii="Arial" w:cs="Arial" w:eastAsia="Arial" w:hAnsi="Arial"/>
          <w:sz w:val="18"/>
          <w:szCs w:val="18"/>
          <w:color w:val="auto"/>
        </w:rPr>
        <w:t>Within 60 days after each February 15, commencing February 15, 2019,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1"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spacing w:after="0" w:line="18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ind w:right="280" w:firstLine="881"/>
        <w:spacing w:after="0" w:line="277"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jc w:val="both"/>
        <w:ind w:right="400"/>
        <w:spacing w:after="0" w:line="264" w:lineRule="auto"/>
        <w:rPr>
          <w:sz w:val="20"/>
          <w:szCs w:val="20"/>
          <w:color w:val="auto"/>
        </w:rPr>
      </w:pPr>
      <w:r>
        <w:rPr>
          <w:rFonts w:ascii="Arial" w:cs="Arial" w:eastAsia="Arial" w:hAnsi="Arial"/>
          <w:sz w:val="18"/>
          <w:szCs w:val="18"/>
          <w:color w:val="auto"/>
        </w:rPr>
        <w:t>compensation shall not be limited by any law on compensation of a trustee of an express trust. The Company shall reimburse the Trustee promptly upon request for all reasonable out of pocket expenses incurred by it. Such expenses shall include the reasonable compensation and expenses of the Trustee’s agents and counsel.</w:t>
      </w:r>
    </w:p>
    <w:p>
      <w:pPr>
        <w:spacing w:after="0" w:line="181" w:lineRule="exact"/>
        <w:rPr>
          <w:sz w:val="20"/>
          <w:szCs w:val="20"/>
          <w:color w:val="auto"/>
        </w:rPr>
      </w:pPr>
    </w:p>
    <w:p>
      <w:pPr>
        <w:ind w:right="40" w:firstLine="881"/>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9" w:lineRule="exact"/>
        <w:rPr>
          <w:sz w:val="20"/>
          <w:szCs w:val="20"/>
          <w:color w:val="auto"/>
        </w:rPr>
      </w:pPr>
    </w:p>
    <w:p>
      <w:pPr>
        <w:ind w:right="520" w:firstLine="881"/>
        <w:spacing w:after="0" w:line="342" w:lineRule="auto"/>
        <w:rPr>
          <w:sz w:val="20"/>
          <w:szCs w:val="20"/>
          <w:color w:val="auto"/>
        </w:rPr>
      </w:pPr>
      <w:r>
        <w:rPr>
          <w:rFonts w:ascii="Arial" w:cs="Arial" w:eastAsia="Arial" w:hAnsi="Arial"/>
          <w:sz w:val="16"/>
          <w:szCs w:val="16"/>
          <w:color w:val="auto"/>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spacing w:after="0" w:line="124" w:lineRule="exact"/>
        <w:rPr>
          <w:sz w:val="20"/>
          <w:szCs w:val="20"/>
          <w:color w:val="auto"/>
        </w:rPr>
      </w:pPr>
    </w:p>
    <w:p>
      <w:pPr>
        <w:ind w:right="240" w:firstLine="881"/>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7" w:lineRule="exact"/>
        <w:rPr>
          <w:sz w:val="20"/>
          <w:szCs w:val="20"/>
          <w:color w:val="auto"/>
        </w:rPr>
      </w:pPr>
    </w:p>
    <w:p>
      <w:pPr>
        <w:ind w:right="360" w:firstLine="881"/>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provisions of this Section shall survive the termination of this Indenture or the resignation or removal of the Trustee.</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ind w:right="660" w:firstLine="881"/>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The Trustee may resign with respect to the Securities of one or more Series by so notifying the Company at least 30 days prior to the date of the proposed resignation. The Holders of a majority in principal amount of the then outstanding Securities of any Series may remove the Trustee with respect to that Series by so notifying the Trustee and the Company in writing at least 30 days prior to such removal. The Company may remove the Trustee with respect to Securities of one or more Series with at least 30 days written notice if: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6" w:name="page77"/>
    <w:bookmarkEnd w:id="76"/>
    <w:p>
      <w:pPr>
        <w:ind w:left="1940" w:hanging="635"/>
        <w:spacing w:after="0"/>
        <w:tabs>
          <w:tab w:leader="none" w:pos="19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spacing w:after="0" w:line="181"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ind w:right="140" w:firstLine="881"/>
        <w:spacing w:after="0" w:line="264"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ind w:left="660"/>
        <w:spacing w:after="0"/>
        <w:tabs>
          <w:tab w:leader="none" w:pos="19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Company</w:t>
      </w:r>
      <w:r>
        <w:rPr>
          <w:rFonts w:ascii="Arial" w:cs="Arial" w:eastAsia="Arial" w:hAnsi="Arial"/>
          <w:sz w:val="16"/>
          <w:szCs w:val="16"/>
          <w:color w:val="auto"/>
        </w:rPr>
        <w:t>.</w:t>
      </w:r>
    </w:p>
    <w:p>
      <w:pPr>
        <w:spacing w:after="0" w:line="225"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right="380" w:firstLine="881"/>
        <w:spacing w:after="0" w:line="264"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81" w:lineRule="exact"/>
        <w:rPr>
          <w:sz w:val="20"/>
          <w:szCs w:val="20"/>
          <w:color w:val="auto"/>
        </w:rPr>
      </w:pPr>
    </w:p>
    <w:p>
      <w:pPr>
        <w:ind w:left="1940" w:hanging="635"/>
        <w:spacing w:after="0"/>
        <w:tabs>
          <w:tab w:leader="none" w:pos="19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right="160" w:firstLine="1953"/>
        <w:spacing w:after="0" w:line="277" w:lineRule="auto"/>
        <w:tabs>
          <w:tab w:leader="none" w:pos="261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right="740" w:firstLine="2601"/>
        <w:spacing w:after="0" w:line="342" w:lineRule="auto"/>
        <w:tabs>
          <w:tab w:leader="none" w:pos="3248" w:val="left"/>
        </w:tabs>
        <w:numPr>
          <w:ilvl w:val="2"/>
          <w:numId w:val="65"/>
        </w:numPr>
        <w:rPr>
          <w:rFonts w:ascii="Arial" w:cs="Arial" w:eastAsia="Arial" w:hAnsi="Arial"/>
          <w:sz w:val="16"/>
          <w:szCs w:val="16"/>
          <w:color w:val="auto"/>
        </w:rPr>
      </w:pPr>
      <w:r>
        <w:rPr>
          <w:rFonts w:ascii="Arial" w:cs="Arial" w:eastAsia="Arial" w:hAnsi="Arial"/>
          <w:sz w:val="16"/>
          <w:szCs w:val="16"/>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23" w:lineRule="exact"/>
        <w:rPr>
          <w:rFonts w:ascii="Arial" w:cs="Arial" w:eastAsia="Arial" w:hAnsi="Arial"/>
          <w:sz w:val="16"/>
          <w:szCs w:val="16"/>
          <w:color w:val="auto"/>
        </w:rPr>
      </w:pPr>
    </w:p>
    <w:p>
      <w:pPr>
        <w:ind w:left="3260" w:hanging="659"/>
        <w:spacing w:after="0"/>
        <w:tabs>
          <w:tab w:leader="none" w:pos="3260" w:val="left"/>
        </w:tabs>
        <w:numPr>
          <w:ilvl w:val="2"/>
          <w:numId w:val="65"/>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(as determined and certified in writing by the Company)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7" w:lineRule="exact"/>
        <w:rPr>
          <w:sz w:val="20"/>
          <w:szCs w:val="20"/>
          <w:color w:val="auto"/>
        </w:rPr>
      </w:pPr>
    </w:p>
    <w:p>
      <w:pPr>
        <w:ind w:left="5620" w:right="2340" w:hanging="4315"/>
        <w:spacing w:after="0" w:line="528" w:lineRule="auto"/>
        <w:tabs>
          <w:tab w:leader="none" w:pos="19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8" w:name="page79"/>
    <w:bookmarkEnd w:id="78"/>
    <w:p>
      <w:pPr>
        <w:ind w:firstLine="1305"/>
        <w:spacing w:after="0" w:line="277" w:lineRule="auto"/>
        <w:tabs>
          <w:tab w:leader="none" w:pos="19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70" w:lineRule="exact"/>
        <w:rPr>
          <w:sz w:val="20"/>
          <w:szCs w:val="20"/>
          <w:color w:val="auto"/>
        </w:rPr>
      </w:pPr>
    </w:p>
    <w:p>
      <w:pPr>
        <w:ind w:right="140" w:firstLine="881"/>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2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93" w:lineRule="auto"/>
        <w:tabs>
          <w:tab w:leader="none" w:pos="1942"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64" w:lineRule="exact"/>
        <w:rPr>
          <w:rFonts w:ascii="Arial" w:cs="Arial" w:eastAsia="Arial" w:hAnsi="Arial"/>
          <w:sz w:val="16"/>
          <w:szCs w:val="16"/>
          <w:color w:val="auto"/>
        </w:rPr>
      </w:pPr>
    </w:p>
    <w:p>
      <w:pPr>
        <w:ind w:right="100" w:firstLine="1305"/>
        <w:spacing w:after="0" w:line="264" w:lineRule="auto"/>
        <w:tabs>
          <w:tab w:leader="none" w:pos="19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1" w:lineRule="exact"/>
        <w:rPr>
          <w:rFonts w:ascii="Arial" w:cs="Arial" w:eastAsia="Arial" w:hAnsi="Arial"/>
          <w:sz w:val="18"/>
          <w:szCs w:val="18"/>
          <w:color w:val="auto"/>
        </w:rPr>
      </w:pPr>
    </w:p>
    <w:p>
      <w:pPr>
        <w:ind w:right="140" w:firstLine="1305"/>
        <w:spacing w:after="0" w:line="255" w:lineRule="auto"/>
        <w:tabs>
          <w:tab w:leader="none" w:pos="19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9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ind w:left="-40" w:firstLine="1305"/>
        <w:spacing w:after="0" w:line="279" w:lineRule="auto"/>
        <w:tabs>
          <w:tab w:leader="none" w:pos="190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1" w:lineRule="exact"/>
        <w:rPr>
          <w:rFonts w:ascii="Arial" w:cs="Arial" w:eastAsia="Arial" w:hAnsi="Arial"/>
          <w:sz w:val="17"/>
          <w:szCs w:val="17"/>
          <w:color w:val="auto"/>
        </w:rPr>
      </w:pPr>
    </w:p>
    <w:p>
      <w:pPr>
        <w:ind w:left="1920" w:hanging="655"/>
        <w:spacing w:after="0"/>
        <w:tabs>
          <w:tab w:leader="none" w:pos="1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225" w:lineRule="exact"/>
        <w:rPr>
          <w:rFonts w:ascii="Arial" w:cs="Arial" w:eastAsia="Arial" w:hAnsi="Arial"/>
          <w:sz w:val="18"/>
          <w:szCs w:val="18"/>
          <w:color w:val="auto"/>
        </w:rPr>
      </w:pPr>
    </w:p>
    <w:p>
      <w:pPr>
        <w:ind w:left="-40" w:right="620" w:firstLine="1305"/>
        <w:spacing w:after="0" w:line="501" w:lineRule="auto"/>
        <w:tabs>
          <w:tab w:leader="none" w:pos="19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 provided that, the following conditions shall have been satisfied:</w:t>
      </w:r>
    </w:p>
    <w:p>
      <w:pPr>
        <w:ind w:left="-40" w:right="60" w:firstLine="1305"/>
        <w:spacing w:after="0" w:line="270" w:lineRule="auto"/>
        <w:tabs>
          <w:tab w:leader="none" w:pos="191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1" w:lineRule="exact"/>
        <w:rPr>
          <w:rFonts w:ascii="Arial" w:cs="Arial" w:eastAsia="Arial" w:hAnsi="Arial"/>
          <w:sz w:val="17"/>
          <w:szCs w:val="17"/>
          <w:color w:val="auto"/>
        </w:rPr>
      </w:pPr>
    </w:p>
    <w:p>
      <w:pPr>
        <w:ind w:left="-40" w:right="480" w:firstLine="1305"/>
        <w:spacing w:after="0" w:line="277" w:lineRule="auto"/>
        <w:tabs>
          <w:tab w:leader="none" w:pos="19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40" w:right="240" w:firstLine="1305"/>
        <w:spacing w:after="0" w:line="277" w:lineRule="auto"/>
        <w:tabs>
          <w:tab w:leader="none" w:pos="19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ind w:left="-40" w:firstLine="1305"/>
        <w:spacing w:after="0" w:line="255" w:lineRule="auto"/>
        <w:tabs>
          <w:tab w:leader="none" w:pos="192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341" w:right="279" w:bottom="1440" w:gutter="0" w:footer="0" w:header="0"/>
        </w:sectPr>
      </w:pPr>
    </w:p>
    <w:bookmarkStart w:id="80" w:name="page81"/>
    <w:bookmarkEnd w:id="80"/>
    <w:p>
      <w:pPr>
        <w:ind w:right="340" w:firstLine="1305"/>
        <w:spacing w:after="0" w:line="277" w:lineRule="auto"/>
        <w:tabs>
          <w:tab w:leader="none" w:pos="19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right="800" w:firstLine="1305"/>
        <w:spacing w:after="0" w:line="277" w:lineRule="auto"/>
        <w:tabs>
          <w:tab w:leader="none" w:pos="196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79" w:lineRule="exact"/>
        <w:rPr>
          <w:sz w:val="20"/>
          <w:szCs w:val="20"/>
          <w:color w:val="auto"/>
        </w:rPr>
      </w:pPr>
    </w:p>
    <w:p>
      <w:pPr>
        <w:ind w:firstLine="1305"/>
        <w:spacing w:after="0" w:line="289" w:lineRule="auto"/>
        <w:tabs>
          <w:tab w:leader="none" w:pos="1942"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66" w:lineRule="exact"/>
        <w:rPr>
          <w:rFonts w:ascii="Arial" w:cs="Arial" w:eastAsia="Arial" w:hAnsi="Arial"/>
          <w:sz w:val="16"/>
          <w:szCs w:val="16"/>
          <w:color w:val="auto"/>
        </w:rPr>
      </w:pPr>
    </w:p>
    <w:p>
      <w:pPr>
        <w:ind w:right="520" w:firstLine="1305"/>
        <w:spacing w:after="0" w:line="277" w:lineRule="auto"/>
        <w:tabs>
          <w:tab w:leader="none" w:pos="19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deposit;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right="20" w:firstLine="1305"/>
        <w:spacing w:after="0" w:line="259" w:lineRule="auto"/>
        <w:tabs>
          <w:tab w:leader="none" w:pos="19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stating that the Holders of the Securities of such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6" w:lineRule="exact"/>
        <w:rPr>
          <w:rFonts w:ascii="Arial" w:cs="Arial" w:eastAsia="Arial" w:hAnsi="Arial"/>
          <w:sz w:val="18"/>
          <w:szCs w:val="18"/>
          <w:color w:val="auto"/>
        </w:rPr>
      </w:pPr>
    </w:p>
    <w:p>
      <w:pPr>
        <w:ind w:right="220" w:firstLine="1305"/>
        <w:spacing w:after="0" w:line="277" w:lineRule="auto"/>
        <w:tabs>
          <w:tab w:leader="none" w:pos="19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right="740" w:firstLine="1305"/>
        <w:spacing w:after="0" w:line="308" w:lineRule="auto"/>
        <w:tabs>
          <w:tab w:leader="none" w:pos="1949"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Repayment to Company</w:t>
      </w:r>
      <w:r>
        <w:rPr>
          <w:rFonts w:ascii="Arial" w:cs="Arial" w:eastAsia="Arial" w:hAnsi="Arial"/>
          <w:sz w:val="16"/>
          <w:szCs w:val="16"/>
          <w:color w:val="auto"/>
        </w:rPr>
        <w:t>.</w:t>
      </w:r>
    </w:p>
    <w:p>
      <w:pPr>
        <w:spacing w:after="0" w:line="225" w:lineRule="exact"/>
        <w:rPr>
          <w:sz w:val="20"/>
          <w:szCs w:val="20"/>
          <w:color w:val="auto"/>
        </w:rPr>
      </w:pPr>
    </w:p>
    <w:p>
      <w:pPr>
        <w:ind w:right="80" w:firstLine="881"/>
        <w:spacing w:after="0" w:line="259" w:lineRule="auto"/>
        <w:rPr>
          <w:sz w:val="20"/>
          <w:szCs w:val="20"/>
          <w:color w:val="auto"/>
        </w:rPr>
      </w:pPr>
      <w:r>
        <w:rPr>
          <w:rFonts w:ascii="Arial" w:cs="Arial" w:eastAsia="Arial" w:hAnsi="Arial"/>
          <w:sz w:val="18"/>
          <w:szCs w:val="18"/>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spacing w:after="0" w:line="18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5"/>
          <w:szCs w:val="15"/>
          <w:color w:val="auto"/>
        </w:rPr>
        <w:t>.</w:t>
      </w:r>
    </w:p>
    <w:p>
      <w:pPr>
        <w:spacing w:after="0" w:line="225"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AND WAIVERS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Company and the Trustee may amend or supplement this Indenture or the Securities of one or more Series without the consent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left="1940" w:hanging="635"/>
        <w:spacing w:after="0"/>
        <w:tabs>
          <w:tab w:leader="none" w:pos="19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cure any ambiguity, defect or inconsistency under this Indenture or the Securities of such Series as evidenced by an Officer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of Securities of such Series;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Securities of any Series as permitted by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right="120" w:firstLine="1305"/>
        <w:spacing w:after="0" w:line="264" w:lineRule="auto"/>
        <w:tabs>
          <w:tab w:leader="none" w:pos="19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w:t>
      </w:r>
    </w:p>
    <w:p>
      <w:pPr>
        <w:spacing w:after="0" w:line="181" w:lineRule="exact"/>
        <w:rPr>
          <w:rFonts w:ascii="Arial" w:cs="Arial" w:eastAsia="Arial" w:hAnsi="Arial"/>
          <w:sz w:val="18"/>
          <w:szCs w:val="18"/>
          <w:color w:val="auto"/>
        </w:rPr>
      </w:pPr>
    </w:p>
    <w:p>
      <w:pPr>
        <w:ind w:right="300" w:firstLine="1305"/>
        <w:spacing w:after="0" w:line="286" w:lineRule="auto"/>
        <w:tabs>
          <w:tab w:leader="none" w:pos="1952"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spacing w:after="0" w:line="165" w:lineRule="exact"/>
        <w:rPr>
          <w:rFonts w:ascii="Arial" w:cs="Arial" w:eastAsia="Arial" w:hAnsi="Arial"/>
          <w:sz w:val="17"/>
          <w:szCs w:val="17"/>
          <w:color w:val="auto"/>
        </w:rPr>
      </w:pPr>
    </w:p>
    <w:p>
      <w:pPr>
        <w:ind w:firstLine="1305"/>
        <w:spacing w:after="0" w:line="277" w:lineRule="auto"/>
        <w:tabs>
          <w:tab w:leader="none" w:pos="19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conform any provision of this Indenture, in so far as it relates to the Securities of such Series, to the description of the Securities of such Series in the prospectus supplement relation to the offering of the Securities of such Series.</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3" w:name="page84"/>
    <w:bookmarkEnd w:id="83"/>
    <w:p>
      <w:pPr>
        <w:ind w:right="220"/>
        <w:spacing w:after="0" w:line="286" w:lineRule="auto"/>
        <w:rPr>
          <w:sz w:val="20"/>
          <w:szCs w:val="20"/>
          <w:color w:val="auto"/>
        </w:rPr>
      </w:pPr>
      <w:r>
        <w:rPr>
          <w:rFonts w:ascii="Arial" w:cs="Arial" w:eastAsia="Arial" w:hAnsi="Arial"/>
          <w:sz w:val="17"/>
          <w:szCs w:val="17"/>
          <w:color w:val="auto"/>
        </w:rPr>
        <w:t>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66" w:lineRule="exact"/>
        <w:rPr>
          <w:sz w:val="20"/>
          <w:szCs w:val="20"/>
          <w:color w:val="auto"/>
        </w:rPr>
      </w:pPr>
    </w:p>
    <w:p>
      <w:pPr>
        <w:ind w:right="60" w:firstLine="881"/>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225" w:lineRule="exact"/>
        <w:rPr>
          <w:sz w:val="20"/>
          <w:szCs w:val="20"/>
          <w:color w:val="auto"/>
        </w:rPr>
      </w:pPr>
    </w:p>
    <w:p>
      <w:pPr>
        <w:ind w:left="1940" w:hanging="635"/>
        <w:spacing w:after="0"/>
        <w:tabs>
          <w:tab w:leader="none" w:pos="1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right="420" w:firstLine="1305"/>
        <w:spacing w:after="0" w:line="277" w:lineRule="auto"/>
        <w:tabs>
          <w:tab w:leader="none" w:pos="19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ind w:right="140" w:firstLine="1305"/>
        <w:spacing w:after="0" w:line="264" w:lineRule="auto"/>
        <w:tabs>
          <w:tab w:leader="none" w:pos="19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w:t>
      </w:r>
    </w:p>
    <w:p>
      <w:pPr>
        <w:spacing w:after="0" w:line="225" w:lineRule="exact"/>
        <w:rPr>
          <w:rFonts w:ascii="Arial" w:cs="Arial" w:eastAsia="Arial" w:hAnsi="Arial"/>
          <w:sz w:val="18"/>
          <w:szCs w:val="18"/>
          <w:color w:val="auto"/>
        </w:rPr>
      </w:pPr>
    </w:p>
    <w:p>
      <w:pPr>
        <w:ind w:firstLine="1305"/>
        <w:spacing w:after="0" w:line="277" w:lineRule="auto"/>
        <w:tabs>
          <w:tab w:leader="none" w:pos="19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a redemption payment with respect to any Security or amend or modify any such redemption payment in an manner adverse to the Holders thereof the Company’s obligation to make such payments;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reduce the quorum requirements under this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ind w:left="1960" w:hanging="655"/>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principal amount of the Security whose Holders must consent to an amendment, supplement or waiver;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adversely affect the ranking of the Security;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impair the right of Holders to institute suit for the enforcement of any payment of the Securities.</w:t>
      </w:r>
    </w:p>
    <w:p>
      <w:pPr>
        <w:spacing w:after="0" w:line="22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u w:val="single" w:color="auto"/>
          <w:color w:val="auto"/>
        </w:rPr>
        <w:t>Compliance with Trust Indenture Act</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88" w:lineRule="exact"/>
        <w:rPr>
          <w:sz w:val="20"/>
          <w:szCs w:val="20"/>
          <w:color w:val="auto"/>
        </w:rPr>
      </w:pPr>
    </w:p>
    <w:p>
      <w:pPr>
        <w:jc w:val="both"/>
        <w:ind w:firstLine="881"/>
        <w:spacing w:after="0" w:line="312"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7"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r>
        <w:rPr>
          <w:rFonts w:ascii="Arial" w:cs="Arial" w:eastAsia="Arial" w:hAnsi="Arial"/>
          <w:sz w:val="16"/>
          <w:szCs w:val="16"/>
          <w:color w:val="auto"/>
        </w:rPr>
        <w:t>.</w:t>
      </w:r>
    </w:p>
    <w:p>
      <w:pPr>
        <w:spacing w:after="0" w:line="225" w:lineRule="exact"/>
        <w:rPr>
          <w:sz w:val="20"/>
          <w:szCs w:val="20"/>
          <w:color w:val="auto"/>
        </w:rPr>
      </w:pPr>
    </w:p>
    <w:p>
      <w:pPr>
        <w:ind w:right="480" w:firstLine="881"/>
        <w:spacing w:after="0" w:line="264"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5" w:name="page86"/>
    <w:bookmarkEnd w:id="85"/>
    <w:p>
      <w:pPr>
        <w:ind w:left="660"/>
        <w:spacing w:after="0"/>
        <w:tabs>
          <w:tab w:leader="none" w:pos="194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r>
        <w:rPr>
          <w:rFonts w:ascii="Arial" w:cs="Arial" w:eastAsia="Arial" w:hAnsi="Arial"/>
          <w:sz w:val="15"/>
          <w:szCs w:val="15"/>
          <w:color w:val="auto"/>
        </w:rPr>
        <w:t>.</w:t>
      </w:r>
    </w:p>
    <w:p>
      <w:pPr>
        <w:spacing w:after="0" w:line="225" w:lineRule="exact"/>
        <w:rPr>
          <w:sz w:val="20"/>
          <w:szCs w:val="20"/>
          <w:color w:val="auto"/>
        </w:rPr>
      </w:pPr>
    </w:p>
    <w:p>
      <w:pPr>
        <w:ind w:right="80" w:firstLine="881"/>
        <w:spacing w:after="0" w:line="293"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and an Opinion of Counsel complying with Section 10.4 and stating that the execution and delivery of the supplemental indenture is authorized or permitted by this Indenture and, in the case of the Opinion of Counsel, constitutes a legal valid and binding obligation of the Company, enforceable against it in accordance with its terms. The Trustee shall sign all supplemental indentures upon delivery of such an Officer’s Certificate and Opinion of Counsel, except that the Trustee need not sign any supplemental indenture that adversely affects its rights, duties, liabilities or immunities under this Indenture.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(208)368-4540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(650)493-6811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ind w:left="1300"/>
        <w:spacing w:after="0"/>
        <w:rPr>
          <w:sz w:val="20"/>
          <w:szCs w:val="20"/>
          <w:color w:val="auto"/>
        </w:rPr>
      </w:pPr>
      <w:r>
        <w:rPr>
          <w:rFonts w:ascii="Arial" w:cs="Arial" w:eastAsia="Arial" w:hAnsi="Arial"/>
          <w:sz w:val="18"/>
          <w:szCs w:val="18"/>
          <w:color w:val="auto"/>
        </w:rPr>
        <w:t>Global Corporate Trust Services</w:t>
      </w:r>
    </w:p>
    <w:p>
      <w:pPr>
        <w:ind w:left="1300"/>
        <w:spacing w:after="0" w:line="218"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California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(213) 615-6197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Technology, Inc. 2018 Base Indenture)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(213) 615-6043</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notice or communication delivered to the Trustee shall be deemed effective upon actual receipt thereof.</w:t>
      </w:r>
    </w:p>
    <w:p>
      <w:pPr>
        <w:spacing w:after="0" w:line="211" w:lineRule="exact"/>
        <w:rPr>
          <w:sz w:val="20"/>
          <w:szCs w:val="20"/>
          <w:color w:val="auto"/>
        </w:rPr>
      </w:pPr>
    </w:p>
    <w:p>
      <w:pPr>
        <w:jc w:val="both"/>
        <w:ind w:firstLine="881"/>
        <w:spacing w:after="0" w:line="264" w:lineRule="auto"/>
        <w:rPr>
          <w:sz w:val="20"/>
          <w:szCs w:val="20"/>
          <w:color w:val="auto"/>
        </w:rPr>
      </w:pPr>
      <w:r>
        <w:rPr>
          <w:rFonts w:ascii="Arial" w:cs="Arial" w:eastAsia="Arial" w:hAnsi="Arial"/>
          <w:sz w:val="18"/>
          <w:szCs w:val="18"/>
          <w:color w:val="auto"/>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81"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If the Company sends a notice or communication to Securityholders, it shall send a copy to the Trustee and each Agent at the same time.</w:t>
      </w:r>
    </w:p>
    <w:p>
      <w:pPr>
        <w:spacing w:after="0" w:line="237"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1"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color w:val="auto"/>
        </w:rPr>
        <w:t>The Trustee agrees to accept and act upon notice, instructions or directions pursuant to this Indenture sent by unsecured facsimile or electronic .pdf transmission; provided, however, that (1) the party providing such written notice, instructions or directions, subsequent to such transmission of written instructions, shall provide the originally executed instructions or directions to the Trustee in a timely manner, and (2) such originally executed notice, instructions or directions shall be signed by an authorized representative of the party providing such notice, instructions or directions. The Trustee shall not be liable for any losses, costs or expenses arising directly or indirectly from the Trustee’s reasonable reliance upon and compliance with such notice, instructions or directions notwithstanding such notice, instructions or directions conflict or are inconsistent with a subsequent notice, instructions or directions.</w:t>
      </w:r>
    </w:p>
    <w:p>
      <w:pPr>
        <w:spacing w:after="0" w:line="16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Communication by Holders with Other Holders</w:t>
      </w:r>
      <w:r>
        <w:rPr>
          <w:rFonts w:ascii="Arial" w:cs="Arial" w:eastAsia="Arial" w:hAnsi="Arial"/>
          <w:sz w:val="16"/>
          <w:szCs w:val="16"/>
          <w:color w:val="auto"/>
        </w:rPr>
        <w:t>.</w:t>
      </w:r>
    </w:p>
    <w:p>
      <w:pPr>
        <w:spacing w:after="0" w:line="225"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ind w:left="660"/>
        <w:spacing w:after="0"/>
        <w:tabs>
          <w:tab w:leader="none" w:pos="19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 Trustee:</w:t>
      </w:r>
    </w:p>
    <w:p>
      <w:pPr>
        <w:spacing w:after="0" w:line="248" w:lineRule="exact"/>
        <w:rPr>
          <w:sz w:val="20"/>
          <w:szCs w:val="20"/>
          <w:color w:val="auto"/>
        </w:rPr>
      </w:pPr>
    </w:p>
    <w:p>
      <w:pPr>
        <w:ind w:right="320" w:firstLine="1305"/>
        <w:spacing w:after="0" w:line="277" w:lineRule="auto"/>
        <w:tabs>
          <w:tab w:leader="none" w:pos="194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Opinion of Counsel stating that, in the opinion of such counsel, all such conditions precedent have been complied with.</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10.5</w:t>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25" w:lineRule="exact"/>
        <w:rPr>
          <w:sz w:val="20"/>
          <w:szCs w:val="20"/>
          <w:color w:val="auto"/>
        </w:rPr>
      </w:pPr>
    </w:p>
    <w:p>
      <w:pPr>
        <w:ind w:right="600" w:firstLine="881"/>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1940" w:hanging="635"/>
        <w:spacing w:after="0"/>
        <w:tabs>
          <w:tab w:leader="none" w:pos="19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firstLine="1305"/>
        <w:spacing w:after="0" w:line="277" w:lineRule="auto"/>
        <w:tabs>
          <w:tab w:leader="none" w:pos="19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right="320" w:firstLine="1305"/>
        <w:spacing w:after="0" w:line="277" w:lineRule="auto"/>
        <w:tabs>
          <w:tab w:leader="none" w:pos="19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pacing w:after="0" w:line="225"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ind w:right="220" w:firstLine="881"/>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w:t>
      </w:r>
    </w:p>
    <w:p>
      <w:pPr>
        <w:spacing w:after="0" w:line="225" w:lineRule="exact"/>
        <w:rPr>
          <w:sz w:val="20"/>
          <w:szCs w:val="20"/>
          <w:color w:val="auto"/>
        </w:rPr>
      </w:pPr>
    </w:p>
    <w:p>
      <w:pPr>
        <w:ind w:right="540" w:firstLine="881"/>
        <w:spacing w:after="0" w:line="277"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8" w:name="page89"/>
    <w:bookmarkEnd w:id="88"/>
    <w:p>
      <w:pPr>
        <w:spacing w:after="0" w:line="342" w:lineRule="auto"/>
        <w:rPr>
          <w:sz w:val="20"/>
          <w:szCs w:val="20"/>
          <w:color w:val="auto"/>
        </w:rPr>
      </w:pPr>
      <w:r>
        <w:rPr>
          <w:rFonts w:ascii="Arial" w:cs="Arial" w:eastAsia="Arial" w:hAnsi="Arial"/>
          <w:sz w:val="16"/>
          <w:szCs w:val="16"/>
          <w:color w:val="auto"/>
        </w:rPr>
        <w:t>Securities of a Series or this Indenture or for any claim based on, or in respect or by reason of, such obligations or their creation. By accepting a Security, each Holder waives and releases all such liability. This waiver and release is part of the consideration for the issue of the Securities of each Series.</w:t>
      </w:r>
    </w:p>
    <w:p>
      <w:pPr>
        <w:spacing w:after="0" w:line="12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57"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Governing Law; Waiver of Jury Trial; Consent to Jurisdiction</w:t>
      </w:r>
      <w:r>
        <w:rPr>
          <w:rFonts w:ascii="Arial" w:cs="Arial" w:eastAsia="Arial" w:hAnsi="Arial"/>
          <w:sz w:val="16"/>
          <w:szCs w:val="16"/>
          <w:color w:val="auto"/>
        </w:rPr>
        <w:t>.</w:t>
      </w:r>
    </w:p>
    <w:p>
      <w:pPr>
        <w:spacing w:after="0" w:line="221" w:lineRule="exact"/>
        <w:rPr>
          <w:sz w:val="20"/>
          <w:szCs w:val="20"/>
          <w:color w:val="auto"/>
        </w:rPr>
      </w:pPr>
    </w:p>
    <w:p>
      <w:pPr>
        <w:ind w:right="20" w:firstLine="881"/>
        <w:spacing w:after="0" w:line="256"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92" w:lineRule="exact"/>
        <w:rPr>
          <w:sz w:val="20"/>
          <w:szCs w:val="20"/>
          <w:color w:val="auto"/>
        </w:rPr>
      </w:pPr>
    </w:p>
    <w:p>
      <w:pPr>
        <w:ind w:right="60" w:firstLine="881"/>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left="660"/>
        <w:spacing w:after="0"/>
        <w:tabs>
          <w:tab w:leader="none" w:pos="192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right="100" w:firstLine="881"/>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100" w:firstLine="881"/>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Securities in a Foreign Currency</w:t>
      </w:r>
      <w:r>
        <w:rPr>
          <w:rFonts w:ascii="Arial" w:cs="Arial" w:eastAsia="Arial" w:hAnsi="Arial"/>
          <w:sz w:val="16"/>
          <w:szCs w:val="16"/>
          <w:color w:val="auto"/>
        </w:rPr>
        <w:t>.</w:t>
      </w:r>
    </w:p>
    <w:p>
      <w:pPr>
        <w:spacing w:after="0" w:line="225" w:lineRule="exact"/>
        <w:rPr>
          <w:sz w:val="20"/>
          <w:szCs w:val="20"/>
          <w:color w:val="auto"/>
        </w:rPr>
      </w:pPr>
    </w:p>
    <w:p>
      <w:pPr>
        <w:ind w:firstLine="881"/>
        <w:spacing w:after="0" w:line="287"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3"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ind w:right="200" w:firstLine="881"/>
        <w:spacing w:after="0" w:line="342"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0" w:name="page91"/>
    <w:bookmarkEnd w:id="90"/>
    <w:p>
      <w:pPr>
        <w:ind w:right="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U.S.A. Patriot Act.</w:t>
      </w:r>
    </w:p>
    <w:p>
      <w:pPr>
        <w:spacing w:after="0" w:line="225" w:lineRule="exact"/>
        <w:rPr>
          <w:sz w:val="20"/>
          <w:szCs w:val="20"/>
          <w:color w:val="auto"/>
        </w:rPr>
      </w:pPr>
    </w:p>
    <w:p>
      <w:pPr>
        <w:ind w:firstLine="881"/>
        <w:spacing w:after="0" w:line="312" w:lineRule="auto"/>
        <w:rPr>
          <w:sz w:val="20"/>
          <w:szCs w:val="20"/>
          <w:color w:val="auto"/>
        </w:rPr>
      </w:pPr>
      <w:r>
        <w:rPr>
          <w:rFonts w:ascii="Arial" w:cs="Arial" w:eastAsia="Arial" w:hAnsi="Arial"/>
          <w:sz w:val="16"/>
          <w:szCs w:val="16"/>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ind w:right="80" w:firstLine="881"/>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except as otherwise permitted or required by any form of Security of such Series issued pursuant to this Indenture.</w:t>
      </w:r>
    </w:p>
    <w:p>
      <w:pPr>
        <w:spacing w:after="0" w:line="225" w:lineRule="exact"/>
        <w:rPr>
          <w:sz w:val="20"/>
          <w:szCs w:val="20"/>
          <w:color w:val="auto"/>
        </w:rPr>
      </w:pPr>
    </w:p>
    <w:p>
      <w:pPr>
        <w:ind w:firstLine="881"/>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i w:val="1"/>
          <w:iCs w:val="1"/>
          <w:color w:val="auto"/>
        </w:rPr>
        <w:t>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 If provided for by the terms of Securities of any Series, the cash amount of any sinking fund payment may be subject to reduction as provided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11.2. Each sinking fund payment shall be applied to the redemption of Securities of any Series as provided for by the terms of the Securities of such Series.</w:t>
      </w:r>
    </w:p>
    <w:p>
      <w:pPr>
        <w:spacing w:after="0" w:line="1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w:t>
      </w:r>
    </w:p>
    <w:p>
      <w:pPr>
        <w:spacing w:after="0" w:line="225" w:lineRule="exact"/>
        <w:rPr>
          <w:sz w:val="20"/>
          <w:szCs w:val="20"/>
          <w:color w:val="auto"/>
        </w:rPr>
      </w:pPr>
    </w:p>
    <w:p>
      <w:pPr>
        <w:ind w:right="20" w:firstLine="881"/>
        <w:spacing w:after="0" w:line="286" w:lineRule="auto"/>
        <w:rPr>
          <w:sz w:val="20"/>
          <w:szCs w:val="20"/>
          <w:color w:val="auto"/>
        </w:rPr>
      </w:pPr>
      <w:r>
        <w:rPr>
          <w:rFonts w:ascii="Arial" w:cs="Arial" w:eastAsia="Arial" w:hAnsi="Arial"/>
          <w:sz w:val="16"/>
          <w:szCs w:val="16"/>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w:t>
      </w:r>
    </w:p>
    <w:p>
      <w:pPr>
        <w:spacing w:after="0" w:line="225" w:lineRule="exact"/>
        <w:rPr>
          <w:sz w:val="20"/>
          <w:szCs w:val="20"/>
          <w:color w:val="auto"/>
        </w:rPr>
      </w:pPr>
    </w:p>
    <w:p>
      <w:pPr>
        <w:ind w:right="40" w:firstLine="881"/>
        <w:spacing w:after="0" w:line="27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2" w:name="page93"/>
    <w:bookmarkEnd w:id="92"/>
    <w:p>
      <w:pPr>
        <w:spacing w:after="0" w:line="255" w:lineRule="auto"/>
        <w:rPr>
          <w:sz w:val="20"/>
          <w:szCs w:val="20"/>
          <w:color w:val="auto"/>
        </w:rPr>
      </w:pPr>
      <w:r>
        <w:rPr>
          <w:rFonts w:ascii="Arial" w:cs="Arial" w:eastAsia="Arial" w:hAnsi="Arial"/>
          <w:sz w:val="18"/>
          <w:szCs w:val="18"/>
          <w:color w:val="auto"/>
        </w:rPr>
        <w:t>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4840"/>
        <w:spacing w:after="0"/>
        <w:tabs>
          <w:tab w:leader="none" w:pos="5320" w:val="left"/>
        </w:tabs>
        <w:rPr>
          <w:sz w:val="20"/>
          <w:szCs w:val="20"/>
          <w:color w:val="auto"/>
        </w:rPr>
      </w:pPr>
      <w:r>
        <w:rPr>
          <w:rFonts w:ascii="Arial" w:cs="Arial" w:eastAsia="Arial" w:hAnsi="Arial"/>
          <w:sz w:val="18"/>
          <w:szCs w:val="18"/>
          <w:color w:val="auto"/>
        </w:rPr>
        <w:t>By:</w:t>
        <w:tab/>
        <w:t>/s/ David A. Zinsner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-130810</wp:posOffset>
            </wp:positionV>
            <wp:extent cx="33020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Senior Vice President and Chief Financial Officer</w:t>
      </w:r>
    </w:p>
    <w:p>
      <w:pPr>
        <w:spacing w:after="0" w:line="200" w:lineRule="exact"/>
        <w:rPr>
          <w:sz w:val="20"/>
          <w:szCs w:val="20"/>
          <w:color w:val="auto"/>
        </w:rPr>
      </w:pPr>
    </w:p>
    <w:p>
      <w:pPr>
        <w:spacing w:after="0" w:line="2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320" w:val="left"/>
        </w:tabs>
        <w:rPr>
          <w:sz w:val="20"/>
          <w:szCs w:val="20"/>
          <w:color w:val="auto"/>
        </w:rPr>
      </w:pPr>
      <w:r>
        <w:rPr>
          <w:rFonts w:ascii="Arial" w:cs="Arial" w:eastAsia="Arial" w:hAnsi="Arial"/>
          <w:sz w:val="18"/>
          <w:szCs w:val="18"/>
          <w:color w:val="auto"/>
        </w:rPr>
        <w:t>By:</w:t>
        <w:tab/>
        <w:t>/s/ Paula Oswald</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Paula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-130810</wp:posOffset>
            </wp:positionV>
            <wp:extent cx="33020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209550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700"/>
          </w:cols>
          <w:pgMar w:left="1120" w:top="341" w:right="107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$600,000,000 4.640% SENIOR NOTES DUE 2024</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$500,000,000 4.975% SENIOR NOTES DUE 2026</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$700,000,000 5.327% SENIOR NOTES DUE 2029</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FIRST SUPPLEMENTAL INDENTURE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February 6, 2019</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INDENTURE</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February 6, 2019</w:t>
      </w:r>
    </w:p>
    <w:p>
      <w:pPr>
        <w:spacing w:after="0" w:line="20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5" w:name="page96"/>
    <w:bookmarkEnd w:id="95"/>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 xml:space="preserve">ARTICLE 1. </w:t>
            </w:r>
            <w:r>
              <w:rPr>
                <w:rFonts w:ascii="Arial" w:cs="Arial" w:eastAsia="Arial" w:hAnsi="Arial"/>
                <w:sz w:val="17"/>
                <w:szCs w:val="17"/>
                <w:color w:val="auto"/>
              </w:rPr>
              <w:t>DEFINITIONS AND INCORPORATION BY REFERENCE</w:t>
            </w:r>
          </w:p>
        </w:tc>
        <w:tc>
          <w:tcPr>
            <w:tcW w:w="3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1.1.</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Relationship with Base Indenture</w:t>
            </w:r>
          </w:p>
        </w:tc>
        <w:tc>
          <w:tcPr>
            <w:tcW w:w="3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1.2.</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Definitions</w:t>
            </w:r>
          </w:p>
        </w:tc>
        <w:tc>
          <w:tcPr>
            <w:tcW w:w="3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 xml:space="preserve">ARTICLE 2. </w:t>
            </w:r>
            <w:r>
              <w:rPr>
                <w:rFonts w:ascii="Arial" w:cs="Arial" w:eastAsia="Arial" w:hAnsi="Arial"/>
                <w:sz w:val="17"/>
                <w:szCs w:val="17"/>
                <w:color w:val="auto"/>
              </w:rPr>
              <w:t>THE NOTES</w:t>
            </w:r>
          </w:p>
        </w:tc>
        <w:tc>
          <w:tcPr>
            <w:tcW w:w="608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2.1.</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Form and Dating</w:t>
            </w:r>
          </w:p>
        </w:tc>
        <w:tc>
          <w:tcPr>
            <w:tcW w:w="3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2.2.</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Transfer and Exchange</w:t>
            </w:r>
          </w:p>
        </w:tc>
        <w:tc>
          <w:tcPr>
            <w:tcW w:w="3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2.3.</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Issuance of Additional Notes</w:t>
            </w:r>
          </w:p>
        </w:tc>
        <w:tc>
          <w:tcPr>
            <w:tcW w:w="3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 xml:space="preserve">ARTICLE 3. </w:t>
            </w:r>
            <w:r>
              <w:rPr>
                <w:rFonts w:ascii="Arial" w:cs="Arial" w:eastAsia="Arial" w:hAnsi="Arial"/>
                <w:sz w:val="17"/>
                <w:szCs w:val="17"/>
                <w:color w:val="auto"/>
              </w:rPr>
              <w:t>REDEMPTION AND PREPAYMENT</w:t>
            </w:r>
          </w:p>
        </w:tc>
        <w:tc>
          <w:tcPr>
            <w:tcW w:w="3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3.1.</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Optional Redemption</w:t>
            </w:r>
          </w:p>
        </w:tc>
        <w:tc>
          <w:tcPr>
            <w:tcW w:w="3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 xml:space="preserve">ARTICLE 4. </w:t>
            </w:r>
            <w:r>
              <w:rPr>
                <w:rFonts w:ascii="Arial" w:cs="Arial" w:eastAsia="Arial" w:hAnsi="Arial"/>
                <w:sz w:val="17"/>
                <w:szCs w:val="17"/>
                <w:color w:val="auto"/>
              </w:rPr>
              <w:t>PARTICULAR COVENANTS</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4.1.</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Offer to Purchase Upon Change of Control Triggering Event</w:t>
            </w:r>
          </w:p>
        </w:tc>
        <w:tc>
          <w:tcPr>
            <w:tcW w:w="3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4.2.</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Liens</w:t>
            </w:r>
          </w:p>
        </w:tc>
        <w:tc>
          <w:tcPr>
            <w:tcW w:w="3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4.3.</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Sale and Lease Back Transactions</w:t>
            </w:r>
          </w:p>
        </w:tc>
        <w:tc>
          <w:tcPr>
            <w:tcW w:w="3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4.4.</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Covenants</w:t>
            </w:r>
          </w:p>
        </w:tc>
        <w:tc>
          <w:tcPr>
            <w:tcW w:w="3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 xml:space="preserve">ARTICLE 5. </w:t>
            </w:r>
            <w:r>
              <w:rPr>
                <w:rFonts w:ascii="Arial" w:cs="Arial" w:eastAsia="Arial" w:hAnsi="Arial"/>
                <w:sz w:val="17"/>
                <w:szCs w:val="17"/>
                <w:color w:val="auto"/>
              </w:rPr>
              <w:t>SATISFACTION AND DISCHARGE; DEFEASANCE</w:t>
            </w:r>
          </w:p>
        </w:tc>
        <w:tc>
          <w:tcPr>
            <w:tcW w:w="3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5.1.</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Satisfaction and Discharge of Indenture</w:t>
            </w:r>
          </w:p>
        </w:tc>
        <w:tc>
          <w:tcPr>
            <w:tcW w:w="3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5.2.</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Legal Defeasance of Securities of any Series</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5.3.</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Covenant Defeasance</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 xml:space="preserve">ARTICLE 6. </w:t>
            </w:r>
            <w:r>
              <w:rPr>
                <w:rFonts w:ascii="Arial" w:cs="Arial" w:eastAsia="Arial" w:hAnsi="Arial"/>
                <w:sz w:val="17"/>
                <w:szCs w:val="17"/>
                <w:color w:val="auto"/>
              </w:rPr>
              <w:t>MISCELLANEOUS</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6.1.</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Trust Indenture Act Controls</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6.2.</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Governing Law</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6.3.</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Successors</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6.4.</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Severability</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6.5.</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Counterpart Originals</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6.6.</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Table of Contents, Headings, Etc.</w:t>
            </w:r>
          </w:p>
        </w:tc>
        <w:tc>
          <w:tcPr>
            <w:tcW w:w="3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6.7.</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Waiver of Jury Trial</w:t>
            </w:r>
          </w:p>
        </w:tc>
        <w:tc>
          <w:tcPr>
            <w:tcW w:w="3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6.8.</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Interpretation</w:t>
            </w:r>
          </w:p>
        </w:tc>
        <w:tc>
          <w:tcPr>
            <w:tcW w:w="3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6.9.</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Instruction by Electronic Transmissions</w:t>
            </w:r>
          </w:p>
        </w:tc>
        <w:tc>
          <w:tcPr>
            <w:tcW w:w="3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40" w:type="dxa"/>
            <w:vAlign w:val="bottom"/>
          </w:tcPr>
          <w:p>
            <w:pPr>
              <w:ind w:left="740"/>
              <w:spacing w:after="0"/>
              <w:rPr>
                <w:sz w:val="20"/>
                <w:szCs w:val="20"/>
                <w:color w:val="auto"/>
              </w:rPr>
            </w:pPr>
            <w:r>
              <w:rPr>
                <w:rFonts w:ascii="Arial" w:cs="Arial" w:eastAsia="Arial" w:hAnsi="Arial"/>
                <w:sz w:val="18"/>
                <w:szCs w:val="18"/>
                <w:color w:val="auto"/>
              </w:rPr>
              <w:t>Section 6.10.</w:t>
            </w:r>
          </w:p>
        </w:tc>
        <w:tc>
          <w:tcPr>
            <w:tcW w:w="6080" w:type="dxa"/>
            <w:vAlign w:val="bottom"/>
          </w:tcPr>
          <w:p>
            <w:pPr>
              <w:ind w:left="120"/>
              <w:spacing w:after="0"/>
              <w:rPr>
                <w:sz w:val="20"/>
                <w:szCs w:val="20"/>
                <w:color w:val="auto"/>
              </w:rPr>
            </w:pPr>
            <w:r>
              <w:rPr>
                <w:rFonts w:ascii="Arial" w:cs="Arial" w:eastAsia="Arial" w:hAnsi="Arial"/>
                <w:sz w:val="18"/>
                <w:szCs w:val="18"/>
                <w:i w:val="1"/>
                <w:iCs w:val="1"/>
                <w:color w:val="auto"/>
              </w:rPr>
              <w:t>Miscellaneous</w:t>
            </w:r>
          </w:p>
        </w:tc>
        <w:tc>
          <w:tcPr>
            <w:tcW w:w="3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Exhibit A</w:t>
            </w:r>
          </w:p>
        </w:tc>
        <w:tc>
          <w:tcPr>
            <w:tcW w:w="608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FORM OF 2024 NOTE</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Exhibit B</w:t>
            </w:r>
          </w:p>
        </w:tc>
        <w:tc>
          <w:tcPr>
            <w:tcW w:w="608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FORM OF 2026 NOTE</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Exhibit C</w:t>
            </w:r>
          </w:p>
        </w:tc>
        <w:tc>
          <w:tcPr>
            <w:tcW w:w="608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Arial" w:cs="Arial" w:eastAsia="Arial" w:hAnsi="Arial"/>
                <w:sz w:val="18"/>
                <w:szCs w:val="18"/>
                <w:color w:val="auto"/>
              </w:rPr>
              <w:t>FORM OF 2029 NOTE</w:t>
            </w:r>
          </w:p>
        </w:tc>
      </w:tr>
      <w:tr>
        <w:trPr>
          <w:trHeight w:val="348"/>
        </w:trPr>
        <w:tc>
          <w:tcPr>
            <w:tcW w:w="2040" w:type="dxa"/>
            <w:vAlign w:val="bottom"/>
            <w:tcBorders>
              <w:bottom w:val="single" w:sz="8" w:color="808080"/>
            </w:tcBorders>
          </w:tcPr>
          <w:p>
            <w:pPr>
              <w:spacing w:after="0"/>
              <w:rPr>
                <w:sz w:val="24"/>
                <w:szCs w:val="24"/>
                <w:color w:val="auto"/>
              </w:rPr>
            </w:pPr>
          </w:p>
        </w:tc>
        <w:tc>
          <w:tcPr>
            <w:tcW w:w="60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6" w:name="page97"/>
    <w:bookmarkEnd w:id="96"/>
    <w:p>
      <w:pPr>
        <w:ind w:right="560" w:firstLine="648"/>
        <w:spacing w:after="0" w:line="277" w:lineRule="auto"/>
        <w:rPr>
          <w:sz w:val="20"/>
          <w:szCs w:val="20"/>
          <w:color w:val="auto"/>
        </w:rPr>
      </w:pPr>
      <w:r>
        <w:rPr>
          <w:rFonts w:ascii="Arial" w:cs="Arial" w:eastAsia="Arial" w:hAnsi="Arial"/>
          <w:sz w:val="18"/>
          <w:szCs w:val="18"/>
          <w:color w:val="auto"/>
        </w:rPr>
        <w:t>FIRST SUPPLEMENTAL INDENTURE dated as of February 6, 2019 by and between Micron Technology,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U.S. Bank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has heretofore executed and delivered to the Trustee an indenture, dated as of February 6, 2019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providing for the issuance from time to time of one or more Series of the Company’s securities.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 desires and has requested the Trustee pursuant to Section 9.1 of the Base Indenture to join with it in the execution and delivery of this Supplemental Indenture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in order to supplement the Base Indenture as, and to the extent, set forth herein to provide for the issuance of and establish the forms and terms and conditions of each Series of the Notes (as defined below).</w:t>
      </w:r>
    </w:p>
    <w:p>
      <w:pPr>
        <w:spacing w:after="0" w:line="16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execution and delivery of this Supplemental Indenture has been duly authorized by votes of the Board of Directors or a duly authorized committee thereof.</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and the Trustee agree as follows for the benefit of each other and for the equal and ratable benefit of the Holders (as defined herein) of the 4.640% Senior Notes due 2024, 4.975% Senior Notes due 2026 and the 5.327% Senior Notes due 2029: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REFERENCE</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i w:val="1"/>
          <w:iCs w:val="1"/>
          <w:color w:val="auto"/>
        </w:rPr>
        <w:t>Relationship with Base Indenture</w:t>
      </w:r>
      <w:r>
        <w:rPr>
          <w:rFonts w:ascii="Arial" w:cs="Arial" w:eastAsia="Arial" w:hAnsi="Arial"/>
          <w:sz w:val="16"/>
          <w:szCs w:val="16"/>
          <w:color w:val="auto"/>
        </w:rPr>
        <w:t>.</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or the Notes, the provisions of this Supplemental Indenture or the Notes, as applicable, will govern and be controlling.</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Trustee accepts the amendment of the Base Indenture effected by this Supplemental Indenture and agrees to execute the trust created by the Base Indenture as hereby amended, but only upon the terms and conditions set forth in this Supplemental Indenture, including the rights, privileges and immunities of the Trustee set forth in the Base Indenture and the terms and provisions defining and limiting the liabilities and responsibilities of the Trustee in the performance of the trust created by the Base Indenture, and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ind w:right="60"/>
        <w:spacing w:after="0" w:line="302" w:lineRule="auto"/>
        <w:rPr>
          <w:sz w:val="20"/>
          <w:szCs w:val="20"/>
          <w:color w:val="auto"/>
        </w:rPr>
      </w:pPr>
      <w:r>
        <w:rPr>
          <w:rFonts w:ascii="Arial" w:cs="Arial" w:eastAsia="Arial" w:hAnsi="Arial"/>
          <w:sz w:val="16"/>
          <w:szCs w:val="16"/>
          <w:color w:val="auto"/>
        </w:rPr>
        <w:t>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w:t>
      </w:r>
    </w:p>
    <w:p>
      <w:pPr>
        <w:spacing w:after="0" w:line="15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Further, the Trustee shall not be responsible or liable for any failure or delay in the performance of its obligations under this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Capitalized terms used herein without definition shall have the respective meanings set forth in the Base Indenture. The following terms have the meanings given to them in this Section 1.2:</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2024 Notes</w:t>
      </w:r>
      <w:r>
        <w:rPr>
          <w:rFonts w:ascii="Arial" w:cs="Arial" w:eastAsia="Arial" w:hAnsi="Arial"/>
          <w:sz w:val="18"/>
          <w:szCs w:val="18"/>
          <w:color w:val="auto"/>
        </w:rPr>
        <w:t xml:space="preserve">” means the Company’s 4.640% Senior Notes due 2024;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2024 Notes and the Additional 2024 Notes, if any, will be treated as a single Series for all purposes under this Supplemental Indenture, and unless the context otherwise requires, all references to the 2024 Notes will include the Initial 2024 Notes and any Additional 2024 Notes.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2026 Notes</w:t>
      </w:r>
      <w:r>
        <w:rPr>
          <w:rFonts w:ascii="Arial" w:cs="Arial" w:eastAsia="Arial" w:hAnsi="Arial"/>
          <w:sz w:val="18"/>
          <w:szCs w:val="18"/>
          <w:color w:val="auto"/>
        </w:rPr>
        <w:t xml:space="preserve">” means the Company’s 4.975% Senior Notes due 2026;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2026 Notes and the Additional 2026 Notes, if any, will be treated as a single Series for all purposes under this Supplemental Indenture, and unless the context otherwise requires, all references to the 2026 Notes will include the Initial 2026 Notes and any Additional 2026 Notes.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2029 Notes</w:t>
      </w:r>
      <w:r>
        <w:rPr>
          <w:rFonts w:ascii="Arial" w:cs="Arial" w:eastAsia="Arial" w:hAnsi="Arial"/>
          <w:sz w:val="18"/>
          <w:szCs w:val="18"/>
          <w:color w:val="auto"/>
        </w:rPr>
        <w:t xml:space="preserve">” means the Company’s 5.327% Senior Notes due 2029;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Initial 2029 Notes and the Additional 2029 Notes, if any, will be treated as a single Series for all purposes under this Supplemental Indenture, and unless the context otherwise requires, all references to the 2029 Notes will include the Initial 2029 Notes and any Additional 2029 Notes.</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2024 Notes</w:t>
      </w:r>
      <w:r>
        <w:rPr>
          <w:rFonts w:ascii="Arial" w:cs="Arial" w:eastAsia="Arial" w:hAnsi="Arial"/>
          <w:sz w:val="18"/>
          <w:szCs w:val="18"/>
          <w:color w:val="auto"/>
        </w:rPr>
        <w:t>” means any 2024 Notes (other than the Initial 2024 Notes) issued under this Supplemental Indenture in accordance with Section 2.3 hereof, as part of the same Series as the Initial 2024 Notes.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2026 Notes</w:t>
      </w:r>
      <w:r>
        <w:rPr>
          <w:rFonts w:ascii="Arial" w:cs="Arial" w:eastAsia="Arial" w:hAnsi="Arial"/>
          <w:sz w:val="18"/>
          <w:szCs w:val="18"/>
          <w:color w:val="auto"/>
        </w:rPr>
        <w:t>” means any 2026 Notes (other than the Initial 2026 Notes) issued under this Supplemental Indenture in accordance with Section 2.3 hereof, as part of the same Series as the Initial 2026 Notes.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2029 Notes</w:t>
      </w:r>
      <w:r>
        <w:rPr>
          <w:rFonts w:ascii="Arial" w:cs="Arial" w:eastAsia="Arial" w:hAnsi="Arial"/>
          <w:sz w:val="18"/>
          <w:szCs w:val="18"/>
          <w:color w:val="auto"/>
        </w:rPr>
        <w:t>” means any 2029 Notes (other than the Initial 2029 Notes) issued under this Supplemental Indenture in accordance with Section 2.3 hereof, as part of the same Series as the Initial 2029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Notes</w:t>
      </w:r>
      <w:r>
        <w:rPr>
          <w:rFonts w:ascii="Arial" w:cs="Arial" w:eastAsia="Arial" w:hAnsi="Arial"/>
          <w:sz w:val="18"/>
          <w:szCs w:val="18"/>
          <w:color w:val="auto"/>
        </w:rPr>
        <w:t>” means any Additional 2024 Notes, any Additional 2026 Notes and any Additional 2029 Notes, as applicable.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98" w:name="page99"/>
    <w:bookmarkEnd w:id="98"/>
    <w:p>
      <w:pPr>
        <w:ind w:right="1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Aggregate Debt</w:t>
      </w:r>
      <w:r>
        <w:rPr>
          <w:rFonts w:ascii="Arial" w:cs="Arial" w:eastAsia="Arial" w:hAnsi="Arial"/>
          <w:sz w:val="16"/>
          <w:szCs w:val="16"/>
          <w:color w:val="auto"/>
        </w:rPr>
        <w:t>” means the sum of the following as of the date of determination: (1) the then aggregate outstanding amount of the Indebtedness of the Company and its Restricted Subsidiaries, without duplication, incurred after the Issue Date and secured by Liens not otherwise permitted by</w:t>
      </w:r>
    </w:p>
    <w:p>
      <w:pPr>
        <w:spacing w:after="0" w:line="284" w:lineRule="auto"/>
        <w:rPr>
          <w:sz w:val="20"/>
          <w:szCs w:val="20"/>
          <w:color w:val="auto"/>
        </w:rPr>
      </w:pPr>
      <w:r>
        <w:rPr>
          <w:rFonts w:ascii="Arial" w:cs="Arial" w:eastAsia="Arial" w:hAnsi="Arial"/>
          <w:sz w:val="16"/>
          <w:szCs w:val="16"/>
          <w:color w:val="auto"/>
        </w:rPr>
        <w:t>Section 4.2(a) hereof; and (2) the then existing Attributable Debt of the Company and its Restricted Subsidiaries in respect of Sale and Lease Back Transactions, without duplication, entered into after the Issue Date pursuant to the last paragraph of Section 4.3 hereof; provided that any such Attributable Debt will be excluded from this clause (2) to the extent of Indebtedness relating thereto is included in clause (1) of this definition, provided further, in no event will the amount of any Indebtedness be required to be included in the calculation of Aggregate Debt more than once despite the fact more than one person is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such Indebtedness, the amount of Indebtedness so secured shall only be included once in the calculation of Aggregate Debt). Whenever a calculation is to be made with respect to creation or incurrence under revolving credit Indebtedness, such calculation may, at the Company’s election, be determined by treating the maximum committed amount of such revolving credit Indebtedness as having been incurred on the date of such calculation, whether or not such amount has actually been drawn upon, and, if such election has been made, (i) subsequent borrowings and reborrowings of such revolving credit Indebtedness (and related Liens), up to the maximum committed amount, shall not be deemed additional incurrences of Indebtedness (and related Liens) requiring calculations of the amount of Aggregate Debt (but subsequent borrowings in connection with increases in such maximum committed amount shall require calculations under this definition, or shall otherwise comply with Section 4.2 hereof), and (ii) for purposes of subsequent calculations under this definition, the maximum committed amount of such revolving credit Indebtedness on the date of any such calculation shall be deemed to be outstanding throughout such period, whether or not such amount is actually outstanding. The Company may revoke an election pursuant to this paragraph at any time, at which time the entire drawn outstanding amount of such revolving credit Indebtedness will be deemed to be incurred and secured by any relevant Liens at such time.</w:t>
      </w:r>
    </w:p>
    <w:p>
      <w:pPr>
        <w:spacing w:after="0" w:line="1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Procedures</w:t>
      </w:r>
      <w:r>
        <w:rPr>
          <w:rFonts w:ascii="Arial" w:cs="Arial" w:eastAsia="Arial" w:hAnsi="Arial"/>
          <w:sz w:val="18"/>
          <w:szCs w:val="18"/>
          <w:color w:val="auto"/>
        </w:rPr>
        <w:t>” means, with respect to any transfer or exchange of or for beneficial interests in any Global Note, the rules and procedures established by and customary for the Depositary that apply to such transfer or exchange.</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Attributable Debt</w:t>
      </w:r>
      <w:r>
        <w:rPr>
          <w:rFonts w:ascii="Arial" w:cs="Arial" w:eastAsia="Arial" w:hAnsi="Arial"/>
          <w:sz w:val="17"/>
          <w:szCs w:val="17"/>
          <w:color w:val="auto"/>
        </w:rPr>
        <w:t xml:space="preserve">” </w:t>
      </w:r>
      <w:r>
        <w:rPr>
          <w:rFonts w:ascii="Arial" w:cs="Arial" w:eastAsia="Arial" w:hAnsi="Arial"/>
          <w:sz w:val="16"/>
          <w:szCs w:val="16"/>
          <w:color w:val="auto"/>
        </w:rPr>
        <w:t>means in connection with a Sale and Lease Back Transaction the lesser of: (1) the fair value of the assets subject to such</w:t>
      </w:r>
      <w:r>
        <w:rPr>
          <w:rFonts w:ascii="Arial" w:cs="Arial" w:eastAsia="Arial" w:hAnsi="Arial"/>
          <w:sz w:val="17"/>
          <w:szCs w:val="17"/>
          <w:color w:val="auto"/>
        </w:rPr>
        <w:t xml:space="preserve"> </w:t>
      </w:r>
      <w:r>
        <w:rPr>
          <w:rFonts w:ascii="Arial" w:cs="Arial" w:eastAsia="Arial" w:hAnsi="Arial"/>
          <w:sz w:val="16"/>
          <w:szCs w:val="16"/>
          <w:color w:val="auto"/>
        </w:rPr>
        <w:t>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6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has the meaning set forth in the preamble to this Supplemental Indenture, as it may be amended, supplemented or otherwise modified from time to time in accordance with the terms thereof.</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Below Investment Grade Rating Event</w:t>
      </w:r>
      <w:r>
        <w:rPr>
          <w:rFonts w:ascii="Arial" w:cs="Arial" w:eastAsia="Arial" w:hAnsi="Arial"/>
          <w:sz w:val="17"/>
          <w:szCs w:val="17"/>
          <w:color w:val="auto"/>
        </w:rPr>
        <w:t>” means</w:t>
      </w:r>
      <w:r>
        <w:rPr>
          <w:rFonts w:ascii="Arial" w:cs="Arial" w:eastAsia="Arial" w:hAnsi="Arial"/>
          <w:sz w:val="16"/>
          <w:szCs w:val="16"/>
          <w:color w:val="auto"/>
        </w:rPr>
        <w:t>, with respect to each Series of Notes, the rating on the Notes of such Series is lowered by two or more</w:t>
      </w:r>
      <w:r>
        <w:rPr>
          <w:rFonts w:ascii="Arial" w:cs="Arial" w:eastAsia="Arial" w:hAnsi="Arial"/>
          <w:sz w:val="17"/>
          <w:szCs w:val="17"/>
          <w:color w:val="auto"/>
        </w:rPr>
        <w:t xml:space="preserve"> </w:t>
      </w:r>
      <w:r>
        <w:rPr>
          <w:rFonts w:ascii="Arial" w:cs="Arial" w:eastAsia="Arial" w:hAnsi="Arial"/>
          <w:sz w:val="16"/>
          <w:szCs w:val="16"/>
          <w:color w:val="auto"/>
        </w:rPr>
        <w:t>of the Rating Agencies within 60 days from the earlier of (1) the date of the first public notice of an arrangement that could result in a Change of Control or</w:t>
      </w:r>
    </w:p>
    <w:p>
      <w:pPr>
        <w:spacing w:after="0" w:line="1" w:lineRule="exact"/>
        <w:rPr>
          <w:sz w:val="20"/>
          <w:szCs w:val="20"/>
          <w:color w:val="auto"/>
        </w:rPr>
      </w:pPr>
    </w:p>
    <w:p>
      <w:pPr>
        <w:ind w:right="40" w:firstLine="8"/>
        <w:spacing w:after="0" w:line="253"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occurrence of a Change of Control (which period shall be extended so long as the rating of such Series of Notes is under publicly announced consideration for possible downgrade by any of the Rating Agencies); provided, however, that a particular reduction in rating will not be deemed to have occurred in respect of a particular Change of Control (and thus will not be deemed a Below Investment Grade Rating Event for purposes of the definition of Change of Control Triggering Event) unless each of the Rating Agencies making the reduction in rating to which this definition would otherwise apply announces or publicly confirms that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ind w:right="300"/>
        <w:spacing w:after="0" w:line="259" w:lineRule="auto"/>
        <w:rPr>
          <w:sz w:val="20"/>
          <w:szCs w:val="20"/>
          <w:color w:val="auto"/>
        </w:rPr>
      </w:pPr>
      <w:r>
        <w:rPr>
          <w:rFonts w:ascii="Arial" w:cs="Arial" w:eastAsia="Arial" w:hAnsi="Arial"/>
          <w:sz w:val="18"/>
          <w:szCs w:val="18"/>
          <w:color w:val="auto"/>
        </w:rPr>
        <w:t>reduction was the result, in whole or in part, of any event or circumstance comprised of or arising as a result of, or in respect of, the applicable Change of Control (whether or not the applicable Change of Control has occurred at the time of the Below Investment Grade Rating Event); provided, further, that notwithstanding the foregoing, a Below Investment Grade Rating Event shall not be deemed to have occurred so long as the applicable Series of Notes are rated Investment Grade by two or more of the Rating Agencies.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25" w:lineRule="exact"/>
        <w:rPr>
          <w:sz w:val="20"/>
          <w:szCs w:val="20"/>
          <w:color w:val="auto"/>
        </w:rPr>
      </w:pPr>
    </w:p>
    <w:p>
      <w:pPr>
        <w:ind w:left="660" w:right="20" w:firstLine="645"/>
        <w:spacing w:after="0" w:line="283" w:lineRule="auto"/>
        <w:tabs>
          <w:tab w:leader="none" w:pos="1978"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provided, however, that a transaction will not be deemed to involve a Change of Control under this clause (1) if (a) the Company becomes a direct or indirect wholly owned subsidiary of a holding company, and (b)</w:t>
      </w:r>
    </w:p>
    <w:p>
      <w:pPr>
        <w:spacing w:after="0" w:line="6" w:lineRule="exact"/>
        <w:rPr>
          <w:rFonts w:ascii="Arial" w:cs="Arial" w:eastAsia="Arial" w:hAnsi="Arial"/>
          <w:sz w:val="16"/>
          <w:szCs w:val="16"/>
          <w:color w:val="auto"/>
        </w:rPr>
      </w:pPr>
    </w:p>
    <w:p>
      <w:pPr>
        <w:ind w:left="660" w:hanging="4"/>
        <w:spacing w:after="0" w:line="254" w:lineRule="auto"/>
        <w:tabs>
          <w:tab w:leader="none" w:pos="8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“group”(other than a holding company satisfying the requirements of this sentence) is the beneficial owner, directly or indirectly, of more than 50% of the Voting Stock of such holding company; or</w:t>
      </w:r>
    </w:p>
    <w:p>
      <w:pPr>
        <w:spacing w:after="0" w:line="189" w:lineRule="exact"/>
        <w:rPr>
          <w:rFonts w:ascii="Arial" w:cs="Arial" w:eastAsia="Arial" w:hAnsi="Arial"/>
          <w:sz w:val="18"/>
          <w:szCs w:val="18"/>
          <w:color w:val="auto"/>
        </w:rPr>
      </w:pPr>
    </w:p>
    <w:p>
      <w:pPr>
        <w:ind w:left="660" w:right="140" w:firstLine="645"/>
        <w:spacing w:after="0" w:line="257" w:lineRule="auto"/>
        <w:tabs>
          <w:tab w:leader="none" w:pos="1987"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Triggering Event</w:t>
      </w:r>
      <w:r>
        <w:rPr>
          <w:rFonts w:ascii="Arial" w:cs="Arial" w:eastAsia="Arial" w:hAnsi="Arial"/>
          <w:sz w:val="18"/>
          <w:szCs w:val="18"/>
          <w:color w:val="auto"/>
        </w:rPr>
        <w:t>” means, with respect to a Series of Notes hereunder, the occurrence of both a Change of Control and a Below Investment Grade Rating Event.</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Issue</w:t>
      </w:r>
      <w:r>
        <w:rPr>
          <w:rFonts w:ascii="Arial" w:cs="Arial" w:eastAsia="Arial" w:hAnsi="Arial"/>
          <w:sz w:val="16"/>
          <w:szCs w:val="16"/>
          <w:color w:val="auto"/>
        </w:rPr>
        <w:t>” means, with respect to any Notes to be redeemed, the United States Treasury security selected by the Reference Treasury Dealer as having an actual or interpolated maturity comparable to period from the redemption date to January 6, 2024, in the case of the 2024 Notes, December 6, 2025, in the case of the 2026 Notes and November 6, 2028, in the case of the 2029 Notes that would be utilized, at the time of selection and in accordance with customary financial practice, in pricing new issues of corporate debt securities of comparable maturity to the period from the redemption date to January 6, 2024, in the case of the 2024 Notes, December 6, 2025, in the case of the 2026 Notes and November 6, 2028, in the case of the 2029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jc w:val="both"/>
        <w:ind w:right="40" w:firstLine="648"/>
        <w:spacing w:after="0" w:line="32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Comparable Treasury Price</w:t>
      </w:r>
      <w:r>
        <w:rPr>
          <w:rFonts w:ascii="Arial" w:cs="Arial" w:eastAsia="Arial" w:hAnsi="Arial"/>
          <w:sz w:val="16"/>
          <w:szCs w:val="16"/>
          <w:color w:val="auto"/>
        </w:rPr>
        <w:t xml:space="preserve">” means, </w:t>
      </w:r>
      <w:r>
        <w:rPr>
          <w:rFonts w:ascii="Arial" w:cs="Arial" w:eastAsia="Arial" w:hAnsi="Arial"/>
          <w:sz w:val="15"/>
          <w:szCs w:val="15"/>
          <w:color w:val="auto"/>
        </w:rPr>
        <w:t>with respect to any redemption date, (1) the arithmetic average, as determined by the Company, of the Reference</w:t>
      </w:r>
      <w:r>
        <w:rPr>
          <w:rFonts w:ascii="Arial" w:cs="Arial" w:eastAsia="Arial" w:hAnsi="Arial"/>
          <w:sz w:val="16"/>
          <w:szCs w:val="16"/>
          <w:color w:val="auto"/>
        </w:rPr>
        <w:t xml:space="preserve"> </w:t>
      </w:r>
      <w:r>
        <w:rPr>
          <w:rFonts w:ascii="Arial" w:cs="Arial" w:eastAsia="Arial" w:hAnsi="Arial"/>
          <w:sz w:val="15"/>
          <w:szCs w:val="15"/>
          <w:color w:val="auto"/>
        </w:rPr>
        <w:t>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44"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Net Tangible Assets</w:t>
      </w:r>
      <w:r>
        <w:rPr>
          <w:rFonts w:ascii="Arial" w:cs="Arial" w:eastAsia="Arial" w:hAnsi="Arial"/>
          <w:sz w:val="18"/>
          <w:szCs w:val="18"/>
          <w:color w:val="auto"/>
        </w:rPr>
        <w:t xml:space="preserve">” </w:t>
      </w:r>
      <w:r>
        <w:rPr>
          <w:rFonts w:ascii="Arial" w:cs="Arial" w:eastAsia="Arial" w:hAnsi="Arial"/>
          <w:sz w:val="17"/>
          <w:szCs w:val="17"/>
          <w:color w:val="auto"/>
        </w:rPr>
        <w:t>means, with respect to any person, the total amount of assets of such person and its Consolidated Subsidiaries after</w:t>
      </w:r>
      <w:r>
        <w:rPr>
          <w:rFonts w:ascii="Arial" w:cs="Arial" w:eastAsia="Arial" w:hAnsi="Arial"/>
          <w:sz w:val="18"/>
          <w:szCs w:val="18"/>
          <w:color w:val="auto"/>
        </w:rPr>
        <w:t xml:space="preserve"> </w:t>
      </w:r>
      <w:r>
        <w:rPr>
          <w:rFonts w:ascii="Arial" w:cs="Arial" w:eastAsia="Arial" w:hAnsi="Arial"/>
          <w:sz w:val="17"/>
          <w:szCs w:val="17"/>
          <w:color w:val="auto"/>
        </w:rPr>
        <w:t>deducting therefrom (a) all current liabilities of such person and its Consolidated Subsidiaries (excluding (i) any notes or loans payable within 12 months, the current portion of long-term debt, the current portion of deferred revenue and of obligations under capital leases and, following the adoption of ASU 2016-02 — Leases, of operating and finance leases,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8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Definitive Note</w:t>
      </w:r>
      <w:r>
        <w:rPr>
          <w:rFonts w:ascii="Arial" w:cs="Arial" w:eastAsia="Arial" w:hAnsi="Arial"/>
          <w:sz w:val="17"/>
          <w:szCs w:val="17"/>
          <w:color w:val="auto"/>
        </w:rPr>
        <w:t xml:space="preserve">” means a certificated Note registered in the name of the Holder thereof and issued in accordance with Section 2.2 hereof,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or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except that such Note will not bear the Global Note Legend.</w:t>
      </w:r>
    </w:p>
    <w:p>
      <w:pPr>
        <w:spacing w:after="0" w:line="147"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Depositary</w:t>
      </w:r>
      <w:r>
        <w:rPr>
          <w:rFonts w:ascii="Arial" w:cs="Arial" w:eastAsia="Arial" w:hAnsi="Arial"/>
          <w:sz w:val="16"/>
          <w:szCs w:val="16"/>
          <w:color w:val="auto"/>
        </w:rPr>
        <w:t>” means, with respect to the Notes of a Series hereunder issuable or issued in whole or in part in global form, the person specified in Section 2.1 hereof as the Depositary with respect to such Notes, and any and all successors thereto appointed as depositary hereunder.</w:t>
      </w:r>
    </w:p>
    <w:p>
      <w:pPr>
        <w:spacing w:after="0" w:line="12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Credit Facilities</w:t>
      </w:r>
      <w:r>
        <w:rPr>
          <w:rFonts w:ascii="Arial" w:cs="Arial" w:eastAsia="Arial" w:hAnsi="Arial"/>
          <w:sz w:val="16"/>
          <w:szCs w:val="16"/>
          <w:color w:val="auto"/>
        </w:rPr>
        <w:t>” means (1) that certain Credit Agreement, dated as of April 26, 2016 (as the same may be amended, restated, modified or supplemented from time to time), by and among the Company, Morgan Stanley Senior Funding, Inc. as administrative agent and collateral agent, and the other agents party thereto and each financial institution party from time to time thereto, and (2) that certain Credit Agreement, dated as of July 3, 2018 (as the same may be amended, restated, modified or supplemented from time to time), by and among the Company, JPMorgan Chase Bank, N.A., as administrative agent and collateral agent, and the other agents party thereto and each financial institution party from time to time thereto.</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Fitch</w:t>
      </w:r>
      <w:r>
        <w:rPr>
          <w:rFonts w:ascii="Arial" w:cs="Arial" w:eastAsia="Arial" w:hAnsi="Arial"/>
          <w:sz w:val="18"/>
          <w:szCs w:val="18"/>
          <w:color w:val="auto"/>
        </w:rPr>
        <w:t>” means Fitch Ratings Inc. and any successor to its rating agency business.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Global Note Legend</w:t>
      </w:r>
      <w:r>
        <w:rPr>
          <w:rFonts w:ascii="Arial" w:cs="Arial" w:eastAsia="Arial" w:hAnsi="Arial"/>
          <w:sz w:val="18"/>
          <w:szCs w:val="18"/>
          <w:color w:val="auto"/>
        </w:rPr>
        <w:t>” means the legend set forth in Section 2.2(e) hereof, which is required to be placed on all Global Notes issued under this Supplemental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Global Notes</w:t>
      </w:r>
      <w:r>
        <w:rPr>
          <w:rFonts w:ascii="Arial" w:cs="Arial" w:eastAsia="Arial" w:hAnsi="Arial"/>
          <w:sz w:val="16"/>
          <w:szCs w:val="16"/>
          <w:color w:val="auto"/>
        </w:rPr>
        <w:t xml:space="preserve">” means, individually and collectively, (a) with respect to the 2024 Notes, each of the Global Notes,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46" w:lineRule="exact"/>
        <w:rPr>
          <w:sz w:val="20"/>
          <w:szCs w:val="20"/>
          <w:color w:val="auto"/>
        </w:rPr>
      </w:pPr>
    </w:p>
    <w:p>
      <w:pPr>
        <w:ind w:right="60" w:firstLine="8"/>
        <w:spacing w:after="0" w:line="26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with respect to the 2026 Notes, each of the Global Notes,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(c) with respect to the 2029 Notes, each of the Global Notes,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in each case, issued in accordance with Section 2.1 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 person in whose name a Note is registered.</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means indebtedness for borrowed money. For the avoidance of doubt, Indebtedness with respect to any person only includes indebtedness for the repayment of money borrowed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960" w:hanging="655"/>
        <w:spacing w:after="0"/>
        <w:tabs>
          <w:tab w:leader="none" w:pos="19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 and</w:t>
      </w:r>
    </w:p>
    <w:p>
      <w:pPr>
        <w:spacing w:after="0" w:line="225" w:lineRule="exact"/>
        <w:rPr>
          <w:rFonts w:ascii="Arial" w:cs="Arial" w:eastAsia="Arial" w:hAnsi="Arial"/>
          <w:sz w:val="18"/>
          <w:szCs w:val="18"/>
          <w:color w:val="auto"/>
        </w:rPr>
      </w:pPr>
    </w:p>
    <w:p>
      <w:pPr>
        <w:ind w:left="660" w:right="80" w:firstLine="645"/>
        <w:spacing w:after="0" w:line="264" w:lineRule="auto"/>
        <w:tabs>
          <w:tab w:leader="none" w:pos="1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the lesser of: (a) the fair value (as determined in good faith by a Senior Officer of the Company) of such assets at the date of determination; and (b) the principal amount of the Indebtedness secured by such Lien.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w:t>
      </w:r>
    </w:p>
    <w:p>
      <w:pPr>
        <w:spacing w:after="0" w:line="170"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means the Base Indenture, as supplemented by this Supplemental Indenture, governing the Notes, in each case, as amended, supplemented or restated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Participant</w:t>
      </w:r>
      <w:r>
        <w:rPr>
          <w:rFonts w:ascii="Arial" w:cs="Arial" w:eastAsia="Arial" w:hAnsi="Arial"/>
          <w:sz w:val="18"/>
          <w:szCs w:val="18"/>
          <w:color w:val="auto"/>
        </w:rPr>
        <w:t>” means a person who holds a beneficial interest in a Global Note through a Participant.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2024 Notes</w:t>
      </w:r>
      <w:r>
        <w:rPr>
          <w:rFonts w:ascii="Arial" w:cs="Arial" w:eastAsia="Arial" w:hAnsi="Arial"/>
          <w:sz w:val="17"/>
          <w:szCs w:val="17"/>
          <w:color w:val="auto"/>
        </w:rPr>
        <w:t>” means the $600,000,000 aggregate principal amount of 2024 Notes issued under this Supplemental Indenture on the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2026 Notes</w:t>
      </w:r>
      <w:r>
        <w:rPr>
          <w:rFonts w:ascii="Arial" w:cs="Arial" w:eastAsia="Arial" w:hAnsi="Arial"/>
          <w:sz w:val="17"/>
          <w:szCs w:val="17"/>
          <w:color w:val="auto"/>
        </w:rPr>
        <w:t>” means the $500,000,000 aggregate principal amount of 2026 Notes issued under this Supplemental Indenture on the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2029 Notes</w:t>
      </w:r>
      <w:r>
        <w:rPr>
          <w:rFonts w:ascii="Arial" w:cs="Arial" w:eastAsia="Arial" w:hAnsi="Arial"/>
          <w:sz w:val="17"/>
          <w:szCs w:val="17"/>
          <w:color w:val="auto"/>
        </w:rPr>
        <w:t>” means the $700,000,000 aggregate principal amount of 2029 Notes issued under this Supplemental Indenture on the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right="8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Grade</w:t>
      </w:r>
      <w:r>
        <w:rPr>
          <w:rFonts w:ascii="Arial" w:cs="Arial" w:eastAsia="Arial" w:hAnsi="Arial"/>
          <w:sz w:val="18"/>
          <w:szCs w:val="18"/>
          <w:color w:val="auto"/>
        </w:rPr>
        <w:t xml:space="preserve">” means </w:t>
      </w:r>
      <w:r>
        <w:rPr>
          <w:rFonts w:ascii="Arial" w:cs="Arial" w:eastAsia="Arial" w:hAnsi="Arial"/>
          <w:sz w:val="17"/>
          <w:szCs w:val="17"/>
          <w:color w:val="auto"/>
        </w:rPr>
        <w:t>a rating of BBB- or better by Fitch (or its equivalent under any successor rating categories of Fitch), Baa3 or better by</w:t>
      </w:r>
      <w:r>
        <w:rPr>
          <w:rFonts w:ascii="Arial" w:cs="Arial" w:eastAsia="Arial" w:hAnsi="Arial"/>
          <w:sz w:val="18"/>
          <w:szCs w:val="18"/>
          <w:color w:val="auto"/>
        </w:rPr>
        <w:t xml:space="preserve"> </w:t>
      </w:r>
      <w:r>
        <w:rPr>
          <w:rFonts w:ascii="Arial" w:cs="Arial" w:eastAsia="Arial" w:hAnsi="Arial"/>
          <w:sz w:val="17"/>
          <w:szCs w:val="17"/>
          <w:color w:val="auto"/>
        </w:rPr>
        <w:t>Moody’s (or its equivalent under any successor rating categories of Moody’s) and a rating of BBB- or better by S&amp;P (or its equivalent under any successor rating categories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S&amp;P) or the equivalent investment grade credit rating from any additional Rating Agency or Rating Agencies selected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the date hereof.</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jc w:val="both"/>
        <w:ind w:right="24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Lien</w:t>
      </w:r>
      <w:r>
        <w:rPr>
          <w:rFonts w:ascii="Arial" w:cs="Arial" w:eastAsia="Arial" w:hAnsi="Arial"/>
          <w:sz w:val="16"/>
          <w:szCs w:val="16"/>
          <w:color w:val="auto"/>
        </w:rPr>
        <w:t>” means any lien, security interest, mortgage, charge or similar encumbrance, provided, however, that in no event shall either (i) any legal or equitable encumbrances deemed to exist by reason of a negative pledge or (ii) an operating lease or a non-exclusive license be deemed to constitute a Lien.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Moody’s</w:t>
      </w:r>
      <w:r>
        <w:rPr>
          <w:rFonts w:ascii="Arial" w:cs="Arial" w:eastAsia="Arial" w:hAnsi="Arial"/>
          <w:sz w:val="18"/>
          <w:szCs w:val="18"/>
          <w:color w:val="auto"/>
        </w:rPr>
        <w:t xml:space="preserve">” means Moody’s Investors Service, Inc. </w:t>
      </w:r>
      <w:r>
        <w:rPr>
          <w:rFonts w:ascii="Arial" w:cs="Arial" w:eastAsia="Arial" w:hAnsi="Arial"/>
          <w:sz w:val="17"/>
          <w:szCs w:val="17"/>
          <w:color w:val="auto"/>
        </w:rPr>
        <w:t>and any successor to its rating agency business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Nonrecourse Obligation</w:t>
      </w:r>
      <w:r>
        <w:rPr>
          <w:rFonts w:ascii="Arial" w:cs="Arial" w:eastAsia="Arial" w:hAnsi="Arial"/>
          <w:sz w:val="18"/>
          <w:szCs w:val="18"/>
          <w:color w:val="auto"/>
        </w:rPr>
        <w:t>” means Indebtedness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Notes</w:t>
      </w:r>
      <w:r>
        <w:rPr>
          <w:rFonts w:ascii="Arial" w:cs="Arial" w:eastAsia="Arial" w:hAnsi="Arial"/>
          <w:sz w:val="18"/>
          <w:szCs w:val="18"/>
          <w:color w:val="auto"/>
        </w:rPr>
        <w:t>” means, collectively, the 2024 Notes, the 2026 Notes and the 2029 Notes.</w:t>
      </w:r>
    </w:p>
    <w:p>
      <w:pPr>
        <w:spacing w:after="0" w:line="225" w:lineRule="exact"/>
        <w:rPr>
          <w:sz w:val="20"/>
          <w:szCs w:val="20"/>
          <w:color w:val="auto"/>
        </w:rPr>
      </w:pPr>
    </w:p>
    <w:p>
      <w:pPr>
        <w:ind w:right="10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 Call Date</w:t>
      </w:r>
      <w:r>
        <w:rPr>
          <w:rFonts w:ascii="Arial" w:cs="Arial" w:eastAsia="Arial" w:hAnsi="Arial"/>
          <w:sz w:val="18"/>
          <w:szCs w:val="18"/>
          <w:color w:val="auto"/>
        </w:rPr>
        <w:t>” means (i) January 6, 2024, with respect to any 2024 Notes, (ii) December 6, 2025, with respect to any 2026 Notes and (iii) November 6, 2028, with respect to any 2029 Notes.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980" w:hanging="324"/>
        <w:spacing w:after="0" w:line="277" w:lineRule="auto"/>
        <w:tabs>
          <w:tab w:leader="none" w:pos="987"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 including the Existing Credit Facilities;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With respect to a Series of Notes, Liens granted after the Issue Date created in favor of the Holders of such Series of Notes;</w:t>
      </w:r>
    </w:p>
    <w:p>
      <w:pPr>
        <w:spacing w:after="0" w:line="225" w:lineRule="exact"/>
        <w:rPr>
          <w:rFonts w:ascii="Arial" w:cs="Arial" w:eastAsia="Arial" w:hAnsi="Arial"/>
          <w:sz w:val="18"/>
          <w:szCs w:val="18"/>
          <w:color w:val="auto"/>
        </w:rPr>
      </w:pPr>
    </w:p>
    <w:p>
      <w:pPr>
        <w:ind w:left="980" w:right="40" w:hanging="324"/>
        <w:spacing w:after="0" w:line="255" w:lineRule="auto"/>
        <w:tabs>
          <w:tab w:leader="none" w:pos="987" w:val="left"/>
        </w:tabs>
        <w:numPr>
          <w:ilvl w:val="0"/>
          <w:numId w:val="85"/>
        </w:numPr>
        <w:rPr>
          <w:rFonts w:ascii="Arial" w:cs="Arial" w:eastAsia="Arial" w:hAnsi="Arial"/>
          <w:sz w:val="18"/>
          <w:szCs w:val="18"/>
          <w:color w:val="auto"/>
        </w:rPr>
      </w:pPr>
      <w:r>
        <w:rPr>
          <w:rFonts w:ascii="Arial" w:cs="Arial" w:eastAsia="Arial" w:hAnsi="Arial"/>
          <w:sz w:val="18"/>
          <w:szCs w:val="18"/>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ind w:left="324" w:hanging="324"/>
        <w:spacing w:after="0" w:line="272" w:lineRule="auto"/>
        <w:tabs>
          <w:tab w:leader="none" w:pos="331" w:val="left"/>
        </w:tabs>
        <w:numPr>
          <w:ilvl w:val="0"/>
          <w:numId w:val="86"/>
        </w:numPr>
        <w:rPr>
          <w:rFonts w:ascii="Arial" w:cs="Arial" w:eastAsia="Arial" w:hAnsi="Arial"/>
          <w:sz w:val="17"/>
          <w:szCs w:val="17"/>
          <w:color w:val="auto"/>
        </w:rPr>
      </w:pPr>
      <w:r>
        <w:rPr>
          <w:rFonts w:ascii="Arial" w:cs="Arial" w:eastAsia="Arial" w:hAnsi="Arial"/>
          <w:sz w:val="17"/>
          <w:szCs w:val="17"/>
          <w:color w:val="auto"/>
        </w:rPr>
        <w:t>Liens existing on any Principal Property at the time of acquisition of such Principal Property or Liens existing on shares of Capital Stock or assets of a person and its Subsidiaries prior to the time such person becomes a Restricted Subsidiary (or arising thereafter pursuant to contractual commitments entered into prior to acquiring such Principal Property or such shares of Capital Stock) (including acquisition through merger or consolidation) or at the time of such acquisition (or arising thereafter pursuant to contractual commitments entered into prior to such person becoming a Restricted Subsidiary) by the Company or any Subsidiary of the Company; provided that such Liens do not extend to (i) any Principal Property owned by the Company or any Restricted Subsidiary or (ii) shares of Capital Stock of any Restricted Subsidiary that, in each case, were not previously encumbered by such Liens;</w:t>
      </w:r>
    </w:p>
    <w:p>
      <w:pPr>
        <w:spacing w:after="0" w:line="177" w:lineRule="exact"/>
        <w:rPr>
          <w:rFonts w:ascii="Arial" w:cs="Arial" w:eastAsia="Arial" w:hAnsi="Arial"/>
          <w:sz w:val="17"/>
          <w:szCs w:val="17"/>
          <w:color w:val="auto"/>
        </w:rPr>
      </w:pPr>
    </w:p>
    <w:p>
      <w:pPr>
        <w:ind w:left="324" w:right="40" w:hanging="324"/>
        <w:spacing w:after="0" w:line="269" w:lineRule="auto"/>
        <w:tabs>
          <w:tab w:leader="none" w:pos="331"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Liens on the Equity Interests of any person, including any Joint Venture of the Company, and its Subsidiaries which, when such Liens arise, concurrently becomes a Restricted Subsidiary and Liens on Principal Property of such person, including any Joint Venture of the Company, and its Subsidiaries arising in connection with the purchase or acquisition thereof or of an interest therein by the Company or any of its Subsidiaries,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of the Company to secure Indebtedness contributed or advanced solely to that Joint Venture; provided that, in the case of each of the preceding clauses (a) and (b), such Liens do not extend to other Principal Property owned by the Company or any Restricted Subsidiary or shares of Capital Stock of a Restricted Subsidiary that, in each case, were not previously encumbered by such Liens;</w:t>
      </w:r>
    </w:p>
    <w:p>
      <w:pPr>
        <w:spacing w:after="0" w:line="182" w:lineRule="exact"/>
        <w:rPr>
          <w:rFonts w:ascii="Arial" w:cs="Arial" w:eastAsia="Arial" w:hAnsi="Arial"/>
          <w:sz w:val="17"/>
          <w:szCs w:val="17"/>
          <w:color w:val="auto"/>
        </w:rPr>
      </w:pPr>
    </w:p>
    <w:p>
      <w:pPr>
        <w:ind w:left="324" w:right="140" w:hanging="324"/>
        <w:spacing w:after="0" w:line="264" w:lineRule="auto"/>
        <w:tabs>
          <w:tab w:leader="none" w:pos="331"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81" w:lineRule="exact"/>
        <w:rPr>
          <w:rFonts w:ascii="Arial" w:cs="Arial" w:eastAsia="Arial" w:hAnsi="Arial"/>
          <w:sz w:val="18"/>
          <w:szCs w:val="18"/>
          <w:color w:val="auto"/>
        </w:rPr>
      </w:pPr>
    </w:p>
    <w:p>
      <w:pPr>
        <w:ind w:left="324" w:hanging="324"/>
        <w:spacing w:after="0"/>
        <w:tabs>
          <w:tab w:leader="none" w:pos="3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in favor of the Company or a Restricted Subsidiary of the Company;</w:t>
      </w:r>
    </w:p>
    <w:p>
      <w:pPr>
        <w:spacing w:after="0" w:line="225" w:lineRule="exact"/>
        <w:rPr>
          <w:rFonts w:ascii="Arial" w:cs="Arial" w:eastAsia="Arial" w:hAnsi="Arial"/>
          <w:sz w:val="18"/>
          <w:szCs w:val="18"/>
          <w:color w:val="auto"/>
        </w:rPr>
      </w:pPr>
    </w:p>
    <w:p>
      <w:pPr>
        <w:ind w:left="324" w:hanging="324"/>
        <w:spacing w:after="0" w:line="264" w:lineRule="auto"/>
        <w:tabs>
          <w:tab w:leader="none" w:pos="331"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(including Liens incident in the ordinary course of the construction or maintenance of Principal Property), and Liens in connection with legal proceedings;</w:t>
      </w:r>
    </w:p>
    <w:p>
      <w:pPr>
        <w:spacing w:after="0" w:line="181" w:lineRule="exact"/>
        <w:rPr>
          <w:rFonts w:ascii="Arial" w:cs="Arial" w:eastAsia="Arial" w:hAnsi="Arial"/>
          <w:sz w:val="18"/>
          <w:szCs w:val="18"/>
          <w:color w:val="auto"/>
        </w:rPr>
      </w:pPr>
    </w:p>
    <w:p>
      <w:pPr>
        <w:ind w:left="324" w:right="280" w:hanging="324"/>
        <w:spacing w:after="0" w:line="277" w:lineRule="auto"/>
        <w:tabs>
          <w:tab w:leader="none" w:pos="331"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0" w:lineRule="exact"/>
        <w:rPr>
          <w:rFonts w:ascii="Arial" w:cs="Arial" w:eastAsia="Arial" w:hAnsi="Arial"/>
          <w:sz w:val="18"/>
          <w:szCs w:val="18"/>
          <w:color w:val="auto"/>
        </w:rPr>
      </w:pPr>
    </w:p>
    <w:p>
      <w:pPr>
        <w:ind w:left="324" w:right="260" w:hanging="324"/>
        <w:spacing w:after="0" w:line="257" w:lineRule="auto"/>
        <w:tabs>
          <w:tab w:leader="none" w:pos="3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1440" w:gutter="0" w:footer="0" w:header="0"/>
        </w:sectPr>
      </w:pPr>
    </w:p>
    <w:bookmarkStart w:id="104" w:name="page105"/>
    <w:bookmarkEnd w:id="104"/>
    <w:p>
      <w:pPr>
        <w:ind w:left="980" w:right="180"/>
        <w:spacing w:after="0" w:line="277" w:lineRule="auto"/>
        <w:rPr>
          <w:sz w:val="20"/>
          <w:szCs w:val="20"/>
          <w:color w:val="auto"/>
        </w:rPr>
      </w:pPr>
      <w:r>
        <w:rPr>
          <w:rFonts w:ascii="Arial" w:cs="Arial" w:eastAsia="Arial" w:hAnsi="Arial"/>
          <w:sz w:val="18"/>
          <w:szCs w:val="18"/>
          <w:color w:val="auto"/>
        </w:rPr>
        <w:t>foregoing obligations or in connection with workers’ compensation, unemployment insurance or other types of social security or similar laws and regulations;</w:t>
      </w:r>
    </w:p>
    <w:p>
      <w:pPr>
        <w:spacing w:after="0" w:line="170" w:lineRule="exact"/>
        <w:rPr>
          <w:sz w:val="20"/>
          <w:szCs w:val="20"/>
          <w:color w:val="auto"/>
        </w:rPr>
      </w:pPr>
    </w:p>
    <w:p>
      <w:pPr>
        <w:ind w:left="980" w:right="120" w:hanging="324"/>
        <w:spacing w:after="0" w:line="279" w:lineRule="auto"/>
        <w:tabs>
          <w:tab w:leader="none" w:pos="976" w:val="left"/>
        </w:tabs>
        <w:numPr>
          <w:ilvl w:val="0"/>
          <w:numId w:val="87"/>
        </w:numPr>
        <w:rPr>
          <w:rFonts w:ascii="Arial" w:cs="Arial" w:eastAsia="Arial" w:hAnsi="Arial"/>
          <w:sz w:val="17"/>
          <w:szCs w:val="17"/>
          <w:color w:val="auto"/>
        </w:rPr>
      </w:pPr>
      <w:r>
        <w:rPr>
          <w:rFonts w:ascii="Arial" w:cs="Arial" w:eastAsia="Arial" w:hAnsi="Arial"/>
          <w:sz w:val="17"/>
          <w:szCs w:val="17"/>
          <w:color w:val="auto"/>
        </w:rPr>
        <w:t>Liens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w:t>
      </w:r>
    </w:p>
    <w:p>
      <w:pPr>
        <w:spacing w:after="0" w:line="171" w:lineRule="exact"/>
        <w:rPr>
          <w:rFonts w:ascii="Arial" w:cs="Arial" w:eastAsia="Arial" w:hAnsi="Arial"/>
          <w:sz w:val="17"/>
          <w:szCs w:val="17"/>
          <w:color w:val="auto"/>
        </w:rPr>
      </w:pPr>
    </w:p>
    <w:p>
      <w:pPr>
        <w:ind w:left="980" w:right="300" w:hanging="324"/>
        <w:spacing w:after="0" w:line="342" w:lineRule="auto"/>
        <w:tabs>
          <w:tab w:leader="none" w:pos="9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Liens created, incurred or assumed in connection with an industrial revenue bond, pollution control bond or similar financing between the Company or any of its Subsidiary and any federal, state or municipal government or other government body or quasi-governmental agency;</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Liens created in connection with the acquisition of assets or a project financed with, and created to secure a Nonrecourse Obligation; and</w:t>
      </w:r>
    </w:p>
    <w:p>
      <w:pPr>
        <w:spacing w:after="0" w:line="236" w:lineRule="exact"/>
        <w:rPr>
          <w:rFonts w:ascii="Arial" w:cs="Arial" w:eastAsia="Arial" w:hAnsi="Arial"/>
          <w:sz w:val="17"/>
          <w:szCs w:val="17"/>
          <w:color w:val="auto"/>
        </w:rPr>
      </w:pPr>
    </w:p>
    <w:p>
      <w:pPr>
        <w:ind w:left="980" w:right="80" w:hanging="324"/>
        <w:spacing w:after="0" w:line="272" w:lineRule="auto"/>
        <w:tabs>
          <w:tab w:leader="none" w:pos="983"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extension, renewal, substitution, reinstatement or replacement (or successive extensions, renewals, substitutions, reinstatements or replacements), in whole or in part, of any Lien referred to in this or the preceding clauses (1) through (13), and any Liens that secure an extension, renewal, reinstatement, replacement, refinancing or refunding (including any successive extensions, renewals, reinstatements, replacements,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or the preceding clauses (1) through (13).</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Property</w:t>
      </w:r>
      <w:r>
        <w:rPr>
          <w:rFonts w:ascii="Arial" w:cs="Arial" w:eastAsia="Arial" w:hAnsi="Arial"/>
          <w:sz w:val="18"/>
          <w:szCs w:val="18"/>
          <w:color w:val="auto"/>
        </w:rPr>
        <w:t xml:space="preserve">” </w:t>
      </w:r>
      <w:r>
        <w:rPr>
          <w:rFonts w:ascii="Arial" w:cs="Arial" w:eastAsia="Arial" w:hAnsi="Arial"/>
          <w:sz w:val="17"/>
          <w:szCs w:val="17"/>
          <w:color w:val="auto"/>
        </w:rPr>
        <w:t>means any single parcel (or group of contiguous parcels that comprise the same facility, office or plant) of real property or any</w:t>
      </w:r>
      <w:r>
        <w:rPr>
          <w:rFonts w:ascii="Arial" w:cs="Arial" w:eastAsia="Arial" w:hAnsi="Arial"/>
          <w:sz w:val="18"/>
          <w:szCs w:val="18"/>
          <w:color w:val="auto"/>
        </w:rPr>
        <w:t xml:space="preserve"> </w:t>
      </w:r>
      <w:r>
        <w:rPr>
          <w:rFonts w:ascii="Arial" w:cs="Arial" w:eastAsia="Arial" w:hAnsi="Arial"/>
          <w:sz w:val="17"/>
          <w:szCs w:val="17"/>
          <w:color w:val="auto"/>
        </w:rPr>
        <w:t>permanent improvement thereon (1) owned by the Company or any of its Subsidiaries located in the United States, including its principal corporate office, any manufacturing facility or plant, any research and development facility or any portion thereof and (2) having a net book value, as of the date of determination, in excess of 1% of Consolidated Net Tangible Assets. Notwithstanding the foregoing, (i) Principal Property does not include any property that the Board of Directors has determined not to be of material importance to the business conducted by the Company and its Subsidiaries, taken as a whole and (ii) Principal Property only includes personal property to the extent it becomes, and continues to be, a “fixture” within the meaning of Article 9 of the Uniform Commercial Code of the applicable real property.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means the Prospectus Supplement, dated as of February 4, 2019 and filed by the Company with the SEC on Form 424(b)</w:t>
      </w:r>
    </w:p>
    <w:p>
      <w:pPr>
        <w:spacing w:after="0" w:line="46" w:lineRule="exact"/>
        <w:rPr>
          <w:sz w:val="20"/>
          <w:szCs w:val="20"/>
          <w:color w:val="auto"/>
        </w:rPr>
      </w:pPr>
    </w:p>
    <w:p>
      <w:pPr>
        <w:ind w:right="380" w:firstLine="8"/>
        <w:spacing w:after="0" w:line="261"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 February 4, 2019, in connection with the issuance of the Notes, as modified by the free writing prospectus filed by the Company with the SEC on February 4, 2019.</w:t>
      </w:r>
    </w:p>
    <w:p>
      <w:pPr>
        <w:spacing w:after="0" w:line="184" w:lineRule="exact"/>
        <w:rPr>
          <w:sz w:val="20"/>
          <w:szCs w:val="20"/>
          <w:color w:val="auto"/>
        </w:rPr>
      </w:pPr>
    </w:p>
    <w:p>
      <w:pPr>
        <w:ind w:right="60" w:firstLine="648"/>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Rating Agency</w:t>
      </w:r>
      <w:r>
        <w:rPr>
          <w:rFonts w:ascii="Arial" w:cs="Arial" w:eastAsia="Arial" w:hAnsi="Arial"/>
          <w:sz w:val="17"/>
          <w:szCs w:val="17"/>
          <w:color w:val="auto"/>
        </w:rPr>
        <w:t xml:space="preserve">” </w:t>
      </w:r>
      <w:r>
        <w:rPr>
          <w:rFonts w:ascii="Arial" w:cs="Arial" w:eastAsia="Arial" w:hAnsi="Arial"/>
          <w:sz w:val="16"/>
          <w:szCs w:val="16"/>
          <w:color w:val="auto"/>
        </w:rPr>
        <w:t>means (1) each of Fitch, Moody’s and S&amp;P; and (2) if any of Fitch, Moody’s or S&amp;P ceases to rate the notes or fails to make a rating</w:t>
      </w:r>
      <w:r>
        <w:rPr>
          <w:rFonts w:ascii="Arial" w:cs="Arial" w:eastAsia="Arial" w:hAnsi="Arial"/>
          <w:sz w:val="17"/>
          <w:szCs w:val="17"/>
          <w:color w:val="auto"/>
        </w:rPr>
        <w:t xml:space="preserve"> </w:t>
      </w:r>
      <w:r>
        <w:rPr>
          <w:rFonts w:ascii="Arial" w:cs="Arial" w:eastAsia="Arial" w:hAnsi="Arial"/>
          <w:sz w:val="16"/>
          <w:szCs w:val="16"/>
          <w:color w:val="auto"/>
        </w:rPr>
        <w:t>of the notes publicly available for reasons outside of the Company’s control, a “nationally recognized statistical rating organization” within the meaning of Section 3(a)(62) of the Exchange Act, selected by the Company as a replacement agency for Fitch, Moody’s or S&amp;P, or all of them, as the case may be.</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05" w:name="page106"/>
    <w:bookmarkEnd w:id="105"/>
    <w:p>
      <w:pPr>
        <w:ind w:right="160"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w:t>
      </w:r>
      <w:r>
        <w:rPr>
          <w:rFonts w:ascii="Arial" w:cs="Arial" w:eastAsia="Arial" w:hAnsi="Arial"/>
          <w:sz w:val="18"/>
          <w:szCs w:val="18"/>
          <w:color w:val="auto"/>
        </w:rPr>
        <w:t xml:space="preserve">” </w:t>
      </w:r>
      <w:r>
        <w:rPr>
          <w:rFonts w:ascii="Arial" w:cs="Arial" w:eastAsia="Arial" w:hAnsi="Arial"/>
          <w:sz w:val="17"/>
          <w:szCs w:val="17"/>
          <w:color w:val="auto"/>
        </w:rPr>
        <w:t>means at least two primary U.S. Government securities dealers selected by the Company, which may include any of</w:t>
      </w:r>
      <w:r>
        <w:rPr>
          <w:rFonts w:ascii="Arial" w:cs="Arial" w:eastAsia="Arial" w:hAnsi="Arial"/>
          <w:sz w:val="18"/>
          <w:szCs w:val="18"/>
          <w:color w:val="auto"/>
        </w:rPr>
        <w:t xml:space="preserve"> </w:t>
      </w:r>
      <w:r>
        <w:rPr>
          <w:rFonts w:ascii="Arial" w:cs="Arial" w:eastAsia="Arial" w:hAnsi="Arial"/>
          <w:sz w:val="17"/>
          <w:szCs w:val="17"/>
          <w:color w:val="auto"/>
        </w:rPr>
        <w:t>Morgan Stanley &amp; Co. LLC, BNP Paribas Securities Corp. or Credit Suisse Securities (USA) LLC, and each of their respective successors and affiliates. If any of the foregoing shall cease to be a primary U.S. Government securities dealer, the Company will substitute another nationally recognized investment banking firm that is a primary U.S. Government securities dealer.</w:t>
      </w:r>
    </w:p>
    <w:p>
      <w:pPr>
        <w:spacing w:after="0" w:line="182" w:lineRule="exact"/>
        <w:rPr>
          <w:sz w:val="20"/>
          <w:szCs w:val="20"/>
          <w:color w:val="auto"/>
        </w:rPr>
      </w:pPr>
    </w:p>
    <w:p>
      <w:pPr>
        <w:ind w:right="14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Reference Treasury Dealer Quotation</w:t>
      </w:r>
      <w:r>
        <w:rPr>
          <w:rFonts w:ascii="Arial" w:cs="Arial" w:eastAsia="Arial" w:hAnsi="Arial"/>
          <w:sz w:val="18"/>
          <w:szCs w:val="18"/>
          <w:color w:val="auto"/>
        </w:rPr>
        <w:t xml:space="preserve">” </w:t>
      </w:r>
      <w:r>
        <w:rPr>
          <w:rFonts w:ascii="Arial" w:cs="Arial" w:eastAsia="Arial" w:hAnsi="Arial"/>
          <w:sz w:val="17"/>
          <w:szCs w:val="17"/>
          <w:color w:val="auto"/>
        </w:rPr>
        <w:t>means, on any redemption date, the arithmetic average, as determined by the Company, of the bid and asked</w:t>
      </w:r>
      <w:r>
        <w:rPr>
          <w:rFonts w:ascii="Arial" w:cs="Arial" w:eastAsia="Arial" w:hAnsi="Arial"/>
          <w:sz w:val="18"/>
          <w:szCs w:val="18"/>
          <w:color w:val="auto"/>
        </w:rPr>
        <w:t xml:space="preserve"> </w:t>
      </w:r>
      <w:r>
        <w:rPr>
          <w:rFonts w:ascii="Arial" w:cs="Arial" w:eastAsia="Arial" w:hAnsi="Arial"/>
          <w:sz w:val="17"/>
          <w:szCs w:val="17"/>
          <w:color w:val="auto"/>
        </w:rPr>
        <w:t>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7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Subsidiary</w:t>
      </w:r>
      <w:r>
        <w:rPr>
          <w:rFonts w:ascii="Arial" w:cs="Arial" w:eastAsia="Arial" w:hAnsi="Arial"/>
          <w:sz w:val="16"/>
          <w:szCs w:val="16"/>
          <w:color w:val="auto"/>
        </w:rPr>
        <w:t>” shall mean each Subsidiary of the Company (1) that is organized or existing under the laws of the United States, any state thereof or the District of Columbia other than any such Subsidiary that is a direct or indirect Subsidiary of one or more Foreign Subsidiaries of the Company,</w:t>
      </w:r>
    </w:p>
    <w:p>
      <w:pPr>
        <w:ind w:right="140" w:firstLine="8"/>
        <w:spacing w:after="0" w:line="255" w:lineRule="auto"/>
        <w:tabs>
          <w:tab w:leader="none" w:pos="2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that owns a Principal Property, and (3) at least 80% of the Voting Stock of which is owned by the Company or one or more Subsidiaries of which at least 80% of the Voting Stock is owned directly or indirectly by the Company, provided that, for purposes of the foregoing, any Voting Stock owned by a Subsidiary of the Company that is not a Restricted Subsidiary based on the foregoing clause (3) shall be excluded.</w:t>
      </w:r>
    </w:p>
    <w:p>
      <w:pPr>
        <w:spacing w:after="0" w:line="19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Remaining Scheduled Payments</w:t>
      </w:r>
      <w:r>
        <w:rPr>
          <w:rFonts w:ascii="Arial" w:cs="Arial" w:eastAsia="Arial" w:hAnsi="Arial"/>
          <w:sz w:val="17"/>
          <w:szCs w:val="17"/>
          <w:color w:val="auto"/>
        </w:rPr>
        <w:t xml:space="preserve">” means, with respect to any Notes being redeemed, the sum of the present values of the remaining scheduled payments of the principal and interest thereon </w:t>
      </w:r>
      <w:r>
        <w:rPr>
          <w:rFonts w:ascii="Arial" w:cs="Arial" w:eastAsia="Arial" w:hAnsi="Arial"/>
          <w:sz w:val="16"/>
          <w:szCs w:val="16"/>
          <w:color w:val="auto"/>
        </w:rPr>
        <w:t>that would be due if such Notes matured on the applicable Par Call Date (exclusive of interest accrued to the date</w:t>
      </w:r>
      <w:r>
        <w:rPr>
          <w:rFonts w:ascii="Arial" w:cs="Arial" w:eastAsia="Arial" w:hAnsi="Arial"/>
          <w:sz w:val="17"/>
          <w:szCs w:val="17"/>
          <w:color w:val="auto"/>
        </w:rPr>
        <w:t xml:space="preserve"> </w:t>
      </w:r>
      <w:r>
        <w:rPr>
          <w:rFonts w:ascii="Arial" w:cs="Arial" w:eastAsia="Arial" w:hAnsi="Arial"/>
          <w:sz w:val="16"/>
          <w:szCs w:val="16"/>
          <w:color w:val="auto"/>
        </w:rPr>
        <w:t>of redemption), discounted to the date of redemption on a semi-annual basis (assuming a 360-day year consisting of twelve 30-day months) at the then current Treasury Rate plus 35 basis points for the 2024 Notes, 40 basis points for the 2026 Notes and 40 basis points for the 2029 Notes</w:t>
      </w:r>
      <w:r>
        <w:rPr>
          <w:rFonts w:ascii="Arial" w:cs="Arial" w:eastAsia="Arial" w:hAnsi="Arial"/>
          <w:sz w:val="17"/>
          <w:szCs w:val="17"/>
          <w:color w:val="auto"/>
        </w:rPr>
        <w: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S&amp;P</w:t>
      </w:r>
      <w:r>
        <w:rPr>
          <w:rFonts w:ascii="Arial" w:cs="Arial" w:eastAsia="Arial" w:hAnsi="Arial"/>
          <w:sz w:val="18"/>
          <w:szCs w:val="18"/>
          <w:color w:val="auto"/>
        </w:rPr>
        <w:t xml:space="preserve">” </w:t>
      </w:r>
      <w:r>
        <w:rPr>
          <w:rFonts w:ascii="Arial" w:cs="Arial" w:eastAsia="Arial" w:hAnsi="Arial"/>
          <w:sz w:val="17"/>
          <w:szCs w:val="17"/>
          <w:color w:val="auto"/>
        </w:rPr>
        <w:t>means S&amp;P Global Ratings, and any successor to its rating agency business.</w:t>
      </w:r>
    </w:p>
    <w:p>
      <w:pPr>
        <w:spacing w:after="0" w:line="225" w:lineRule="exact"/>
        <w:rPr>
          <w:sz w:val="20"/>
          <w:szCs w:val="20"/>
          <w:color w:val="auto"/>
        </w:rPr>
      </w:pPr>
    </w:p>
    <w:p>
      <w:pPr>
        <w:ind w:right="120"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Sale and Lease Back Transaction</w:t>
      </w:r>
      <w:r>
        <w:rPr>
          <w:rFonts w:ascii="Arial" w:cs="Arial" w:eastAsia="Arial" w:hAnsi="Arial"/>
          <w:sz w:val="18"/>
          <w:szCs w:val="18"/>
          <w:color w:val="auto"/>
        </w:rPr>
        <w:t xml:space="preserve">” </w:t>
      </w:r>
      <w:r>
        <w:rPr>
          <w:rFonts w:ascii="Arial" w:cs="Arial" w:eastAsia="Arial" w:hAnsi="Arial"/>
          <w:sz w:val="17"/>
          <w:szCs w:val="17"/>
          <w:color w:val="auto"/>
        </w:rPr>
        <w:t>means an arrangement with any lender or investor or to which such lender or investor is a party providing for the</w:t>
      </w:r>
      <w:r>
        <w:rPr>
          <w:rFonts w:ascii="Arial" w:cs="Arial" w:eastAsia="Arial" w:hAnsi="Arial"/>
          <w:sz w:val="18"/>
          <w:szCs w:val="18"/>
          <w:color w:val="auto"/>
        </w:rPr>
        <w:t xml:space="preserve"> </w:t>
      </w:r>
      <w:r>
        <w:rPr>
          <w:rFonts w:ascii="Arial" w:cs="Arial" w:eastAsia="Arial" w:hAnsi="Arial"/>
          <w:sz w:val="17"/>
          <w:szCs w:val="17"/>
          <w:color w:val="auto"/>
        </w:rPr>
        <w:t>leasing by the Company or any Subsidiary of the Company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of the Company to such lender or investor or to any person to whom funds have been or are to be advanced by such lender on the security of such Principal Property.</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w:t>
      </w:r>
      <w:r>
        <w:rPr>
          <w:rFonts w:ascii="Arial" w:cs="Arial" w:eastAsia="Arial" w:hAnsi="Arial"/>
          <w:sz w:val="18"/>
          <w:szCs w:val="18"/>
          <w:color w:val="auto"/>
        </w:rPr>
        <w:t xml:space="preserve">” shall have the meaning assigned to it in the Base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each of the 2024 Notes, the 2026 Notes and the 2029 Notes is a separate Series of Notes under, and for all purposes of, the Base Indenture and this Supplemental Indenture (including with respect to payments of principal and interest, redemptions, offers to purchase, consenting to certain amendments to the Indenture and the Notes and waiving or rescinding Events of Default).</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or any combination thereof. Unless otherwise indicated, the term “Subsidiary” refers to a Subsidiary of the Company.</w:t>
      </w:r>
    </w:p>
    <w:p>
      <w:pPr>
        <w:spacing w:after="0" w:line="225"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means this First Supplemental Indenture, dated as of the date hereof, by and between the Company and the Trustee, governing the Notes, as it may be amended, supplemented or otherwise modified from time to time in accordance with the Base Indenture and the terms hereof.</w:t>
      </w:r>
    </w:p>
    <w:p>
      <w:pPr>
        <w:spacing w:after="0" w:line="181" w:lineRule="exact"/>
        <w:rPr>
          <w:sz w:val="20"/>
          <w:szCs w:val="20"/>
          <w:color w:val="auto"/>
        </w:rPr>
      </w:pPr>
    </w:p>
    <w:p>
      <w:pPr>
        <w:ind w:right="140"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Rate</w:t>
      </w:r>
      <w:r>
        <w:rPr>
          <w:rFonts w:ascii="Arial" w:cs="Arial" w:eastAsia="Arial" w:hAnsi="Arial"/>
          <w:sz w:val="18"/>
          <w:szCs w:val="18"/>
          <w:color w:val="auto"/>
        </w:rPr>
        <w:t xml:space="preserve">” </w:t>
      </w:r>
      <w:r>
        <w:rPr>
          <w:rFonts w:ascii="Arial" w:cs="Arial" w:eastAsia="Arial" w:hAnsi="Arial"/>
          <w:sz w:val="17"/>
          <w:szCs w:val="17"/>
          <w:color w:val="auto"/>
        </w:rPr>
        <w:t>means, with respect to any redemption date, the rate per annum equal to the semi-annual equivalent yield to maturity (computed as of</w:t>
      </w:r>
      <w:r>
        <w:rPr>
          <w:rFonts w:ascii="Arial" w:cs="Arial" w:eastAsia="Arial" w:hAnsi="Arial"/>
          <w:sz w:val="18"/>
          <w:szCs w:val="18"/>
          <w:color w:val="auto"/>
        </w:rPr>
        <w:t xml:space="preserve"> </w:t>
      </w:r>
      <w:r>
        <w:rPr>
          <w:rFonts w:ascii="Arial" w:cs="Arial" w:eastAsia="Arial" w:hAnsi="Arial"/>
          <w:sz w:val="17"/>
          <w:szCs w:val="17"/>
          <w:color w:val="auto"/>
        </w:rPr>
        <w:t>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79" w:lineRule="exact"/>
        <w:rPr>
          <w:sz w:val="20"/>
          <w:szCs w:val="20"/>
          <w:color w:val="auto"/>
        </w:rPr>
      </w:pPr>
    </w:p>
    <w:p>
      <w:pPr>
        <w:ind w:right="360" w:firstLine="689"/>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Voting Stock</w:t>
      </w:r>
      <w:r>
        <w:rPr>
          <w:rFonts w:ascii="Arial" w:cs="Arial" w:eastAsia="Arial" w:hAnsi="Arial"/>
          <w:sz w:val="17"/>
          <w:szCs w:val="17"/>
          <w:color w:val="auto"/>
        </w:rPr>
        <w:t xml:space="preserve">” </w:t>
      </w:r>
      <w:r>
        <w:rPr>
          <w:rFonts w:ascii="Arial" w:cs="Arial" w:eastAsia="Arial" w:hAnsi="Arial"/>
          <w:sz w:val="16"/>
          <w:szCs w:val="16"/>
          <w:color w:val="auto"/>
        </w:rPr>
        <w:t>of a person means all classes of capital stock or other interests (including partnership interests) of such person then outstanding and</w:t>
      </w:r>
      <w:r>
        <w:rPr>
          <w:rFonts w:ascii="Arial" w:cs="Arial" w:eastAsia="Arial" w:hAnsi="Arial"/>
          <w:sz w:val="17"/>
          <w:szCs w:val="17"/>
          <w:color w:val="auto"/>
        </w:rPr>
        <w:t xml:space="preserve"> </w:t>
      </w:r>
      <w:r>
        <w:rPr>
          <w:rFonts w:ascii="Arial" w:cs="Arial" w:eastAsia="Arial" w:hAnsi="Arial"/>
          <w:sz w:val="16"/>
          <w:szCs w:val="16"/>
          <w:color w:val="auto"/>
        </w:rPr>
        <w:t>normally entitled (without regard to the occurrence of any contingency) to vote in the election of directors, managers or trustees thereof.</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Definitions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Term</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Defined in</w:t>
            </w:r>
          </w:p>
        </w:tc>
        <w:tc>
          <w:tcPr>
            <w:tcW w:w="0" w:type="dxa"/>
            <w:vAlign w:val="bottom"/>
          </w:tcPr>
          <w:p>
            <w:pPr>
              <w:spacing w:after="0"/>
              <w:rPr>
                <w:sz w:val="1"/>
                <w:szCs w:val="1"/>
                <w:color w:val="auto"/>
              </w:rPr>
            </w:pPr>
          </w:p>
        </w:tc>
      </w:tr>
      <w:tr>
        <w:trPr>
          <w:trHeight w:val="171"/>
        </w:trPr>
        <w:tc>
          <w:tcPr>
            <w:tcW w:w="994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Section</w:t>
            </w:r>
          </w:p>
        </w:tc>
        <w:tc>
          <w:tcPr>
            <w:tcW w:w="0" w:type="dxa"/>
            <w:vAlign w:val="bottom"/>
          </w:tcPr>
          <w:p>
            <w:pPr>
              <w:spacing w:after="0"/>
              <w:rPr>
                <w:sz w:val="1"/>
                <w:szCs w:val="1"/>
                <w:color w:val="auto"/>
              </w:rPr>
            </w:pPr>
          </w:p>
        </w:tc>
      </w:tr>
      <w:tr>
        <w:trPr>
          <w:trHeight w:val="210"/>
        </w:trPr>
        <w:tc>
          <w:tcPr>
            <w:tcW w:w="9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“Offer to Purchase”</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“Change of Control Purchase Price”</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of Control Purchase Date”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“DTC”</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“Expiration Date”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gridSpan w:val="2"/>
          </w:tcPr>
          <w:p>
            <w:pPr>
              <w:spacing w:after="0"/>
              <w:rPr>
                <w:sz w:val="20"/>
                <w:szCs w:val="20"/>
                <w:color w:val="auto"/>
              </w:rPr>
            </w:pPr>
            <w:r>
              <w:rPr>
                <w:rFonts w:ascii="Arial" w:cs="Arial" w:eastAsia="Arial" w:hAnsi="Arial"/>
                <w:sz w:val="18"/>
                <w:szCs w:val="18"/>
                <w:i w:val="1"/>
                <w:iCs w:val="1"/>
                <w:color w:val="auto"/>
              </w:rPr>
              <w:t>“Second Change of Control Purchase Date”</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NOTES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i w:val="1"/>
          <w:iCs w:val="1"/>
          <w:color w:val="auto"/>
        </w:rPr>
        <w:t>Form and Dating</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7" w:lineRule="auto"/>
        <w:tabs>
          <w:tab w:leader="none" w:pos="1942"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2024 Notes and the Trustee’s certificate of authentication with respect thereto will be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2026 Notes and the Trustee’s certificate of authentication with respect thereto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2029 Notes and the Trustee’s certificate of authentication with respect thereto will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Notes may have notations, legends or endorsements required by law, stock exchange rule or usage. Each Note will be dated the date of its authentication. The Notes will be in minimum denominations of $2,000 with integral multiples of $1,000 in excess thereof.</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ind w:left="1960" w:hanging="655"/>
        <w:spacing w:after="0"/>
        <w:tabs>
          <w:tab w:leader="none" w:pos="196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Global Notes.</w:t>
      </w:r>
    </w:p>
    <w:p>
      <w:pPr>
        <w:spacing w:after="0" w:line="225" w:lineRule="exact"/>
        <w:rPr>
          <w:rFonts w:ascii="Arial" w:cs="Arial" w:eastAsia="Arial" w:hAnsi="Arial"/>
          <w:sz w:val="18"/>
          <w:szCs w:val="18"/>
          <w:color w:val="auto"/>
        </w:rPr>
      </w:pPr>
    </w:p>
    <w:p>
      <w:pPr>
        <w:ind w:firstLine="1953"/>
        <w:spacing w:after="0" w:line="264" w:lineRule="auto"/>
        <w:tabs>
          <w:tab w:leader="none" w:pos="2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2024 Notes issued in global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(including the Global Note Legend thereon). 2024 Notes issued in definitive form will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(but without the Global Note Legend thereon).</w:t>
      </w:r>
    </w:p>
    <w:p>
      <w:pPr>
        <w:spacing w:after="0" w:line="181" w:lineRule="exact"/>
        <w:rPr>
          <w:rFonts w:ascii="Arial" w:cs="Arial" w:eastAsia="Arial" w:hAnsi="Arial"/>
          <w:sz w:val="18"/>
          <w:szCs w:val="18"/>
          <w:color w:val="auto"/>
        </w:rPr>
      </w:pPr>
    </w:p>
    <w:p>
      <w:pPr>
        <w:ind w:firstLine="1953"/>
        <w:spacing w:after="0" w:line="264" w:lineRule="auto"/>
        <w:tabs>
          <w:tab w:leader="none" w:pos="2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2026 Notes issued in global form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(including the Global Note Legend thereon). 2026 Notes issued in definitive form will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(but without the Global Note Legend thereon).</w:t>
      </w:r>
    </w:p>
    <w:p>
      <w:pPr>
        <w:spacing w:after="0" w:line="181" w:lineRule="exact"/>
        <w:rPr>
          <w:rFonts w:ascii="Arial" w:cs="Arial" w:eastAsia="Arial" w:hAnsi="Arial"/>
          <w:sz w:val="18"/>
          <w:szCs w:val="18"/>
          <w:color w:val="auto"/>
        </w:rPr>
      </w:pPr>
    </w:p>
    <w:p>
      <w:pPr>
        <w:ind w:firstLine="1953"/>
        <w:spacing w:after="0" w:line="264" w:lineRule="auto"/>
        <w:tabs>
          <w:tab w:leader="none" w:pos="26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2029 Notes issued in global form will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(including the Global Note Legend thereon). 2029 Notes issued in definitive form will be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(but without the Global Note Legend thereon).</w:t>
      </w:r>
    </w:p>
    <w:p>
      <w:pPr>
        <w:spacing w:after="0" w:line="181" w:lineRule="exact"/>
        <w:rPr>
          <w:rFonts w:ascii="Arial" w:cs="Arial" w:eastAsia="Arial" w:hAnsi="Arial"/>
          <w:sz w:val="18"/>
          <w:szCs w:val="18"/>
          <w:color w:val="auto"/>
        </w:rPr>
      </w:pPr>
    </w:p>
    <w:p>
      <w:pPr>
        <w:ind w:firstLine="1953"/>
        <w:spacing w:after="0" w:line="293" w:lineRule="auto"/>
        <w:tabs>
          <w:tab w:leader="none" w:pos="26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to act as Depositary with respect to the Global Notes.</w:t>
      </w:r>
    </w:p>
    <w:p>
      <w:pPr>
        <w:spacing w:after="0" w:line="16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i w:val="1"/>
          <w:iCs w:val="1"/>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305"/>
        <w:spacing w:after="0" w:line="259" w:lineRule="auto"/>
        <w:tabs>
          <w:tab w:leader="none" w:pos="1942"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Transfer and Exchange of Global Notes</w:t>
      </w:r>
      <w:r>
        <w:rPr>
          <w:rFonts w:ascii="Arial" w:cs="Arial" w:eastAsia="Arial" w:hAnsi="Arial"/>
          <w:sz w:val="18"/>
          <w:szCs w:val="18"/>
          <w:color w:val="auto"/>
        </w:rPr>
        <w:t>. A Global Note may not be transferred as a whole except by the Depositary to a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Depositary, by a nominee of the Depositary to the Depositary or to another nominee of the Depositary, or by the Depositary or any such nominee to a successor Depositary or a nominee of such successor Depositary. All Global Notes of a Series hereunder will be exchanged by the Company for Definitive Notes of the same Series if, with respect to such Series of Notes:</w:t>
      </w:r>
    </w:p>
    <w:p>
      <w:pPr>
        <w:spacing w:after="0" w:line="187" w:lineRule="exact"/>
        <w:rPr>
          <w:sz w:val="20"/>
          <w:szCs w:val="20"/>
          <w:color w:val="auto"/>
        </w:rPr>
      </w:pPr>
    </w:p>
    <w:p>
      <w:pPr>
        <w:ind w:firstLine="1305"/>
        <w:spacing w:after="0" w:line="264" w:lineRule="auto"/>
        <w:tabs>
          <w:tab w:leader="none" w:pos="19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w:t>
      </w:r>
    </w:p>
    <w:p>
      <w:pPr>
        <w:spacing w:after="0" w:line="181" w:lineRule="exact"/>
        <w:rPr>
          <w:rFonts w:ascii="Arial" w:cs="Arial" w:eastAsia="Arial" w:hAnsi="Arial"/>
          <w:sz w:val="18"/>
          <w:szCs w:val="18"/>
          <w:color w:val="auto"/>
        </w:rPr>
      </w:pPr>
    </w:p>
    <w:p>
      <w:pPr>
        <w:ind w:right="60" w:firstLine="1305"/>
        <w:spacing w:after="0" w:line="277" w:lineRule="auto"/>
        <w:tabs>
          <w:tab w:leader="none" w:pos="195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Event of Default has occurred and the Trustee has received a written request from DTC that the Global Notes of such Series (in whole but not in part) should be exchanged for Definitive Notes;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in its sole discretion and subject to the procedures of the Depositary determines that the Global Notes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 (in whole but not in part) should be exchanged for Definitive Notes and delivers a written notice to such effect to the Trustee.</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Upon the occurrence of either of the preceding events in (1), (2) or (3) above with respect to a Series of Notes hereunder, Definitive Notes will be issued for such Series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8" w:name="page109"/>
    <w:bookmarkEnd w:id="108"/>
    <w:p>
      <w:pPr>
        <w:ind w:right="20"/>
        <w:spacing w:after="0" w:line="277" w:lineRule="auto"/>
        <w:rPr>
          <w:sz w:val="20"/>
          <w:szCs w:val="20"/>
          <w:color w:val="auto"/>
        </w:rPr>
      </w:pPr>
      <w:r>
        <w:rPr>
          <w:rFonts w:ascii="Arial" w:cs="Arial" w:eastAsia="Arial" w:hAnsi="Arial"/>
          <w:sz w:val="18"/>
          <w:szCs w:val="18"/>
          <w:color w:val="auto"/>
        </w:rPr>
        <w:t>for another Note other than as provided in this Section 2.2(a); however, beneficial interests in a Global Note may be transferred and exchanged as provided in Sections 2.2(b) or (f) hereof.</w:t>
      </w:r>
    </w:p>
    <w:p>
      <w:pPr>
        <w:spacing w:after="0" w:line="170" w:lineRule="exact"/>
        <w:rPr>
          <w:sz w:val="20"/>
          <w:szCs w:val="20"/>
          <w:color w:val="auto"/>
        </w:rPr>
      </w:pPr>
    </w:p>
    <w:p>
      <w:pPr>
        <w:jc w:val="both"/>
        <w:ind w:right="100" w:firstLine="1305"/>
        <w:spacing w:after="0" w:line="259" w:lineRule="auto"/>
        <w:tabs>
          <w:tab w:leader="none" w:pos="1952"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Transfer and Exchange of Beneficial Interests in the Global Notes</w:t>
      </w:r>
      <w:r>
        <w:rPr>
          <w:rFonts w:ascii="Arial" w:cs="Arial" w:eastAsia="Arial" w:hAnsi="Arial"/>
          <w:sz w:val="18"/>
          <w:szCs w:val="18"/>
          <w:color w:val="auto"/>
        </w:rPr>
        <w:t>. The transfer and exchange of beneficial interests in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w:t>
      </w:r>
    </w:p>
    <w:p>
      <w:pPr>
        <w:spacing w:after="0" w:line="186" w:lineRule="exact"/>
        <w:rPr>
          <w:rFonts w:ascii="Arial" w:cs="Arial" w:eastAsia="Arial" w:hAnsi="Arial"/>
          <w:sz w:val="18"/>
          <w:szCs w:val="18"/>
          <w:color w:val="auto"/>
        </w:rPr>
      </w:pPr>
    </w:p>
    <w:p>
      <w:pPr>
        <w:ind w:right="20" w:firstLine="1953"/>
        <w:spacing w:after="0" w:line="264" w:lineRule="auto"/>
        <w:tabs>
          <w:tab w:leader="none" w:pos="2600"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Transfer of Beneficial Interests in the Same Global Note</w:t>
      </w:r>
      <w:r>
        <w:rPr>
          <w:rFonts w:ascii="Arial" w:cs="Arial" w:eastAsia="Arial" w:hAnsi="Arial"/>
          <w:sz w:val="18"/>
          <w:szCs w:val="18"/>
          <w:color w:val="auto"/>
        </w:rPr>
        <w:t>. Beneficial interests in any Global Note may be transferred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who take delivery thereof in the form of a beneficial interest in a Global Note. No written orders or instructions will be required to be delivered to the Registrar to effect the transfers described in this Section 2.2(b)(1).</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600"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All Other Transfers and Exchanges of Beneficial Interests in Global Notes</w:t>
      </w:r>
      <w:r>
        <w:rPr>
          <w:rFonts w:ascii="Arial" w:cs="Arial" w:eastAsia="Arial" w:hAnsi="Arial"/>
          <w:sz w:val="18"/>
          <w:szCs w:val="18"/>
          <w:color w:val="auto"/>
        </w:rPr>
        <w:t>. In connection with all transfers and exchanges</w:t>
      </w:r>
      <w:r>
        <w:rPr>
          <w:rFonts w:ascii="Arial" w:cs="Arial" w:eastAsia="Arial" w:hAnsi="Arial"/>
          <w:sz w:val="18"/>
          <w:szCs w:val="18"/>
          <w:i w:val="1"/>
          <w:iCs w:val="1"/>
          <w:color w:val="auto"/>
        </w:rPr>
        <w:t xml:space="preserve"> </w:t>
      </w:r>
      <w:r>
        <w:rPr>
          <w:rFonts w:ascii="Arial" w:cs="Arial" w:eastAsia="Arial" w:hAnsi="Arial"/>
          <w:sz w:val="18"/>
          <w:szCs w:val="18"/>
          <w:color w:val="auto"/>
        </w:rPr>
        <w:t>of beneficial interests with respect to a Series of Notes that are not subject to Section 2.2(b)(1) above, the transferor of such beneficial interest must deliver to the Registrar:</w:t>
      </w:r>
    </w:p>
    <w:p>
      <w:pPr>
        <w:spacing w:after="0" w:line="181" w:lineRule="exact"/>
        <w:rPr>
          <w:rFonts w:ascii="Arial" w:cs="Arial" w:eastAsia="Arial" w:hAnsi="Arial"/>
          <w:sz w:val="18"/>
          <w:szCs w:val="18"/>
          <w:color w:val="auto"/>
        </w:rPr>
      </w:pPr>
    </w:p>
    <w:p>
      <w:pPr>
        <w:ind w:right="460" w:firstLine="2601"/>
        <w:spacing w:after="0" w:line="264" w:lineRule="auto"/>
        <w:tabs>
          <w:tab w:leader="none" w:pos="3263" w:val="left"/>
        </w:tabs>
        <w:numPr>
          <w:ilvl w:val="2"/>
          <w:numId w:val="94"/>
        </w:numPr>
        <w:rPr>
          <w:rFonts w:ascii="Arial" w:cs="Arial" w:eastAsia="Arial" w:hAnsi="Arial"/>
          <w:sz w:val="18"/>
          <w:szCs w:val="18"/>
          <w:color w:val="auto"/>
        </w:rPr>
      </w:pPr>
      <w:r>
        <w:rPr>
          <w:rFonts w:ascii="Arial" w:cs="Arial" w:eastAsia="Arial" w:hAnsi="Arial"/>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1" w:lineRule="exact"/>
        <w:rPr>
          <w:rFonts w:ascii="Arial" w:cs="Arial" w:eastAsia="Arial" w:hAnsi="Arial"/>
          <w:sz w:val="18"/>
          <w:szCs w:val="18"/>
          <w:color w:val="auto"/>
        </w:rPr>
      </w:pPr>
    </w:p>
    <w:p>
      <w:pPr>
        <w:ind w:right="760" w:firstLine="2601"/>
        <w:spacing w:after="0" w:line="277" w:lineRule="auto"/>
        <w:tabs>
          <w:tab w:leader="none" w:pos="3272"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instructions given in accordance with the Applicable Procedures containing information regarding the Participant account to be credited with such increase.</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With respect to a Series of Notes hereunder, upon satisfaction of all of the requirements for transfer or exchange of beneficial interests in Global Notes contained in this Supplemental Indenture and the Notes of such Series, as evidenced by an Officer’s Certificate delivered to the Trustee, the Trustee will adjust the principal amount of the relevant Global Note(s) pursuant to Section 2.2(f) hereof.</w:t>
      </w:r>
    </w:p>
    <w:p>
      <w:pPr>
        <w:spacing w:after="0" w:line="181" w:lineRule="exact"/>
        <w:rPr>
          <w:sz w:val="20"/>
          <w:szCs w:val="20"/>
          <w:color w:val="auto"/>
        </w:rPr>
      </w:pPr>
    </w:p>
    <w:p>
      <w:pPr>
        <w:ind w:left="1960" w:hanging="655"/>
        <w:spacing w:after="0"/>
        <w:tabs>
          <w:tab w:leader="none" w:pos="196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Beneficial Interests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Holder of a Definitive Note may exchange such Note for a beneficial interest in a Global Note of the same Series or transfer such Definitive Notes to a person who takes delivery thereof in the form of a beneficial interest in a Global Note of the same Series at any time. Upon receipt of a request for such an exchange or transfer, the Trustee will cancel the applicable Definitive Note and increase, or cause to be increased, the aggregate principal amount of one of the applicable Global Notes.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with respect to a Series of Notes, any such exchange or transfer from a Definitive Note to a beneficial interest is effected pursuant to the previous paragraph at a time when a Global Note of the same Series has not yet been issued, the Company will issue and, upon receipt of a Company Order, the Trustee will authenticate one or more Global Notes of such Series in an aggregate principal amount equal to the principal amount of Definitive Notes so transferred.</w:t>
      </w:r>
    </w:p>
    <w:p>
      <w:pPr>
        <w:spacing w:after="0" w:line="187" w:lineRule="exact"/>
        <w:rPr>
          <w:sz w:val="20"/>
          <w:szCs w:val="20"/>
          <w:color w:val="auto"/>
        </w:rPr>
      </w:pPr>
    </w:p>
    <w:p>
      <w:pPr>
        <w:ind w:right="60" w:firstLine="1305"/>
        <w:spacing w:after="0" w:line="259" w:lineRule="auto"/>
        <w:tabs>
          <w:tab w:leader="none" w:pos="1952"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Transfer and Exchange of Definitive Notes for Definitive Notes</w:t>
      </w:r>
      <w:r>
        <w:rPr>
          <w:rFonts w:ascii="Arial" w:cs="Arial" w:eastAsia="Arial" w:hAnsi="Arial"/>
          <w:sz w:val="18"/>
          <w:szCs w:val="18"/>
          <w:color w:val="auto"/>
        </w:rPr>
        <w:t>. A Holder of Definitive Notes may transfer such Notes to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who takes delivery thereof in the form of a Definitive Note of the same Series.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09" w:name="page110"/>
    <w:bookmarkEnd w:id="109"/>
    <w:p>
      <w:pPr>
        <w:ind w:right="240"/>
        <w:spacing w:after="0" w:line="264" w:lineRule="auto"/>
        <w:rPr>
          <w:sz w:val="20"/>
          <w:szCs w:val="20"/>
          <w:color w:val="auto"/>
        </w:rPr>
      </w:pPr>
      <w:r>
        <w:rPr>
          <w:rFonts w:ascii="Arial" w:cs="Arial" w:eastAsia="Arial" w:hAnsi="Arial"/>
          <w:sz w:val="18"/>
          <w:szCs w:val="18"/>
          <w:color w:val="auto"/>
        </w:rPr>
        <w:t>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w:t>
      </w:r>
    </w:p>
    <w:p>
      <w:pPr>
        <w:spacing w:after="0" w:line="181" w:lineRule="exact"/>
        <w:rPr>
          <w:sz w:val="20"/>
          <w:szCs w:val="20"/>
          <w:color w:val="auto"/>
        </w:rPr>
      </w:pPr>
    </w:p>
    <w:p>
      <w:pPr>
        <w:ind w:right="520" w:firstLine="1305"/>
        <w:spacing w:after="0" w:line="277" w:lineRule="auto"/>
        <w:tabs>
          <w:tab w:leader="none" w:pos="1955"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Legends</w:t>
      </w:r>
      <w:r>
        <w:rPr>
          <w:rFonts w:ascii="Arial" w:cs="Arial" w:eastAsia="Arial" w:hAnsi="Arial"/>
          <w:sz w:val="18"/>
          <w:szCs w:val="18"/>
          <w:color w:val="auto"/>
        </w:rPr>
        <w:t>. The following legends will appear on the face of all Global Notes issued under this Supplemental Indenture unless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stated otherwise in the applicable provisions of this Supplemental Indenture.</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(IV) THIS GLOBAL NOTE MAY BE TRANSFERRED TO A SUCCESSOR DEPOSITARY WITH THE PRIOR WRITTEN CONSENT OF THE COMPANY HEREINAFTER REFERRED TO.</w:t>
      </w:r>
    </w:p>
    <w:p>
      <w:pPr>
        <w:spacing w:after="0" w:line="18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p>
      <w:pPr>
        <w:ind w:right="20" w:firstLine="1305"/>
        <w:spacing w:after="0" w:line="255" w:lineRule="auto"/>
        <w:tabs>
          <w:tab w:leader="none" w:pos="1949"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Cancellation and/or Adjustment of Global Notes</w:t>
      </w:r>
      <w:r>
        <w:rPr>
          <w:rFonts w:ascii="Arial" w:cs="Arial" w:eastAsia="Arial" w:hAnsi="Arial"/>
          <w:sz w:val="18"/>
          <w:szCs w:val="18"/>
          <w:color w:val="auto"/>
        </w:rPr>
        <w:t>. At such time as all beneficial interests in a particular Global Note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of the same Series,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ind w:right="60"/>
        <w:spacing w:after="0" w:line="308" w:lineRule="auto"/>
        <w:rPr>
          <w:sz w:val="20"/>
          <w:szCs w:val="20"/>
          <w:color w:val="auto"/>
        </w:rPr>
      </w:pPr>
      <w:r>
        <w:rPr>
          <w:rFonts w:ascii="Arial" w:cs="Arial" w:eastAsia="Arial" w:hAnsi="Arial"/>
          <w:sz w:val="17"/>
          <w:szCs w:val="17"/>
          <w:color w:val="auto"/>
        </w:rPr>
        <w:t>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47" w:lineRule="exact"/>
        <w:rPr>
          <w:sz w:val="20"/>
          <w:szCs w:val="20"/>
          <w:color w:val="auto"/>
        </w:rPr>
      </w:pPr>
    </w:p>
    <w:p>
      <w:pPr>
        <w:ind w:left="1980" w:hanging="675"/>
        <w:spacing w:after="0"/>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General Provisions Relating to Transfers and Exchanges.</w:t>
      </w:r>
    </w:p>
    <w:p>
      <w:pPr>
        <w:spacing w:after="0" w:line="225" w:lineRule="exact"/>
        <w:rPr>
          <w:rFonts w:ascii="Arial" w:cs="Arial" w:eastAsia="Arial" w:hAnsi="Arial"/>
          <w:sz w:val="18"/>
          <w:szCs w:val="18"/>
          <w:color w:val="auto"/>
        </w:rPr>
      </w:pPr>
    </w:p>
    <w:p>
      <w:pPr>
        <w:ind w:right="300" w:firstLine="1953"/>
        <w:spacing w:after="0" w:line="277" w:lineRule="auto"/>
        <w:tabs>
          <w:tab w:leader="none" w:pos="2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will execute and the Trustee will authenticate Global Notes and Definitive Notes upon the receipt of a Company Order.</w:t>
      </w:r>
    </w:p>
    <w:p>
      <w:pPr>
        <w:spacing w:after="0" w:line="170" w:lineRule="exact"/>
        <w:rPr>
          <w:rFonts w:ascii="Arial" w:cs="Arial" w:eastAsia="Arial" w:hAnsi="Arial"/>
          <w:sz w:val="18"/>
          <w:szCs w:val="18"/>
          <w:color w:val="auto"/>
        </w:rPr>
      </w:pPr>
    </w:p>
    <w:p>
      <w:pPr>
        <w:ind w:right="20" w:firstLine="1953"/>
        <w:spacing w:after="0" w:line="288" w:lineRule="auto"/>
        <w:tabs>
          <w:tab w:leader="none" w:pos="26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w:t>
      </w:r>
    </w:p>
    <w:p>
      <w:pPr>
        <w:spacing w:after="0"/>
        <w:rPr>
          <w:rFonts w:ascii="Arial" w:cs="Arial" w:eastAsia="Arial" w:hAnsi="Arial"/>
          <w:sz w:val="16"/>
          <w:szCs w:val="16"/>
          <w:color w:val="auto"/>
        </w:rPr>
      </w:pPr>
      <w:r>
        <w:rPr>
          <w:rFonts w:ascii="Arial" w:cs="Arial" w:eastAsia="Arial" w:hAnsi="Arial"/>
          <w:sz w:val="18"/>
          <w:szCs w:val="18"/>
          <w:color w:val="auto"/>
        </w:rPr>
        <w:t>Section 2.11, Section 3.6 and Section 9.6 of the Base Indenture).</w:t>
      </w:r>
    </w:p>
    <w:p>
      <w:pPr>
        <w:spacing w:after="0" w:line="210" w:lineRule="exact"/>
        <w:rPr>
          <w:rFonts w:ascii="Arial" w:cs="Arial" w:eastAsia="Arial" w:hAnsi="Arial"/>
          <w:sz w:val="16"/>
          <w:szCs w:val="16"/>
          <w:color w:val="auto"/>
        </w:rPr>
      </w:pPr>
    </w:p>
    <w:p>
      <w:pPr>
        <w:ind w:right="100" w:firstLine="1953"/>
        <w:spacing w:after="0" w:line="277" w:lineRule="auto"/>
        <w:tabs>
          <w:tab w:leader="none" w:pos="2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Registrar will not be required to register the transfer of or exchange any Note selected for redemption in whole or in part, except the unredeemed portion of any Note being redeemed in part.</w:t>
      </w:r>
    </w:p>
    <w:p>
      <w:pPr>
        <w:spacing w:after="0" w:line="170" w:lineRule="exact"/>
        <w:rPr>
          <w:rFonts w:ascii="Arial" w:cs="Arial" w:eastAsia="Arial" w:hAnsi="Arial"/>
          <w:sz w:val="18"/>
          <w:szCs w:val="18"/>
          <w:color w:val="auto"/>
        </w:rPr>
      </w:pPr>
    </w:p>
    <w:p>
      <w:pPr>
        <w:ind w:right="80" w:firstLine="1953"/>
        <w:spacing w:after="0" w:line="264" w:lineRule="auto"/>
        <w:tabs>
          <w:tab w:leader="none" w:pos="2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w:t>
      </w:r>
    </w:p>
    <w:p>
      <w:pPr>
        <w:spacing w:after="0" w:line="181" w:lineRule="exact"/>
        <w:rPr>
          <w:rFonts w:ascii="Arial" w:cs="Arial" w:eastAsia="Arial" w:hAnsi="Arial"/>
          <w:sz w:val="18"/>
          <w:szCs w:val="18"/>
          <w:color w:val="auto"/>
        </w:rPr>
      </w:pPr>
    </w:p>
    <w:p>
      <w:pPr>
        <w:ind w:right="300" w:firstLine="1953"/>
        <w:spacing w:after="0" w:line="277" w:lineRule="auto"/>
        <w:tabs>
          <w:tab w:leader="none" w:pos="2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Company elects to redeem or make an Offer to Purchase with respect to a Series of Notes hereunder, neither the Company nor the Trustee will be required to:</w:t>
      </w:r>
    </w:p>
    <w:p>
      <w:pPr>
        <w:spacing w:after="0" w:line="170" w:lineRule="exact"/>
        <w:rPr>
          <w:rFonts w:ascii="Arial" w:cs="Arial" w:eastAsia="Arial" w:hAnsi="Arial"/>
          <w:sz w:val="18"/>
          <w:szCs w:val="18"/>
          <w:color w:val="auto"/>
        </w:rPr>
      </w:pPr>
    </w:p>
    <w:p>
      <w:pPr>
        <w:ind w:firstLine="2601"/>
        <w:spacing w:after="0" w:line="264" w:lineRule="auto"/>
        <w:tabs>
          <w:tab w:leader="none" w:pos="3263" w:val="left"/>
        </w:tabs>
        <w:numPr>
          <w:ilvl w:val="2"/>
          <w:numId w:val="99"/>
        </w:numPr>
        <w:rPr>
          <w:rFonts w:ascii="Arial" w:cs="Arial" w:eastAsia="Arial" w:hAnsi="Arial"/>
          <w:sz w:val="18"/>
          <w:szCs w:val="18"/>
          <w:color w:val="auto"/>
        </w:rPr>
      </w:pPr>
      <w:r>
        <w:rPr>
          <w:rFonts w:ascii="Arial" w:cs="Arial" w:eastAsia="Arial" w:hAnsi="Arial"/>
          <w:sz w:val="18"/>
          <w:szCs w:val="18"/>
          <w:color w:val="auto"/>
        </w:rPr>
        <w:t>issue, register the transfer of or exchange any Notes of such Series during a period beginning at the opening of business 15 days before the Company sends the notice of redemption under Section 3.3 of the Base Indenture or makes an Offer to Purchase and ending at the close of business on the day the notice is sent or the Offer to Purchase is made;</w:t>
      </w:r>
    </w:p>
    <w:p>
      <w:pPr>
        <w:spacing w:after="0" w:line="181" w:lineRule="exact"/>
        <w:rPr>
          <w:rFonts w:ascii="Arial" w:cs="Arial" w:eastAsia="Arial" w:hAnsi="Arial"/>
          <w:sz w:val="18"/>
          <w:szCs w:val="18"/>
          <w:color w:val="auto"/>
        </w:rPr>
      </w:pPr>
    </w:p>
    <w:p>
      <w:pPr>
        <w:ind w:right="100" w:firstLine="2601"/>
        <w:spacing w:after="0" w:line="342" w:lineRule="auto"/>
        <w:tabs>
          <w:tab w:leader="none" w:pos="3272" w:val="left"/>
        </w:tabs>
        <w:numPr>
          <w:ilvl w:val="2"/>
          <w:numId w:val="99"/>
        </w:numPr>
        <w:rPr>
          <w:rFonts w:ascii="Arial" w:cs="Arial" w:eastAsia="Arial" w:hAnsi="Arial"/>
          <w:sz w:val="16"/>
          <w:szCs w:val="16"/>
          <w:color w:val="auto"/>
        </w:rPr>
      </w:pPr>
      <w:r>
        <w:rPr>
          <w:rFonts w:ascii="Arial" w:cs="Arial" w:eastAsia="Arial" w:hAnsi="Arial"/>
          <w:sz w:val="16"/>
          <w:szCs w:val="16"/>
          <w:color w:val="auto"/>
        </w:rPr>
        <w:t>register the transfer of or to exchange any Note of such Series so selected for redemption or subject to purchase in such Offer to Purchase in whole or in part, except the unredeemed portion of any Note of such Series being redeemed or purchased in part; or</w:t>
      </w:r>
    </w:p>
    <w:p>
      <w:pPr>
        <w:spacing w:after="0" w:line="123" w:lineRule="exact"/>
        <w:rPr>
          <w:rFonts w:ascii="Arial" w:cs="Arial" w:eastAsia="Arial" w:hAnsi="Arial"/>
          <w:sz w:val="16"/>
          <w:szCs w:val="16"/>
          <w:color w:val="auto"/>
        </w:rPr>
      </w:pPr>
    </w:p>
    <w:p>
      <w:pPr>
        <w:ind w:right="20" w:firstLine="2601"/>
        <w:spacing w:after="0" w:line="264" w:lineRule="auto"/>
        <w:tabs>
          <w:tab w:leader="none" w:pos="3282" w:val="left"/>
        </w:tabs>
        <w:numPr>
          <w:ilvl w:val="2"/>
          <w:numId w:val="99"/>
        </w:numPr>
        <w:rPr>
          <w:rFonts w:ascii="Arial" w:cs="Arial" w:eastAsia="Arial" w:hAnsi="Arial"/>
          <w:sz w:val="18"/>
          <w:szCs w:val="18"/>
          <w:color w:val="auto"/>
        </w:rPr>
      </w:pPr>
      <w:r>
        <w:rPr>
          <w:rFonts w:ascii="Arial" w:cs="Arial" w:eastAsia="Arial" w:hAnsi="Arial"/>
          <w:sz w:val="18"/>
          <w:szCs w:val="18"/>
          <w:color w:val="auto"/>
        </w:rPr>
        <w:t>in the case of a redemption or a purchase date pursuant to an Offer to Purchase occurring after a regular record date but on or before the corresponding interest payment date, register the transfer of or exchange a Note of such Series on or after the regular record date and before the date of redemption or purchase.</w:t>
      </w:r>
    </w:p>
    <w:p>
      <w:pPr>
        <w:spacing w:after="0" w:line="181" w:lineRule="exact"/>
        <w:rPr>
          <w:rFonts w:ascii="Arial" w:cs="Arial" w:eastAsia="Arial" w:hAnsi="Arial"/>
          <w:sz w:val="18"/>
          <w:szCs w:val="18"/>
          <w:color w:val="auto"/>
        </w:rPr>
      </w:pPr>
    </w:p>
    <w:p>
      <w:pPr>
        <w:ind w:firstLine="1953"/>
        <w:spacing w:after="0" w:line="259" w:lineRule="auto"/>
        <w:tabs>
          <w:tab w:leader="none" w:pos="2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w:t>
      </w:r>
    </w:p>
    <w:p>
      <w:pPr>
        <w:spacing w:after="0" w:line="186" w:lineRule="exact"/>
        <w:rPr>
          <w:rFonts w:ascii="Arial" w:cs="Arial" w:eastAsia="Arial" w:hAnsi="Arial"/>
          <w:sz w:val="18"/>
          <w:szCs w:val="18"/>
          <w:color w:val="auto"/>
        </w:rPr>
      </w:pPr>
    </w:p>
    <w:p>
      <w:pPr>
        <w:ind w:left="2600" w:hanging="647"/>
        <w:spacing w:after="0"/>
        <w:tabs>
          <w:tab w:leader="none" w:pos="26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Trustee will authenticate Global Notes and Definitive Notes in accordance with the provisions of Section 2.3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Base Indenture.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1" w:name="page112"/>
    <w:bookmarkEnd w:id="111"/>
    <w:p>
      <w:pPr>
        <w:ind w:left="2600" w:hanging="647"/>
        <w:spacing w:after="0"/>
        <w:tabs>
          <w:tab w:leader="none" w:pos="2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0" w:firstLine="1953"/>
        <w:spacing w:after="0" w:line="277" w:lineRule="auto"/>
        <w:tabs>
          <w:tab w:leader="none" w:pos="26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Officer’s Certificate or Opinion of Counsel required to be submitted to the Registrar pursuant to this Section 2.2 to effect a registration of transfer or exchange may be submitted by facsimile.</w:t>
      </w:r>
    </w:p>
    <w:p>
      <w:pPr>
        <w:spacing w:after="0" w:line="170" w:lineRule="exact"/>
        <w:rPr>
          <w:rFonts w:ascii="Arial" w:cs="Arial" w:eastAsia="Arial" w:hAnsi="Arial"/>
          <w:sz w:val="18"/>
          <w:szCs w:val="18"/>
          <w:color w:val="auto"/>
        </w:rPr>
      </w:pPr>
    </w:p>
    <w:p>
      <w:pPr>
        <w:ind w:right="260" w:firstLine="1953"/>
        <w:spacing w:after="0" w:line="302" w:lineRule="auto"/>
        <w:tabs>
          <w:tab w:leader="none" w:pos="2596"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spacing w:after="0" w:line="154" w:lineRule="exact"/>
        <w:rPr>
          <w:rFonts w:ascii="Arial" w:cs="Arial" w:eastAsia="Arial" w:hAnsi="Arial"/>
          <w:sz w:val="16"/>
          <w:szCs w:val="16"/>
          <w:color w:val="auto"/>
        </w:rPr>
      </w:pPr>
    </w:p>
    <w:p>
      <w:pPr>
        <w:ind w:left="2600" w:hanging="647"/>
        <w:spacing w:after="0"/>
        <w:tabs>
          <w:tab w:leader="none" w:pos="26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Neither the Trustee nor any Agent shall have any responsibility for any actions taken or not taken by the Depositary.</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2.3.</w:t>
      </w:r>
      <w:r>
        <w:rPr>
          <w:rFonts w:ascii="Arial" w:cs="Arial" w:eastAsia="Arial" w:hAnsi="Arial"/>
          <w:sz w:val="16"/>
          <w:szCs w:val="16"/>
          <w:i w:val="1"/>
          <w:iCs w:val="1"/>
          <w:color w:val="auto"/>
        </w:rPr>
        <w:t>Issuance of Additional Notes</w:t>
      </w:r>
    </w:p>
    <w:p>
      <w:pPr>
        <w:spacing w:after="0" w:line="225" w:lineRule="exact"/>
        <w:rPr>
          <w:rFonts w:ascii="Arial" w:cs="Arial" w:eastAsia="Arial" w:hAnsi="Arial"/>
          <w:sz w:val="17"/>
          <w:szCs w:val="17"/>
          <w:color w:val="auto"/>
        </w:rPr>
      </w:pPr>
    </w:p>
    <w:p>
      <w:pPr>
        <w:ind w:right="120" w:firstLine="1305"/>
        <w:spacing w:after="0" w:line="302" w:lineRule="auto"/>
        <w:tabs>
          <w:tab w:leader="none" w:pos="194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2024 Notes under this Supplemental Indenture which will have identical terms as the Initial 2024 Notes issued on the date hereof, other than with respect to the date of issuance and issue price and, if applicable, the first Interest Payment Date and the initial interest accrual date. The Initial 2024 Notes issued on the date hereof and any Additional 2024 Notes issued will be treated as a single Series for all purposes under this Supplemental Indenture.</w:t>
      </w:r>
    </w:p>
    <w:p>
      <w:pPr>
        <w:spacing w:after="0" w:line="154" w:lineRule="exact"/>
        <w:rPr>
          <w:rFonts w:ascii="Arial" w:cs="Arial" w:eastAsia="Arial" w:hAnsi="Arial"/>
          <w:sz w:val="16"/>
          <w:szCs w:val="16"/>
          <w:color w:val="auto"/>
        </w:rPr>
      </w:pPr>
    </w:p>
    <w:p>
      <w:pPr>
        <w:ind w:right="120" w:firstLine="1305"/>
        <w:spacing w:after="0" w:line="302" w:lineRule="auto"/>
        <w:tabs>
          <w:tab w:leader="none" w:pos="19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2026 Notes under this Supplemental Indenture which will have identical terms as the Initial 2026 Notes issued on the date hereof, other than with respect to the date of issuance and issue price and, if applicable, the first Interest Payment Date and the initial interest accrual date. The Initial 2026 Notes issued on the date hereof and any Additional 2026 Notes issued will be treated as a single Series for all purposes under this Supplemental Indenture.</w:t>
      </w:r>
    </w:p>
    <w:p>
      <w:pPr>
        <w:spacing w:after="0" w:line="154" w:lineRule="exact"/>
        <w:rPr>
          <w:rFonts w:ascii="Arial" w:cs="Arial" w:eastAsia="Arial" w:hAnsi="Arial"/>
          <w:sz w:val="16"/>
          <w:szCs w:val="16"/>
          <w:color w:val="auto"/>
        </w:rPr>
      </w:pPr>
    </w:p>
    <w:p>
      <w:pPr>
        <w:ind w:right="120" w:firstLine="1305"/>
        <w:spacing w:after="0" w:line="302" w:lineRule="auto"/>
        <w:tabs>
          <w:tab w:leader="none" w:pos="19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 will be entitled, upon delivery of a Company Order, Officer’s Certificate and an Opinion of Counsel, to issue Additional 2029 Notes under this Supplemental Indenture which will have identical terms as the Initial 2029 Notes issued on the date hereof, other than with respect to the date of issuance and issue price and, if applicable, the first Interest Payment Date and the initial interest accrual date. The Initial 2029 Notes issued on the date hereof and any Additional 2029 Notes issued will be treated as a single Series for all purposes under this Supplemental Indenture.</w:t>
      </w:r>
    </w:p>
    <w:p>
      <w:pPr>
        <w:spacing w:after="0" w:line="154" w:lineRule="exact"/>
        <w:rPr>
          <w:rFonts w:ascii="Arial" w:cs="Arial" w:eastAsia="Arial" w:hAnsi="Arial"/>
          <w:sz w:val="16"/>
          <w:szCs w:val="16"/>
          <w:color w:val="auto"/>
        </w:rPr>
      </w:pPr>
    </w:p>
    <w:p>
      <w:pPr>
        <w:jc w:val="both"/>
        <w:ind w:firstLine="1305"/>
        <w:spacing w:after="0" w:line="264" w:lineRule="auto"/>
        <w:tabs>
          <w:tab w:leader="none" w:pos="19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With respect to any Additional Notes, the Company will set forth in a (i) supplemental indenture or (ii) in resolution of its Board of Directors (or a duly authorized committee thereof) or of a designee thereof and an Officer’s Certificate, a copy of each which will be delivered to the Trustee, the following information:</w:t>
      </w:r>
    </w:p>
    <w:p>
      <w:pPr>
        <w:spacing w:after="0" w:line="181" w:lineRule="exact"/>
        <w:rPr>
          <w:rFonts w:ascii="Arial" w:cs="Arial" w:eastAsia="Arial" w:hAnsi="Arial"/>
          <w:sz w:val="18"/>
          <w:szCs w:val="18"/>
          <w:color w:val="auto"/>
        </w:rPr>
      </w:pPr>
    </w:p>
    <w:p>
      <w:pPr>
        <w:ind w:left="3280" w:hanging="679"/>
        <w:spacing w:after="0"/>
        <w:tabs>
          <w:tab w:leader="none" w:pos="3280" w:val="left"/>
        </w:tabs>
        <w:numPr>
          <w:ilvl w:val="2"/>
          <w:numId w:val="101"/>
        </w:numPr>
        <w:rPr>
          <w:rFonts w:ascii="Arial" w:cs="Arial" w:eastAsia="Arial" w:hAnsi="Arial"/>
          <w:sz w:val="17"/>
          <w:szCs w:val="17"/>
          <w:color w:val="auto"/>
        </w:rPr>
      </w:pPr>
      <w:r>
        <w:rPr>
          <w:rFonts w:ascii="Arial" w:cs="Arial" w:eastAsia="Arial" w:hAnsi="Arial"/>
          <w:sz w:val="17"/>
          <w:szCs w:val="17"/>
          <w:color w:val="auto"/>
        </w:rPr>
        <w:t>the aggregate principal amount of such Additional Notes to be authenticated and delivered pursuant to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Supplemental Indenture; and</w:t>
      </w:r>
    </w:p>
    <w:p>
      <w:pPr>
        <w:spacing w:after="0" w:line="210" w:lineRule="exact"/>
        <w:rPr>
          <w:rFonts w:ascii="Arial" w:cs="Arial" w:eastAsia="Arial" w:hAnsi="Arial"/>
          <w:sz w:val="17"/>
          <w:szCs w:val="17"/>
          <w:color w:val="auto"/>
        </w:rPr>
      </w:pPr>
    </w:p>
    <w:p>
      <w:pPr>
        <w:ind w:left="3280" w:hanging="679"/>
        <w:spacing w:after="0"/>
        <w:tabs>
          <w:tab w:leader="none" w:pos="3280" w:val="left"/>
        </w:tabs>
        <w:numPr>
          <w:ilvl w:val="2"/>
          <w:numId w:val="101"/>
        </w:numPr>
        <w:rPr>
          <w:rFonts w:ascii="Arial" w:cs="Arial" w:eastAsia="Arial" w:hAnsi="Arial"/>
          <w:sz w:val="17"/>
          <w:szCs w:val="17"/>
          <w:color w:val="auto"/>
        </w:rPr>
      </w:pPr>
      <w:r>
        <w:rPr>
          <w:rFonts w:ascii="Arial" w:cs="Arial" w:eastAsia="Arial" w:hAnsi="Arial"/>
          <w:sz w:val="17"/>
          <w:szCs w:val="17"/>
          <w:color w:val="auto"/>
        </w:rPr>
        <w:t>the issue price, the issue date, the CUSIP number(s), the first Interest Payment Date and the initial interest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accrual date of such Additional Notes.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ind w:left="1960" w:hanging="655"/>
        <w:spacing w:after="0"/>
        <w:tabs>
          <w:tab w:leader="none" w:pos="1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For the avoidance of doubt, the issuance of Additional Notes pursuant to this Section 2.3 is subject to Section 2.3 of the Base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right="20" w:firstLine="1305"/>
        <w:spacing w:after="0" w:line="277" w:lineRule="auto"/>
        <w:tabs>
          <w:tab w:leader="none" w:pos="194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Additional Notes of a Series issued pursuant to this Section 2.3 shall only bear the same CUSIP number as any existing Notes of such Series if they would be fungible for United States tax purposes with such existing Notes of that Series.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AND PREPAYMENT</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Optional Redemption</w:t>
      </w:r>
    </w:p>
    <w:p>
      <w:pPr>
        <w:spacing w:after="0" w:line="225" w:lineRule="exact"/>
        <w:rPr>
          <w:sz w:val="20"/>
          <w:szCs w:val="20"/>
          <w:color w:val="auto"/>
        </w:rPr>
      </w:pPr>
    </w:p>
    <w:p>
      <w:pPr>
        <w:ind w:right="160" w:firstLine="1305"/>
        <w:spacing w:after="0" w:line="286" w:lineRule="auto"/>
        <w:tabs>
          <w:tab w:leader="none" w:pos="1942"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2024 Notes</w:t>
      </w:r>
      <w:r>
        <w:rPr>
          <w:rFonts w:ascii="Arial" w:cs="Arial" w:eastAsia="Arial" w:hAnsi="Arial"/>
          <w:sz w:val="17"/>
          <w:szCs w:val="17"/>
          <w:color w:val="auto"/>
        </w:rPr>
        <w:t>. Prior to the Par Call Date, the Company will have the right, at its option, to redeem the 2024 Notes,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either in whole or in part, at a redemption price as calculated by the Company equal to the greater of the following amounts, plus, in each case, accrued and unpaid interest, if any, on the amount being redeemed to, but excluding, the date of redemption:</w:t>
      </w:r>
    </w:p>
    <w:p>
      <w:pPr>
        <w:spacing w:after="0" w:line="165" w:lineRule="exact"/>
        <w:rPr>
          <w:rFonts w:ascii="Arial" w:cs="Arial" w:eastAsia="Arial" w:hAnsi="Arial"/>
          <w:sz w:val="17"/>
          <w:szCs w:val="17"/>
          <w:color w:val="auto"/>
        </w:rPr>
      </w:pPr>
    </w:p>
    <w:p>
      <w:pPr>
        <w:ind w:left="3280" w:hanging="679"/>
        <w:spacing w:after="0"/>
        <w:tabs>
          <w:tab w:leader="none" w:pos="32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100% of the principal amount of the 2024 Notes to be redeemed; and</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Remaining Scheduled Payments of such 2024 Notes to be redeemed.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Company elects to redeem any 2024 Notes on or after the Par Call Date, the redemption price will be an amount equal to 100% of the principal amount of the 2024 Notes redeemed, plus accrued and unpaid interest, if any, to, but excluding, the date of redemption.</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In connection with any redemption of the 2024 Notes, calculation of the redemption price therefor shall be made by the Company or on the Company’s behalf by such person as the Company shall designate;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calculation shall not be a duty or obligation of the Trustee or any Agent. Notwithstanding Section 3.3 of the Base Indenture, the notice of any redemption of the 2024 Notes pursuant to that Section in respect of a redemption date occurring prior to the maturity date of the 2024 Notes need not set forth the redemption price but only the manner of calculation thereof and</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will prepare and send, or cause to be sent, such notice of redemption to each Holder of 2024 Notes to be redeemed (with a copy to the Trustee) at least 30 and not more than 60 calendar days prior to the date fixed for redemption. Any redemption or notice of redemption may, at the Company’s discretion, be subject to one or more conditions precedent.</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2024 Notes or portions thereof called for redemption.</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2024 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2024 Notes are represented by one or more Global Notes, the 2024 Notes shall be selected for redemption by the Depositary in accordance with its standard procedures therefor) and may provide for the selection for redemption of a portion of the principal amount of the 2024 Notes equal to an authorized denomination.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3" w:name="page114"/>
    <w:bookmarkEnd w:id="113"/>
    <w:p>
      <w:pPr>
        <w:ind w:right="440" w:firstLine="648"/>
        <w:spacing w:after="0" w:line="277" w:lineRule="auto"/>
        <w:rPr>
          <w:sz w:val="20"/>
          <w:szCs w:val="20"/>
          <w:color w:val="auto"/>
        </w:rPr>
      </w:pPr>
      <w:r>
        <w:rPr>
          <w:rFonts w:ascii="Arial" w:cs="Arial" w:eastAsia="Arial" w:hAnsi="Arial"/>
          <w:sz w:val="18"/>
          <w:szCs w:val="18"/>
          <w:color w:val="auto"/>
        </w:rPr>
        <w:t>No 2024 Notes of $2,000 or less can be redeemed in part. 2024 Notes in denominations larger than $2,000 may be redeemed in part but only in whole multiples of $1,000, unless all of the 2024 Notes held by a Holder are to be redeemed.</w:t>
      </w:r>
    </w:p>
    <w:p>
      <w:pPr>
        <w:spacing w:after="0" w:line="170" w:lineRule="exact"/>
        <w:rPr>
          <w:sz w:val="20"/>
          <w:szCs w:val="20"/>
          <w:color w:val="auto"/>
        </w:rPr>
      </w:pPr>
    </w:p>
    <w:p>
      <w:pPr>
        <w:ind w:right="160" w:firstLine="1305"/>
        <w:spacing w:after="0" w:line="286" w:lineRule="auto"/>
        <w:tabs>
          <w:tab w:leader="none" w:pos="1952"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2026 Notes</w:t>
      </w:r>
      <w:r>
        <w:rPr>
          <w:rFonts w:ascii="Arial" w:cs="Arial" w:eastAsia="Arial" w:hAnsi="Arial"/>
          <w:sz w:val="17"/>
          <w:szCs w:val="17"/>
          <w:color w:val="auto"/>
        </w:rPr>
        <w:t>. Prior to the Par Call Date, the Company will have the right, at its option, to redeem the 2026 Notes,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either in whole or in part, at a redemption price as calculated by the Company equal to the greater of the following amounts, plus, in each case, accrued and unpaid interest, if any, on the amount being redeemed to, but excluding, the date of redemption:</w:t>
      </w:r>
    </w:p>
    <w:p>
      <w:pPr>
        <w:spacing w:after="0" w:line="165" w:lineRule="exact"/>
        <w:rPr>
          <w:rFonts w:ascii="Arial" w:cs="Arial" w:eastAsia="Arial" w:hAnsi="Arial"/>
          <w:sz w:val="17"/>
          <w:szCs w:val="17"/>
          <w:color w:val="auto"/>
        </w:rPr>
      </w:pPr>
    </w:p>
    <w:p>
      <w:pPr>
        <w:ind w:left="3280" w:hanging="679"/>
        <w:spacing w:after="0"/>
        <w:tabs>
          <w:tab w:leader="none" w:pos="32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100% of the principal amount of the 2026 Notes to be redeemed; and</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Remaining Scheduled Payments of such 2026 Notes to be redeemed.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Company elects to redeem any 2026 Notes on or after the Par Call Date, the redemption price will be an amount equal to 100% of the principal amount of the 2026 Notes redeemed, plus accrued and unpaid interest, if any, to, but excluding, the date of redemption.</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In connection with any redemption of the 2026 Notes, calculation of the redemption price therefor shall be made by the Company or on the Company’s behalf by such person as the Company shall designate;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calculation shall not be a duty or obligation of the Trustee or any Agent. Notwithstanding Section 3.3 of the Base Indenture, the notice of any redemption of the 2026 Notes pursuant to that Section in respect of a redemption date occurring prior to the maturity date of the 2026 Notes need not set forth the redemption price but only the manner of calculation thereof and</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will prepare and send, or cause to be sent, such notice of redemption to each Holder of 2026 Notes to be redeemed (with a copy to the Trustee) at least 30 and not more than 60 calendar days prior to the date fixed for redemption. Any redemption or notice of redemption may, at the Company’s discretion, be subject to one or more conditions precedent.</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2026 Notes or portions thereof called for redemption.</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2026 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2026 Notes are represented by one or more Global Notes, the 2026 Notes shall be selected for redemption by the Depositary in accordance with its standard procedures therefor) and may provide for the selection for redemption of a portion of the principal amount of the 2026 Notes equal to an authorized denomination.</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 2026 Notes of $2,000 or less can be redeemed in part. 2026 Notes in denominations larger than $2,000 may be redeemed in part but only in whole multiples of $1,000, unless all of the 2026 Notes held by a Holder are to be redeemed.</w:t>
      </w:r>
    </w:p>
    <w:p>
      <w:pPr>
        <w:spacing w:after="0" w:line="170" w:lineRule="exact"/>
        <w:rPr>
          <w:sz w:val="20"/>
          <w:szCs w:val="20"/>
          <w:color w:val="auto"/>
        </w:rPr>
      </w:pPr>
    </w:p>
    <w:p>
      <w:pPr>
        <w:ind w:right="160" w:firstLine="1305"/>
        <w:spacing w:after="0" w:line="286" w:lineRule="auto"/>
        <w:tabs>
          <w:tab w:leader="none" w:pos="1955"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2029 Notes</w:t>
      </w:r>
      <w:r>
        <w:rPr>
          <w:rFonts w:ascii="Arial" w:cs="Arial" w:eastAsia="Arial" w:hAnsi="Arial"/>
          <w:sz w:val="17"/>
          <w:szCs w:val="17"/>
          <w:color w:val="auto"/>
        </w:rPr>
        <w:t>. Prior to the Par Call Date, the Company will have the right, at its option, to redeem the 2029 Notes,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either in whole or in part, at a redemption price as calculated by the Company equal to the greater of the following amounts, plus, in each case, accrued and unpaid interest, if any, on the amount being redeemed to, but excluding, the date of redemption:</w:t>
      </w:r>
    </w:p>
    <w:p>
      <w:pPr>
        <w:spacing w:after="0" w:line="166" w:lineRule="exact"/>
        <w:rPr>
          <w:sz w:val="20"/>
          <w:szCs w:val="20"/>
          <w:color w:val="auto"/>
        </w:rPr>
      </w:pPr>
    </w:p>
    <w:p>
      <w:pPr>
        <w:ind w:left="3280" w:hanging="679"/>
        <w:spacing w:after="0"/>
        <w:tabs>
          <w:tab w:leader="none" w:pos="3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100% of the principal amount of the 2029 Notes to be redeemed; and</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4" w:name="page115"/>
    <w:bookmarkEnd w:id="114"/>
    <w:p>
      <w:pPr>
        <w:ind w:left="3280" w:hanging="679"/>
        <w:spacing w:after="0"/>
        <w:tabs>
          <w:tab w:leader="none" w:pos="32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Remaining Scheduled Payments of such 2029 Notes to be redeemed.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 Company elects to redeem any 2029 Notes on or after the Par Call Date, the redemption price will be an amount equal to 100% of the principal amount of the 2029 Notes redeemed, plus accrued and unpaid interest, if any, to, but excluding, the date of redemption.</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In connection with any redemption of the 2029 Notes, calculation of the redemption price therefor shall be made by the Company or on the Company’s behalf by such person as the Company shall designate;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calculation shall not be a duty or obligation of the Trustee or any Agent. Notwithstanding Section 3.3 of the Base Indenture, the notice of any redemption of the 2029 Notes pursuant to that Section in respect of a redemption date occurring prior to the maturity date of the 2029 Notes need not set forth the redemption price but only the manner of calculation thereof and</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will prepare and send, or cause to be sent, such notice of redemption to each Holder of 2029 Notes to be redeemed (with a copy to the Trustee) at least 30 and not more than 60 calendar days prior to the date fixed for redemption. Any redemption or notice of redemption may, at the Company’s discretion, be subject to one or more conditions precedent.</w:t>
      </w:r>
    </w:p>
    <w:p>
      <w:pPr>
        <w:spacing w:after="0" w:line="19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Company defaults in payment of the redemption price, on and after the redemption date, interest will cease to accrue on the 2029 Notes or portions thereof called for redemption.</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2029 Notes subject to a partial redemption shall be selected for redemption </w:t>
      </w:r>
      <w:r>
        <w:rPr>
          <w:rFonts w:ascii="Arial" w:cs="Arial" w:eastAsia="Arial" w:hAnsi="Arial"/>
          <w:sz w:val="18"/>
          <w:szCs w:val="18"/>
          <w:i w:val="1"/>
          <w:iCs w:val="1"/>
          <w:color w:val="auto"/>
        </w:rPr>
        <w:t>pro rata</w:t>
      </w:r>
      <w:r>
        <w:rPr>
          <w:rFonts w:ascii="Arial" w:cs="Arial" w:eastAsia="Arial" w:hAnsi="Arial"/>
          <w:sz w:val="18"/>
          <w:szCs w:val="18"/>
          <w:color w:val="auto"/>
        </w:rPr>
        <w:t>, by lot or by such other method as the Trustee shall deem fair and appropriate (provided that if the 2029 Notes are represented by one or more Global Notes, the 2029 Notes shall be selected for redemption by the Depositary in accordance with its standard procedures therefor) and may provide for the selection for redemption of a portion of the principal amount of the 2029 Notes equal to an authorized denomination.</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No 2029 Notes of $2,000 or less can be redeemed in part. 2029 Notes in denominations larger than $2,000 may be redeemed in part but only in whole multiples of $1,000, unless all of the 2029 Notes held by a Holder are to be redeemed.</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i w:val="1"/>
          <w:iCs w:val="1"/>
          <w:color w:val="auto"/>
        </w:rPr>
        <w:t>Mandatory 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not required to make any mandatory redemption or sinking fund payments with respect to the Notes.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PARTICULAR COVENANTS</w:t>
      </w:r>
    </w:p>
    <w:p>
      <w:pPr>
        <w:spacing w:after="0" w:line="21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i w:val="1"/>
          <w:iCs w:val="1"/>
          <w:color w:val="auto"/>
        </w:rPr>
        <w:t>Offer to Purchase Upon Change of Control Triggering Event</w:t>
      </w:r>
    </w:p>
    <w:p>
      <w:pPr>
        <w:spacing w:after="0" w:line="225" w:lineRule="exact"/>
        <w:rPr>
          <w:sz w:val="20"/>
          <w:szCs w:val="20"/>
          <w:color w:val="auto"/>
        </w:rPr>
      </w:pPr>
    </w:p>
    <w:p>
      <w:pPr>
        <w:ind w:firstLine="1305"/>
        <w:spacing w:after="0" w:line="255" w:lineRule="auto"/>
        <w:tabs>
          <w:tab w:leader="none" w:pos="194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If a Change of Control Triggering Event occurs with respect to a Series of Notes hereunder, unless the Company has exercised its option to redeem all Notes of such Series in full pursuant to Section 3.1 or has defeased such Series of Notes or satisfied and discharged such Series of Notes, the Company shall be required to make an offer (an “</w:t>
      </w:r>
      <w:r>
        <w:rPr>
          <w:rFonts w:ascii="Arial" w:cs="Arial" w:eastAsia="Arial" w:hAnsi="Arial"/>
          <w:sz w:val="18"/>
          <w:szCs w:val="18"/>
          <w:b w:val="1"/>
          <w:bCs w:val="1"/>
          <w:i w:val="1"/>
          <w:iCs w:val="1"/>
          <w:color w:val="auto"/>
        </w:rPr>
        <w:t>Offer to Purchase</w:t>
      </w:r>
      <w:r>
        <w:rPr>
          <w:rFonts w:ascii="Arial" w:cs="Arial" w:eastAsia="Arial" w:hAnsi="Arial"/>
          <w:sz w:val="18"/>
          <w:szCs w:val="18"/>
          <w:color w:val="auto"/>
        </w:rPr>
        <w:t>”) to each Holder of such Series of Notes to purchase all or any part (equal to $2,000 and in integral multiples of $1,000 in excess thereof) of that Holder’s Notes of such Series pursuant to the offer set forth below. In an Offer to Purchase, the Company shall be required to offer payment in cash equal to 101% of the aggregate principal amount of the Notes, plus accrued and unpaid interest, if any, to, but excluding, the date of purchase of such Notes (a “</w:t>
      </w:r>
      <w:r>
        <w:rPr>
          <w:rFonts w:ascii="Arial" w:cs="Arial" w:eastAsia="Arial" w:hAnsi="Arial"/>
          <w:sz w:val="18"/>
          <w:szCs w:val="18"/>
          <w:b w:val="1"/>
          <w:bCs w:val="1"/>
          <w:i w:val="1"/>
          <w:iCs w:val="1"/>
          <w:color w:val="auto"/>
        </w:rPr>
        <w:t>Change of Control Purchase Price</w:t>
      </w:r>
      <w:r>
        <w:rPr>
          <w:rFonts w:ascii="Arial" w:cs="Arial" w:eastAsia="Arial" w:hAnsi="Arial"/>
          <w:sz w:val="18"/>
          <w:szCs w:val="18"/>
          <w:color w:val="auto"/>
        </w:rPr>
        <w:t>”). Not later than 60 days following any Change of Control Triggering Event with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5" w:name="page116"/>
    <w:bookmarkEnd w:id="115"/>
    <w:p>
      <w:pPr>
        <w:ind w:right="40"/>
        <w:spacing w:after="0" w:line="271" w:lineRule="auto"/>
        <w:rPr>
          <w:sz w:val="20"/>
          <w:szCs w:val="20"/>
          <w:color w:val="auto"/>
        </w:rPr>
      </w:pPr>
      <w:r>
        <w:rPr>
          <w:rFonts w:ascii="Arial" w:cs="Arial" w:eastAsia="Arial" w:hAnsi="Arial"/>
          <w:sz w:val="17"/>
          <w:szCs w:val="17"/>
          <w:color w:val="auto"/>
        </w:rPr>
        <w:t>respect to a Series of Notes, the Company shall deliver or cause to be delivered (or if the Notes of such Series are represented by one or more Global Notes, transmitted in accordance with the Depositary’s standard procedures therefor) a notice to Holders of such Series of Notes describing the transaction that constitutes or may constitute the Change of Control Triggering Event and offering to purchase such Notes on the date specified in the notice, which date shall be no earlier than 30 days and no later than 60 days after the date such notice is delivered or transmitted (a “</w:t>
      </w:r>
      <w:r>
        <w:rPr>
          <w:rFonts w:ascii="Arial" w:cs="Arial" w:eastAsia="Arial" w:hAnsi="Arial"/>
          <w:sz w:val="17"/>
          <w:szCs w:val="17"/>
          <w:b w:val="1"/>
          <w:bCs w:val="1"/>
          <w:i w:val="1"/>
          <w:iCs w:val="1"/>
          <w:color w:val="auto"/>
        </w:rPr>
        <w:t>Expiration Date</w:t>
      </w:r>
      <w:r>
        <w:rPr>
          <w:rFonts w:ascii="Arial" w:cs="Arial" w:eastAsia="Arial" w:hAnsi="Arial"/>
          <w:sz w:val="17"/>
          <w:szCs w:val="17"/>
          <w:color w:val="auto"/>
        </w:rPr>
        <w:t>”) and a settlement date for purchase (a “</w:t>
      </w:r>
      <w:r>
        <w:rPr>
          <w:rFonts w:ascii="Arial" w:cs="Arial" w:eastAsia="Arial" w:hAnsi="Arial"/>
          <w:sz w:val="17"/>
          <w:szCs w:val="17"/>
          <w:b w:val="1"/>
          <w:bCs w:val="1"/>
          <w:i w:val="1"/>
          <w:iCs w:val="1"/>
          <w:color w:val="auto"/>
        </w:rPr>
        <w:t>Change of Control Purchase Date</w:t>
      </w:r>
      <w:r>
        <w:rPr>
          <w:rFonts w:ascii="Arial" w:cs="Arial" w:eastAsia="Arial" w:hAnsi="Arial"/>
          <w:sz w:val="17"/>
          <w:szCs w:val="17"/>
          <w:color w:val="auto"/>
        </w:rPr>
        <w:t>”) for such Offer to Purchase of not more than five Business Days after the Expiration Date. The notice shall also contain instructions and materials necessary to enable Holders to tender Notes pursuant to the offer. The notice shall, if delivered or transmitted prior to the date of consummation of the Change of Control, state that the offer to purchase is conditioned on the Change of Control Triggering Event occurring on or prior to the Change of Control Purchase Date.</w:t>
      </w:r>
    </w:p>
    <w:p>
      <w:pPr>
        <w:spacing w:after="0" w:line="179" w:lineRule="exact"/>
        <w:rPr>
          <w:sz w:val="20"/>
          <w:szCs w:val="20"/>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Such notice shall also state:</w:t>
      </w:r>
    </w:p>
    <w:p>
      <w:pPr>
        <w:spacing w:after="0" w:line="225" w:lineRule="exact"/>
        <w:rPr>
          <w:rFonts w:ascii="Arial" w:cs="Arial" w:eastAsia="Arial" w:hAnsi="Arial"/>
          <w:sz w:val="18"/>
          <w:szCs w:val="18"/>
          <w:color w:val="auto"/>
        </w:rPr>
      </w:pPr>
    </w:p>
    <w:p>
      <w:pPr>
        <w:ind w:right="200" w:firstLine="1953"/>
        <w:spacing w:after="0" w:line="277" w:lineRule="auto"/>
        <w:tabs>
          <w:tab w:leader="none" w:pos="2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that the Offer to Purchase is being made pursuant to this Section 4.1 and that all Notes of such Series or portion of such Notes validly tendered and not withdrawn will be accepted for payment;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Change of Control Purchase Price and the Change of Control Purchase Date;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that any Note of such Series not tendered will continue to accrue interest;</w:t>
      </w:r>
    </w:p>
    <w:p>
      <w:pPr>
        <w:spacing w:after="0" w:line="225" w:lineRule="exact"/>
        <w:rPr>
          <w:rFonts w:ascii="Arial" w:cs="Arial" w:eastAsia="Arial" w:hAnsi="Arial"/>
          <w:sz w:val="18"/>
          <w:szCs w:val="18"/>
          <w:color w:val="auto"/>
        </w:rPr>
      </w:pPr>
    </w:p>
    <w:p>
      <w:pPr>
        <w:ind w:right="100" w:firstLine="1953"/>
        <w:spacing w:after="0" w:line="312" w:lineRule="auto"/>
        <w:tabs>
          <w:tab w:leader="none" w:pos="26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that any Note accepted for payment pursuant to the Offer to Purchase shall cease to accrue interest after the Change of Control Purchase Date unless the Company shall default in the payment of the Change of Control Purchase Price of the Notes of such Series and the only remaining right of the Holder is to receive payment of the Change of Control Purchase Price upon surrender of the Notes of such Series to the Paying Agent;</w:t>
      </w:r>
    </w:p>
    <w:p>
      <w:pPr>
        <w:spacing w:after="0" w:line="146" w:lineRule="exact"/>
        <w:rPr>
          <w:rFonts w:ascii="Arial" w:cs="Arial" w:eastAsia="Arial" w:hAnsi="Arial"/>
          <w:sz w:val="16"/>
          <w:szCs w:val="16"/>
          <w:color w:val="auto"/>
        </w:rPr>
      </w:pPr>
    </w:p>
    <w:p>
      <w:pPr>
        <w:ind w:firstLine="1953"/>
        <w:spacing w:after="0" w:line="264" w:lineRule="auto"/>
        <w:tabs>
          <w:tab w:leader="none" w:pos="2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that Holders electing to have a portion of a Note of such Series purchased pursuant to an Offer to Purchase may only elect to have such Note purchased in a minimum principal amount of $2,000 and integral multiples of $1,000 in excess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unrepurchased portion of a Note must be in a minimum principal amount of $2,000;</w:t>
      </w:r>
    </w:p>
    <w:p>
      <w:pPr>
        <w:spacing w:after="0" w:line="181" w:lineRule="exact"/>
        <w:rPr>
          <w:rFonts w:ascii="Arial" w:cs="Arial" w:eastAsia="Arial" w:hAnsi="Arial"/>
          <w:sz w:val="18"/>
          <w:szCs w:val="18"/>
          <w:color w:val="auto"/>
        </w:rPr>
      </w:pPr>
    </w:p>
    <w:p>
      <w:pPr>
        <w:ind w:right="20" w:firstLine="1953"/>
        <w:spacing w:after="0" w:line="259" w:lineRule="auto"/>
        <w:tabs>
          <w:tab w:leader="none" w:pos="2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that if a Holder elects to have a Note of such Series purchased pursuant to the Offer to Purchase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Purchase Date, or, in the case of Global Notes, in accordance with the Applicable Procedures;</w:t>
      </w:r>
    </w:p>
    <w:p>
      <w:pPr>
        <w:spacing w:after="0" w:line="186" w:lineRule="exact"/>
        <w:rPr>
          <w:rFonts w:ascii="Arial" w:cs="Arial" w:eastAsia="Arial" w:hAnsi="Arial"/>
          <w:sz w:val="18"/>
          <w:szCs w:val="18"/>
          <w:color w:val="auto"/>
        </w:rPr>
      </w:pPr>
    </w:p>
    <w:p>
      <w:pPr>
        <w:ind w:right="120" w:firstLine="1953"/>
        <w:spacing w:after="0" w:line="264" w:lineRule="auto"/>
        <w:tabs>
          <w:tab w:leader="none" w:pos="2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that a Holder will be entitled to withdraw its election if the Company receives, not later than the close of business on the Expiration Date, a facsimile transmission or letter setting forth the name of such Holder, the principal amount of Notes such Holder delivered for purchase, and a statement that such Holder is withdrawing its election to have such Note purchased; and</w:t>
      </w:r>
    </w:p>
    <w:p>
      <w:pPr>
        <w:spacing w:after="0" w:line="181" w:lineRule="exact"/>
        <w:rPr>
          <w:rFonts w:ascii="Arial" w:cs="Arial" w:eastAsia="Arial" w:hAnsi="Arial"/>
          <w:sz w:val="18"/>
          <w:szCs w:val="18"/>
          <w:color w:val="auto"/>
        </w:rPr>
      </w:pPr>
    </w:p>
    <w:p>
      <w:pPr>
        <w:ind w:right="240" w:firstLine="1953"/>
        <w:spacing w:after="0" w:line="277" w:lineRule="auto"/>
        <w:tabs>
          <w:tab w:leader="none" w:pos="26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that if Notes of such Series are purchased only in part by the Company, a new Note of the same Series and type will be issued in principal amount equal to the unpurchased portion of the Notes surrendered.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6" w:name="page117"/>
    <w:bookmarkEnd w:id="116"/>
    <w:p>
      <w:pPr>
        <w:ind w:left="1920" w:hanging="615"/>
        <w:spacing w:after="0"/>
        <w:tabs>
          <w:tab w:leader="none" w:pos="19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the Change of Control Purchase Date, the Company shall, to the extent lawful:</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accept for payment all Notes of the applicable Series or portions of such Notes properly tendered pursuant to the Offer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w:t>
      </w:r>
    </w:p>
    <w:p>
      <w:pPr>
        <w:spacing w:after="0" w:line="211" w:lineRule="exact"/>
        <w:rPr>
          <w:sz w:val="20"/>
          <w:szCs w:val="20"/>
          <w:color w:val="auto"/>
        </w:rPr>
      </w:pPr>
    </w:p>
    <w:p>
      <w:pPr>
        <w:ind w:right="380" w:firstLine="1953"/>
        <w:spacing w:after="0" w:line="277" w:lineRule="auto"/>
        <w:tabs>
          <w:tab w:leader="none" w:pos="257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Purchase Price in respect of all Notes of the applicable Series or portions of such Notes properly tendered; and</w:t>
      </w:r>
    </w:p>
    <w:p>
      <w:pPr>
        <w:spacing w:after="0" w:line="170" w:lineRule="exact"/>
        <w:rPr>
          <w:rFonts w:ascii="Arial" w:cs="Arial" w:eastAsia="Arial" w:hAnsi="Arial"/>
          <w:sz w:val="18"/>
          <w:szCs w:val="18"/>
          <w:color w:val="auto"/>
        </w:rPr>
      </w:pPr>
    </w:p>
    <w:p>
      <w:pPr>
        <w:ind w:right="540" w:firstLine="1953"/>
        <w:spacing w:after="0" w:line="277" w:lineRule="auto"/>
        <w:tabs>
          <w:tab w:leader="none" w:pos="257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of the applicable Series properly accepted together with an Officer’s Certificate stating the aggregate principal amount of such Notes or portions of such Notes being repurchased.</w:t>
      </w:r>
    </w:p>
    <w:p>
      <w:pPr>
        <w:spacing w:after="0" w:line="170" w:lineRule="exact"/>
        <w:rPr>
          <w:rFonts w:ascii="Arial" w:cs="Arial" w:eastAsia="Arial" w:hAnsi="Arial"/>
          <w:sz w:val="18"/>
          <w:szCs w:val="18"/>
          <w:color w:val="auto"/>
        </w:rPr>
      </w:pPr>
    </w:p>
    <w:p>
      <w:pPr>
        <w:ind w:right="200" w:firstLine="1305"/>
        <w:spacing w:after="0" w:line="264" w:lineRule="auto"/>
        <w:tabs>
          <w:tab w:leader="none" w:pos="192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On the Change of Control Purchase Date the Change of Control Purchase Price will become due and payable on each Note accepted for purchase pursuant to the Offer to Purchase, and, unless the Company defaults in the payment of the Change of Control Purchase Price, interest on Notes purchased will cease to accrue on and after the Change of Control Purchase Date.</w:t>
      </w:r>
    </w:p>
    <w:p>
      <w:pPr>
        <w:spacing w:after="0" w:line="181" w:lineRule="exact"/>
        <w:rPr>
          <w:rFonts w:ascii="Arial" w:cs="Arial" w:eastAsia="Arial" w:hAnsi="Arial"/>
          <w:sz w:val="18"/>
          <w:szCs w:val="18"/>
          <w:color w:val="auto"/>
        </w:rPr>
      </w:pPr>
    </w:p>
    <w:p>
      <w:pPr>
        <w:ind w:right="100" w:firstLine="1305"/>
        <w:spacing w:after="0" w:line="279" w:lineRule="auto"/>
        <w:tabs>
          <w:tab w:leader="none" w:pos="191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 shall not be required to make an Offer to Purchase upon the occurrence of a Change of Control Triggering Event with respect to Notes of a particular Series if (i) a third party makes such an offer in the manner, at the times and otherwise in compliance with the requirements for an offer made by the Company and the third party purchases all Notes of the applicable Series validly tendered and not withdrawn under its offer or (ii) the Company as sent a notice of redemption pursuant to Section 3.1 of this Supplemental Indenture.</w:t>
      </w:r>
    </w:p>
    <w:p>
      <w:pPr>
        <w:spacing w:after="0" w:line="171" w:lineRule="exact"/>
        <w:rPr>
          <w:rFonts w:ascii="Arial" w:cs="Arial" w:eastAsia="Arial" w:hAnsi="Arial"/>
          <w:sz w:val="17"/>
          <w:szCs w:val="17"/>
          <w:color w:val="auto"/>
        </w:rPr>
      </w:pPr>
    </w:p>
    <w:p>
      <w:pPr>
        <w:ind w:right="520" w:firstLine="1305"/>
        <w:spacing w:after="0" w:line="257" w:lineRule="auto"/>
        <w:tabs>
          <w:tab w:leader="none" w:pos="193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shall comply with the requirements of Rule 14e-1 under the Exchange Act and all other applicable laws and regulations thereunder to the extent such securities laws and regulations are applicable in connection with the repurchase of the Notes of the applicable Series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w:t>
      </w:r>
    </w:p>
    <w:p>
      <w:pPr>
        <w:spacing w:after="0" w:line="188" w:lineRule="exact"/>
        <w:rPr>
          <w:rFonts w:ascii="Arial" w:cs="Arial" w:eastAsia="Arial" w:hAnsi="Arial"/>
          <w:sz w:val="18"/>
          <w:szCs w:val="18"/>
          <w:color w:val="auto"/>
        </w:rPr>
      </w:pPr>
    </w:p>
    <w:p>
      <w:pPr>
        <w:jc w:val="both"/>
        <w:ind w:right="300" w:firstLine="1305"/>
        <w:spacing w:after="0" w:line="264" w:lineRule="auto"/>
        <w:tabs>
          <w:tab w:leader="none" w:pos="192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Section 4.1,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1" w:lineRule="exact"/>
        <w:rPr>
          <w:rFonts w:ascii="Arial" w:cs="Arial" w:eastAsia="Arial" w:hAnsi="Arial"/>
          <w:sz w:val="18"/>
          <w:szCs w:val="18"/>
          <w:color w:val="auto"/>
        </w:rPr>
      </w:pPr>
    </w:p>
    <w:p>
      <w:pPr>
        <w:ind w:right="80" w:firstLine="1305"/>
        <w:spacing w:after="0" w:line="277" w:lineRule="auto"/>
        <w:tabs>
          <w:tab w:leader="none" w:pos="192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Notes of $2,000 or less can be repurchased in part pursuant to this Section 4.1. Notes in denominations larger than $2,000 may be repurchased in part but only in whole multiples of $1,000, unless all of the Notes held by a Holder are to be repurchased.</w:t>
      </w:r>
    </w:p>
    <w:p>
      <w:pPr>
        <w:spacing w:after="0" w:line="170" w:lineRule="exact"/>
        <w:rPr>
          <w:rFonts w:ascii="Arial" w:cs="Arial" w:eastAsia="Arial" w:hAnsi="Arial"/>
          <w:sz w:val="18"/>
          <w:szCs w:val="18"/>
          <w:color w:val="auto"/>
        </w:rPr>
      </w:pPr>
    </w:p>
    <w:p>
      <w:pPr>
        <w:ind w:firstLine="1305"/>
        <w:spacing w:after="0" w:line="273" w:lineRule="auto"/>
        <w:tabs>
          <w:tab w:leader="none" w:pos="192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If Holders of not less than 90% in aggregate principal amount of the outstanding Notes of a Series validly tender and do not withdraw such Notes in an Offer to Purchase and the Company, or any third party approved in writing by the Company making an Offer to Purchase in lieu of the Company pursuant to Section 4.1(e) above, purchases all of the Notes of such Series validly tendered and not withdrawn by such Holders, the Company or such third party will have the right, upon not less than 10 nor more than 60 days’ prior notice, given not more than 30 days following such purchase pursuant to the Offer to Purchase, to redeem (with respect to the Company) or purchase (with respect to a third party) all Notes of such Series that remain outstanding following such purchase on a date (the “</w:t>
      </w:r>
      <w:r>
        <w:rPr>
          <w:rFonts w:ascii="Arial" w:cs="Arial" w:eastAsia="Arial" w:hAnsi="Arial"/>
          <w:sz w:val="17"/>
          <w:szCs w:val="17"/>
          <w:b w:val="1"/>
          <w:bCs w:val="1"/>
          <w:i w:val="1"/>
          <w:iCs w:val="1"/>
          <w:color w:val="auto"/>
        </w:rPr>
        <w:t>Second Change of Control Purchase Date</w:t>
      </w:r>
      <w:r>
        <w:rPr>
          <w:rFonts w:ascii="Arial" w:cs="Arial" w:eastAsia="Arial" w:hAnsi="Arial"/>
          <w:sz w:val="17"/>
          <w:szCs w:val="17"/>
          <w:color w:val="auto"/>
        </w:rPr>
        <w:t>”) at 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7" w:name="page118"/>
    <w:bookmarkEnd w:id="117"/>
    <w:p>
      <w:pPr>
        <w:ind w:right="540"/>
        <w:spacing w:after="0" w:line="277" w:lineRule="auto"/>
        <w:rPr>
          <w:sz w:val="20"/>
          <w:szCs w:val="20"/>
          <w:color w:val="auto"/>
        </w:rPr>
      </w:pPr>
      <w:r>
        <w:rPr>
          <w:rFonts w:ascii="Arial" w:cs="Arial" w:eastAsia="Arial" w:hAnsi="Arial"/>
          <w:sz w:val="18"/>
          <w:szCs w:val="18"/>
          <w:color w:val="auto"/>
        </w:rPr>
        <w:t>purchase price equal to 101% of the principal amount thereof plus accrued and unpaid interest, if any, to, but excluding, the Second Change of Control Purchase Date.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5"/>
          <w:szCs w:val="15"/>
          <w:i w:val="1"/>
          <w:iCs w:val="1"/>
          <w:color w:val="auto"/>
        </w:rPr>
        <w:t>Liens</w:t>
      </w:r>
    </w:p>
    <w:p>
      <w:pPr>
        <w:spacing w:after="0" w:line="225" w:lineRule="exact"/>
        <w:rPr>
          <w:sz w:val="20"/>
          <w:szCs w:val="20"/>
          <w:color w:val="auto"/>
        </w:rPr>
      </w:pPr>
    </w:p>
    <w:p>
      <w:pPr>
        <w:ind w:right="60" w:firstLine="1305"/>
        <w:spacing w:after="0" w:line="255" w:lineRule="auto"/>
        <w:tabs>
          <w:tab w:leader="none" w:pos="19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create or incur any Lien, except Permitted Liens, on any Principal Property owned by the Company or any Restricted Subsidiary or on any shares of Capital Stock of any Restricted Subsidiary, whether now owned or hereafter acquired, in order to secure any Indebtedness, without effectively providing that the Notes of each Series then outstanding (together with, if the Company so determines, any other Indebtedness of the Company or a Subsidiary then existing or thereafter created ranking equally with the Notes) shall be substantially concurrently equally and ratably secured (or, at the Company’s option, secured prior thereto), until such time as such Indebtedness is no longer secured by such Lien.</w:t>
      </w:r>
    </w:p>
    <w:p>
      <w:pPr>
        <w:spacing w:after="0" w:line="193" w:lineRule="exact"/>
        <w:rPr>
          <w:rFonts w:ascii="Arial" w:cs="Arial" w:eastAsia="Arial" w:hAnsi="Arial"/>
          <w:sz w:val="18"/>
          <w:szCs w:val="18"/>
          <w:color w:val="auto"/>
        </w:rPr>
      </w:pPr>
    </w:p>
    <w:p>
      <w:pPr>
        <w:ind w:firstLine="1305"/>
        <w:spacing w:after="0" w:line="283" w:lineRule="auto"/>
        <w:tabs>
          <w:tab w:leader="none" w:pos="192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Notwithstanding Section 4.2(a) above, the Company or any Restricted Subsidiary of the Company may, without equally and ratably securing the Notes of each Series then outstanding, create or incur Liens which would otherwise be subject to the restrictions set forth in the preceding paragraph, if after giving effect thereto, Aggregate Debt does not exceed an amount equal to the greater of (a) $5.6 billion, and (b) 15% of Consolidated Net Tangible Assets of the Company immediately preceding the date of the creation or incurrence of the Lien. The Company or any Restricted Subsidiary of the Company also may, without equally and ratably securing the Notes, create or incur Liens that extend, renew, substitute, reinstate or replace (including successive extensions, renewals, substitutions, reinstatements or replacements), in whole or in part, any Lien permitted pursuant to this or the preceding sentence and any Liens that secure any extension, renewal, replacement, reinstatement, refinancing or refunding (including any successive extensions, renewals, replacements, reinstatements, refinancings or refundings) of any Indebtedness at any time prior to or within 12 months after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permitted pursuant to</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4.2(a) above or this Section 4.2(b).</w:t>
      </w:r>
    </w:p>
    <w:p>
      <w:pPr>
        <w:spacing w:after="0" w:line="210" w:lineRule="exact"/>
        <w:rPr>
          <w:rFonts w:ascii="Arial" w:cs="Arial" w:eastAsia="Arial" w:hAnsi="Arial"/>
          <w:sz w:val="16"/>
          <w:szCs w:val="16"/>
          <w:color w:val="auto"/>
        </w:rPr>
      </w:pPr>
    </w:p>
    <w:p>
      <w:pPr>
        <w:ind w:firstLine="1305"/>
        <w:spacing w:after="0" w:line="288" w:lineRule="auto"/>
        <w:tabs>
          <w:tab w:leader="none" w:pos="191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For purposes of this Section 4.2, (i) the creation of a Lien to secure Indebtedness which existed prior to the creation of such Lien will be deemed to involve Indebtedness in an amount equal to the lesser of (x) the fair value (as determined in good faith by a Senior Officer of the Company) of the asset subjected to such Lien and (y) the principal amount secured by such Lien, and (ii) in the event that a Lien meets the criteria of more than one of the types of Permitted Liens or Liens permitted by the preceding paragraph, the Company, in its sole discretion, will classify, and may reclassify, such Lien and only be required to include the amount and type of such Lien as a Permitted Lien or a Lien permitted by Section 4.2(b) above, and a Lien may be divided and classified and reclassified into more than one of such types of Liens. In addition, for purposes of calculating compliance with the foregoing covenant,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Restricted Subsidiaries securing any Indebtedness, the amount of such Indebtedness secured shall only be included once for purposes of such calculations).</w:t>
      </w:r>
    </w:p>
    <w:p>
      <w:pPr>
        <w:spacing w:after="0" w:line="169" w:lineRule="exact"/>
        <w:rPr>
          <w:rFonts w:ascii="Arial" w:cs="Arial" w:eastAsia="Arial" w:hAnsi="Arial"/>
          <w:sz w:val="16"/>
          <w:szCs w:val="16"/>
          <w:color w:val="auto"/>
        </w:rPr>
      </w:pPr>
    </w:p>
    <w:p>
      <w:pPr>
        <w:ind w:firstLine="1305"/>
        <w:spacing w:after="0" w:line="264" w:lineRule="auto"/>
        <w:tabs>
          <w:tab w:leader="none" w:pos="192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Lien created for the benefit of the Holders of the Notes of a Series pursuant to Section 4.2(a) above may provide by its terms that such Lien shall be automatically and unconditionally released and discharged upon the release and discharge of the Lien that gave rise to the obligation to secure the Notes of such Series.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8" w:name="page119"/>
    <w:bookmarkEnd w:id="118"/>
    <w:p>
      <w:pPr>
        <w:ind w:left="660"/>
        <w:spacing w:after="0"/>
        <w:tabs>
          <w:tab w:leader="none" w:pos="192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5"/>
          <w:szCs w:val="15"/>
          <w:i w:val="1"/>
          <w:iCs w:val="1"/>
          <w:color w:val="auto"/>
        </w:rPr>
        <w:t>Sale and Lease Back Transactions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will not, and will not permit any of its Restricted Subsidiaries, to enter into any Sale and Lease Back Transaction with respect to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Property owned by the Company or any Restricted Subsidiary, whether now owned or hereafter acquired, unless:</w:t>
      </w:r>
    </w:p>
    <w:p>
      <w:pPr>
        <w:spacing w:after="0" w:line="211" w:lineRule="exact"/>
        <w:rPr>
          <w:sz w:val="20"/>
          <w:szCs w:val="20"/>
          <w:color w:val="auto"/>
        </w:rPr>
      </w:pPr>
    </w:p>
    <w:p>
      <w:pPr>
        <w:ind w:left="1920" w:hanging="615"/>
        <w:spacing w:after="0"/>
        <w:tabs>
          <w:tab w:leader="none" w:pos="19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such transaction was for the sale and leasing back to the Company or a Restricted Subsidiary by the Company or any Subsidiary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Principal Property;</w:t>
      </w:r>
    </w:p>
    <w:p>
      <w:pPr>
        <w:spacing w:after="0" w:line="210" w:lineRule="exact"/>
        <w:rPr>
          <w:rFonts w:ascii="Arial" w:cs="Arial" w:eastAsia="Arial" w:hAnsi="Arial"/>
          <w:sz w:val="16"/>
          <w:szCs w:val="16"/>
          <w:color w:val="auto"/>
        </w:rPr>
      </w:pPr>
    </w:p>
    <w:p>
      <w:pPr>
        <w:ind w:right="260" w:firstLine="1305"/>
        <w:spacing w:after="0" w:line="291" w:lineRule="auto"/>
        <w:tabs>
          <w:tab w:leader="none" w:pos="1917" w:val="left"/>
        </w:tabs>
        <w:numPr>
          <w:ilvl w:val="1"/>
          <w:numId w:val="115"/>
        </w:numPr>
        <w:rPr>
          <w:rFonts w:ascii="Arial" w:cs="Arial" w:eastAsia="Arial" w:hAnsi="Arial"/>
          <w:sz w:val="16"/>
          <w:szCs w:val="16"/>
          <w:color w:val="auto"/>
        </w:rPr>
      </w:pPr>
      <w:r>
        <w:rPr>
          <w:rFonts w:ascii="Arial" w:cs="Arial" w:eastAsia="Arial" w:hAnsi="Arial"/>
          <w:sz w:val="16"/>
          <w:szCs w:val="16"/>
          <w:color w:val="auto"/>
        </w:rPr>
        <w:t>such transaction involves a lease of a Principal Property executed by the time of or within 24 months after the later of (i) the acquisition or the completion of any such development, operation, construction, alteration, repair or improvement of such property, assets or equipment or</w:t>
      </w:r>
    </w:p>
    <w:p>
      <w:pPr>
        <w:ind w:right="260" w:firstLine="8"/>
        <w:spacing w:after="0" w:line="261" w:lineRule="auto"/>
        <w:tabs>
          <w:tab w:leader="none" w:pos="26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placing into commercial operation of such Principal Property after the acquisition or completion of any such development, operation, construction, alteration, repair or improvement;</w:t>
      </w:r>
    </w:p>
    <w:p>
      <w:pPr>
        <w:spacing w:after="0" w:line="183" w:lineRule="exact"/>
        <w:rPr>
          <w:rFonts w:ascii="Arial" w:cs="Arial" w:eastAsia="Arial" w:hAnsi="Arial"/>
          <w:sz w:val="18"/>
          <w:szCs w:val="18"/>
          <w:color w:val="auto"/>
        </w:rPr>
      </w:pPr>
    </w:p>
    <w:p>
      <w:pPr>
        <w:ind w:right="340" w:firstLine="1305"/>
        <w:spacing w:after="0" w:line="277" w:lineRule="auto"/>
        <w:tabs>
          <w:tab w:leader="none" w:pos="192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Restricted Subsidiary within a period of not more than three years);</w:t>
      </w:r>
    </w:p>
    <w:p>
      <w:pPr>
        <w:spacing w:after="0" w:line="170" w:lineRule="exact"/>
        <w:rPr>
          <w:rFonts w:ascii="Arial" w:cs="Arial" w:eastAsia="Arial" w:hAnsi="Arial"/>
          <w:sz w:val="18"/>
          <w:szCs w:val="18"/>
          <w:color w:val="auto"/>
        </w:rPr>
      </w:pPr>
    </w:p>
    <w:p>
      <w:pPr>
        <w:ind w:right="100" w:firstLine="1305"/>
        <w:spacing w:after="0" w:line="264" w:lineRule="auto"/>
        <w:tabs>
          <w:tab w:leader="none" w:pos="1917"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would be entitled to incur Indebtedness secured by a Lien on the property to be leased in an amount equal to Attributable Debt with respect to such Sale and Lease Back Transaction without equally and ratably securing the Notes pursuant to Section 4.2(a) above; or</w:t>
      </w:r>
    </w:p>
    <w:p>
      <w:pPr>
        <w:spacing w:after="0" w:line="181" w:lineRule="exact"/>
        <w:rPr>
          <w:rFonts w:ascii="Arial" w:cs="Arial" w:eastAsia="Arial" w:hAnsi="Arial"/>
          <w:sz w:val="18"/>
          <w:szCs w:val="18"/>
          <w:color w:val="auto"/>
        </w:rPr>
      </w:pPr>
    </w:p>
    <w:p>
      <w:pPr>
        <w:ind w:right="20" w:firstLine="1305"/>
        <w:spacing w:after="0" w:line="257" w:lineRule="auto"/>
        <w:tabs>
          <w:tab w:leader="none" w:pos="193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or the applicable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 Back Transaction; provided that in lieu of applying such amount to such retirement, repurchase, repayment or prepayment, the Company or any Restricted Subsidiary may deliver Notes to the Trustee for cancellation, such Notes to be credited at the cost thereof to the Company or such Restricted Subsidiary.</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the foregoing, the Company and its Restricted Subsidiaries may enter into any Sale and Lease Back Transaction which would otherwise be subject to the foregoing restrictions if after giving effect thereto and at the time of determination, Aggregate Debt does not exceed an amount equal to the greater of (a) $5.6 billion, and (b) 15% of Consolidated Net Tangible Assets of the Company immediately preceding the closing date of the Sale and Lease Back Transaction.</w:t>
      </w:r>
    </w:p>
    <w:p>
      <w:pPr>
        <w:spacing w:after="0" w:line="18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5"/>
          <w:szCs w:val="15"/>
          <w:i w:val="1"/>
          <w:iCs w:val="1"/>
          <w:color w:val="auto"/>
        </w:rPr>
        <w:t>Covenants</w:t>
      </w:r>
      <w:r>
        <w:rPr>
          <w:rFonts w:ascii="Arial" w:cs="Arial" w:eastAsia="Arial" w:hAnsi="Arial"/>
          <w:sz w:val="15"/>
          <w:szCs w:val="15"/>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covenants set forth in Sections 4.2 and 4.3 above are and are intended solely for the benefit of the 2024 Notes, the 2026 Notes and the 2029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i w:val="1"/>
          <w:iCs w:val="1"/>
          <w:color w:val="auto"/>
        </w:rPr>
        <w:t>Satisfaction and Discharge of Indenture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9" w:name="page120"/>
    <w:bookmarkEnd w:id="119"/>
    <w:p>
      <w:pPr>
        <w:ind w:right="260" w:firstLine="648"/>
        <w:spacing w:after="0" w:line="277" w:lineRule="auto"/>
        <w:rPr>
          <w:sz w:val="20"/>
          <w:szCs w:val="20"/>
          <w:color w:val="auto"/>
        </w:rPr>
      </w:pPr>
      <w:r>
        <w:rPr>
          <w:rFonts w:ascii="Arial" w:cs="Arial" w:eastAsia="Arial" w:hAnsi="Arial"/>
          <w:sz w:val="18"/>
          <w:szCs w:val="18"/>
          <w:color w:val="auto"/>
        </w:rPr>
        <w:t>The Company may satisfy and discharge any Series of the Notes hereunder in accordance with and subject to the terms of Section 8.1 of the Base Indenture.</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i w:val="1"/>
          <w:iCs w:val="1"/>
          <w:color w:val="auto"/>
        </w:rPr>
        <w:t>Legal Defeasance of Securities of any Series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8.3 of the Base Indenture shall be applicable to each Series of the Notes.</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5"/>
          <w:szCs w:val="15"/>
          <w:i w:val="1"/>
          <w:iCs w:val="1"/>
          <w:color w:val="auto"/>
        </w:rPr>
        <w:t>Covenant Defeasance</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In addition to the covenants specified in Section 8.4 of the Base Indenture, the Company may omit to comply with respect to the Notes of a Series with any term, provision or condition set forth in Section 4.1, Section 4.2 and Section 4.3 of this Supplemental Indenture by complying with the requirements of Section 8.4 of the Base Indenture in respect of such Series.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Trust Indenture Act Controls.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If any provision of this Supplemental Indenture limits, qualifies or conflicts with another provision which is required or deemed to be included in this Supplemental Indenture by the TIA, such required or deemed provision shall control.</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i w:val="1"/>
          <w:iCs w:val="1"/>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SUPPLEMENTAL INDENTURE AND THE NOTES SHALL BE GOVERNED BY THE LAW OF THE STATE OF NEW YORK .</w:t>
      </w:r>
    </w:p>
    <w:p>
      <w:pPr>
        <w:spacing w:after="0" w:line="22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5"/>
          <w:szCs w:val="15"/>
          <w:i w:val="1"/>
          <w:iCs w:val="1"/>
          <w:color w:val="auto"/>
        </w:rPr>
        <w:t>Successors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All agreements of the Company in this Supplemental Indenture and the Notes shall bind its successors. All agreements of the Trustee in this Supplemental Indenture shall bind its successors.</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i w:val="1"/>
          <w:iCs w:val="1"/>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case any provision in this Supplemental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i w:val="1"/>
          <w:iCs w:val="1"/>
          <w:color w:val="auto"/>
        </w:rPr>
        <w:t>Counterpart Originals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This Supplemental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4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i w:val="1"/>
          <w:iCs w:val="1"/>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0" w:name="page121"/>
    <w:bookmarkEnd w:id="120"/>
    <w:p>
      <w:pPr>
        <w:ind w:left="660"/>
        <w:spacing w:after="0"/>
        <w:tabs>
          <w:tab w:leader="none" w:pos="192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i w:val="1"/>
          <w:iCs w:val="1"/>
          <w:color w:val="auto"/>
        </w:rPr>
        <w:t>Waiver of Jury Trial</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the Trustee and the Holders (by their acceptance of the Notes) each hereby irrevocably waive, to the fullest extent permitted by applicable law, any and all right to trial by jury in any legal proceeding arising out of or relating to this Indenture, the Notes or the transactions contemplated hereby or thereby</w:t>
      </w:r>
      <w:r>
        <w:rPr>
          <w:rFonts w:ascii="Arial" w:cs="Arial" w:eastAsia="Arial" w:hAnsi="Arial"/>
          <w:sz w:val="18"/>
          <w:szCs w:val="18"/>
          <w:i w:val="1"/>
          <w:iCs w:val="1"/>
          <w:color w:val="auto"/>
        </w:rPr>
        <w:t>.</w:t>
      </w:r>
    </w:p>
    <w:p>
      <w:pPr>
        <w:spacing w:after="0" w:line="18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i w:val="1"/>
          <w:iCs w:val="1"/>
          <w:color w:val="auto"/>
        </w:rPr>
        <w:t>Interpretation</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w:t>
      </w:r>
    </w:p>
    <w:p>
      <w:pPr>
        <w:spacing w:after="0" w:line="5" w:lineRule="exact"/>
        <w:rPr>
          <w:sz w:val="20"/>
          <w:szCs w:val="20"/>
          <w:color w:val="auto"/>
        </w:rPr>
      </w:pPr>
    </w:p>
    <w:p>
      <w:pPr>
        <w:jc w:val="both"/>
        <w:ind w:right="100" w:firstLine="8"/>
        <w:spacing w:after="0" w:line="273" w:lineRule="auto"/>
        <w:tabs>
          <w:tab w:leader="none" w:pos="24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i w:val="1"/>
          <w:iCs w:val="1"/>
          <w:color w:val="auto"/>
        </w:rPr>
        <w:t>Instruction by Electronic Transmissions</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to the foregoing, the Trustee agrees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6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i w:val="1"/>
          <w:iCs w:val="1"/>
          <w:color w:val="auto"/>
        </w:rPr>
        <w:t>Miscellaneous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None of the Company’s past, present or future directors, officers, employees or stockholders, as such, will have any liability for any of the Company’s obligations under the Notes of a Series or the Indenture or for any claim based on, or in respect or by reason of, such obligations or their creation. By accepting a Note, each Holder waives and releases all such liability. This waiver and release is part of the consideration for the issue of the Notes of each Series.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i w:val="1"/>
          <w:iCs w:val="1"/>
          <w:color w:val="auto"/>
        </w:rPr>
        <w:t>[Signatures on following page]</w:t>
      </w:r>
    </w:p>
    <w:p>
      <w:pPr>
        <w:sectPr>
          <w:pgSz w:w="11900" w:h="16838" w:orient="portrait"/>
          <w:cols w:equalWidth="0" w:num="1">
            <w:col w:w="9019"/>
          </w:cols>
          <w:pgMar w:left="1440" w:top="341" w:right="1440"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432"/>
        </w:trPr>
        <w:tc>
          <w:tcPr>
            <w:tcW w:w="5700" w:type="dxa"/>
            <w:vAlign w:val="bottom"/>
            <w:gridSpan w:val="2"/>
          </w:tcPr>
          <w:p>
            <w:pPr>
              <w:spacing w:after="0"/>
              <w:rPr>
                <w:sz w:val="20"/>
                <w:szCs w:val="20"/>
                <w:color w:val="auto"/>
              </w:rPr>
            </w:pPr>
            <w:r>
              <w:rPr>
                <w:rFonts w:ascii="Arial" w:cs="Arial" w:eastAsia="Arial" w:hAnsi="Arial"/>
                <w:sz w:val="18"/>
                <w:szCs w:val="18"/>
                <w:color w:val="auto"/>
              </w:rPr>
              <w:t>U.S. BANK NATIONAL ASSOCIATION, as Trustee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Oswald</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Paula Oswald</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(Face of 2024 Note)</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CUSIP:[</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720" w:type="dxa"/>
            <w:vAlign w:val="bottom"/>
          </w:tcPr>
          <w:p>
            <w:pPr>
              <w:jc w:val="right"/>
              <w:ind w:right="270"/>
              <w:spacing w:after="0"/>
              <w:rPr>
                <w:sz w:val="20"/>
                <w:szCs w:val="20"/>
                <w:color w:val="auto"/>
              </w:rPr>
            </w:pPr>
            <w:r>
              <w:rPr>
                <w:rFonts w:ascii="Arial" w:cs="Arial" w:eastAsia="Arial" w:hAnsi="Arial"/>
                <w:sz w:val="18"/>
                <w:szCs w:val="18"/>
                <w:color w:val="auto"/>
              </w:rPr>
              <w:t>ISIN:[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980" w:type="dxa"/>
            <w:vAlign w:val="bottom"/>
          </w:tcPr>
          <w:p>
            <w:pPr>
              <w:jc w:val="center"/>
              <w:ind w:right="630"/>
              <w:spacing w:after="0"/>
              <w:rPr>
                <w:sz w:val="20"/>
                <w:szCs w:val="20"/>
                <w:color w:val="auto"/>
              </w:rPr>
            </w:pPr>
            <w:r>
              <w:rPr>
                <w:rFonts w:ascii="Arial" w:cs="Arial" w:eastAsia="Arial" w:hAnsi="Arial"/>
                <w:sz w:val="18"/>
                <w:szCs w:val="18"/>
                <w:color w:val="auto"/>
                <w:w w:val="96"/>
              </w:rPr>
              <w:t>MICRON TECHNOLOGY, INC.</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980" w:type="dxa"/>
            <w:vAlign w:val="bottom"/>
          </w:tcPr>
          <w:p>
            <w:pPr>
              <w:jc w:val="center"/>
              <w:ind w:right="630"/>
              <w:spacing w:after="0"/>
              <w:rPr>
                <w:sz w:val="20"/>
                <w:szCs w:val="20"/>
                <w:color w:val="auto"/>
              </w:rPr>
            </w:pPr>
            <w:r>
              <w:rPr>
                <w:rFonts w:ascii="Arial" w:cs="Arial" w:eastAsia="Arial" w:hAnsi="Arial"/>
                <w:sz w:val="18"/>
                <w:szCs w:val="18"/>
                <w:color w:val="auto"/>
                <w:w w:val="90"/>
              </w:rPr>
              <w:t>4.640% Senior Note due 2024</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No. [</w:t>
            </w:r>
          </w:p>
        </w:tc>
        <w:tc>
          <w:tcPr>
            <w:tcW w:w="2020" w:type="dxa"/>
            <w:vAlign w:val="bottom"/>
          </w:tcPr>
          <w:p>
            <w:pPr>
              <w:jc w:val="right"/>
              <w:ind w:right="1690"/>
              <w:spacing w:after="0"/>
              <w:rPr>
                <w:sz w:val="20"/>
                <w:szCs w:val="20"/>
                <w:color w:val="auto"/>
              </w:rPr>
            </w:pPr>
            <w:r>
              <w:rPr>
                <w:rFonts w:ascii="Arial" w:cs="Arial" w:eastAsia="Arial" w:hAnsi="Arial"/>
                <w:sz w:val="18"/>
                <w:szCs w:val="18"/>
                <w:color w:val="auto"/>
              </w:rPr>
              <w:t>]</w:t>
            </w:r>
          </w:p>
        </w:tc>
        <w:tc>
          <w:tcPr>
            <w:tcW w:w="6980" w:type="dxa"/>
            <w:vAlign w:val="bottom"/>
          </w:tcPr>
          <w:p>
            <w:pPr>
              <w:spacing w:after="0"/>
              <w:rPr>
                <w:sz w:val="24"/>
                <w:szCs w:val="24"/>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80" w:type="dxa"/>
            <w:vAlign w:val="bottom"/>
            <w:gridSpan w:val="3"/>
          </w:tcPr>
          <w:p>
            <w:pPr>
              <w:jc w:val="right"/>
              <w:spacing w:after="0"/>
              <w:rPr>
                <w:sz w:val="20"/>
                <w:szCs w:val="20"/>
                <w:color w:val="auto"/>
              </w:rPr>
            </w:pPr>
            <w:r>
              <w:rPr>
                <w:rFonts w:ascii="Arial" w:cs="Arial" w:eastAsia="Arial" w:hAnsi="Arial"/>
                <w:sz w:val="18"/>
                <w:szCs w:val="18"/>
                <w:color w:val="auto"/>
              </w:rPr>
              <w:t>(as revised by the Schedule of Increases and</w:t>
            </w: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80" w:type="dxa"/>
            <w:vAlign w:val="bottom"/>
            <w:gridSpan w:val="3"/>
          </w:tcPr>
          <w:p>
            <w:pPr>
              <w:jc w:val="right"/>
              <w:spacing w:after="0"/>
              <w:rPr>
                <w:sz w:val="20"/>
                <w:szCs w:val="20"/>
                <w:color w:val="auto"/>
              </w:rPr>
            </w:pPr>
            <w:r>
              <w:rPr>
                <w:rFonts w:ascii="Arial" w:cs="Arial" w:eastAsia="Arial" w:hAnsi="Arial"/>
                <w:sz w:val="18"/>
                <w:szCs w:val="18"/>
                <w:color w:val="auto"/>
              </w:rPr>
              <w:t>Decreases in Global Note attached hereto)</w:t>
            </w:r>
          </w:p>
        </w:tc>
      </w:tr>
      <w:tr>
        <w:trPr>
          <w:trHeight w:val="418"/>
        </w:trPr>
        <w:tc>
          <w:tcPr>
            <w:tcW w:w="9560" w:type="dxa"/>
            <w:vAlign w:val="bottom"/>
            <w:gridSpan w:val="3"/>
          </w:tcPr>
          <w:p>
            <w:pPr>
              <w:spacing w:after="0"/>
              <w:rPr>
                <w:sz w:val="20"/>
                <w:szCs w:val="20"/>
                <w:color w:val="auto"/>
              </w:rPr>
            </w:pPr>
            <w:r>
              <w:rPr>
                <w:rFonts w:ascii="Arial" w:cs="Arial" w:eastAsia="Arial" w:hAnsi="Arial"/>
                <w:sz w:val="18"/>
                <w:szCs w:val="18"/>
                <w:color w:val="auto"/>
                <w:w w:val="94"/>
              </w:rPr>
              <w:t>Micron Technology, Inc., a Delaware corporation, promises to pay to CEDE &amp; CO. or registered assigns, the principal sum of $[</w:t>
            </w:r>
          </w:p>
        </w:tc>
        <w:tc>
          <w:tcPr>
            <w:tcW w:w="1720" w:type="dxa"/>
            <w:vAlign w:val="bottom"/>
          </w:tcPr>
          <w:p>
            <w:pPr>
              <w:jc w:val="right"/>
              <w:spacing w:after="0"/>
              <w:rPr>
                <w:sz w:val="20"/>
                <w:szCs w:val="20"/>
                <w:color w:val="auto"/>
              </w:rPr>
            </w:pPr>
            <w:r>
              <w:rPr>
                <w:rFonts w:ascii="Arial" w:cs="Arial" w:eastAsia="Arial" w:hAnsi="Arial"/>
                <w:sz w:val="18"/>
                <w:szCs w:val="18"/>
                <w:color w:val="auto"/>
              </w:rPr>
              <w:t>] (as revised by the</w:t>
            </w:r>
          </w:p>
        </w:tc>
        <w:tc>
          <w:tcPr>
            <w:tcW w:w="180" w:type="dxa"/>
            <w:vAlign w:val="bottom"/>
          </w:tcPr>
          <w:p>
            <w:pPr>
              <w:spacing w:after="0"/>
              <w:rPr>
                <w:sz w:val="24"/>
                <w:szCs w:val="24"/>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Schedule of Increases and Decreases in Global Note attached hereto) on February 6, 2024.</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Interest Payment Dates:</w:t>
            </w:r>
          </w:p>
        </w:tc>
        <w:tc>
          <w:tcPr>
            <w:tcW w:w="6980" w:type="dxa"/>
            <w:vAlign w:val="bottom"/>
          </w:tcPr>
          <w:p>
            <w:pPr>
              <w:ind w:left="860"/>
              <w:spacing w:after="0"/>
              <w:rPr>
                <w:sz w:val="20"/>
                <w:szCs w:val="20"/>
                <w:color w:val="auto"/>
              </w:rPr>
            </w:pPr>
            <w:r>
              <w:rPr>
                <w:rFonts w:ascii="Arial" w:cs="Arial" w:eastAsia="Arial" w:hAnsi="Arial"/>
                <w:sz w:val="18"/>
                <w:szCs w:val="18"/>
                <w:color w:val="auto"/>
              </w:rPr>
              <w:t>February 6 and August 6</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Record Dates:</w:t>
            </w:r>
          </w:p>
        </w:tc>
        <w:tc>
          <w:tcPr>
            <w:tcW w:w="6980" w:type="dxa"/>
            <w:vAlign w:val="bottom"/>
          </w:tcPr>
          <w:p>
            <w:pPr>
              <w:ind w:left="860"/>
              <w:spacing w:after="0"/>
              <w:rPr>
                <w:sz w:val="20"/>
                <w:szCs w:val="20"/>
                <w:color w:val="auto"/>
              </w:rPr>
            </w:pPr>
            <w:r>
              <w:rPr>
                <w:rFonts w:ascii="Arial" w:cs="Arial" w:eastAsia="Arial" w:hAnsi="Arial"/>
                <w:sz w:val="18"/>
                <w:szCs w:val="18"/>
                <w:color w:val="auto"/>
              </w:rPr>
              <w:t>January 22 and July 22</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980" w:type="dxa"/>
            <w:vAlign w:val="bottom"/>
          </w:tcPr>
          <w:p>
            <w:pPr>
              <w:jc w:val="center"/>
              <w:ind w:right="610"/>
              <w:spacing w:after="0"/>
              <w:rPr>
                <w:sz w:val="20"/>
                <w:szCs w:val="20"/>
                <w:color w:val="auto"/>
              </w:rPr>
            </w:pPr>
            <w:r>
              <w:rPr>
                <w:rFonts w:ascii="Arial" w:cs="Arial" w:eastAsia="Arial" w:hAnsi="Arial"/>
                <w:sz w:val="18"/>
                <w:szCs w:val="18"/>
                <w:color w:val="auto"/>
                <w:w w:val="99"/>
              </w:rPr>
              <w:t>A-1</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69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MICRON TECHNOLOGY, INC.</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25" w:name="page126"/>
    <w:bookmarkEnd w:id="125"/>
    <w:p>
      <w:pPr>
        <w:ind w:left="37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26" w:name="page127"/>
    <w:bookmarkEnd w:id="126"/>
    <w:p>
      <w:pPr>
        <w:jc w:val="center"/>
        <w:ind w:right="160"/>
        <w:spacing w:after="0"/>
        <w:rPr>
          <w:sz w:val="20"/>
          <w:szCs w:val="20"/>
          <w:color w:val="auto"/>
        </w:rPr>
      </w:pPr>
      <w:r>
        <w:rPr>
          <w:rFonts w:ascii="Arial" w:cs="Arial" w:eastAsia="Arial" w:hAnsi="Arial"/>
          <w:sz w:val="18"/>
          <w:szCs w:val="18"/>
          <w:color w:val="auto"/>
        </w:rPr>
        <w:t>(Back of 2024 Note)</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4.640% Senior Note due 2024</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20" w:firstLine="638"/>
        <w:spacing w:after="0" w:line="269" w:lineRule="auto"/>
        <w:tabs>
          <w:tab w:leader="none" w:pos="1368"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2024 Note at 4.640% per annum from the date hereof until maturity. The Company will pay interest semi-annually on February 6 and August 6 of each year, commencing August 6, 2019,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2024 Notes will accrue from the most recent date to which interest has been paid or provided for or, if no interest has been paid or provided for, from February 6, 2019;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there is no existing Default in the payment of interest, and if this 2024 Note is authenticated between a record date referred to on the face</w:t>
      </w:r>
      <w:r>
        <w:rPr>
          <w:rFonts w:ascii="Arial" w:cs="Arial" w:eastAsia="Arial" w:hAnsi="Arial"/>
          <w:sz w:val="17"/>
          <w:szCs w:val="17"/>
          <w:i w:val="1"/>
          <w:iCs w:val="1"/>
          <w:color w:val="auto"/>
        </w:rPr>
        <w:t xml:space="preserve"> </w:t>
      </w:r>
      <w:r>
        <w:rPr>
          <w:rFonts w:ascii="Arial" w:cs="Arial" w:eastAsia="Arial" w:hAnsi="Arial"/>
          <w:sz w:val="17"/>
          <w:szCs w:val="17"/>
          <w:color w:val="auto"/>
        </w:rPr>
        <w:t>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2024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2" w:lineRule="exact"/>
        <w:rPr>
          <w:rFonts w:ascii="Arial" w:cs="Arial" w:eastAsia="Arial" w:hAnsi="Arial"/>
          <w:sz w:val="17"/>
          <w:szCs w:val="17"/>
          <w:color w:val="auto"/>
        </w:rPr>
      </w:pPr>
    </w:p>
    <w:p>
      <w:pPr>
        <w:ind w:firstLine="638"/>
        <w:spacing w:after="0" w:line="288" w:lineRule="auto"/>
        <w:tabs>
          <w:tab w:leader="none" w:pos="1368" w:val="left"/>
        </w:tabs>
        <w:numPr>
          <w:ilvl w:val="0"/>
          <w:numId w:val="118"/>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2024 Notes (except defaulted interest) to the persons who are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2024 Notes at the close of business on the January 22 or July 22 (whether or not a Business Day) next preceding the Interest Payment Date, even if such 2024 Notes are canceled after such record date and on or before such Interest Payment Date, except as provided in Section 2.13 of the Base Indenture with respect to defaulted interest. Principal and interest on the 2024 Notes will be made by (a) check mailed to the Holders of the 2024 Notes at their respective addresses set forth in the register of Holders of 2024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2024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9" w:lineRule="exact"/>
        <w:rPr>
          <w:rFonts w:ascii="Arial" w:cs="Arial" w:eastAsia="Arial" w:hAnsi="Arial"/>
          <w:sz w:val="16"/>
          <w:szCs w:val="16"/>
          <w:color w:val="auto"/>
        </w:rPr>
      </w:pPr>
    </w:p>
    <w:p>
      <w:pPr>
        <w:ind w:right="60" w:firstLine="638"/>
        <w:spacing w:after="0" w:line="264" w:lineRule="auto"/>
        <w:tabs>
          <w:tab w:leader="none" w:pos="1368"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any Paying Agent or Registrar without notice to any Holder. The Company or any of its Subsidiaries may act in any such capacity.</w:t>
      </w:r>
    </w:p>
    <w:p>
      <w:pPr>
        <w:spacing w:after="0" w:line="181" w:lineRule="exact"/>
        <w:rPr>
          <w:rFonts w:ascii="Arial" w:cs="Arial" w:eastAsia="Arial" w:hAnsi="Arial"/>
          <w:sz w:val="18"/>
          <w:szCs w:val="18"/>
          <w:color w:val="auto"/>
        </w:rPr>
      </w:pPr>
    </w:p>
    <w:p>
      <w:pPr>
        <w:ind w:right="120" w:firstLine="638"/>
        <w:spacing w:after="0" w:line="277" w:lineRule="auto"/>
        <w:tabs>
          <w:tab w:leader="none" w:pos="1368"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2024 Note is one of a duly authenticated Series of securities of the Company issued and to be issued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127" w:name="page128"/>
    <w:bookmarkEnd w:id="127"/>
    <w:p>
      <w:pPr>
        <w:ind w:right="140"/>
        <w:spacing w:after="0" w:line="272" w:lineRule="auto"/>
        <w:rPr>
          <w:sz w:val="20"/>
          <w:szCs w:val="20"/>
          <w:color w:val="auto"/>
        </w:rPr>
      </w:pPr>
      <w:r>
        <w:rPr>
          <w:rFonts w:ascii="Arial" w:cs="Arial" w:eastAsia="Arial" w:hAnsi="Arial"/>
          <w:sz w:val="17"/>
          <w:szCs w:val="17"/>
          <w:color w:val="auto"/>
        </w:rPr>
        <w:t>of February 6, 2019 between the Company and the Trustee, as amended by the First Supplemental Indenture, dated as of February 6, 2019, between the Company and the Trustee (the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terms of the 2024 Notes include those stated in the Indenture and those made part of the Indenture by reference to the TIA. The 2024 Notes are subject to all such terms, and Holders are referred to the Indenture and such Act for a statement of such terms. To the extent any provision of this 2024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2024 Notes pursuant to Section 2.3 of the Supplemental Indenture.</w:t>
      </w:r>
    </w:p>
    <w:p>
      <w:pPr>
        <w:spacing w:after="0" w:line="178" w:lineRule="exact"/>
        <w:rPr>
          <w:sz w:val="20"/>
          <w:szCs w:val="20"/>
          <w:color w:val="auto"/>
        </w:rPr>
      </w:pPr>
    </w:p>
    <w:p>
      <w:pPr>
        <w:ind w:right="220" w:firstLine="638"/>
        <w:spacing w:after="0" w:line="264" w:lineRule="auto"/>
        <w:tabs>
          <w:tab w:leader="none" w:pos="136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Note in part only, a new Note or Notes in an authorized denomination for the unredeemed portion hereof will be issued in the name of the Holder hereof upon the cancellation hereof.</w:t>
      </w:r>
    </w:p>
    <w:p>
      <w:pPr>
        <w:spacing w:after="0" w:line="181" w:lineRule="exact"/>
        <w:rPr>
          <w:rFonts w:ascii="Arial" w:cs="Arial" w:eastAsia="Arial" w:hAnsi="Arial"/>
          <w:sz w:val="18"/>
          <w:szCs w:val="18"/>
          <w:color w:val="auto"/>
        </w:rPr>
      </w:pPr>
    </w:p>
    <w:p>
      <w:pPr>
        <w:ind w:left="1360" w:hanging="722"/>
        <w:spacing w:after="0"/>
        <w:tabs>
          <w:tab w:leader="none" w:pos="136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 xml:space="preserve">MANDATORY REDEMPTION. </w:t>
      </w:r>
      <w:r>
        <w:rPr>
          <w:rFonts w:ascii="Arial" w:cs="Arial" w:eastAsia="Arial" w:hAnsi="Arial"/>
          <w:sz w:val="16"/>
          <w:szCs w:val="16"/>
          <w:color w:val="auto"/>
        </w:rPr>
        <w:t>The Company is not required to make any mandatory redemption or sinking fund payments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2024 Notes.</w:t>
      </w:r>
    </w:p>
    <w:p>
      <w:pPr>
        <w:spacing w:after="0" w:line="210" w:lineRule="exact"/>
        <w:rPr>
          <w:rFonts w:ascii="Arial" w:cs="Arial" w:eastAsia="Arial" w:hAnsi="Arial"/>
          <w:sz w:val="16"/>
          <w:szCs w:val="16"/>
          <w:color w:val="auto"/>
        </w:rPr>
      </w:pPr>
    </w:p>
    <w:p>
      <w:pPr>
        <w:ind w:right="400" w:firstLine="638"/>
        <w:spacing w:after="0" w:line="342" w:lineRule="auto"/>
        <w:tabs>
          <w:tab w:leader="none" w:pos="1368"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OFFER TO PURCHASE UPON CHANGE OF CONTROL</w:t>
      </w:r>
      <w:r>
        <w:rPr>
          <w:rFonts w:ascii="Arial" w:cs="Arial" w:eastAsia="Arial" w:hAnsi="Arial"/>
          <w:sz w:val="16"/>
          <w:szCs w:val="16"/>
          <w:color w:val="auto"/>
        </w:rPr>
        <w:t>. If a Change of Control Triggering Event with respect to the 2024 Notes</w:t>
      </w:r>
      <w:r>
        <w:rPr>
          <w:rFonts w:ascii="Arial" w:cs="Arial" w:eastAsia="Arial" w:hAnsi="Arial"/>
          <w:sz w:val="16"/>
          <w:szCs w:val="16"/>
          <w:i w:val="1"/>
          <w:iCs w:val="1"/>
          <w:color w:val="auto"/>
        </w:rPr>
        <w:t xml:space="preserve"> </w:t>
      </w:r>
      <w:r>
        <w:rPr>
          <w:rFonts w:ascii="Arial" w:cs="Arial" w:eastAsia="Arial" w:hAnsi="Arial"/>
          <w:sz w:val="16"/>
          <w:szCs w:val="16"/>
          <w:color w:val="auto"/>
        </w:rPr>
        <w:t>occurs, the Company may be required to make an offer to purchase the 2024 Notes in the manner and with the effect provided in the Indenture.</w:t>
      </w:r>
    </w:p>
    <w:p>
      <w:pPr>
        <w:spacing w:after="0" w:line="123" w:lineRule="exact"/>
        <w:rPr>
          <w:rFonts w:ascii="Arial" w:cs="Arial" w:eastAsia="Arial" w:hAnsi="Arial"/>
          <w:sz w:val="16"/>
          <w:szCs w:val="16"/>
          <w:color w:val="auto"/>
        </w:rPr>
      </w:pPr>
    </w:p>
    <w:p>
      <w:pPr>
        <w:ind w:firstLine="638"/>
        <w:spacing w:after="0" w:line="272" w:lineRule="auto"/>
        <w:tabs>
          <w:tab w:leader="none" w:pos="1368"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2024 Notes are in registered form without coupons in minimum denominations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$2,000 and integral multiples of $1,000 in excess thereof. 2024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2024 Note or portion of a 2024 Note selected for redemption, except for the unredeemed portion of any 2024 Note being redeemed in part. Also, neither the Trustee nor the Company need exchange or register the transfer of any 2024 Notes for a period of 15 days before the day of any selection of 2024 Notes to be redeemed or during the period between a record date and the corresponding Interest Payment Date.</w:t>
      </w:r>
    </w:p>
    <w:p>
      <w:pPr>
        <w:spacing w:after="0" w:line="177" w:lineRule="exact"/>
        <w:rPr>
          <w:rFonts w:ascii="Arial" w:cs="Arial" w:eastAsia="Arial" w:hAnsi="Arial"/>
          <w:sz w:val="17"/>
          <w:szCs w:val="17"/>
          <w:color w:val="auto"/>
        </w:rPr>
      </w:pPr>
    </w:p>
    <w:p>
      <w:pPr>
        <w:ind w:right="60" w:firstLine="638"/>
        <w:spacing w:after="0" w:line="277" w:lineRule="auto"/>
        <w:tabs>
          <w:tab w:leader="none" w:pos="1368"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2024 Note shall be treated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owner for all purposes.</w:t>
      </w:r>
    </w:p>
    <w:p>
      <w:pPr>
        <w:spacing w:after="0" w:line="170" w:lineRule="exact"/>
        <w:rPr>
          <w:rFonts w:ascii="Arial" w:cs="Arial" w:eastAsia="Arial" w:hAnsi="Arial"/>
          <w:sz w:val="18"/>
          <w:szCs w:val="18"/>
          <w:color w:val="auto"/>
        </w:rPr>
      </w:pPr>
    </w:p>
    <w:p>
      <w:pPr>
        <w:ind w:right="100" w:firstLine="638"/>
        <w:spacing w:after="0" w:line="273" w:lineRule="auto"/>
        <w:tabs>
          <w:tab w:leader="none" w:pos="1323"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2024 Notes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principal amount of the 2024 Notes then outstanding, including, without limitation, consents obtained in connection with a tender offer or exchange offer for the 2024 Notes, and any existing default or compliance with any provision of the Indenture or the 2024 Notes, may be waived with the consent of the Holders of a majority in principal amount of the then outstanding 2024 Notes, including, without limitation, consents obtained in connection with a tender offer or exchange offer for the 2024 Notes. The Indenture or the 2024 Notes may be amended or supplemented without the consent of any Holder of a 2024 Note as described in the Indenture.</w:t>
      </w:r>
    </w:p>
    <w:p>
      <w:pPr>
        <w:spacing w:after="0" w:line="178" w:lineRule="exact"/>
        <w:rPr>
          <w:rFonts w:ascii="Arial" w:cs="Arial" w:eastAsia="Arial" w:hAnsi="Arial"/>
          <w:sz w:val="17"/>
          <w:szCs w:val="17"/>
          <w:color w:val="auto"/>
        </w:rPr>
      </w:pPr>
    </w:p>
    <w:p>
      <w:pPr>
        <w:ind w:right="120" w:firstLine="638"/>
        <w:spacing w:after="0" w:line="264" w:lineRule="auto"/>
        <w:tabs>
          <w:tab w:leader="none" w:pos="1316"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2024 Notes shall occur and be continuing, the principal 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accrued and unpaid interest on, the outstanding 2024 Notes may be declared due and payable in the manner and with the effect provided in the Indenture.</w:t>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420" w:top="341" w:right="259" w:bottom="1440" w:gutter="0" w:footer="0" w:header="0"/>
        </w:sectPr>
      </w:pPr>
    </w:p>
    <w:bookmarkStart w:id="128" w:name="page129"/>
    <w:bookmarkEnd w:id="128"/>
    <w:p>
      <w:pPr>
        <w:ind w:left="180" w:right="200" w:firstLine="638"/>
        <w:spacing w:after="0" w:line="342" w:lineRule="auto"/>
        <w:tabs>
          <w:tab w:leader="none" w:pos="1503"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in its individual or any other capacity, may become the owner or pledgee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2024 Notes and may otherwise deal with the Company or an Affiliate of the Company with the same rights it would have if it were not Trustee.</w:t>
      </w:r>
    </w:p>
    <w:p>
      <w:pPr>
        <w:spacing w:after="0" w:line="123" w:lineRule="exact"/>
        <w:rPr>
          <w:rFonts w:ascii="Arial" w:cs="Arial" w:eastAsia="Arial" w:hAnsi="Arial"/>
          <w:sz w:val="16"/>
          <w:szCs w:val="16"/>
          <w:color w:val="auto"/>
        </w:rPr>
      </w:pPr>
    </w:p>
    <w:p>
      <w:pPr>
        <w:ind w:left="180" w:right="180" w:firstLine="638"/>
        <w:spacing w:after="0" w:line="259" w:lineRule="auto"/>
        <w:tabs>
          <w:tab w:leader="none" w:pos="1503"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 stockholders,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of the Company’s obligations under the 2024 Notes or the Indenture or for any claim based on, or in respect or by reason of, such obligations or their creation. By accepting a 2024 Note, each Holder waives and releases all such liability. This waiver and release is part of the consideration for the issue of the 2024 Notes.</w:t>
      </w:r>
    </w:p>
    <w:p>
      <w:pPr>
        <w:spacing w:after="0" w:line="186" w:lineRule="exact"/>
        <w:rPr>
          <w:rFonts w:ascii="Arial" w:cs="Arial" w:eastAsia="Arial" w:hAnsi="Arial"/>
          <w:sz w:val="18"/>
          <w:szCs w:val="18"/>
          <w:color w:val="auto"/>
        </w:rPr>
      </w:pPr>
    </w:p>
    <w:p>
      <w:pPr>
        <w:ind w:left="1500" w:hanging="682"/>
        <w:spacing w:after="0"/>
        <w:tabs>
          <w:tab w:leader="none" w:pos="150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2024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180" w:right="140" w:firstLine="638"/>
        <w:spacing w:after="0" w:line="264" w:lineRule="auto"/>
        <w:tabs>
          <w:tab w:leader="none" w:pos="1503"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left="180" w:right="20" w:firstLine="638"/>
        <w:spacing w:after="0" w:line="257" w:lineRule="auto"/>
        <w:tabs>
          <w:tab w:leader="none" w:pos="1503"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2024 Notes and the Trustee shall use CUSIP numbers</w:t>
      </w:r>
      <w:r>
        <w:rPr>
          <w:rFonts w:ascii="Arial" w:cs="Arial" w:eastAsia="Arial" w:hAnsi="Arial"/>
          <w:sz w:val="18"/>
          <w:szCs w:val="18"/>
          <w:i w:val="1"/>
          <w:iCs w:val="1"/>
          <w:color w:val="auto"/>
        </w:rPr>
        <w:t xml:space="preserve"> </w:t>
      </w:r>
      <w:r>
        <w:rPr>
          <w:rFonts w:ascii="Arial" w:cs="Arial" w:eastAsia="Arial" w:hAnsi="Arial"/>
          <w:sz w:val="18"/>
          <w:szCs w:val="18"/>
          <w:color w:val="auto"/>
        </w:rPr>
        <w:t>in notices of redemption as a convenience to Holders. No representation is made as to the correctness of such numbers either as printed on the 2024 Notes or as contained in any notice of redemption and reliance may be placed only on the other elements of identification printed on the 2024 Notes, and any such redemption shall not be affected by any defect in or omission of such numbers. The Company will furnish to any Holder upon written request and without charge a copy of the Base Indenture and the Supplemental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SECURITY</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decrease or</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 decrease in</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 of increase in</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Principal amount of this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9"/>
        </w:trPr>
        <w:tc>
          <w:tcPr>
            <w:tcW w:w="236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Note 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signatory of Trustee or</w:t>
            </w: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this Note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 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660" w:type="dxa"/>
            <w:vAlign w:val="bottom"/>
            <w:gridSpan w:val="4"/>
          </w:tcPr>
          <w:p>
            <w:pPr>
              <w:jc w:val="center"/>
              <w:ind w:right="2760"/>
              <w:spacing w:after="0"/>
              <w:rPr>
                <w:sz w:val="20"/>
                <w:szCs w:val="20"/>
                <w:color w:val="auto"/>
              </w:rPr>
            </w:pPr>
            <w:r>
              <w:rPr>
                <w:rFonts w:ascii="Arial" w:cs="Arial" w:eastAsia="Arial" w:hAnsi="Arial"/>
                <w:sz w:val="18"/>
                <w:szCs w:val="18"/>
                <w:color w:val="auto"/>
                <w:w w:val="89"/>
              </w:rPr>
              <w:t>(Insert assignee’s legal name)</w:t>
            </w:r>
          </w:p>
        </w:tc>
      </w:tr>
      <w:tr>
        <w:trPr>
          <w:trHeight w:val="432"/>
        </w:trPr>
        <w:tc>
          <w:tcPr>
            <w:tcW w:w="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660" w:type="dxa"/>
            <w:vAlign w:val="bottom"/>
            <w:gridSpan w:val="4"/>
          </w:tcPr>
          <w:p>
            <w:pPr>
              <w:jc w:val="center"/>
              <w:ind w:right="2760"/>
              <w:spacing w:after="0"/>
              <w:rPr>
                <w:sz w:val="20"/>
                <w:szCs w:val="20"/>
                <w:color w:val="auto"/>
              </w:rPr>
            </w:pPr>
            <w:r>
              <w:rPr>
                <w:rFonts w:ascii="Arial" w:cs="Arial" w:eastAsia="Arial" w:hAnsi="Arial"/>
                <w:sz w:val="18"/>
                <w:szCs w:val="18"/>
                <w:color w:val="auto"/>
                <w:w w:val="89"/>
              </w:rPr>
              <w:t>(Insert assignee’s soc. sec. or tax I.D. no.)</w:t>
            </w:r>
          </w:p>
        </w:tc>
      </w:tr>
      <w:tr>
        <w:trPr>
          <w:trHeight w:val="431"/>
        </w:trPr>
        <w:tc>
          <w:tcPr>
            <w:tcW w:w="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660" w:type="dxa"/>
            <w:vAlign w:val="bottom"/>
            <w:gridSpan w:val="4"/>
          </w:tcPr>
          <w:p>
            <w:pPr>
              <w:jc w:val="center"/>
              <w:ind w:right="276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634"/>
        </w:trPr>
        <w:tc>
          <w:tcPr>
            <w:tcW w:w="27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660" w:type="dxa"/>
            <w:vAlign w:val="bottom"/>
            <w:gridSpan w:val="4"/>
          </w:tcPr>
          <w:p>
            <w:pPr>
              <w:ind w:left="1620"/>
              <w:spacing w:after="0"/>
              <w:rPr>
                <w:sz w:val="20"/>
                <w:szCs w:val="20"/>
                <w:color w:val="auto"/>
              </w:rPr>
            </w:pPr>
            <w:r>
              <w:rPr>
                <w:rFonts w:ascii="Arial" w:cs="Arial" w:eastAsia="Arial" w:hAnsi="Arial"/>
                <w:sz w:val="18"/>
                <w:szCs w:val="18"/>
                <w:color w:val="auto"/>
                <w:w w:val="93"/>
              </w:rPr>
              <w:t>to transfer this Note on the books of the Company. The agent may substitute another to act for</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him</w:t>
            </w:r>
          </w:p>
        </w:tc>
        <w:tc>
          <w:tcPr>
            <w:tcW w:w="2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2760" w:type="dxa"/>
            <w:vAlign w:val="bottom"/>
            <w:gridSpan w:val="2"/>
          </w:tcPr>
          <w:p>
            <w:pPr>
              <w:spacing w:after="0"/>
              <w:rPr>
                <w:sz w:val="20"/>
                <w:szCs w:val="20"/>
                <w:color w:val="auto"/>
              </w:rPr>
            </w:pPr>
            <w:r>
              <w:rPr>
                <w:rFonts w:ascii="Arial" w:cs="Arial" w:eastAsia="Arial" w:hAnsi="Arial"/>
                <w:sz w:val="18"/>
                <w:szCs w:val="18"/>
                <w:color w:val="auto"/>
              </w:rPr>
              <w:t>Date:</w:t>
            </w:r>
          </w:p>
        </w:tc>
        <w:tc>
          <w:tcPr>
            <w:tcW w:w="2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12"/>
        </w:trPr>
        <w:tc>
          <w:tcPr>
            <w:tcW w:w="62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5920" w:type="dxa"/>
            <w:vAlign w:val="bottom"/>
            <w:gridSpan w:val="3"/>
          </w:tcPr>
          <w:p>
            <w:pPr>
              <w:ind w:left="460"/>
              <w:spacing w:after="0"/>
              <w:rPr>
                <w:sz w:val="20"/>
                <w:szCs w:val="20"/>
                <w:color w:val="auto"/>
              </w:rPr>
            </w:pPr>
            <w:r>
              <w:rPr>
                <w:rFonts w:ascii="Arial" w:cs="Arial" w:eastAsia="Arial" w:hAnsi="Arial"/>
                <w:sz w:val="18"/>
                <w:szCs w:val="18"/>
                <w:color w:val="auto"/>
              </w:rPr>
              <w:t>Your Signature:</w:t>
            </w:r>
          </w:p>
        </w:tc>
      </w:tr>
      <w:tr>
        <w:trPr>
          <w:trHeight w:val="224"/>
        </w:trPr>
        <w:tc>
          <w:tcPr>
            <w:tcW w:w="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900" w:type="dxa"/>
            <w:vAlign w:val="bottom"/>
          </w:tcPr>
          <w:p>
            <w:pPr>
              <w:ind w:left="460"/>
              <w:spacing w:after="0"/>
              <w:rPr>
                <w:sz w:val="20"/>
                <w:szCs w:val="20"/>
                <w:color w:val="auto"/>
              </w:rPr>
            </w:pPr>
            <w:r>
              <w:rPr>
                <w:rFonts w:ascii="Arial" w:cs="Arial" w:eastAsia="Arial" w:hAnsi="Arial"/>
                <w:sz w:val="18"/>
                <w:szCs w:val="18"/>
                <w:color w:val="auto"/>
                <w:w w:val="86"/>
              </w:rPr>
              <w:t>(sign exactly as your</w:t>
            </w:r>
          </w:p>
        </w:tc>
        <w:tc>
          <w:tcPr>
            <w:tcW w:w="40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name appears on the face of this Note)</w:t>
            </w:r>
          </w:p>
        </w:tc>
      </w:tr>
      <w:tr>
        <w:trPr>
          <w:trHeight w:val="404"/>
        </w:trPr>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00" w:type="dxa"/>
            <w:vAlign w:val="bottom"/>
            <w:gridSpan w:val="2"/>
          </w:tcPr>
          <w:p>
            <w:pPr>
              <w:ind w:left="460"/>
              <w:spacing w:after="0"/>
              <w:rPr>
                <w:sz w:val="20"/>
                <w:szCs w:val="20"/>
                <w:color w:val="auto"/>
              </w:rPr>
            </w:pPr>
            <w:r>
              <w:rPr>
                <w:rFonts w:ascii="Arial" w:cs="Arial" w:eastAsia="Arial" w:hAnsi="Arial"/>
                <w:sz w:val="18"/>
                <w:szCs w:val="18"/>
                <w:color w:val="auto"/>
              </w:rPr>
              <w:t>Tax Identification No:</w:t>
            </w:r>
          </w:p>
        </w:tc>
        <w:tc>
          <w:tcPr>
            <w:tcW w:w="3420" w:type="dxa"/>
            <w:vAlign w:val="bottom"/>
            <w:tcBorders>
              <w:bottom w:val="single" w:sz="8" w:color="auto"/>
            </w:tcBorders>
          </w:tcPr>
          <w:p>
            <w:pPr>
              <w:spacing w:after="0"/>
              <w:rPr>
                <w:sz w:val="24"/>
                <w:szCs w:val="24"/>
                <w:color w:val="auto"/>
              </w:rPr>
            </w:pPr>
          </w:p>
        </w:tc>
      </w:tr>
      <w:tr>
        <w:trPr>
          <w:trHeight w:val="426"/>
        </w:trPr>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00" w:type="dxa"/>
            <w:vAlign w:val="bottom"/>
            <w:gridSpan w:val="2"/>
          </w:tcPr>
          <w:p>
            <w:pPr>
              <w:ind w:left="460"/>
              <w:spacing w:after="0"/>
              <w:rPr>
                <w:sz w:val="20"/>
                <w:szCs w:val="20"/>
                <w:color w:val="auto"/>
              </w:rPr>
            </w:pPr>
            <w:r>
              <w:rPr>
                <w:rFonts w:ascii="Arial" w:cs="Arial" w:eastAsia="Arial" w:hAnsi="Arial"/>
                <w:sz w:val="18"/>
                <w:szCs w:val="18"/>
                <w:color w:val="auto"/>
              </w:rPr>
              <w:t>Signature Guarantee:</w:t>
            </w:r>
          </w:p>
        </w:tc>
        <w:tc>
          <w:tcPr>
            <w:tcW w:w="342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74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2024 Note purchased by the Company pursuant to Section 4.1 of the Supplemental Indenture, check the box below:</w:t>
      </w:r>
    </w:p>
    <w:p>
      <w:pPr>
        <w:spacing w:after="0" w:line="248" w:lineRule="exact"/>
        <w:rPr>
          <w:sz w:val="20"/>
          <w:szCs w:val="20"/>
          <w:color w:val="auto"/>
        </w:rPr>
      </w:pPr>
    </w:p>
    <w:p>
      <w:pPr>
        <w:ind w:left="1280" w:hanging="624"/>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you want to elect to have only part of the 2024 Note purchased by the Company pursuant to Section 4.1 of the Supplemental Indenture, state the amount you elect to have purchased ($2,000 or integral multiples of $1,000 in excess thereof; provided that the unrepurchased portion of a 2024 Note must be in a minimum principal amount of $2,000):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10451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9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1" w:name="page132"/>
    <w:bookmarkEnd w:id="131"/>
    <w:p>
      <w:pPr>
        <w:jc w:val="center"/>
        <w:ind w:right="40"/>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(Face of 2026 Note)</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CUSIP:[</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ISIN:[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980" w:type="dxa"/>
            <w:vAlign w:val="bottom"/>
          </w:tcPr>
          <w:p>
            <w:pPr>
              <w:jc w:val="center"/>
              <w:ind w:right="630"/>
              <w:spacing w:after="0"/>
              <w:rPr>
                <w:sz w:val="20"/>
                <w:szCs w:val="20"/>
                <w:color w:val="auto"/>
              </w:rPr>
            </w:pPr>
            <w:r>
              <w:rPr>
                <w:rFonts w:ascii="Arial" w:cs="Arial" w:eastAsia="Arial" w:hAnsi="Arial"/>
                <w:sz w:val="18"/>
                <w:szCs w:val="18"/>
                <w:color w:val="auto"/>
                <w:w w:val="96"/>
              </w:rPr>
              <w:t>MICRON TECHNOLOGY, INC.</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980" w:type="dxa"/>
            <w:vAlign w:val="bottom"/>
          </w:tcPr>
          <w:p>
            <w:pPr>
              <w:jc w:val="center"/>
              <w:ind w:right="630"/>
              <w:spacing w:after="0"/>
              <w:rPr>
                <w:sz w:val="20"/>
                <w:szCs w:val="20"/>
                <w:color w:val="auto"/>
              </w:rPr>
            </w:pPr>
            <w:r>
              <w:rPr>
                <w:rFonts w:ascii="Arial" w:cs="Arial" w:eastAsia="Arial" w:hAnsi="Arial"/>
                <w:sz w:val="18"/>
                <w:szCs w:val="18"/>
                <w:color w:val="auto"/>
                <w:w w:val="90"/>
              </w:rPr>
              <w:t>4.975% Senior Note due 2026</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No. [</w:t>
            </w:r>
          </w:p>
        </w:tc>
        <w:tc>
          <w:tcPr>
            <w:tcW w:w="2020" w:type="dxa"/>
            <w:vAlign w:val="bottom"/>
          </w:tcPr>
          <w:p>
            <w:pPr>
              <w:jc w:val="right"/>
              <w:ind w:right="1690"/>
              <w:spacing w:after="0"/>
              <w:rPr>
                <w:sz w:val="20"/>
                <w:szCs w:val="20"/>
                <w:color w:val="auto"/>
              </w:rPr>
            </w:pPr>
            <w:r>
              <w:rPr>
                <w:rFonts w:ascii="Arial" w:cs="Arial" w:eastAsia="Arial" w:hAnsi="Arial"/>
                <w:sz w:val="18"/>
                <w:szCs w:val="18"/>
                <w:color w:val="auto"/>
              </w:rPr>
              <w:t>]</w:t>
            </w:r>
          </w:p>
        </w:tc>
        <w:tc>
          <w:tcPr>
            <w:tcW w:w="6980" w:type="dxa"/>
            <w:vAlign w:val="bottom"/>
          </w:tcPr>
          <w:p>
            <w:pPr>
              <w:spacing w:after="0"/>
              <w:rPr>
                <w:sz w:val="24"/>
                <w:szCs w:val="24"/>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80" w:type="dxa"/>
            <w:vAlign w:val="bottom"/>
            <w:gridSpan w:val="3"/>
          </w:tcPr>
          <w:p>
            <w:pPr>
              <w:jc w:val="right"/>
              <w:spacing w:after="0"/>
              <w:rPr>
                <w:sz w:val="20"/>
                <w:szCs w:val="20"/>
                <w:color w:val="auto"/>
              </w:rPr>
            </w:pPr>
            <w:r>
              <w:rPr>
                <w:rFonts w:ascii="Arial" w:cs="Arial" w:eastAsia="Arial" w:hAnsi="Arial"/>
                <w:sz w:val="18"/>
                <w:szCs w:val="18"/>
                <w:color w:val="auto"/>
              </w:rPr>
              <w:t>(as revised by the Schedule of Increases and</w:t>
            </w: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80" w:type="dxa"/>
            <w:vAlign w:val="bottom"/>
            <w:gridSpan w:val="3"/>
          </w:tcPr>
          <w:p>
            <w:pPr>
              <w:jc w:val="right"/>
              <w:spacing w:after="0"/>
              <w:rPr>
                <w:sz w:val="20"/>
                <w:szCs w:val="20"/>
                <w:color w:val="auto"/>
              </w:rPr>
            </w:pPr>
            <w:r>
              <w:rPr>
                <w:rFonts w:ascii="Arial" w:cs="Arial" w:eastAsia="Arial" w:hAnsi="Arial"/>
                <w:sz w:val="18"/>
                <w:szCs w:val="18"/>
                <w:color w:val="auto"/>
              </w:rPr>
              <w:t>Decreases in Global Note attached hereto)</w:t>
            </w:r>
          </w:p>
        </w:tc>
      </w:tr>
      <w:tr>
        <w:trPr>
          <w:trHeight w:val="418"/>
        </w:trPr>
        <w:tc>
          <w:tcPr>
            <w:tcW w:w="9560" w:type="dxa"/>
            <w:vAlign w:val="bottom"/>
            <w:gridSpan w:val="3"/>
          </w:tcPr>
          <w:p>
            <w:pPr>
              <w:spacing w:after="0"/>
              <w:rPr>
                <w:sz w:val="20"/>
                <w:szCs w:val="20"/>
                <w:color w:val="auto"/>
              </w:rPr>
            </w:pPr>
            <w:r>
              <w:rPr>
                <w:rFonts w:ascii="Arial" w:cs="Arial" w:eastAsia="Arial" w:hAnsi="Arial"/>
                <w:sz w:val="18"/>
                <w:szCs w:val="18"/>
                <w:color w:val="auto"/>
                <w:w w:val="94"/>
              </w:rPr>
              <w:t>Micron Technology, Inc., a Delaware corporation, promises to pay to CEDE &amp; CO. or registered assigns, the principal sum of $[</w:t>
            </w:r>
          </w:p>
        </w:tc>
        <w:tc>
          <w:tcPr>
            <w:tcW w:w="1720" w:type="dxa"/>
            <w:vAlign w:val="bottom"/>
          </w:tcPr>
          <w:p>
            <w:pPr>
              <w:jc w:val="right"/>
              <w:spacing w:after="0"/>
              <w:rPr>
                <w:sz w:val="20"/>
                <w:szCs w:val="20"/>
                <w:color w:val="auto"/>
              </w:rPr>
            </w:pPr>
            <w:r>
              <w:rPr>
                <w:rFonts w:ascii="Arial" w:cs="Arial" w:eastAsia="Arial" w:hAnsi="Arial"/>
                <w:sz w:val="18"/>
                <w:szCs w:val="18"/>
                <w:color w:val="auto"/>
              </w:rPr>
              <w:t>] (as revised by the</w:t>
            </w:r>
          </w:p>
        </w:tc>
        <w:tc>
          <w:tcPr>
            <w:tcW w:w="180" w:type="dxa"/>
            <w:vAlign w:val="bottom"/>
          </w:tcPr>
          <w:p>
            <w:pPr>
              <w:spacing w:after="0"/>
              <w:rPr>
                <w:sz w:val="24"/>
                <w:szCs w:val="24"/>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Schedule of Increases and Decreases in Global Note attached hereto) on February 6, 2026.</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Interest Payment Dates:</w:t>
            </w:r>
          </w:p>
        </w:tc>
        <w:tc>
          <w:tcPr>
            <w:tcW w:w="6980" w:type="dxa"/>
            <w:vAlign w:val="bottom"/>
          </w:tcPr>
          <w:p>
            <w:pPr>
              <w:ind w:left="860"/>
              <w:spacing w:after="0"/>
              <w:rPr>
                <w:sz w:val="20"/>
                <w:szCs w:val="20"/>
                <w:color w:val="auto"/>
              </w:rPr>
            </w:pPr>
            <w:r>
              <w:rPr>
                <w:rFonts w:ascii="Arial" w:cs="Arial" w:eastAsia="Arial" w:hAnsi="Arial"/>
                <w:sz w:val="18"/>
                <w:szCs w:val="18"/>
                <w:color w:val="auto"/>
              </w:rPr>
              <w:t>February 6 and August 6</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Record Dates:</w:t>
            </w:r>
          </w:p>
        </w:tc>
        <w:tc>
          <w:tcPr>
            <w:tcW w:w="6980" w:type="dxa"/>
            <w:vAlign w:val="bottom"/>
          </w:tcPr>
          <w:p>
            <w:pPr>
              <w:ind w:left="860"/>
              <w:spacing w:after="0"/>
              <w:rPr>
                <w:sz w:val="20"/>
                <w:szCs w:val="20"/>
                <w:color w:val="auto"/>
              </w:rPr>
            </w:pPr>
            <w:r>
              <w:rPr>
                <w:rFonts w:ascii="Arial" w:cs="Arial" w:eastAsia="Arial" w:hAnsi="Arial"/>
                <w:sz w:val="18"/>
                <w:szCs w:val="18"/>
                <w:color w:val="auto"/>
              </w:rPr>
              <w:t>January 22 and July 22</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980" w:type="dxa"/>
            <w:vAlign w:val="bottom"/>
          </w:tcPr>
          <w:p>
            <w:pPr>
              <w:jc w:val="center"/>
              <w:ind w:right="630"/>
              <w:spacing w:after="0"/>
              <w:rPr>
                <w:sz w:val="20"/>
                <w:szCs w:val="20"/>
                <w:color w:val="auto"/>
              </w:rPr>
            </w:pPr>
            <w:r>
              <w:rPr>
                <w:rFonts w:ascii="Arial" w:cs="Arial" w:eastAsia="Arial" w:hAnsi="Arial"/>
                <w:sz w:val="18"/>
                <w:szCs w:val="18"/>
                <w:color w:val="auto"/>
                <w:w w:val="92"/>
              </w:rPr>
              <w:t>B-1</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69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MICRON TECHNOLOGY, INC.</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33" w:name="page134"/>
    <w:bookmarkEnd w:id="133"/>
    <w:p>
      <w:pPr>
        <w:ind w:left="37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34" w:name="page135"/>
    <w:bookmarkEnd w:id="134"/>
    <w:p>
      <w:pPr>
        <w:jc w:val="center"/>
        <w:ind w:right="160"/>
        <w:spacing w:after="0"/>
        <w:rPr>
          <w:sz w:val="20"/>
          <w:szCs w:val="20"/>
          <w:color w:val="auto"/>
        </w:rPr>
      </w:pPr>
      <w:r>
        <w:rPr>
          <w:rFonts w:ascii="Arial" w:cs="Arial" w:eastAsia="Arial" w:hAnsi="Arial"/>
          <w:sz w:val="18"/>
          <w:szCs w:val="18"/>
          <w:color w:val="auto"/>
        </w:rPr>
        <w:t>(Back of 2026 Note)</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4.975% Senior Note due 2026</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20" w:firstLine="638"/>
        <w:spacing w:after="0" w:line="269" w:lineRule="auto"/>
        <w:tabs>
          <w:tab w:leader="none" w:pos="1368" w:val="left"/>
        </w:tabs>
        <w:numPr>
          <w:ilvl w:val="0"/>
          <w:numId w:val="122"/>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2026 Note at 4.975% per annum from the date hereof until maturity. The Company will pay interest semi-annually on February 6 and August 6 of each year, commencing August 6, 2019,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2026 Notes will accrue from the most recent date to which interest has been paid or provided for or, if no interest has been paid or provided for, from February 6, 2019;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there is no existing Default in the payment of interest, and if this 2026 Note is authenticated between a record date referred to on the face</w:t>
      </w:r>
      <w:r>
        <w:rPr>
          <w:rFonts w:ascii="Arial" w:cs="Arial" w:eastAsia="Arial" w:hAnsi="Arial"/>
          <w:sz w:val="17"/>
          <w:szCs w:val="17"/>
          <w:i w:val="1"/>
          <w:iCs w:val="1"/>
          <w:color w:val="auto"/>
        </w:rPr>
        <w:t xml:space="preserve"> </w:t>
      </w:r>
      <w:r>
        <w:rPr>
          <w:rFonts w:ascii="Arial" w:cs="Arial" w:eastAsia="Arial" w:hAnsi="Arial"/>
          <w:sz w:val="17"/>
          <w:szCs w:val="17"/>
          <w:color w:val="auto"/>
        </w:rPr>
        <w:t>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2026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2" w:lineRule="exact"/>
        <w:rPr>
          <w:rFonts w:ascii="Arial" w:cs="Arial" w:eastAsia="Arial" w:hAnsi="Arial"/>
          <w:sz w:val="17"/>
          <w:szCs w:val="17"/>
          <w:color w:val="auto"/>
        </w:rPr>
      </w:pPr>
    </w:p>
    <w:p>
      <w:pPr>
        <w:ind w:firstLine="638"/>
        <w:spacing w:after="0" w:line="288" w:lineRule="auto"/>
        <w:tabs>
          <w:tab w:leader="none" w:pos="1368" w:val="left"/>
        </w:tabs>
        <w:numPr>
          <w:ilvl w:val="0"/>
          <w:numId w:val="122"/>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2026 Notes (except defaulted interest) to the persons who are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2026 Notes at the close of business on the January 22 or July 22 (whether or not a Business Day) next preceding the Interest Payment Date, even if such 2026 Notes are canceled after such record date and on or before such Interest Payment Date, except as provided in Section 2.13 of the Base Indenture with respect to defaulted interest. Principal and interest on the 2026 Notes will be made by (a) check mailed to the Holders of the 2026 Notes at their respective addresses set forth in the register of Holders of 2026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2026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9" w:lineRule="exact"/>
        <w:rPr>
          <w:rFonts w:ascii="Arial" w:cs="Arial" w:eastAsia="Arial" w:hAnsi="Arial"/>
          <w:sz w:val="16"/>
          <w:szCs w:val="16"/>
          <w:color w:val="auto"/>
        </w:rPr>
      </w:pPr>
    </w:p>
    <w:p>
      <w:pPr>
        <w:ind w:right="60" w:firstLine="638"/>
        <w:spacing w:after="0" w:line="264" w:lineRule="auto"/>
        <w:tabs>
          <w:tab w:leader="none" w:pos="1368"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any Paying Agent or Registrar without notice to any Holder. The Company or any of its Subsidiaries may act in any such capacity.</w:t>
      </w:r>
    </w:p>
    <w:p>
      <w:pPr>
        <w:spacing w:after="0" w:line="181" w:lineRule="exact"/>
        <w:rPr>
          <w:rFonts w:ascii="Arial" w:cs="Arial" w:eastAsia="Arial" w:hAnsi="Arial"/>
          <w:sz w:val="18"/>
          <w:szCs w:val="18"/>
          <w:color w:val="auto"/>
        </w:rPr>
      </w:pPr>
    </w:p>
    <w:p>
      <w:pPr>
        <w:ind w:right="120" w:firstLine="638"/>
        <w:spacing w:after="0" w:line="277" w:lineRule="auto"/>
        <w:tabs>
          <w:tab w:leader="none" w:pos="1368"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2026 Note is one of a duly authenticated Series of securities of the Company issued and to be issued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w:t>
      </w:r>
    </w:p>
    <w:p>
      <w:pPr>
        <w:spacing w:after="0" w:line="17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135" w:name="page136"/>
    <w:bookmarkEnd w:id="135"/>
    <w:p>
      <w:pPr>
        <w:ind w:right="140"/>
        <w:spacing w:after="0" w:line="272" w:lineRule="auto"/>
        <w:rPr>
          <w:sz w:val="20"/>
          <w:szCs w:val="20"/>
          <w:color w:val="auto"/>
        </w:rPr>
      </w:pPr>
      <w:r>
        <w:rPr>
          <w:rFonts w:ascii="Arial" w:cs="Arial" w:eastAsia="Arial" w:hAnsi="Arial"/>
          <w:sz w:val="17"/>
          <w:szCs w:val="17"/>
          <w:color w:val="auto"/>
        </w:rPr>
        <w:t>of February 6, 2019 between the Company and the Trustee, as amended by the First Supplemental Indenture, dated as of February 6, 2019, between the Company and the Trustee (the “</w:t>
      </w:r>
      <w:r>
        <w:rPr>
          <w:rFonts w:ascii="Arial" w:cs="Arial" w:eastAsia="Arial" w:hAnsi="Arial"/>
          <w:sz w:val="17"/>
          <w:szCs w:val="17"/>
          <w:b w:val="1"/>
          <w:bCs w:val="1"/>
          <w:i w:val="1"/>
          <w:iCs w:val="1"/>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The terms of the 2026 Notes include those stated in the Indenture and those made part of the Indenture by reference to the TIA. The 2026 Notes are subject to all such terms, and Holders are referred to the Indenture and such Act for a statement of such terms. To the extent any provision of this 2026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2026 Notes pursuant to Section 2.3 of the Supplemental Indenture.</w:t>
      </w:r>
    </w:p>
    <w:p>
      <w:pPr>
        <w:spacing w:after="0" w:line="178" w:lineRule="exact"/>
        <w:rPr>
          <w:sz w:val="20"/>
          <w:szCs w:val="20"/>
          <w:color w:val="auto"/>
        </w:rPr>
      </w:pPr>
    </w:p>
    <w:p>
      <w:pPr>
        <w:ind w:right="220" w:firstLine="638"/>
        <w:spacing w:after="0" w:line="264" w:lineRule="auto"/>
        <w:tabs>
          <w:tab w:leader="none" w:pos="1368"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are redeemable prior to the maturity date as provided in the Indenture.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of this Note in part only, a new Note or Notes in an authorized denomination for the unredeemed portion hereof will be issued in the name of the Holder hereof upon the cancellation hereof.</w:t>
      </w:r>
    </w:p>
    <w:p>
      <w:pPr>
        <w:spacing w:after="0" w:line="181" w:lineRule="exact"/>
        <w:rPr>
          <w:rFonts w:ascii="Arial" w:cs="Arial" w:eastAsia="Arial" w:hAnsi="Arial"/>
          <w:sz w:val="18"/>
          <w:szCs w:val="18"/>
          <w:color w:val="auto"/>
        </w:rPr>
      </w:pPr>
    </w:p>
    <w:p>
      <w:pPr>
        <w:ind w:left="1360" w:hanging="722"/>
        <w:spacing w:after="0"/>
        <w:tabs>
          <w:tab w:leader="none" w:pos="136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MANDATORY REDEMPTION. </w:t>
      </w:r>
      <w:r>
        <w:rPr>
          <w:rFonts w:ascii="Arial" w:cs="Arial" w:eastAsia="Arial" w:hAnsi="Arial"/>
          <w:sz w:val="16"/>
          <w:szCs w:val="16"/>
          <w:color w:val="auto"/>
        </w:rPr>
        <w:t>The Company is not required to make any mandatory redemption or sinking fund payments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2026 Notes.</w:t>
      </w:r>
    </w:p>
    <w:p>
      <w:pPr>
        <w:spacing w:after="0" w:line="210" w:lineRule="exact"/>
        <w:rPr>
          <w:rFonts w:ascii="Arial" w:cs="Arial" w:eastAsia="Arial" w:hAnsi="Arial"/>
          <w:sz w:val="16"/>
          <w:szCs w:val="16"/>
          <w:color w:val="auto"/>
        </w:rPr>
      </w:pPr>
    </w:p>
    <w:p>
      <w:pPr>
        <w:ind w:right="400" w:firstLine="638"/>
        <w:spacing w:after="0" w:line="342" w:lineRule="auto"/>
        <w:tabs>
          <w:tab w:leader="none" w:pos="1368"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OFFER TO PURCHASE UPON CHANGE OF CONTROL</w:t>
      </w:r>
      <w:r>
        <w:rPr>
          <w:rFonts w:ascii="Arial" w:cs="Arial" w:eastAsia="Arial" w:hAnsi="Arial"/>
          <w:sz w:val="16"/>
          <w:szCs w:val="16"/>
          <w:color w:val="auto"/>
        </w:rPr>
        <w:t>. If a Change of Control Triggering Event with respect to the 2026 Notes</w:t>
      </w:r>
      <w:r>
        <w:rPr>
          <w:rFonts w:ascii="Arial" w:cs="Arial" w:eastAsia="Arial" w:hAnsi="Arial"/>
          <w:sz w:val="16"/>
          <w:szCs w:val="16"/>
          <w:i w:val="1"/>
          <w:iCs w:val="1"/>
          <w:color w:val="auto"/>
        </w:rPr>
        <w:t xml:space="preserve"> </w:t>
      </w:r>
      <w:r>
        <w:rPr>
          <w:rFonts w:ascii="Arial" w:cs="Arial" w:eastAsia="Arial" w:hAnsi="Arial"/>
          <w:sz w:val="16"/>
          <w:szCs w:val="16"/>
          <w:color w:val="auto"/>
        </w:rPr>
        <w:t>occurs, the Company may be required to make an offer to purchase the 2026 Notes in the manner and with the effect provided in the Indenture.</w:t>
      </w:r>
    </w:p>
    <w:p>
      <w:pPr>
        <w:spacing w:after="0" w:line="123" w:lineRule="exact"/>
        <w:rPr>
          <w:rFonts w:ascii="Arial" w:cs="Arial" w:eastAsia="Arial" w:hAnsi="Arial"/>
          <w:sz w:val="16"/>
          <w:szCs w:val="16"/>
          <w:color w:val="auto"/>
        </w:rPr>
      </w:pPr>
    </w:p>
    <w:p>
      <w:pPr>
        <w:ind w:firstLine="638"/>
        <w:spacing w:after="0" w:line="272" w:lineRule="auto"/>
        <w:tabs>
          <w:tab w:leader="none" w:pos="1368"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2026 Notes are in registered form without coupons in minimum denominations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$2,000 and integral multiples of $1,000 in excess thereof. 2026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2026 Note or portion of a 2026 Note selected for redemption, except for the unredeemed portion of any 2026 Note being redeemed in part. Also, neither the Trustee nor the Company need exchange or register the transfer of any 2026 Notes for a period of 15 days before the day of any selection of 2026 Notes to be redeemed or during the period between a record date and the corresponding Interest Payment Date.</w:t>
      </w:r>
    </w:p>
    <w:p>
      <w:pPr>
        <w:spacing w:after="0" w:line="177" w:lineRule="exact"/>
        <w:rPr>
          <w:rFonts w:ascii="Arial" w:cs="Arial" w:eastAsia="Arial" w:hAnsi="Arial"/>
          <w:sz w:val="17"/>
          <w:szCs w:val="17"/>
          <w:color w:val="auto"/>
        </w:rPr>
      </w:pPr>
    </w:p>
    <w:p>
      <w:pPr>
        <w:ind w:right="60" w:firstLine="638"/>
        <w:spacing w:after="0" w:line="277" w:lineRule="auto"/>
        <w:tabs>
          <w:tab w:leader="none" w:pos="1368"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2026 Note shall be treated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owner for all purposes.</w:t>
      </w:r>
    </w:p>
    <w:p>
      <w:pPr>
        <w:spacing w:after="0" w:line="170" w:lineRule="exact"/>
        <w:rPr>
          <w:rFonts w:ascii="Arial" w:cs="Arial" w:eastAsia="Arial" w:hAnsi="Arial"/>
          <w:sz w:val="18"/>
          <w:szCs w:val="18"/>
          <w:color w:val="auto"/>
        </w:rPr>
      </w:pPr>
    </w:p>
    <w:p>
      <w:pPr>
        <w:ind w:right="100" w:firstLine="638"/>
        <w:spacing w:after="0" w:line="273" w:lineRule="auto"/>
        <w:tabs>
          <w:tab w:leader="none" w:pos="1323" w:val="left"/>
        </w:tabs>
        <w:numPr>
          <w:ilvl w:val="0"/>
          <w:numId w:val="123"/>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2026 Notes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principal amount of the 2026 Notes then outstanding, including, without limitation, consents obtained in connection with a tender offer or exchange offer for the 2026 Notes, and any existing default or compliance with any provision of the Indenture or the 2026 Notes, may be waived with the consent of the Holders of a majority in principal amount of the then outstanding 2026 Notes, including, without limitation, consents obtained in connection with a tender offer or exchange offer for the 2026 Notes. The Indenture or the 2026 Notes may be amended or supplemented without the consent of any Holder of a 2026 Note as described in the Indenture.</w:t>
      </w:r>
    </w:p>
    <w:p>
      <w:pPr>
        <w:spacing w:after="0" w:line="178" w:lineRule="exact"/>
        <w:rPr>
          <w:rFonts w:ascii="Arial" w:cs="Arial" w:eastAsia="Arial" w:hAnsi="Arial"/>
          <w:sz w:val="17"/>
          <w:szCs w:val="17"/>
          <w:color w:val="auto"/>
        </w:rPr>
      </w:pPr>
    </w:p>
    <w:p>
      <w:pPr>
        <w:ind w:right="120" w:firstLine="638"/>
        <w:spacing w:after="0" w:line="264" w:lineRule="auto"/>
        <w:tabs>
          <w:tab w:leader="none" w:pos="1316"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2026 Notes shall occur and be continuing, the principal 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accrued and unpaid interest on, the outstanding 2026 Notes may be declared due and payable in the manner and with the effect provided in the Indenture.</w:t>
      </w:r>
    </w:p>
    <w:p>
      <w:pPr>
        <w:spacing w:after="0" w:line="18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420" w:top="341" w:right="259" w:bottom="1440" w:gutter="0" w:footer="0" w:header="0"/>
        </w:sectPr>
      </w:pPr>
    </w:p>
    <w:bookmarkStart w:id="136" w:name="page137"/>
    <w:bookmarkEnd w:id="136"/>
    <w:p>
      <w:pPr>
        <w:ind w:left="180" w:right="200" w:firstLine="638"/>
        <w:spacing w:after="0" w:line="342" w:lineRule="auto"/>
        <w:tabs>
          <w:tab w:leader="none" w:pos="1503"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in its individual or any other capacity, may become the owner or pledgee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2026 Notes and may otherwise deal with the Company or an Affiliate of the Company with the same rights it would have if it were not Trustee.</w:t>
      </w:r>
    </w:p>
    <w:p>
      <w:pPr>
        <w:spacing w:after="0" w:line="123" w:lineRule="exact"/>
        <w:rPr>
          <w:rFonts w:ascii="Arial" w:cs="Arial" w:eastAsia="Arial" w:hAnsi="Arial"/>
          <w:sz w:val="16"/>
          <w:szCs w:val="16"/>
          <w:color w:val="auto"/>
        </w:rPr>
      </w:pPr>
    </w:p>
    <w:p>
      <w:pPr>
        <w:ind w:left="180" w:right="180" w:firstLine="638"/>
        <w:spacing w:after="0" w:line="259" w:lineRule="auto"/>
        <w:tabs>
          <w:tab w:leader="none" w:pos="1503"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 stockholders,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of the Company’s obligations under the 2026 Notes or the Indenture or for any claim based on, or in respect or by reason of, such obligations or their creation. By accepting a 2026 Note, each Holder waives and releases all such liability. This waiver and release is part of the consideration for the issue of the 2026 Notes.</w:t>
      </w:r>
    </w:p>
    <w:p>
      <w:pPr>
        <w:spacing w:after="0" w:line="186" w:lineRule="exact"/>
        <w:rPr>
          <w:rFonts w:ascii="Arial" w:cs="Arial" w:eastAsia="Arial" w:hAnsi="Arial"/>
          <w:sz w:val="18"/>
          <w:szCs w:val="18"/>
          <w:color w:val="auto"/>
        </w:rPr>
      </w:pPr>
    </w:p>
    <w:p>
      <w:pPr>
        <w:ind w:left="1500" w:hanging="682"/>
        <w:spacing w:after="0"/>
        <w:tabs>
          <w:tab w:leader="none" w:pos="1500"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2026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180" w:right="140" w:firstLine="638"/>
        <w:spacing w:after="0" w:line="264" w:lineRule="auto"/>
        <w:tabs>
          <w:tab w:leader="none" w:pos="1503"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left="180" w:right="20" w:firstLine="638"/>
        <w:spacing w:after="0" w:line="257" w:lineRule="auto"/>
        <w:tabs>
          <w:tab w:leader="none" w:pos="1503"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2026 Notes and the Trustee shall use CUSIP numbers</w:t>
      </w:r>
      <w:r>
        <w:rPr>
          <w:rFonts w:ascii="Arial" w:cs="Arial" w:eastAsia="Arial" w:hAnsi="Arial"/>
          <w:sz w:val="18"/>
          <w:szCs w:val="18"/>
          <w:i w:val="1"/>
          <w:iCs w:val="1"/>
          <w:color w:val="auto"/>
        </w:rPr>
        <w:t xml:space="preserve"> </w:t>
      </w:r>
      <w:r>
        <w:rPr>
          <w:rFonts w:ascii="Arial" w:cs="Arial" w:eastAsia="Arial" w:hAnsi="Arial"/>
          <w:sz w:val="18"/>
          <w:szCs w:val="18"/>
          <w:color w:val="auto"/>
        </w:rPr>
        <w:t>in notices of redemption as a convenience to Holders. No representation is made as to the correctness of such numbers either as printed on the 2026 Notes or as contained in any notice of redemption and reliance may be placed only on the other elements of identification printed on the 2026 Notes, and any such redemption shall not be affected by any defect in or omission of such numbers. The Company will furnish to any Holder upon written request and without charge a copy of the Base Indenture and the Supplemental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SECURITY</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decrease or</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 decrease in</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Amount of increase in</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Principal amount of this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9"/>
        </w:trPr>
        <w:tc>
          <w:tcPr>
            <w:tcW w:w="236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principal amount of this</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Note 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signatory of Trustee or</w:t>
            </w: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this Note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Note</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 or increase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r>
        <w:trPr>
          <w:trHeight w:val="210"/>
        </w:trPr>
        <w:tc>
          <w:tcPr>
            <w:tcW w:w="2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Note to:</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2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8660" w:type="dxa"/>
            <w:vAlign w:val="bottom"/>
            <w:tcBorders>
              <w:top w:val="single" w:sz="8" w:color="auto"/>
            </w:tcBorders>
            <w:gridSpan w:val="4"/>
          </w:tcPr>
          <w:p>
            <w:pPr>
              <w:jc w:val="center"/>
              <w:ind w:right="2760"/>
              <w:spacing w:after="0"/>
              <w:rPr>
                <w:sz w:val="20"/>
                <w:szCs w:val="20"/>
                <w:color w:val="auto"/>
              </w:rPr>
            </w:pPr>
            <w:r>
              <w:rPr>
                <w:rFonts w:ascii="Arial" w:cs="Arial" w:eastAsia="Arial" w:hAnsi="Arial"/>
                <w:sz w:val="18"/>
                <w:szCs w:val="18"/>
                <w:color w:val="auto"/>
                <w:w w:val="89"/>
              </w:rPr>
              <w:t>(Insert assignee’s legal name)</w:t>
            </w:r>
          </w:p>
        </w:tc>
      </w:tr>
      <w:tr>
        <w:trPr>
          <w:trHeight w:val="431"/>
        </w:trPr>
        <w:tc>
          <w:tcPr>
            <w:tcW w:w="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660" w:type="dxa"/>
            <w:vAlign w:val="bottom"/>
            <w:gridSpan w:val="4"/>
          </w:tcPr>
          <w:p>
            <w:pPr>
              <w:jc w:val="center"/>
              <w:ind w:right="2760"/>
              <w:spacing w:after="0"/>
              <w:rPr>
                <w:sz w:val="20"/>
                <w:szCs w:val="20"/>
                <w:color w:val="auto"/>
              </w:rPr>
            </w:pPr>
            <w:r>
              <w:rPr>
                <w:rFonts w:ascii="Arial" w:cs="Arial" w:eastAsia="Arial" w:hAnsi="Arial"/>
                <w:sz w:val="18"/>
                <w:szCs w:val="18"/>
                <w:color w:val="auto"/>
                <w:w w:val="89"/>
              </w:rPr>
              <w:t>(Insert assignee’s soc. sec. or tax I.D. no.)</w:t>
            </w:r>
          </w:p>
        </w:tc>
      </w:tr>
      <w:tr>
        <w:trPr>
          <w:trHeight w:val="445"/>
        </w:trPr>
        <w:tc>
          <w:tcPr>
            <w:tcW w:w="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660" w:type="dxa"/>
            <w:vAlign w:val="bottom"/>
            <w:gridSpan w:val="4"/>
          </w:tcPr>
          <w:p>
            <w:pPr>
              <w:jc w:val="center"/>
              <w:ind w:right="276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404"/>
        </w:trPr>
        <w:tc>
          <w:tcPr>
            <w:tcW w:w="276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660" w:type="dxa"/>
            <w:vAlign w:val="bottom"/>
            <w:gridSpan w:val="4"/>
          </w:tcPr>
          <w:p>
            <w:pPr>
              <w:ind w:left="1620"/>
              <w:spacing w:after="0"/>
              <w:rPr>
                <w:sz w:val="20"/>
                <w:szCs w:val="20"/>
                <w:color w:val="auto"/>
              </w:rPr>
            </w:pPr>
            <w:r>
              <w:rPr>
                <w:rFonts w:ascii="Arial" w:cs="Arial" w:eastAsia="Arial" w:hAnsi="Arial"/>
                <w:sz w:val="18"/>
                <w:szCs w:val="18"/>
                <w:color w:val="auto"/>
                <w:w w:val="93"/>
              </w:rPr>
              <w:t>to transfer this Note on the books of the Company. The agent may substitute another to act for</w:t>
            </w:r>
          </w:p>
        </w:tc>
      </w:tr>
      <w:tr>
        <w:trPr>
          <w:trHeight w:val="230"/>
        </w:trPr>
        <w:tc>
          <w:tcPr>
            <w:tcW w:w="2760" w:type="dxa"/>
            <w:vAlign w:val="bottom"/>
            <w:gridSpan w:val="2"/>
          </w:tcPr>
          <w:p>
            <w:pPr>
              <w:spacing w:after="0"/>
              <w:rPr>
                <w:sz w:val="20"/>
                <w:szCs w:val="20"/>
                <w:color w:val="auto"/>
              </w:rPr>
            </w:pPr>
            <w:r>
              <w:rPr>
                <w:rFonts w:ascii="Arial" w:cs="Arial" w:eastAsia="Arial" w:hAnsi="Arial"/>
                <w:sz w:val="18"/>
                <w:szCs w:val="18"/>
                <w:color w:val="auto"/>
              </w:rPr>
              <w:t>him</w:t>
            </w:r>
          </w:p>
        </w:tc>
        <w:tc>
          <w:tcPr>
            <w:tcW w:w="27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2760" w:type="dxa"/>
            <w:vAlign w:val="bottom"/>
            <w:gridSpan w:val="2"/>
          </w:tcPr>
          <w:p>
            <w:pPr>
              <w:spacing w:after="0"/>
              <w:rPr>
                <w:sz w:val="20"/>
                <w:szCs w:val="20"/>
                <w:color w:val="auto"/>
              </w:rPr>
            </w:pPr>
            <w:r>
              <w:rPr>
                <w:rFonts w:ascii="Arial" w:cs="Arial" w:eastAsia="Arial" w:hAnsi="Arial"/>
                <w:sz w:val="18"/>
                <w:szCs w:val="18"/>
                <w:color w:val="auto"/>
              </w:rPr>
              <w:t>Date:</w:t>
            </w:r>
          </w:p>
        </w:tc>
        <w:tc>
          <w:tcPr>
            <w:tcW w:w="2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12"/>
        </w:trPr>
        <w:tc>
          <w:tcPr>
            <w:tcW w:w="62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5920" w:type="dxa"/>
            <w:vAlign w:val="bottom"/>
            <w:gridSpan w:val="3"/>
          </w:tcPr>
          <w:p>
            <w:pPr>
              <w:ind w:left="460"/>
              <w:spacing w:after="0"/>
              <w:rPr>
                <w:sz w:val="20"/>
                <w:szCs w:val="20"/>
                <w:color w:val="auto"/>
              </w:rPr>
            </w:pPr>
            <w:r>
              <w:rPr>
                <w:rFonts w:ascii="Arial" w:cs="Arial" w:eastAsia="Arial" w:hAnsi="Arial"/>
                <w:sz w:val="18"/>
                <w:szCs w:val="18"/>
                <w:color w:val="auto"/>
              </w:rPr>
              <w:t>Your Signature:</w:t>
            </w:r>
          </w:p>
        </w:tc>
      </w:tr>
      <w:tr>
        <w:trPr>
          <w:trHeight w:val="224"/>
        </w:trPr>
        <w:tc>
          <w:tcPr>
            <w:tcW w:w="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900" w:type="dxa"/>
            <w:vAlign w:val="bottom"/>
          </w:tcPr>
          <w:p>
            <w:pPr>
              <w:ind w:left="460"/>
              <w:spacing w:after="0"/>
              <w:rPr>
                <w:sz w:val="20"/>
                <w:szCs w:val="20"/>
                <w:color w:val="auto"/>
              </w:rPr>
            </w:pPr>
            <w:r>
              <w:rPr>
                <w:rFonts w:ascii="Arial" w:cs="Arial" w:eastAsia="Arial" w:hAnsi="Arial"/>
                <w:sz w:val="18"/>
                <w:szCs w:val="18"/>
                <w:color w:val="auto"/>
                <w:w w:val="86"/>
              </w:rPr>
              <w:t>(sign exactly as your</w:t>
            </w:r>
          </w:p>
        </w:tc>
        <w:tc>
          <w:tcPr>
            <w:tcW w:w="40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name appears on the face of this Note)</w:t>
            </w:r>
          </w:p>
        </w:tc>
      </w:tr>
      <w:tr>
        <w:trPr>
          <w:trHeight w:val="404"/>
        </w:trPr>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00" w:type="dxa"/>
            <w:vAlign w:val="bottom"/>
            <w:gridSpan w:val="2"/>
          </w:tcPr>
          <w:p>
            <w:pPr>
              <w:ind w:left="460"/>
              <w:spacing w:after="0"/>
              <w:rPr>
                <w:sz w:val="20"/>
                <w:szCs w:val="20"/>
                <w:color w:val="auto"/>
              </w:rPr>
            </w:pPr>
            <w:r>
              <w:rPr>
                <w:rFonts w:ascii="Arial" w:cs="Arial" w:eastAsia="Arial" w:hAnsi="Arial"/>
                <w:sz w:val="18"/>
                <w:szCs w:val="18"/>
                <w:color w:val="auto"/>
              </w:rPr>
              <w:t>Tax Identification No:</w:t>
            </w:r>
          </w:p>
        </w:tc>
        <w:tc>
          <w:tcPr>
            <w:tcW w:w="3420" w:type="dxa"/>
            <w:vAlign w:val="bottom"/>
            <w:tcBorders>
              <w:bottom w:val="single" w:sz="8" w:color="auto"/>
            </w:tcBorders>
          </w:tcPr>
          <w:p>
            <w:pPr>
              <w:spacing w:after="0"/>
              <w:rPr>
                <w:sz w:val="24"/>
                <w:szCs w:val="24"/>
                <w:color w:val="auto"/>
              </w:rPr>
            </w:pPr>
          </w:p>
        </w:tc>
      </w:tr>
      <w:tr>
        <w:trPr>
          <w:trHeight w:val="426"/>
        </w:trPr>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00" w:type="dxa"/>
            <w:vAlign w:val="bottom"/>
            <w:gridSpan w:val="2"/>
          </w:tcPr>
          <w:p>
            <w:pPr>
              <w:ind w:left="460"/>
              <w:spacing w:after="0"/>
              <w:rPr>
                <w:sz w:val="20"/>
                <w:szCs w:val="20"/>
                <w:color w:val="auto"/>
              </w:rPr>
            </w:pPr>
            <w:r>
              <w:rPr>
                <w:rFonts w:ascii="Arial" w:cs="Arial" w:eastAsia="Arial" w:hAnsi="Arial"/>
                <w:sz w:val="18"/>
                <w:szCs w:val="18"/>
                <w:color w:val="auto"/>
              </w:rPr>
              <w:t>Signature Guarantee:</w:t>
            </w:r>
          </w:p>
        </w:tc>
        <w:tc>
          <w:tcPr>
            <w:tcW w:w="342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jc w:val="both"/>
        <w:ind w:right="74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If you want to elect to have this </w:t>
      </w:r>
      <w:r>
        <w:rPr>
          <w:rFonts w:ascii="Arial" w:cs="Arial" w:eastAsia="Arial" w:hAnsi="Arial"/>
          <w:sz w:val="15"/>
          <w:szCs w:val="15"/>
          <w:color w:val="auto"/>
        </w:rPr>
        <w:t>2026</w:t>
      </w:r>
      <w:r>
        <w:rPr>
          <w:rFonts w:ascii="Arial" w:cs="Arial" w:eastAsia="Arial" w:hAnsi="Arial"/>
          <w:sz w:val="16"/>
          <w:szCs w:val="16"/>
          <w:color w:val="auto"/>
        </w:rPr>
        <w:t xml:space="preserve"> Note purchased by the Company pursuant to Section 4.1 of the Supplemental Indenture, check the box below:</w:t>
      </w:r>
    </w:p>
    <w:p>
      <w:pPr>
        <w:spacing w:after="0" w:line="248" w:lineRule="exact"/>
        <w:rPr>
          <w:sz w:val="20"/>
          <w:szCs w:val="20"/>
          <w:color w:val="auto"/>
        </w:rPr>
      </w:pPr>
    </w:p>
    <w:p>
      <w:pPr>
        <w:ind w:left="1280" w:hanging="624"/>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If you want to elect to have only part of the </w:t>
      </w:r>
      <w:r>
        <w:rPr>
          <w:rFonts w:ascii="Arial" w:cs="Arial" w:eastAsia="Arial" w:hAnsi="Arial"/>
          <w:sz w:val="17"/>
          <w:szCs w:val="17"/>
          <w:color w:val="auto"/>
        </w:rPr>
        <w:t>2026</w:t>
      </w:r>
      <w:r>
        <w:rPr>
          <w:rFonts w:ascii="Arial" w:cs="Arial" w:eastAsia="Arial" w:hAnsi="Arial"/>
          <w:sz w:val="18"/>
          <w:szCs w:val="18"/>
          <w:color w:val="auto"/>
        </w:rPr>
        <w:t xml:space="preserve"> Note purchased by the Company pursuant to Section 4.1 of the Supplemental Indenture, state the amount you elect to have purchased ($2,000 or integral multiples of $1,000 in excess thereof; provided that the unrepurchased portion of a 2026 Note must be in a minimum principal amount of $2,000):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1045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9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19"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39" w:name="page140"/>
    <w:bookmarkEnd w:id="139"/>
    <w:p>
      <w:pPr>
        <w:jc w:val="center"/>
        <w:ind w:right="40"/>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(Face of 2029 Note)</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w:t>
      </w:r>
    </w:p>
    <w:p>
      <w:pPr>
        <w:spacing w:after="0" w:line="192"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Arial" w:cs="Arial" w:eastAsia="Arial" w:hAnsi="Arial"/>
          <w:sz w:val="18"/>
          <w:szCs w:val="18"/>
          <w:b w:val="1"/>
          <w:bCs w:val="1"/>
          <w:i w:val="1"/>
          <w:iCs w:val="1"/>
          <w:color w:val="auto"/>
        </w:rPr>
        <w:t>DTC</w:t>
      </w:r>
      <w:r>
        <w:rPr>
          <w:rFonts w:ascii="Arial" w:cs="Arial" w:eastAsia="Arial" w:hAnsi="Arial"/>
          <w:sz w:val="18"/>
          <w:szCs w:val="18"/>
          <w:color w:val="auto"/>
        </w:rPr>
        <w:t>”)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CUSIP:[</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ISIN:[</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980" w:type="dxa"/>
            <w:vAlign w:val="bottom"/>
          </w:tcPr>
          <w:p>
            <w:pPr>
              <w:jc w:val="center"/>
              <w:ind w:right="630"/>
              <w:spacing w:after="0"/>
              <w:rPr>
                <w:sz w:val="20"/>
                <w:szCs w:val="20"/>
                <w:color w:val="auto"/>
              </w:rPr>
            </w:pPr>
            <w:r>
              <w:rPr>
                <w:rFonts w:ascii="Arial" w:cs="Arial" w:eastAsia="Arial" w:hAnsi="Arial"/>
                <w:sz w:val="18"/>
                <w:szCs w:val="18"/>
                <w:color w:val="auto"/>
                <w:w w:val="96"/>
              </w:rPr>
              <w:t>MICRON TECHNOLOGY, INC.</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980" w:type="dxa"/>
            <w:vAlign w:val="bottom"/>
          </w:tcPr>
          <w:p>
            <w:pPr>
              <w:jc w:val="center"/>
              <w:ind w:right="630"/>
              <w:spacing w:after="0"/>
              <w:rPr>
                <w:sz w:val="20"/>
                <w:szCs w:val="20"/>
                <w:color w:val="auto"/>
              </w:rPr>
            </w:pPr>
            <w:r>
              <w:rPr>
                <w:rFonts w:ascii="Arial" w:cs="Arial" w:eastAsia="Arial" w:hAnsi="Arial"/>
                <w:sz w:val="18"/>
                <w:szCs w:val="18"/>
                <w:color w:val="auto"/>
                <w:w w:val="90"/>
              </w:rPr>
              <w:t>5.327% Senior Note due 2029</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No. [</w:t>
            </w:r>
          </w:p>
        </w:tc>
        <w:tc>
          <w:tcPr>
            <w:tcW w:w="2020" w:type="dxa"/>
            <w:vAlign w:val="bottom"/>
          </w:tcPr>
          <w:p>
            <w:pPr>
              <w:jc w:val="right"/>
              <w:ind w:right="1690"/>
              <w:spacing w:after="0"/>
              <w:rPr>
                <w:sz w:val="20"/>
                <w:szCs w:val="20"/>
                <w:color w:val="auto"/>
              </w:rPr>
            </w:pPr>
            <w:r>
              <w:rPr>
                <w:rFonts w:ascii="Arial" w:cs="Arial" w:eastAsia="Arial" w:hAnsi="Arial"/>
                <w:sz w:val="18"/>
                <w:szCs w:val="18"/>
                <w:color w:val="auto"/>
              </w:rPr>
              <w:t>]</w:t>
            </w:r>
          </w:p>
        </w:tc>
        <w:tc>
          <w:tcPr>
            <w:tcW w:w="6980" w:type="dxa"/>
            <w:vAlign w:val="bottom"/>
          </w:tcPr>
          <w:p>
            <w:pPr>
              <w:spacing w:after="0"/>
              <w:rPr>
                <w:sz w:val="24"/>
                <w:szCs w:val="24"/>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80" w:type="dxa"/>
            <w:vAlign w:val="bottom"/>
            <w:gridSpan w:val="3"/>
          </w:tcPr>
          <w:p>
            <w:pPr>
              <w:jc w:val="right"/>
              <w:spacing w:after="0"/>
              <w:rPr>
                <w:sz w:val="20"/>
                <w:szCs w:val="20"/>
                <w:color w:val="auto"/>
              </w:rPr>
            </w:pPr>
            <w:r>
              <w:rPr>
                <w:rFonts w:ascii="Arial" w:cs="Arial" w:eastAsia="Arial" w:hAnsi="Arial"/>
                <w:sz w:val="18"/>
                <w:szCs w:val="18"/>
                <w:color w:val="auto"/>
              </w:rPr>
              <w:t>(as revised by the Schedule of Increases and</w:t>
            </w:r>
          </w:p>
        </w:tc>
      </w:tr>
      <w:tr>
        <w:trPr>
          <w:trHeight w:val="230"/>
        </w:trPr>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80" w:type="dxa"/>
            <w:vAlign w:val="bottom"/>
            <w:gridSpan w:val="3"/>
          </w:tcPr>
          <w:p>
            <w:pPr>
              <w:jc w:val="right"/>
              <w:spacing w:after="0"/>
              <w:rPr>
                <w:sz w:val="20"/>
                <w:szCs w:val="20"/>
                <w:color w:val="auto"/>
              </w:rPr>
            </w:pPr>
            <w:r>
              <w:rPr>
                <w:rFonts w:ascii="Arial" w:cs="Arial" w:eastAsia="Arial" w:hAnsi="Arial"/>
                <w:sz w:val="18"/>
                <w:szCs w:val="18"/>
                <w:color w:val="auto"/>
              </w:rPr>
              <w:t>Decreases in Global Note attached hereto)</w:t>
            </w:r>
          </w:p>
        </w:tc>
      </w:tr>
      <w:tr>
        <w:trPr>
          <w:trHeight w:val="418"/>
        </w:trPr>
        <w:tc>
          <w:tcPr>
            <w:tcW w:w="9560" w:type="dxa"/>
            <w:vAlign w:val="bottom"/>
            <w:gridSpan w:val="3"/>
          </w:tcPr>
          <w:p>
            <w:pPr>
              <w:spacing w:after="0"/>
              <w:rPr>
                <w:sz w:val="20"/>
                <w:szCs w:val="20"/>
                <w:color w:val="auto"/>
              </w:rPr>
            </w:pPr>
            <w:r>
              <w:rPr>
                <w:rFonts w:ascii="Arial" w:cs="Arial" w:eastAsia="Arial" w:hAnsi="Arial"/>
                <w:sz w:val="18"/>
                <w:szCs w:val="18"/>
                <w:color w:val="auto"/>
                <w:w w:val="94"/>
              </w:rPr>
              <w:t>Micron Technology, Inc., a Delaware corporation, promises to pay to CEDE &amp; CO. or registered assigns, the principal sum of $[</w:t>
            </w:r>
          </w:p>
        </w:tc>
        <w:tc>
          <w:tcPr>
            <w:tcW w:w="1720" w:type="dxa"/>
            <w:vAlign w:val="bottom"/>
          </w:tcPr>
          <w:p>
            <w:pPr>
              <w:jc w:val="right"/>
              <w:spacing w:after="0"/>
              <w:rPr>
                <w:sz w:val="20"/>
                <w:szCs w:val="20"/>
                <w:color w:val="auto"/>
              </w:rPr>
            </w:pPr>
            <w:r>
              <w:rPr>
                <w:rFonts w:ascii="Arial" w:cs="Arial" w:eastAsia="Arial" w:hAnsi="Arial"/>
                <w:sz w:val="18"/>
                <w:szCs w:val="18"/>
                <w:color w:val="auto"/>
              </w:rPr>
              <w:t>] (as revised by the</w:t>
            </w:r>
          </w:p>
        </w:tc>
        <w:tc>
          <w:tcPr>
            <w:tcW w:w="180" w:type="dxa"/>
            <w:vAlign w:val="bottom"/>
          </w:tcPr>
          <w:p>
            <w:pPr>
              <w:spacing w:after="0"/>
              <w:rPr>
                <w:sz w:val="24"/>
                <w:szCs w:val="24"/>
                <w:color w:val="auto"/>
              </w:rPr>
            </w:pPr>
          </w:p>
        </w:tc>
      </w:tr>
      <w:tr>
        <w:trPr>
          <w:trHeight w:val="230"/>
        </w:trPr>
        <w:tc>
          <w:tcPr>
            <w:tcW w:w="9560" w:type="dxa"/>
            <w:vAlign w:val="bottom"/>
            <w:gridSpan w:val="3"/>
          </w:tcPr>
          <w:p>
            <w:pPr>
              <w:spacing w:after="0"/>
              <w:rPr>
                <w:sz w:val="20"/>
                <w:szCs w:val="20"/>
                <w:color w:val="auto"/>
              </w:rPr>
            </w:pPr>
            <w:r>
              <w:rPr>
                <w:rFonts w:ascii="Arial" w:cs="Arial" w:eastAsia="Arial" w:hAnsi="Arial"/>
                <w:sz w:val="18"/>
                <w:szCs w:val="18"/>
                <w:color w:val="auto"/>
              </w:rPr>
              <w:t>Schedule of Increases and Decreases in Global Note attached hereto) on February 6, 2029.</w:t>
            </w: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Interest Payment Dates:</w:t>
            </w:r>
          </w:p>
        </w:tc>
        <w:tc>
          <w:tcPr>
            <w:tcW w:w="6980" w:type="dxa"/>
            <w:vAlign w:val="bottom"/>
          </w:tcPr>
          <w:p>
            <w:pPr>
              <w:ind w:left="860"/>
              <w:spacing w:after="0"/>
              <w:rPr>
                <w:sz w:val="20"/>
                <w:szCs w:val="20"/>
                <w:color w:val="auto"/>
              </w:rPr>
            </w:pPr>
            <w:r>
              <w:rPr>
                <w:rFonts w:ascii="Arial" w:cs="Arial" w:eastAsia="Arial" w:hAnsi="Arial"/>
                <w:sz w:val="18"/>
                <w:szCs w:val="18"/>
                <w:color w:val="auto"/>
              </w:rPr>
              <w:t>February 6 and August 6</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Record Dates:</w:t>
            </w:r>
          </w:p>
        </w:tc>
        <w:tc>
          <w:tcPr>
            <w:tcW w:w="6980" w:type="dxa"/>
            <w:vAlign w:val="bottom"/>
          </w:tcPr>
          <w:p>
            <w:pPr>
              <w:ind w:left="860"/>
              <w:spacing w:after="0"/>
              <w:rPr>
                <w:sz w:val="20"/>
                <w:szCs w:val="20"/>
                <w:color w:val="auto"/>
              </w:rPr>
            </w:pPr>
            <w:r>
              <w:rPr>
                <w:rFonts w:ascii="Arial" w:cs="Arial" w:eastAsia="Arial" w:hAnsi="Arial"/>
                <w:sz w:val="18"/>
                <w:szCs w:val="18"/>
                <w:color w:val="auto"/>
              </w:rPr>
              <w:t>January 22 and July 22</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980" w:type="dxa"/>
            <w:vAlign w:val="bottom"/>
          </w:tcPr>
          <w:p>
            <w:pPr>
              <w:jc w:val="center"/>
              <w:ind w:right="630"/>
              <w:spacing w:after="0"/>
              <w:rPr>
                <w:sz w:val="20"/>
                <w:szCs w:val="20"/>
                <w:color w:val="auto"/>
              </w:rPr>
            </w:pPr>
            <w:r>
              <w:rPr>
                <w:rFonts w:ascii="Arial" w:cs="Arial" w:eastAsia="Arial" w:hAnsi="Arial"/>
                <w:sz w:val="18"/>
                <w:szCs w:val="18"/>
                <w:color w:val="auto"/>
                <w:w w:val="89"/>
              </w:rPr>
              <w:t>C-1</w:t>
            </w: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2"/>
        </w:trPr>
        <w:tc>
          <w:tcPr>
            <w:tcW w:w="56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c>
          <w:tcPr>
            <w:tcW w:w="698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MICRON TECHNOLOGY, INC.</w:t>
      </w: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41" w:name="page142"/>
    <w:bookmarkEnd w:id="141"/>
    <w:p>
      <w:pPr>
        <w:ind w:left="3720"/>
        <w:spacing w:after="0"/>
        <w:rPr>
          <w:sz w:val="20"/>
          <w:szCs w:val="20"/>
          <w:color w:val="auto"/>
        </w:rPr>
      </w:pPr>
      <w:r>
        <w:rPr>
          <w:rFonts w:ascii="Arial" w:cs="Arial" w:eastAsia="Arial" w:hAnsi="Arial"/>
          <w:sz w:val="17"/>
          <w:szCs w:val="17"/>
          <w:color w:val="auto"/>
        </w:rPr>
        <w:t>TRUSTEE’S CERTIFICATE OF AUTHENTICATION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Supplemental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42" w:name="page143"/>
    <w:bookmarkEnd w:id="142"/>
    <w:p>
      <w:pPr>
        <w:jc w:val="center"/>
        <w:ind w:right="160"/>
        <w:spacing w:after="0"/>
        <w:rPr>
          <w:sz w:val="20"/>
          <w:szCs w:val="20"/>
          <w:color w:val="auto"/>
        </w:rPr>
      </w:pPr>
      <w:r>
        <w:rPr>
          <w:rFonts w:ascii="Arial" w:cs="Arial" w:eastAsia="Arial" w:hAnsi="Arial"/>
          <w:sz w:val="18"/>
          <w:szCs w:val="18"/>
          <w:color w:val="auto"/>
        </w:rPr>
        <w:t>(Back of 2029 Note)</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5.327% Senior Note due 2029</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Capitalized terms used herein have the meanings assigned to them in the Indenture referred to below unless otherwise indicated.</w:t>
      </w:r>
    </w:p>
    <w:p>
      <w:pPr>
        <w:spacing w:after="0" w:line="225" w:lineRule="exact"/>
        <w:rPr>
          <w:sz w:val="20"/>
          <w:szCs w:val="20"/>
          <w:color w:val="auto"/>
        </w:rPr>
      </w:pPr>
    </w:p>
    <w:p>
      <w:pPr>
        <w:ind w:right="20" w:firstLine="638"/>
        <w:spacing w:after="0" w:line="269" w:lineRule="auto"/>
        <w:tabs>
          <w:tab w:leader="none" w:pos="1368" w:val="left"/>
        </w:tabs>
        <w:numPr>
          <w:ilvl w:val="0"/>
          <w:numId w:val="126"/>
        </w:numPr>
        <w:rPr>
          <w:rFonts w:ascii="Arial" w:cs="Arial" w:eastAsia="Arial" w:hAnsi="Arial"/>
          <w:sz w:val="17"/>
          <w:szCs w:val="17"/>
          <w:color w:val="auto"/>
        </w:rPr>
      </w:pPr>
      <w:r>
        <w:rPr>
          <w:rFonts w:ascii="Arial" w:cs="Arial" w:eastAsia="Arial" w:hAnsi="Arial"/>
          <w:sz w:val="17"/>
          <w:szCs w:val="17"/>
          <w:i w:val="1"/>
          <w:iCs w:val="1"/>
          <w:color w:val="auto"/>
        </w:rPr>
        <w:t>INTEREST</w:t>
      </w:r>
      <w:r>
        <w:rPr>
          <w:rFonts w:ascii="Arial" w:cs="Arial" w:eastAsia="Arial" w:hAnsi="Arial"/>
          <w:sz w:val="17"/>
          <w:szCs w:val="17"/>
          <w:color w:val="auto"/>
        </w:rPr>
        <w:t>. Micron Technology,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promises to pay interest on the principal amount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2029 Note at 5.327% per annum from the date hereof until maturity. The Company will pay interest semi-annually on February 6 and August 6 of each year, commencing August 6, 2019, or if any such day is not a Business Day, on the next succeeding Business Day as if made on the date such payment was due, and no additional interest will accrue on the amount so payable for that period (each an “</w:t>
      </w:r>
      <w:r>
        <w:rPr>
          <w:rFonts w:ascii="Arial" w:cs="Arial" w:eastAsia="Arial" w:hAnsi="Arial"/>
          <w:sz w:val="17"/>
          <w:szCs w:val="17"/>
          <w:b w:val="1"/>
          <w:bCs w:val="1"/>
          <w:i w:val="1"/>
          <w:iCs w:val="1"/>
          <w:color w:val="auto"/>
        </w:rPr>
        <w:t>Interest Payment Date</w:t>
      </w:r>
      <w:r>
        <w:rPr>
          <w:rFonts w:ascii="Arial" w:cs="Arial" w:eastAsia="Arial" w:hAnsi="Arial"/>
          <w:sz w:val="17"/>
          <w:szCs w:val="17"/>
          <w:color w:val="auto"/>
        </w:rPr>
        <w:t xml:space="preserve">”). Interest on the 2029 Notes will accrue from the most recent date to which interest has been paid or provided for or, if no interest has been paid or provided for, from February 6, 2019;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if there is no existing Default in the payment of interest, and if this 2029 Note is authenticated between a record date referred to on the face</w:t>
      </w:r>
      <w:r>
        <w:rPr>
          <w:rFonts w:ascii="Arial" w:cs="Arial" w:eastAsia="Arial" w:hAnsi="Arial"/>
          <w:sz w:val="17"/>
          <w:szCs w:val="17"/>
          <w:i w:val="1"/>
          <w:iCs w:val="1"/>
          <w:color w:val="auto"/>
        </w:rPr>
        <w:t xml:space="preserve"> </w:t>
      </w:r>
      <w:r>
        <w:rPr>
          <w:rFonts w:ascii="Arial" w:cs="Arial" w:eastAsia="Arial" w:hAnsi="Arial"/>
          <w:sz w:val="17"/>
          <w:szCs w:val="17"/>
          <w:color w:val="auto"/>
        </w:rPr>
        <w:t>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2029 Notes to the extent lawful; it will pay interest (including post-petition interest in any proceeding under any Bankruptcy Law to the extent allowable) on overdue installments of interest at the same rate to the extent lawful. Interest will be computed on the basis of a 360-day year of twelve 30-day months.</w:t>
      </w:r>
    </w:p>
    <w:p>
      <w:pPr>
        <w:spacing w:after="0" w:line="182" w:lineRule="exact"/>
        <w:rPr>
          <w:rFonts w:ascii="Arial" w:cs="Arial" w:eastAsia="Arial" w:hAnsi="Arial"/>
          <w:sz w:val="17"/>
          <w:szCs w:val="17"/>
          <w:color w:val="auto"/>
        </w:rPr>
      </w:pPr>
    </w:p>
    <w:p>
      <w:pPr>
        <w:ind w:firstLine="638"/>
        <w:spacing w:after="0" w:line="288" w:lineRule="auto"/>
        <w:tabs>
          <w:tab w:leader="none" w:pos="1368"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2029 Notes (except defaulted interest) to the persons who are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Holders of 2029 Notes at the close of business on the January 22 or July 22 (whether or not a Business Day) next preceding the Interest Payment Date, even if such 2029 Notes are canceled after such record date and on or before such Interest Payment Date, except as provided in Section 2.13 of the Base Indenture with respect to defaulted interest. Principal and interest on the 2029 Notes will be made by (a) check mailed to the Holders of the 2029 Notes at their respective addresses set forth in the register of Holders of 2029 Notes or (b) with respect to a Holder with an aggregate principal amount in excess of $5,000,000, by wire transfer in immediately available funds to the place and account designated in writing at least 15 days prior to the interest payment date by the person entitled to the payment as specified in the security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by wire transfer of immediately available funds will be required with respect to principal of and interest on all Global Securities and all other 2029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w:t>
      </w:r>
    </w:p>
    <w:p>
      <w:pPr>
        <w:spacing w:after="0" w:line="169" w:lineRule="exact"/>
        <w:rPr>
          <w:rFonts w:ascii="Arial" w:cs="Arial" w:eastAsia="Arial" w:hAnsi="Arial"/>
          <w:sz w:val="16"/>
          <w:szCs w:val="16"/>
          <w:color w:val="auto"/>
        </w:rPr>
      </w:pPr>
    </w:p>
    <w:p>
      <w:pPr>
        <w:ind w:right="60" w:firstLine="638"/>
        <w:spacing w:after="0" w:line="264" w:lineRule="auto"/>
        <w:tabs>
          <w:tab w:leader="none" w:pos="1368"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National Association, the Trustee under the Indenture, will act as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Registrar. The Company may change any Paying Agent or Registrar without notice to any Holder. The Company or any of its Subsidiaries may act in any such capacity.</w:t>
      </w:r>
    </w:p>
    <w:p>
      <w:pPr>
        <w:spacing w:after="0" w:line="181" w:lineRule="exact"/>
        <w:rPr>
          <w:rFonts w:ascii="Arial" w:cs="Arial" w:eastAsia="Arial" w:hAnsi="Arial"/>
          <w:sz w:val="18"/>
          <w:szCs w:val="18"/>
          <w:color w:val="auto"/>
        </w:rPr>
      </w:pPr>
    </w:p>
    <w:p>
      <w:pPr>
        <w:ind w:right="120" w:firstLine="638"/>
        <w:spacing w:after="0" w:line="257" w:lineRule="auto"/>
        <w:tabs>
          <w:tab w:leader="none" w:pos="1368"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This 2029 Note is one of a duly authenticated Series of securities of the Company issued and to be issued in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under an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dated as of February 6, 2019 between the Company and the Trustee, as amended by the First Supplemental Indenture, dated as of February 6, 2019, between the Company and the Trustee (the “</w:t>
      </w:r>
      <w:r>
        <w:rPr>
          <w:rFonts w:ascii="Arial" w:cs="Arial" w:eastAsia="Arial" w:hAnsi="Arial"/>
          <w:sz w:val="18"/>
          <w:szCs w:val="18"/>
          <w:b w:val="1"/>
          <w:bCs w:val="1"/>
          <w:i w:val="1"/>
          <w:iCs w:val="1"/>
          <w:color w:val="auto"/>
        </w:rPr>
        <w:t>Supplemental Indenture</w:t>
      </w:r>
      <w:r>
        <w:rPr>
          <w:rFonts w:ascii="Arial" w:cs="Arial" w:eastAsia="Arial" w:hAnsi="Arial"/>
          <w:sz w:val="18"/>
          <w:szCs w:val="18"/>
          <w:color w:val="auto"/>
        </w:rPr>
        <w:t>” and, together with the Base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The terms of the 2029 Notes include those stated in the Indenture and those made part of the Indenture by reference to the TIA. The 2029 Notes</w:t>
      </w:r>
    </w:p>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420" w:top="341" w:right="239" w:bottom="1440" w:gutter="0" w:footer="0" w:header="0"/>
        </w:sectPr>
      </w:pPr>
    </w:p>
    <w:bookmarkStart w:id="143" w:name="page144"/>
    <w:bookmarkEnd w:id="143"/>
    <w:p>
      <w:pPr>
        <w:ind w:right="60"/>
        <w:spacing w:after="0" w:line="302" w:lineRule="auto"/>
        <w:rPr>
          <w:sz w:val="20"/>
          <w:szCs w:val="20"/>
          <w:color w:val="auto"/>
        </w:rPr>
      </w:pPr>
      <w:r>
        <w:rPr>
          <w:rFonts w:ascii="Arial" w:cs="Arial" w:eastAsia="Arial" w:hAnsi="Arial"/>
          <w:sz w:val="16"/>
          <w:szCs w:val="16"/>
          <w:color w:val="auto"/>
        </w:rPr>
        <w:t>are subject to all such terms, and Holders are referred to the Indenture and such Act for a statement of such terms. To the extent any provision of this 2029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2029 Notes pursuant to Section 2.3 of the Supplemental Indenture.</w:t>
      </w:r>
    </w:p>
    <w:p>
      <w:pPr>
        <w:spacing w:after="0" w:line="154" w:lineRule="exact"/>
        <w:rPr>
          <w:sz w:val="20"/>
          <w:szCs w:val="20"/>
          <w:color w:val="auto"/>
        </w:rPr>
      </w:pPr>
    </w:p>
    <w:p>
      <w:pPr>
        <w:ind w:right="220" w:firstLine="638"/>
        <w:spacing w:after="0" w:line="264" w:lineRule="auto"/>
        <w:tabs>
          <w:tab w:leader="none" w:pos="136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OPTIONAL REDEMPTION. The Notes are redeemable prior to the maturity date as provided in the Indenture. In the event of redemption of this Note in part only, a new Note or Notes in an authorized denomination for the unredeemed portion hereof will be issued in the name of the Holder hereof upon the cancellation hereof.</w:t>
      </w:r>
    </w:p>
    <w:p>
      <w:pPr>
        <w:spacing w:after="0" w:line="181" w:lineRule="exact"/>
        <w:rPr>
          <w:rFonts w:ascii="Arial" w:cs="Arial" w:eastAsia="Arial" w:hAnsi="Arial"/>
          <w:sz w:val="18"/>
          <w:szCs w:val="18"/>
          <w:color w:val="auto"/>
        </w:rPr>
      </w:pPr>
    </w:p>
    <w:p>
      <w:pPr>
        <w:ind w:left="1360" w:hanging="722"/>
        <w:spacing w:after="0"/>
        <w:tabs>
          <w:tab w:leader="none" w:pos="1360"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 xml:space="preserve">MANDATORY REDEMPTION. </w:t>
      </w:r>
      <w:r>
        <w:rPr>
          <w:rFonts w:ascii="Arial" w:cs="Arial" w:eastAsia="Arial" w:hAnsi="Arial"/>
          <w:sz w:val="16"/>
          <w:szCs w:val="16"/>
          <w:color w:val="auto"/>
        </w:rPr>
        <w:t>The Company is not required to make any mandatory redemption or sinking fund payments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2029 Notes.</w:t>
      </w:r>
    </w:p>
    <w:p>
      <w:pPr>
        <w:spacing w:after="0" w:line="210" w:lineRule="exact"/>
        <w:rPr>
          <w:rFonts w:ascii="Arial" w:cs="Arial" w:eastAsia="Arial" w:hAnsi="Arial"/>
          <w:sz w:val="16"/>
          <w:szCs w:val="16"/>
          <w:color w:val="auto"/>
        </w:rPr>
      </w:pPr>
    </w:p>
    <w:p>
      <w:pPr>
        <w:ind w:right="400" w:firstLine="638"/>
        <w:spacing w:after="0" w:line="342" w:lineRule="auto"/>
        <w:tabs>
          <w:tab w:leader="none" w:pos="1368"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OFFER TO PURCHASE UPON CHANGE OF CONTROL</w:t>
      </w:r>
      <w:r>
        <w:rPr>
          <w:rFonts w:ascii="Arial" w:cs="Arial" w:eastAsia="Arial" w:hAnsi="Arial"/>
          <w:sz w:val="16"/>
          <w:szCs w:val="16"/>
          <w:color w:val="auto"/>
        </w:rPr>
        <w:t>. If a Change of Control Triggering Event with respect to the 2029 Notes</w:t>
      </w:r>
      <w:r>
        <w:rPr>
          <w:rFonts w:ascii="Arial" w:cs="Arial" w:eastAsia="Arial" w:hAnsi="Arial"/>
          <w:sz w:val="16"/>
          <w:szCs w:val="16"/>
          <w:i w:val="1"/>
          <w:iCs w:val="1"/>
          <w:color w:val="auto"/>
        </w:rPr>
        <w:t xml:space="preserve"> </w:t>
      </w:r>
      <w:r>
        <w:rPr>
          <w:rFonts w:ascii="Arial" w:cs="Arial" w:eastAsia="Arial" w:hAnsi="Arial"/>
          <w:sz w:val="16"/>
          <w:szCs w:val="16"/>
          <w:color w:val="auto"/>
        </w:rPr>
        <w:t>occurs, the Company may be required to make an offer to purchase the 2029 Notes in the manner and with the effect provided in the Indenture.</w:t>
      </w:r>
    </w:p>
    <w:p>
      <w:pPr>
        <w:spacing w:after="0" w:line="123" w:lineRule="exact"/>
        <w:rPr>
          <w:rFonts w:ascii="Arial" w:cs="Arial" w:eastAsia="Arial" w:hAnsi="Arial"/>
          <w:sz w:val="16"/>
          <w:szCs w:val="16"/>
          <w:color w:val="auto"/>
        </w:rPr>
      </w:pPr>
    </w:p>
    <w:p>
      <w:pPr>
        <w:ind w:firstLine="638"/>
        <w:spacing w:after="0" w:line="272" w:lineRule="auto"/>
        <w:tabs>
          <w:tab w:leader="none" w:pos="1368"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DENOMINATIONS, TRANSFER, EXCHANGE</w:t>
      </w:r>
      <w:r>
        <w:rPr>
          <w:rFonts w:ascii="Arial" w:cs="Arial" w:eastAsia="Arial" w:hAnsi="Arial"/>
          <w:sz w:val="17"/>
          <w:szCs w:val="17"/>
          <w:color w:val="auto"/>
        </w:rPr>
        <w:t>. The 2029 Notes are in registered form without coupons in minimum denominations of</w:t>
      </w:r>
      <w:r>
        <w:rPr>
          <w:rFonts w:ascii="Arial" w:cs="Arial" w:eastAsia="Arial" w:hAnsi="Arial"/>
          <w:sz w:val="17"/>
          <w:szCs w:val="17"/>
          <w:i w:val="1"/>
          <w:iCs w:val="1"/>
          <w:color w:val="auto"/>
        </w:rPr>
        <w:t xml:space="preserve"> </w:t>
      </w:r>
      <w:r>
        <w:rPr>
          <w:rFonts w:ascii="Arial" w:cs="Arial" w:eastAsia="Arial" w:hAnsi="Arial"/>
          <w:sz w:val="17"/>
          <w:szCs w:val="17"/>
          <w:color w:val="auto"/>
        </w:rPr>
        <w:t>$2,000 and integral multiples of $1,000 in excess thereof. 2029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2029 Note or portion of a 2029 Note selected for redemption, except for the unredeemed portion of any 2029 Note being redeemed in part. Also, neither the Trustee nor the Company need exchange or register the transfer of any 2029 Notes for a period of 15 days before the day of any selection of 2029 Notes to be redeemed or during the period between a record date and the corresponding Interest Payment Date.</w:t>
      </w:r>
    </w:p>
    <w:p>
      <w:pPr>
        <w:spacing w:after="0" w:line="177" w:lineRule="exact"/>
        <w:rPr>
          <w:rFonts w:ascii="Arial" w:cs="Arial" w:eastAsia="Arial" w:hAnsi="Arial"/>
          <w:sz w:val="17"/>
          <w:szCs w:val="17"/>
          <w:color w:val="auto"/>
        </w:rPr>
      </w:pPr>
    </w:p>
    <w:p>
      <w:pPr>
        <w:ind w:right="60" w:firstLine="638"/>
        <w:spacing w:after="0" w:line="277" w:lineRule="auto"/>
        <w:tabs>
          <w:tab w:leader="none" w:pos="1368"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Subject to the record date provisions hereof, the registered Holder of a 2029 Note shall be treated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owner for all purposes.</w:t>
      </w:r>
    </w:p>
    <w:p>
      <w:pPr>
        <w:spacing w:after="0" w:line="170" w:lineRule="exact"/>
        <w:rPr>
          <w:rFonts w:ascii="Arial" w:cs="Arial" w:eastAsia="Arial" w:hAnsi="Arial"/>
          <w:sz w:val="18"/>
          <w:szCs w:val="18"/>
          <w:color w:val="auto"/>
        </w:rPr>
      </w:pPr>
    </w:p>
    <w:p>
      <w:pPr>
        <w:ind w:right="100" w:firstLine="638"/>
        <w:spacing w:after="0" w:line="273" w:lineRule="auto"/>
        <w:tabs>
          <w:tab w:leader="none" w:pos="1323"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2029 Notes may be amended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supplemented with the consent of the Holders of at least a majority in principal amount of the 2029 Notes then outstanding, including, without limitation, consents obtained in connection with a tender offer or exchange offer for the 2029 Notes, and any existing default or compliance with any provision of the Indenture or the 2029 Notes, may be waived with the consent of the Holders of a majority in principal amount of the then outstanding 2029 Notes, including, without limitation, consents obtained in connection with a tender offer or exchange offer for the 2029 Notes. The Indenture or the 2029 Notes may be amended or supplemented without the consent of any Holder of a 2029 Note as described in the Indenture.</w:t>
      </w:r>
    </w:p>
    <w:p>
      <w:pPr>
        <w:spacing w:after="0" w:line="178" w:lineRule="exact"/>
        <w:rPr>
          <w:rFonts w:ascii="Arial" w:cs="Arial" w:eastAsia="Arial" w:hAnsi="Arial"/>
          <w:sz w:val="17"/>
          <w:szCs w:val="17"/>
          <w:color w:val="auto"/>
        </w:rPr>
      </w:pPr>
    </w:p>
    <w:p>
      <w:pPr>
        <w:ind w:right="120" w:firstLine="638"/>
        <w:spacing w:after="0" w:line="264" w:lineRule="auto"/>
        <w:tabs>
          <w:tab w:leader="none" w:pos="1316"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 If an Event of Default with respect to the 2029 Notes shall occur and be continuing, the principal of,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accrued and unpaid interest on, the outstanding 2029 Notes may be declared due and payable in the manner and with the effect provided in the Indenture.</w:t>
      </w:r>
    </w:p>
    <w:p>
      <w:pPr>
        <w:spacing w:after="0" w:line="181" w:lineRule="exact"/>
        <w:rPr>
          <w:rFonts w:ascii="Arial" w:cs="Arial" w:eastAsia="Arial" w:hAnsi="Arial"/>
          <w:sz w:val="18"/>
          <w:szCs w:val="18"/>
          <w:color w:val="auto"/>
        </w:rPr>
      </w:pPr>
    </w:p>
    <w:p>
      <w:pPr>
        <w:ind w:right="180" w:firstLine="638"/>
        <w:spacing w:after="0" w:line="342" w:lineRule="auto"/>
        <w:tabs>
          <w:tab w:leader="none" w:pos="1323"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TRUSTEE DEALINGS WITH COMPANY</w:t>
      </w:r>
      <w:r>
        <w:rPr>
          <w:rFonts w:ascii="Arial" w:cs="Arial" w:eastAsia="Arial" w:hAnsi="Arial"/>
          <w:sz w:val="16"/>
          <w:szCs w:val="16"/>
          <w:color w:val="auto"/>
        </w:rPr>
        <w:t>. The Trustee, in its individual or any other capacity, may become the owner or pledgee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2029 Notes and may otherwise deal with the Company or an Affiliate of the Company with the same rights it would have if it were not Trustee.</w:t>
      </w:r>
    </w:p>
    <w:p>
      <w:pPr>
        <w:spacing w:after="0" w:line="12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420" w:top="341" w:right="259" w:bottom="1440" w:gutter="0" w:footer="0" w:header="0"/>
        </w:sectPr>
      </w:pPr>
    </w:p>
    <w:bookmarkStart w:id="144" w:name="page145"/>
    <w:bookmarkEnd w:id="144"/>
    <w:p>
      <w:pPr>
        <w:ind w:left="180" w:right="180" w:firstLine="638"/>
        <w:spacing w:after="0" w:line="259" w:lineRule="auto"/>
        <w:tabs>
          <w:tab w:leader="none" w:pos="1503"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None of the Company’s past, present or future directors, officers, employees or stockholders, as</w:t>
      </w:r>
      <w:r>
        <w:rPr>
          <w:rFonts w:ascii="Arial" w:cs="Arial" w:eastAsia="Arial" w:hAnsi="Arial"/>
          <w:sz w:val="18"/>
          <w:szCs w:val="18"/>
          <w:i w:val="1"/>
          <w:iCs w:val="1"/>
          <w:color w:val="auto"/>
        </w:rPr>
        <w:t xml:space="preserve"> </w:t>
      </w:r>
      <w:r>
        <w:rPr>
          <w:rFonts w:ascii="Arial" w:cs="Arial" w:eastAsia="Arial" w:hAnsi="Arial"/>
          <w:sz w:val="18"/>
          <w:szCs w:val="18"/>
          <w:color w:val="auto"/>
        </w:rPr>
        <w:t>such, will have any liability for any of the Company’s obligations under the 2029 Notes or the Indenture or for any claim based on, or in respect or by reason of, such obligations or their creation. By accepting a 2029 Note, each Holder waives and releases all such liability. This waiver and release is part of the consideration for the issue of the 2029 Notes.</w:t>
      </w:r>
    </w:p>
    <w:p>
      <w:pPr>
        <w:spacing w:after="0" w:line="186" w:lineRule="exact"/>
        <w:rPr>
          <w:rFonts w:ascii="Arial" w:cs="Arial" w:eastAsia="Arial" w:hAnsi="Arial"/>
          <w:sz w:val="18"/>
          <w:szCs w:val="18"/>
          <w:color w:val="auto"/>
        </w:rPr>
      </w:pPr>
    </w:p>
    <w:p>
      <w:pPr>
        <w:ind w:left="1500" w:hanging="682"/>
        <w:spacing w:after="0"/>
        <w:tabs>
          <w:tab w:leader="none" w:pos="150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2029 Note will not be valid until authenticated by the manual signature of the Trustee or an authenticating</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agent.</w:t>
      </w:r>
    </w:p>
    <w:p>
      <w:pPr>
        <w:spacing w:after="0" w:line="210" w:lineRule="exact"/>
        <w:rPr>
          <w:rFonts w:ascii="Arial" w:cs="Arial" w:eastAsia="Arial" w:hAnsi="Arial"/>
          <w:sz w:val="17"/>
          <w:szCs w:val="17"/>
          <w:color w:val="auto"/>
        </w:rPr>
      </w:pPr>
    </w:p>
    <w:p>
      <w:pPr>
        <w:ind w:left="180" w:right="140" w:firstLine="638"/>
        <w:spacing w:after="0" w:line="264" w:lineRule="auto"/>
        <w:tabs>
          <w:tab w:leader="none" w:pos="1503"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left="180" w:right="20" w:firstLine="638"/>
        <w:spacing w:after="0" w:line="257" w:lineRule="auto"/>
        <w:tabs>
          <w:tab w:leader="none" w:pos="1503"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The Company has caused CUSIP numbers to be printed on the 2029 Notes and the Trustee shall use CUSIP numbers</w:t>
      </w:r>
      <w:r>
        <w:rPr>
          <w:rFonts w:ascii="Arial" w:cs="Arial" w:eastAsia="Arial" w:hAnsi="Arial"/>
          <w:sz w:val="18"/>
          <w:szCs w:val="18"/>
          <w:i w:val="1"/>
          <w:iCs w:val="1"/>
          <w:color w:val="auto"/>
        </w:rPr>
        <w:t xml:space="preserve"> </w:t>
      </w:r>
      <w:r>
        <w:rPr>
          <w:rFonts w:ascii="Arial" w:cs="Arial" w:eastAsia="Arial" w:hAnsi="Arial"/>
          <w:sz w:val="18"/>
          <w:szCs w:val="18"/>
          <w:color w:val="auto"/>
        </w:rPr>
        <w:t>in notices of redemption as a convenience to Holders. No representation is made as to the correctness of such numbers either as printed on the 2029 Notes or as contained in any notice of redemption and reliance may be placed only on the other elements of identification printed on the 2029 Notes, and any such redemption shall not be affected by any defect in or omission of such numbers. The Company will furnish to any Holder upon written request and without charge a copy of the Base Indenture and the Supplemental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Requests may be made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0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CHEDULE OF INCREASES AND DECREASES IN GLOBAL SECURITY</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increases or decreases in this Note have been made: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decrease or</w:t>
            </w:r>
          </w:p>
        </w:tc>
        <w:tc>
          <w:tcPr>
            <w:tcW w:w="2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 of decrease in</w:t>
            </w: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Amount of increase in</w:t>
            </w:r>
          </w:p>
        </w:tc>
        <w:tc>
          <w:tcPr>
            <w:tcW w:w="2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Principal amount of this</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Signature of authorized</w:t>
            </w:r>
          </w:p>
        </w:tc>
        <w:tc>
          <w:tcPr>
            <w:tcW w:w="0" w:type="dxa"/>
            <w:vAlign w:val="bottom"/>
          </w:tcPr>
          <w:p>
            <w:pPr>
              <w:spacing w:after="0"/>
              <w:rPr>
                <w:sz w:val="1"/>
                <w:szCs w:val="1"/>
                <w:color w:val="auto"/>
              </w:rPr>
            </w:pPr>
          </w:p>
        </w:tc>
      </w:tr>
      <w:tr>
        <w:trPr>
          <w:trHeight w:val="149"/>
        </w:trPr>
        <w:tc>
          <w:tcPr>
            <w:tcW w:w="2640" w:type="dxa"/>
            <w:vAlign w:val="bottom"/>
            <w:gridSpan w:val="2"/>
            <w:vMerge w:val="continue"/>
          </w:tcPr>
          <w:p>
            <w:pPr>
              <w:spacing w:after="0"/>
              <w:rPr>
                <w:sz w:val="12"/>
                <w:szCs w:val="12"/>
                <w:color w:val="auto"/>
              </w:rPr>
            </w:pPr>
          </w:p>
        </w:tc>
        <w:tc>
          <w:tcPr>
            <w:tcW w:w="2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principal amount of</w:t>
            </w:r>
          </w:p>
        </w:tc>
        <w:tc>
          <w:tcPr>
            <w:tcW w:w="2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principal amount of this</w:t>
            </w:r>
          </w:p>
        </w:tc>
        <w:tc>
          <w:tcPr>
            <w:tcW w:w="2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Note following such</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signatory of Trustee or</w:t>
            </w:r>
          </w:p>
        </w:tc>
        <w:tc>
          <w:tcPr>
            <w:tcW w:w="0" w:type="dxa"/>
            <w:vAlign w:val="bottom"/>
          </w:tcPr>
          <w:p>
            <w:pPr>
              <w:spacing w:after="0"/>
              <w:rPr>
                <w:sz w:val="1"/>
                <w:szCs w:val="1"/>
                <w:color w:val="auto"/>
              </w:rPr>
            </w:pPr>
          </w:p>
        </w:tc>
      </w:tr>
      <w:tr>
        <w:trPr>
          <w:trHeight w:val="17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increase</w:t>
            </w:r>
          </w:p>
        </w:tc>
        <w:tc>
          <w:tcPr>
            <w:tcW w:w="2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this Note</w:t>
            </w: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Note</w:t>
            </w:r>
          </w:p>
        </w:tc>
        <w:tc>
          <w:tcPr>
            <w:tcW w:w="2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decrease or increase</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r>
        <w:trPr>
          <w:trHeight w:val="210"/>
        </w:trPr>
        <w:tc>
          <w:tcPr>
            <w:tcW w:w="2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5" w:name="page146"/>
    <w:bookmarkEnd w:id="145"/>
    <w:p>
      <w:pPr>
        <w:ind w:left="4820"/>
        <w:spacing w:after="0"/>
        <w:rPr>
          <w:sz w:val="20"/>
          <w:szCs w:val="20"/>
          <w:color w:val="auto"/>
        </w:rPr>
      </w:pPr>
      <w:r>
        <w:rPr>
          <w:rFonts w:ascii="Arial" w:cs="Arial" w:eastAsia="Arial" w:hAnsi="Arial"/>
          <w:sz w:val="18"/>
          <w:szCs w:val="18"/>
          <w:b w:val="1"/>
          <w:bCs w:val="1"/>
          <w:color w:val="auto"/>
        </w:rPr>
        <w:t>ASSIGNMENT FORM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ind w:right="8760" w:firstLine="8"/>
        <w:spacing w:after="0" w:line="528" w:lineRule="auto"/>
        <w:tabs>
          <w:tab w:leader="none" w:pos="22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or (we) assign and transfer this Note to:</w:t>
      </w:r>
    </w:p>
    <w:p>
      <w:pPr>
        <w:spacing w:after="0" w:line="18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and irrevocably appoint</w:t>
      </w:r>
      <w:r>
        <w:rPr>
          <w:sz w:val="20"/>
          <w:szCs w:val="20"/>
          <w:color w:val="auto"/>
        </w:rPr>
        <w:tab/>
      </w:r>
      <w:r>
        <w:rPr>
          <w:rFonts w:ascii="Arial" w:cs="Arial" w:eastAsia="Arial" w:hAnsi="Arial"/>
          <w:sz w:val="16"/>
          <w:szCs w:val="16"/>
          <w:color w:val="auto"/>
        </w:rPr>
        <w:t>to transfer this Note on the books of the Company.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1045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9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Tax Identification No: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20"/>
          </w:cols>
          <w:pgMar w:left="240" w:top="337" w:right="73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8"/>
          <w:szCs w:val="18"/>
          <w:b w:val="1"/>
          <w:bCs w:val="1"/>
          <w:color w:val="auto"/>
        </w:rPr>
        <w:t>OPTION OF HOLDER TO ELECT PURCHASE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want to elect to have this 2029 Note purchased by the Company pursuant to Section 4.1 of the Supplemental Indenture, check the box below:</w:t>
      </w:r>
    </w:p>
    <w:p>
      <w:pPr>
        <w:spacing w:after="0" w:line="248" w:lineRule="exact"/>
        <w:rPr>
          <w:sz w:val="20"/>
          <w:szCs w:val="20"/>
          <w:color w:val="auto"/>
        </w:rPr>
      </w:pPr>
    </w:p>
    <w:p>
      <w:pPr>
        <w:ind w:left="1020" w:hanging="364"/>
        <w:spacing w:after="0"/>
        <w:tabs>
          <w:tab w:leader="none" w:pos="10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Section 4.1</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you want to elect to have only part of the 2029 Note purchased by the Company pursuant to Section 4.1 of the Supplemental Indenture, state the amount you elect to have purchased ($2,000 or integral multiples of $1,000 in excess thereof; provided that the unrepurchased portion of a 2029 Note must be in a minimum principal amount of $2,000): $</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10451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9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Tax Identification No:</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14605</wp:posOffset>
            </wp:positionV>
            <wp:extent cx="22466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19" w:lineRule="exact"/>
        <w:rPr>
          <w:sz w:val="20"/>
          <w:szCs w:val="20"/>
          <w:color w:val="auto"/>
        </w:rPr>
      </w:pPr>
    </w:p>
    <w:p>
      <w:pPr>
        <w:jc w:val="both"/>
        <w:ind w:right="720" w:firstLine="648"/>
        <w:spacing w:after="0" w:line="312"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i w:val="1"/>
          <w:i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Securities Exchange Act of 1934, as amended.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w:t>
      </w:r>
    </w:p>
    <w:p>
      <w:pPr>
        <w:spacing w:after="0" w:line="20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Registration Statement on Form S-3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acted as special counsel to Micron Technology, Inc., a Delaware corporation (the “Company”), in connection with the filing by the Company with the Securities and Exchange Commission (the “Commission”) on October 10, 2017 of a registration statement on Form S-3 (the “Registration Statement”), under the Securities Act of 1933, as amended (the “Act”), that is automatically effective under the Act pursuant to Rule 462(e) promulgated thereunder. The Registration Statement relates to, among other things, the proposed issuance and sale, from time to time, by the Company of debt securities (the “Debt Securities”), with an indeterminate amount as may at various times be issued at indeterminate prices, in reliance on Rule 456(b) and Rule 457(r) under the Act.</w:t>
      </w:r>
    </w:p>
    <w:p>
      <w:pPr>
        <w:spacing w:after="0" w:line="193"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Pursuant to the Registration Statement, the Company has issued $600,000,000 aggregate principal amount of Senior Notes due 2024 (the “2024 Notes”), $500,000,000 aggregate principal amount of Senior Notes due 2026 (the “2026 Notes”) and $700,000,000 aggregate principal amount of Senior Notes due 2029 (the “2029 Notes” and, together with the 2024 Notes and the 2026 Notes, the “Notes”), all of which have been sold pursuant to that certain Underwriting Agreement (the “Underwriting Agreement”), dated as of February 4, 2019, among the Company, Morgan Stanley &amp; Co. LLC, BNP Paribas Securities Corp. and Credit Suisse Securities (USA) LLC, as representatives of the several underwriters named in Schedule I thereto.</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Each series of Notes has been issued in the form set forth in the Indenture, dated as of February 6, 2019 (the “Base Indenture”), between the Company and U.S. Bank National Association, as trustee (the “Trustee”) as supplemented by that certain First Supplemental Indenture dated as of February 6, 2019 (the “First Supplemental Indenture” and together with the Base Indenture, the “Indenture”), between the Company and the Trustee.</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have examined the Registration Statement, together with the exhibits thereto and the documents incorporated by reference therein; the prospectus, dated October 10, 2017, together with the documents incorporated by reference therein, filed with the Registration Statement (the “Prospectus”); the preliminary prospectus supplement, dated February 4, 2019, in the form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8" w:name="page149"/>
    <w:bookmarkEnd w:id="148"/>
    <w:p>
      <w:pPr>
        <w:ind w:right="60"/>
        <w:spacing w:after="0" w:line="297" w:lineRule="auto"/>
        <w:rPr>
          <w:sz w:val="20"/>
          <w:szCs w:val="20"/>
          <w:color w:val="auto"/>
        </w:rPr>
      </w:pPr>
      <w:r>
        <w:rPr>
          <w:rFonts w:ascii="Arial" w:cs="Arial" w:eastAsia="Arial" w:hAnsi="Arial"/>
          <w:sz w:val="16"/>
          <w:szCs w:val="16"/>
          <w:color w:val="auto"/>
        </w:rPr>
        <w:t>pursuant to Rule 424(b) of the Securities Act relating to the offering of the Notes; the free writing prospectus, dated February 4, 2019, in the form filed with the Commission pursuant to Rule 433 of the Securities Act; the final prospectus supplement, dated February 4, 2019 in the form filed with the Commission pursuant to Rule 424(b) of the Securities Act relating to the offering of the Notes (collectively with the Prospectus, the “Prospectus Supplement”); the Indenture and the Notes. In addition, 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15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the Underwriting Agreement has been duly authorized and validly executed and delivered by the parties thereto (other than by the Company); (v) the legal capacity of all natural persons and (vi) that the Trustee has the power, corporate or other, to enter into and perform its obligations under the Indenture and that the Indenture will be a valid and binding obligation on the Trustee. As to any facts material to the opinions expressed herein that were not independently established or verified, we have relied upon oral or written statements and representations of officers and other representatives of the Company.</w:t>
      </w:r>
    </w:p>
    <w:p>
      <w:pPr>
        <w:spacing w:after="0" w:line="17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express no opinion herein as to the laws of any jurisdiction, other than the Federal laws of the United States of America, the laws of the State of New York, and the General Corporation Law of the State of Delaware, as such are in effect on the date hereof, and we have made no inquiry into, and we express no opinion as to, the statutes, regulations, treaties, common laws or other laws of any other nation, state or jurisdiction.</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Based on such examination and in reliance thereon and having regard for legal considerations which we deem relevant, and subject to the limitations and qualifications set forth herein, we are of the opinion that the Notes have been validly issued and constitute valid and binding obligations of the Company, enforceable against the Company in accordance with their terms, and entitled to the benefits of the Indenture.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49" w:name="page150"/>
    <w:bookmarkEnd w:id="149"/>
    <w:p>
      <w:pPr>
        <w:ind w:firstLine="648"/>
        <w:spacing w:after="0" w:line="279" w:lineRule="auto"/>
        <w:rPr>
          <w:sz w:val="20"/>
          <w:szCs w:val="20"/>
          <w:color w:val="auto"/>
        </w:rPr>
      </w:pPr>
      <w:r>
        <w:rPr>
          <w:rFonts w:ascii="Arial" w:cs="Arial" w:eastAsia="Arial" w:hAnsi="Arial"/>
          <w:sz w:val="17"/>
          <w:szCs w:val="17"/>
          <w:color w:val="auto"/>
        </w:rPr>
        <w:t>We hereby consent to the filing of this opinion as an exhibit to the above-referenced Registration Statement and to the use of our name wherever it appears in the Registration Statement, the Prospectus, the Prospectus Supplement, and in any amendment or supplement thereto. In giving such consent, we do not believe that we are “experts” within the meaning of such term as used in the Act or the rules and regulations of the Commission issued thereunder with respect to any part of the Registration Statement, including this opinion as an exhibit or otherwise.</w:t>
      </w:r>
    </w:p>
    <w:p>
      <w:pPr>
        <w:spacing w:after="0" w:line="38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Wilson Sonsini Goodrich &amp; Rosati, P.C.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820"/>
      </w:cols>
      <w:pgMar w:left="760" w:top="3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o"/>
      <w:numFmt w:val="bullet"/>
      <w:start w:val="1"/>
    </w:lvl>
  </w:abstractNum>
  <w:abstractNum w:abstractNumId="1">
    <w:nsid w:val="1DBABF00"/>
    <w:multiLevelType w:val="hybridMultilevel"/>
    <w:lvl w:ilvl="0">
      <w:lvlJc w:val="left"/>
      <w:lvlText w:val="(%1)"/>
      <w:numFmt w:val="lowerRoman"/>
      <w:start w:val="1"/>
    </w:lvl>
  </w:abstractNum>
  <w:abstractNum w:abstractNumId="2">
    <w:nsid w:val="4AD084E9"/>
    <w:multiLevelType w:val="hybridMultilevel"/>
    <w:lvl w:ilvl="0">
      <w:lvlJc w:val="left"/>
      <w:lvlText w:val="%1."/>
      <w:numFmt w:val="decimal"/>
      <w:start w:val="1"/>
    </w:lvl>
    <w:lvl w:ilvl="1">
      <w:lvlJc w:val="left"/>
      <w:lvlText w:val="(%2)"/>
      <w:numFmt w:val="lowerLetter"/>
      <w:start w:val="1"/>
    </w:lvl>
  </w:abstractNum>
  <w:abstractNum w:abstractNumId="3">
    <w:nsid w:val="1F48EAA1"/>
    <w:multiLevelType w:val="hybridMultilevel"/>
    <w:lvl w:ilvl="0">
      <w:lvlJc w:val="left"/>
      <w:lvlText w:val="(%1)"/>
      <w:numFmt w:val="lowerLetter"/>
      <w:start w:val="2"/>
    </w:lvl>
  </w:abstractNum>
  <w:abstractNum w:abstractNumId="4">
    <w:nsid w:val="1381823A"/>
    <w:multiLevelType w:val="hybridMultilevel"/>
    <w:lvl w:ilvl="0">
      <w:lvlJc w:val="left"/>
      <w:lvlText w:val="(%1)"/>
      <w:numFmt w:val="lowerLetter"/>
      <w:start w:val="4"/>
    </w:lvl>
  </w:abstractNum>
  <w:abstractNum w:abstractNumId="5">
    <w:nsid w:val="5DB70AE5"/>
    <w:multiLevelType w:val="hybridMultilevel"/>
    <w:lvl w:ilvl="0">
      <w:lvlJc w:val="left"/>
      <w:lvlText w:val="(%1)"/>
      <w:numFmt w:val="lowerLetter"/>
      <w:start w:val="6"/>
    </w:lvl>
  </w:abstractNum>
  <w:abstractNum w:abstractNumId="6">
    <w:nsid w:val="100F8FCA"/>
    <w:multiLevelType w:val="hybridMultilevel"/>
    <w:lvl w:ilvl="0">
      <w:lvlJc w:val="left"/>
      <w:lvlText w:val="%1"/>
      <w:numFmt w:val="decimal"/>
      <w:start w:val="1"/>
    </w:lvl>
    <w:lvl w:ilvl="1">
      <w:lvlJc w:val="left"/>
      <w:lvlText w:val="(%2)"/>
      <w:numFmt w:val="lowerLetter"/>
      <w:start w:val="10"/>
    </w:lvl>
  </w:abstractNum>
  <w:abstractNum w:abstractNumId="7">
    <w:nsid w:val="6590700B"/>
    <w:multiLevelType w:val="hybridMultilevel"/>
    <w:lvl w:ilvl="0">
      <w:lvlJc w:val="left"/>
      <w:lvlText w:val="(%1)"/>
      <w:numFmt w:val="decimal"/>
      <w:start w:val="2"/>
    </w:lvl>
    <w:lvl w:ilvl="1">
      <w:lvlJc w:val="left"/>
      <w:lvlText w:val="(%2)"/>
      <w:numFmt w:val="lowerLetter"/>
      <w:start w:val="12"/>
    </w:lvl>
  </w:abstractNum>
  <w:abstractNum w:abstractNumId="8">
    <w:nsid w:val="15014ACB"/>
    <w:multiLevelType w:val="hybridMultilevel"/>
    <w:lvl w:ilvl="0">
      <w:lvlJc w:val="left"/>
      <w:lvlText w:val="(%1)"/>
      <w:numFmt w:val="lowerLetter"/>
      <w:start w:val="13"/>
    </w:lvl>
  </w:abstractNum>
  <w:abstractNum w:abstractNumId="9">
    <w:nsid w:val="5F5E7FD0"/>
    <w:multiLevelType w:val="hybridMultilevel"/>
    <w:lvl w:ilvl="0">
      <w:lvlJc w:val="left"/>
      <w:lvlText w:val="(%1)"/>
      <w:numFmt w:val="lowerLetter"/>
      <w:start w:val="18"/>
    </w:lvl>
  </w:abstractNum>
  <w:abstractNum w:abstractNumId="10">
    <w:nsid w:val="98A3148"/>
    <w:multiLevelType w:val="hybridMultilevel"/>
    <w:lvl w:ilvl="0">
      <w:lvlJc w:val="left"/>
      <w:lvlText w:val="(%1)"/>
      <w:numFmt w:val="lowerLetter"/>
      <w:start w:val="21"/>
    </w:lvl>
  </w:abstractNum>
  <w:abstractNum w:abstractNumId="11">
    <w:nsid w:val="799D0247"/>
    <w:multiLevelType w:val="hybridMultilevel"/>
    <w:lvl w:ilvl="0">
      <w:lvlJc w:val="left"/>
      <w:lvlText w:val="%1"/>
      <w:numFmt w:val="lowerRoman"/>
      <w:start w:val="1"/>
    </w:lvl>
    <w:lvl w:ilvl="1">
      <w:lvlJc w:val="left"/>
      <w:lvlText w:val="(%2)"/>
      <w:numFmt w:val="upperLetter"/>
      <w:start w:val="1"/>
    </w:lvl>
  </w:abstractNum>
  <w:abstractNum w:abstractNumId="12">
    <w:nsid w:val="6B94764"/>
    <w:multiLevelType w:val="hybridMultilevel"/>
    <w:lvl w:ilvl="0">
      <w:lvlJc w:val="left"/>
      <w:lvlText w:val="(%1)"/>
      <w:numFmt w:val="lowerRoman"/>
      <w:start w:val="2"/>
    </w:lvl>
    <w:lvl w:ilvl="1">
      <w:lvlJc w:val="left"/>
      <w:lvlText w:val="(%2)"/>
      <w:numFmt w:val="upperLetter"/>
      <w:start w:val="1"/>
    </w:lvl>
  </w:abstractNum>
  <w:abstractNum w:abstractNumId="13">
    <w:nsid w:val="42C296B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4">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15">
    <w:nsid w:val="1EBA5D23"/>
    <w:multiLevelType w:val="hybridMultilevel"/>
    <w:lvl w:ilvl="0">
      <w:lvlJc w:val="left"/>
      <w:lvlText w:val="%1"/>
      <w:numFmt w:val="decimal"/>
      <w:start w:val="1"/>
    </w:lvl>
    <w:lvl w:ilvl="1">
      <w:lvlJc w:val="left"/>
      <w:lvlText w:val="(%2)"/>
      <w:numFmt w:val="lowerLetter"/>
      <w:start w:val="23"/>
    </w:lvl>
    <w:lvl w:ilvl="2">
      <w:lvlJc w:val="left"/>
      <w:lvlText w:val="%3"/>
      <w:numFmt w:val="lowerLetter"/>
      <w:start w:val="1"/>
    </w:lvl>
    <w:lvl w:ilvl="3">
      <w:lvlJc w:val="left"/>
      <w:lvlText w:val="%4"/>
      <w:numFmt w:val="upperLetter"/>
      <w:start w:val="1"/>
    </w:lvl>
  </w:abstractNum>
  <w:abstractNum w:abstractNumId="16">
    <w:nsid w:val="661E3F1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17">
    <w:nsid w:val="5DC79EA8"/>
    <w:multiLevelType w:val="hybridMultilevel"/>
    <w:lvl w:ilvl="0">
      <w:lvlJc w:val="left"/>
      <w:lvlText w:val="%1."/>
      <w:numFmt w:val="decimal"/>
      <w:start w:val="3"/>
    </w:lvl>
  </w:abstractNum>
  <w:abstractNum w:abstractNumId="18">
    <w:nsid w:val="540A471C"/>
    <w:multiLevelType w:val="hybridMultilevel"/>
    <w:lvl w:ilvl="0">
      <w:lvlJc w:val="left"/>
      <w:lvlText w:val="%1."/>
      <w:numFmt w:val="decimal"/>
      <w:start w:val="5"/>
    </w:lvl>
    <w:lvl w:ilvl="1">
      <w:lvlJc w:val="left"/>
      <w:lvlText w:val="(%2)"/>
      <w:numFmt w:val="lowerLetter"/>
      <w:start w:val="1"/>
    </w:lvl>
  </w:abstractNum>
  <w:abstractNum w:abstractNumId="19">
    <w:nsid w:val="7BD3EE7B"/>
    <w:multiLevelType w:val="hybridMultilevel"/>
    <w:lvl w:ilvl="0">
      <w:lvlJc w:val="left"/>
      <w:lvlText w:val="(%1)"/>
      <w:numFmt w:val="lowerLetter"/>
      <w:start w:val="3"/>
    </w:lvl>
    <w:lvl w:ilvl="1">
      <w:lvlJc w:val="left"/>
      <w:lvlText w:val="(%2)"/>
      <w:numFmt w:val="lowerRoman"/>
      <w:start w:val="1"/>
    </w:lvl>
  </w:abstractNum>
  <w:abstractNum w:abstractNumId="20">
    <w:nsid w:val="51D9C564"/>
    <w:multiLevelType w:val="hybridMultilevel"/>
    <w:lvl w:ilvl="0">
      <w:lvlJc w:val="left"/>
      <w:lvlText w:val="%1"/>
      <w:numFmt w:val="decimal"/>
      <w:start w:val="1"/>
    </w:lvl>
    <w:lvl w:ilvl="1">
      <w:lvlJc w:val="left"/>
      <w:lvlText w:val="(%2)"/>
      <w:numFmt w:val="lowerLetter"/>
      <w:start w:val="5"/>
    </w:lvl>
  </w:abstractNum>
  <w:abstractNum w:abstractNumId="21">
    <w:nsid w:val="613EFDC5"/>
    <w:multiLevelType w:val="hybridMultilevel"/>
    <w:lvl w:ilvl="0">
      <w:lvlJc w:val="left"/>
      <w:lvlText w:val="%1."/>
      <w:numFmt w:val="decimal"/>
      <w:start w:val="6"/>
    </w:lvl>
    <w:lvl w:ilvl="1">
      <w:lvlJc w:val="left"/>
      <w:lvlText w:val="(%2)"/>
      <w:numFmt w:val="lowerLetter"/>
      <w:start w:val="1"/>
    </w:lvl>
  </w:abstractNum>
  <w:abstractNum w:abstractNumId="22">
    <w:nsid w:val="BF72B14"/>
    <w:multiLevelType w:val="hybridMultilevel"/>
    <w:lvl w:ilvl="0">
      <w:lvlJc w:val="left"/>
      <w:lvlText w:val="(%1)"/>
      <w:numFmt w:val="lowerLetter"/>
      <w:start w:val="2"/>
    </w:lvl>
  </w:abstractNum>
  <w:abstractNum w:abstractNumId="23">
    <w:nsid w:val="11447B73"/>
    <w:multiLevelType w:val="hybridMultilevel"/>
    <w:lvl w:ilvl="0">
      <w:lvlJc w:val="left"/>
      <w:lvlText w:val="%1"/>
      <w:numFmt w:val="lowerRoman"/>
      <w:start w:val="1"/>
    </w:lvl>
    <w:lvl w:ilvl="1">
      <w:lvlJc w:val="left"/>
      <w:lvlText w:val="(%2)"/>
      <w:numFmt w:val="lowerLetter"/>
      <w:start w:val="5"/>
    </w:lvl>
  </w:abstractNum>
  <w:abstractNum w:abstractNumId="24">
    <w:nsid w:val="42963E5A"/>
    <w:multiLevelType w:val="hybridMultilevel"/>
    <w:lvl w:ilvl="0">
      <w:lvlJc w:val="left"/>
      <w:lvlText w:val="(%1)"/>
      <w:numFmt w:val="lowerRoman"/>
      <w:start w:val="6"/>
    </w:lvl>
    <w:lvl w:ilvl="1">
      <w:lvlJc w:val="left"/>
      <w:lvlText w:val="(%2)"/>
      <w:numFmt w:val="lowerLetter"/>
      <w:start w:val="6"/>
    </w:lvl>
  </w:abstractNum>
  <w:abstractNum w:abstractNumId="25">
    <w:nsid w:val="A0382C5"/>
    <w:multiLevelType w:val="hybridMultilevel"/>
    <w:lvl w:ilvl="0">
      <w:lvlJc w:val="left"/>
      <w:lvlText w:val="(%1)"/>
      <w:numFmt w:val="lowerRoman"/>
      <w:start w:val="2"/>
    </w:lvl>
    <w:lvl w:ilvl="1">
      <w:lvlJc w:val="left"/>
      <w:lvlText w:val="%2"/>
      <w:numFmt w:val="lowerLetter"/>
      <w:start w:val="1"/>
    </w:lvl>
  </w:abstractNum>
  <w:abstractNum w:abstractNumId="26">
    <w:nsid w:val="8F2B15E"/>
    <w:multiLevelType w:val="hybridMultilevel"/>
    <w:lvl w:ilvl="0">
      <w:lvlJc w:val="left"/>
      <w:lvlText w:val="(%1)"/>
      <w:numFmt w:val="lowerLetter"/>
      <w:start w:val="7"/>
    </w:lvl>
  </w:abstractNum>
  <w:abstractNum w:abstractNumId="27">
    <w:nsid w:val="1A32234B"/>
    <w:multiLevelType w:val="hybridMultilevel"/>
    <w:lvl w:ilvl="0">
      <w:lvlJc w:val="left"/>
      <w:lvlText w:val="(%1)"/>
      <w:numFmt w:val="lowerRoman"/>
      <w:start w:val="1"/>
    </w:lvl>
  </w:abstractNum>
  <w:abstractNum w:abstractNumId="28">
    <w:nsid w:val="3B0FD379"/>
    <w:multiLevelType w:val="hybridMultilevel"/>
    <w:lvl w:ilvl="0">
      <w:lvlJc w:val="left"/>
      <w:lvlText w:val="(%1)"/>
      <w:numFmt w:val="lowerLetter"/>
      <w:start w:val="10"/>
    </w:lvl>
  </w:abstractNum>
  <w:abstractNum w:abstractNumId="29">
    <w:nsid w:val="68EB2F63"/>
    <w:multiLevelType w:val="hybridMultilevel"/>
    <w:lvl w:ilvl="0">
      <w:lvlJc w:val="left"/>
      <w:lvlText w:val="%1."/>
      <w:numFmt w:val="decimal"/>
      <w:start w:val="7"/>
    </w:lvl>
  </w:abstractNum>
  <w:abstractNum w:abstractNumId="30">
    <w:nsid w:val="4962813B"/>
    <w:multiLevelType w:val="hybridMultilevel"/>
    <w:lvl w:ilvl="0">
      <w:lvlJc w:val="left"/>
      <w:lvlText w:val="(%1)"/>
      <w:numFmt w:val="lowerLetter"/>
      <w:start w:val="1"/>
    </w:lvl>
  </w:abstractNum>
  <w:abstractNum w:abstractNumId="31">
    <w:nsid w:val="60B6DF70"/>
    <w:multiLevelType w:val="hybridMultilevel"/>
    <w:lvl w:ilvl="0">
      <w:lvlJc w:val="left"/>
      <w:lvlText w:val="(%1)"/>
      <w:numFmt w:val="lowerLetter"/>
      <w:start w:val="2"/>
    </w:lvl>
  </w:abstractNum>
  <w:abstractNum w:abstractNumId="32">
    <w:nsid w:val="6A5EE64"/>
    <w:multiLevelType w:val="hybridMultilevel"/>
    <w:lvl w:ilvl="0">
      <w:lvlJc w:val="left"/>
      <w:lvlText w:val="%1."/>
      <w:numFmt w:val="decimal"/>
      <w:start w:val="8"/>
    </w:lvl>
    <w:lvl w:ilvl="1">
      <w:lvlJc w:val="left"/>
      <w:lvlText w:val="(%2)"/>
      <w:numFmt w:val="lowerLetter"/>
      <w:start w:val="2"/>
    </w:lvl>
  </w:abstractNum>
  <w:abstractNum w:abstractNumId="33">
    <w:nsid w:val="14330624"/>
    <w:multiLevelType w:val="hybridMultilevel"/>
    <w:lvl w:ilvl="0">
      <w:lvlJc w:val="left"/>
      <w:lvlText w:val="(%1)"/>
      <w:numFmt w:val="lowerLetter"/>
      <w:start w:val="3"/>
    </w:lvl>
  </w:abstractNum>
  <w:abstractNum w:abstractNumId="34">
    <w:nsid w:val="7FFFCA11"/>
    <w:multiLevelType w:val="hybridMultilevel"/>
    <w:lvl w:ilvl="0">
      <w:lvlJc w:val="left"/>
      <w:lvlText w:val="(%1)"/>
      <w:numFmt w:val="lowerLetter"/>
      <w:start w:val="4"/>
    </w:lvl>
  </w:abstractNum>
  <w:abstractNum w:abstractNumId="35">
    <w:nsid w:val="1A27709E"/>
    <w:multiLevelType w:val="hybridMultilevel"/>
    <w:lvl w:ilvl="0">
      <w:lvlJc w:val="left"/>
      <w:lvlText w:val="%1."/>
      <w:numFmt w:val="decimal"/>
      <w:start w:val="9"/>
    </w:lvl>
  </w:abstractNum>
  <w:abstractNum w:abstractNumId="36">
    <w:nsid w:val="71EA1109"/>
    <w:multiLevelType w:val="hybridMultilevel"/>
    <w:lvl w:ilvl="0">
      <w:lvlJc w:val="left"/>
      <w:lvlText w:val="%1."/>
      <w:numFmt w:val="decimal"/>
      <w:start w:val="10"/>
    </w:lvl>
  </w:abstractNum>
  <w:abstractNum w:abstractNumId="37">
    <w:nsid w:val="100F59DC"/>
    <w:multiLevelType w:val="hybridMultilevel"/>
    <w:lvl w:ilvl="0">
      <w:lvlJc w:val="left"/>
      <w:lvlText w:val="%1."/>
      <w:numFmt w:val="decimal"/>
      <w:start w:val="11"/>
    </w:lvl>
  </w:abstractNum>
  <w:abstractNum w:abstractNumId="38">
    <w:nsid w:val="7FB7E0AA"/>
    <w:multiLevelType w:val="hybridMultilevel"/>
    <w:lvl w:ilvl="0">
      <w:lvlJc w:val="left"/>
      <w:lvlText w:val="%1."/>
      <w:numFmt w:val="decimal"/>
      <w:start w:val="12"/>
    </w:lvl>
  </w:abstractNum>
  <w:abstractNum w:abstractNumId="39">
    <w:nsid w:val="6EB5BD4"/>
    <w:multiLevelType w:val="hybridMultilevel"/>
    <w:lvl w:ilvl="0">
      <w:lvlJc w:val="left"/>
      <w:lvlText w:val="%1"/>
      <w:numFmt w:val="decimal"/>
      <w:start w:val="1"/>
    </w:lvl>
    <w:lvl w:ilvl="1">
      <w:lvlJc w:val="left"/>
      <w:lvlText w:val="(%2)"/>
      <w:numFmt w:val="lowerLetter"/>
      <w:start w:val="2"/>
    </w:lvl>
  </w:abstractNum>
  <w:abstractNum w:abstractNumId="40">
    <w:nsid w:val="6F6DD9AC"/>
    <w:multiLevelType w:val="hybridMultilevel"/>
    <w:lvl w:ilvl="0">
      <w:lvlJc w:val="left"/>
      <w:lvlText w:val="%1."/>
      <w:numFmt w:val="decimal"/>
      <w:start w:val="13"/>
    </w:lvl>
    <w:lvl w:ilvl="1">
      <w:lvlJc w:val="left"/>
      <w:lvlText w:val="%2"/>
      <w:numFmt w:val="lowerLetter"/>
      <w:start w:val="1"/>
    </w:lvl>
  </w:abstractNum>
  <w:abstractNum w:abstractNumId="41">
    <w:nsid w:val="94211F2"/>
    <w:multiLevelType w:val="hybridMultilevel"/>
    <w:lvl w:ilvl="0">
      <w:lvlJc w:val="left"/>
      <w:lvlText w:val="%1."/>
      <w:numFmt w:val="decimal"/>
      <w:start w:val="1"/>
    </w:lvl>
  </w:abstractNum>
  <w:abstractNum w:abstractNumId="42">
    <w:nsid w:val="885E1B"/>
    <w:multiLevelType w:val="hybridMultilevel"/>
    <w:lvl w:ilvl="0">
      <w:lvlJc w:val="left"/>
      <w:lvlText w:val="(%1)"/>
      <w:numFmt w:val="lowerLetter"/>
      <w:start w:val="1"/>
    </w:lvl>
  </w:abstractNum>
  <w:abstractNum w:abstractNumId="43">
    <w:nsid w:val="76272110"/>
    <w:multiLevelType w:val="hybridMultilevel"/>
    <w:lvl w:ilvl="0">
      <w:lvlJc w:val="left"/>
      <w:lvlText w:val="(%1)"/>
      <w:numFmt w:val="lowerLetter"/>
      <w:start w:val="3"/>
    </w:lvl>
  </w:abstractNum>
  <w:abstractNum w:abstractNumId="44">
    <w:nsid w:val="4C04A8AF"/>
    <w:multiLevelType w:val="hybridMultilevel"/>
    <w:lvl w:ilvl="0">
      <w:lvlJc w:val="left"/>
      <w:lvlText w:val="(%1)"/>
      <w:numFmt w:val="lowerRoman"/>
      <w:start w:val="2"/>
    </w:lvl>
  </w:abstractNum>
  <w:abstractNum w:abstractNumId="45">
    <w:nsid w:val="1716703B"/>
    <w:multiLevelType w:val="hybridMultilevel"/>
    <w:lvl w:ilvl="0">
      <w:lvlJc w:val="left"/>
      <w:lvlText w:val="(%1)"/>
      <w:numFmt w:val="lowerLetter"/>
      <w:start w:val="1"/>
    </w:lvl>
  </w:abstractNum>
  <w:abstractNum w:abstractNumId="46">
    <w:nsid w:val="14E17E33"/>
    <w:multiLevelType w:val="hybridMultilevel"/>
    <w:lvl w:ilvl="0">
      <w:lvlJc w:val="left"/>
      <w:lvlText w:val="(%1)"/>
      <w:numFmt w:val="lowerLetter"/>
      <w:start w:val="2"/>
    </w:lvl>
  </w:abstractNum>
  <w:abstractNum w:abstractNumId="47">
    <w:nsid w:val="3222E7CD"/>
    <w:multiLevelType w:val="hybridMultilevel"/>
    <w:lvl w:ilvl="0">
      <w:lvlJc w:val="left"/>
      <w:lvlText w:val="(%1)"/>
      <w:numFmt w:val="lowerLetter"/>
      <w:start w:val="1"/>
    </w:lvl>
  </w:abstractNum>
  <w:abstractNum w:abstractNumId="48">
    <w:nsid w:val="74DE0EE3"/>
    <w:multiLevelType w:val="hybridMultilevel"/>
    <w:lvl w:ilvl="0">
      <w:lvlJc w:val="left"/>
      <w:lvlText w:val="(%1)"/>
      <w:numFmt w:val="lowerLetter"/>
      <w:start w:val="1"/>
    </w:lvl>
  </w:abstractNum>
  <w:abstractNum w:abstractNumId="49">
    <w:nsid w:val="68EBC550"/>
    <w:multiLevelType w:val="hybridMultilevel"/>
    <w:lvl w:ilvl="0">
      <w:lvlJc w:val="left"/>
      <w:lvlText w:val="(%1)"/>
      <w:numFmt w:val="lowerLetter"/>
      <w:start w:val="1"/>
    </w:lvl>
  </w:abstractNum>
  <w:abstractNum w:abstractNumId="50">
    <w:nsid w:val="2DF6D648"/>
    <w:multiLevelType w:val="hybridMultilevel"/>
    <w:lvl w:ilvl="0">
      <w:lvlJc w:val="left"/>
      <w:lvlText w:val="(%1)"/>
      <w:numFmt w:val="lowerLetter"/>
      <w:start w:val="5"/>
    </w:lvl>
    <w:lvl w:ilvl="1">
      <w:lvlJc w:val="left"/>
      <w:lvlText w:val="(%2)"/>
      <w:numFmt w:val="lowerRoman"/>
      <w:start w:val="1"/>
    </w:lvl>
  </w:abstractNum>
  <w:abstractNum w:abstractNumId="51">
    <w:nsid w:val="46B7D447"/>
    <w:multiLevelType w:val="hybridMultilevel"/>
    <w:lvl w:ilvl="0">
      <w:lvlJc w:val="left"/>
      <w:lvlText w:val="(%1)"/>
      <w:numFmt w:val="lowerLetter"/>
      <w:start w:val="1"/>
    </w:lvl>
  </w:abstractNum>
  <w:abstractNum w:abstractNumId="52">
    <w:nsid w:val="4A2AC315"/>
    <w:multiLevelType w:val="hybridMultilevel"/>
    <w:lvl w:ilvl="0">
      <w:lvlJc w:val="left"/>
      <w:lvlText w:val="(%1)"/>
      <w:numFmt w:val="lowerLetter"/>
      <w:start w:val="1"/>
    </w:lvl>
  </w:abstractNum>
  <w:abstractNum w:abstractNumId="53">
    <w:nsid w:val="39EE015C"/>
    <w:multiLevelType w:val="hybridMultilevel"/>
    <w:lvl w:ilvl="0">
      <w:lvlJc w:val="left"/>
      <w:lvlText w:val="(%1)"/>
      <w:numFmt w:val="lowerLetter"/>
      <w:start w:val="1"/>
    </w:lvl>
  </w:abstractNum>
  <w:abstractNum w:abstractNumId="54">
    <w:nsid w:val="57FC4FBB"/>
    <w:multiLevelType w:val="hybridMultilevel"/>
    <w:lvl w:ilvl="0">
      <w:lvlJc w:val="left"/>
      <w:lvlText w:val="(%1)"/>
      <w:numFmt w:val="lowerLetter"/>
      <w:start w:val="2"/>
    </w:lvl>
  </w:abstractNum>
  <w:abstractNum w:abstractNumId="55">
    <w:nsid w:val="CC1016F"/>
    <w:multiLevelType w:val="hybridMultilevel"/>
    <w:lvl w:ilvl="0">
      <w:lvlJc w:val="left"/>
      <w:lvlText w:val="(%1)"/>
      <w:numFmt w:val="lowerLetter"/>
      <w:start w:val="4"/>
    </w:lvl>
  </w:abstractNum>
  <w:abstractNum w:abstractNumId="56">
    <w:nsid w:val="43F18422"/>
    <w:multiLevelType w:val="hybridMultilevel"/>
    <w:lvl w:ilvl="0">
      <w:lvlJc w:val="left"/>
      <w:lvlText w:val="(%1)"/>
      <w:numFmt w:val="lowerLetter"/>
      <w:start w:val="5"/>
    </w:lvl>
  </w:abstractNum>
  <w:abstractNum w:abstractNumId="57">
    <w:nsid w:val="60EF0119"/>
    <w:multiLevelType w:val="hybridMultilevel"/>
    <w:lvl w:ilvl="0">
      <w:lvlJc w:val="left"/>
      <w:lvlText w:val="(%1)"/>
      <w:numFmt w:val="lowerLetter"/>
      <w:start w:val="1"/>
    </w:lvl>
  </w:abstractNum>
  <w:abstractNum w:abstractNumId="58">
    <w:nsid w:val="26F324BA"/>
    <w:multiLevelType w:val="hybridMultilevel"/>
    <w:lvl w:ilvl="0">
      <w:lvlJc w:val="left"/>
      <w:lvlText w:val="(%1)"/>
      <w:numFmt w:val="lowerLetter"/>
      <w:start w:val="1"/>
    </w:lvl>
    <w:lvl w:ilvl="1">
      <w:lvlJc w:val="left"/>
      <w:lvlText w:val="(%2)"/>
      <w:numFmt w:val="lowerRoman"/>
      <w:start w:val="1"/>
    </w:lvl>
  </w:abstractNum>
  <w:abstractNum w:abstractNumId="59">
    <w:nsid w:val="7F01579B"/>
    <w:multiLevelType w:val="hybridMultilevel"/>
    <w:lvl w:ilvl="0">
      <w:lvlJc w:val="left"/>
      <w:lvlText w:val="(%1)"/>
      <w:numFmt w:val="lowerLetter"/>
      <w:start w:val="4"/>
    </w:lvl>
  </w:abstractNum>
  <w:abstractNum w:abstractNumId="60">
    <w:nsid w:val="49DA307D"/>
    <w:multiLevelType w:val="hybridMultilevel"/>
    <w:lvl w:ilvl="0">
      <w:lvlJc w:val="left"/>
      <w:lvlText w:val="(%1)"/>
      <w:numFmt w:val="lowerLetter"/>
      <w:start w:val="1"/>
    </w:lvl>
  </w:abstractNum>
  <w:abstractNum w:abstractNumId="61">
    <w:nsid w:val="7055A5F5"/>
    <w:multiLevelType w:val="hybridMultilevel"/>
    <w:lvl w:ilvl="0">
      <w:lvlJc w:val="left"/>
      <w:lvlText w:val="(%1)"/>
      <w:numFmt w:val="lowerLetter"/>
      <w:start w:val="6"/>
    </w:lvl>
  </w:abstractNum>
  <w:abstractNum w:abstractNumId="62">
    <w:nsid w:val="5FB8370B"/>
    <w:multiLevelType w:val="hybridMultilevel"/>
    <w:lvl w:ilvl="0">
      <w:lvlJc w:val="left"/>
      <w:lvlText w:val="(%1)"/>
      <w:numFmt w:val="lowerLetter"/>
      <w:start w:val="1"/>
    </w:lvl>
  </w:abstractNum>
  <w:abstractNum w:abstractNumId="63">
    <w:nsid w:val="50801EE1"/>
    <w:multiLevelType w:val="hybridMultilevel"/>
    <w:lvl w:ilvl="0">
      <w:lvlJc w:val="left"/>
      <w:lvlText w:val="(%1)"/>
      <w:numFmt w:val="lowerLetter"/>
      <w:start w:val="3"/>
    </w:lvl>
  </w:abstractNum>
  <w:abstractNum w:abstractNumId="64">
    <w:nsid w:val="488AC1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5">
    <w:nsid w:val="5FB8011C"/>
    <w:multiLevelType w:val="hybridMultilevel"/>
    <w:lvl w:ilvl="0">
      <w:lvlJc w:val="left"/>
      <w:lvlText w:val="(%1)"/>
      <w:numFmt w:val="lowerLetter"/>
      <w:start w:val="2"/>
    </w:lvl>
  </w:abstractNum>
  <w:abstractNum w:abstractNumId="66">
    <w:nsid w:val="6AA78F7F"/>
    <w:multiLevelType w:val="hybridMultilevel"/>
    <w:lvl w:ilvl="0">
      <w:lvlJc w:val="left"/>
      <w:lvlText w:val="(%1)"/>
      <w:numFmt w:val="lowerLetter"/>
      <w:start w:val="3"/>
    </w:lvl>
  </w:abstractNum>
  <w:abstractNum w:abstractNumId="67">
    <w:nsid w:val="7672BD23"/>
    <w:multiLevelType w:val="hybridMultilevel"/>
    <w:lvl w:ilvl="0">
      <w:lvlJc w:val="left"/>
      <w:lvlText w:val="(%1)"/>
      <w:numFmt w:val="lowerLetter"/>
      <w:start w:val="1"/>
    </w:lvl>
  </w:abstractNum>
  <w:abstractNum w:abstractNumId="68">
    <w:nsid w:val="6FC75AF8"/>
    <w:multiLevelType w:val="hybridMultilevel"/>
    <w:lvl w:ilvl="0">
      <w:lvlJc w:val="left"/>
      <w:lvlText w:val="(%1)"/>
      <w:numFmt w:val="lowerLetter"/>
      <w:start w:val="1"/>
    </w:lvl>
  </w:abstractNum>
  <w:abstractNum w:abstractNumId="69">
    <w:nsid w:val="6A5F7029"/>
    <w:multiLevelType w:val="hybridMultilevel"/>
    <w:lvl w:ilvl="0">
      <w:lvlJc w:val="left"/>
      <w:lvlText w:val="(%1)"/>
      <w:numFmt w:val="lowerLetter"/>
      <w:start w:val="8"/>
    </w:lvl>
  </w:abstractNum>
  <w:abstractNum w:abstractNumId="70">
    <w:nsid w:val="7D5E18F8"/>
    <w:multiLevelType w:val="hybridMultilevel"/>
    <w:lvl w:ilvl="0">
      <w:lvlJc w:val="left"/>
      <w:lvlText w:val="(%1)"/>
      <w:numFmt w:val="lowerLetter"/>
      <w:start w:val="1"/>
    </w:lvl>
  </w:abstractNum>
  <w:abstractNum w:abstractNumId="71">
    <w:nsid w:val="5F3534A4"/>
    <w:multiLevelType w:val="hybridMultilevel"/>
    <w:lvl w:ilvl="0">
      <w:lvlJc w:val="left"/>
      <w:lvlText w:val="(%1)"/>
      <w:numFmt w:val="lowerLetter"/>
      <w:start w:val="4"/>
    </w:lvl>
  </w:abstractNum>
  <w:abstractNum w:abstractNumId="72">
    <w:nsid w:val="73A1821B"/>
    <w:multiLevelType w:val="hybridMultilevel"/>
    <w:lvl w:ilvl="0">
      <w:lvlJc w:val="left"/>
      <w:lvlText w:val="(%1)"/>
      <w:numFmt w:val="lowerLetter"/>
      <w:start w:val="1"/>
    </w:lvl>
  </w:abstractNum>
  <w:abstractNum w:abstractNumId="73">
    <w:nsid w:val="7DE67713"/>
    <w:multiLevelType w:val="hybridMultilevel"/>
    <w:lvl w:ilvl="0">
      <w:lvlJc w:val="left"/>
      <w:lvlText w:val="(%1)"/>
      <w:numFmt w:val="lowerLetter"/>
      <w:start w:val="2"/>
    </w:lvl>
  </w:abstractNum>
  <w:abstractNum w:abstractNumId="74">
    <w:nsid w:val="555C55B5"/>
    <w:multiLevelType w:val="hybridMultilevel"/>
    <w:lvl w:ilvl="0">
      <w:lvlJc w:val="left"/>
      <w:lvlText w:val="(%1)"/>
      <w:numFmt w:val="lowerLetter"/>
      <w:start w:val="10"/>
    </w:lvl>
  </w:abstractNum>
  <w:abstractNum w:abstractNumId="75">
    <w:nsid w:val="3FA62ACA"/>
    <w:multiLevelType w:val="hybridMultilevel"/>
    <w:lvl w:ilvl="0">
      <w:lvlJc w:val="left"/>
      <w:lvlText w:val="(%1)"/>
      <w:numFmt w:val="lowerLetter"/>
      <w:start w:val="1"/>
    </w:lvl>
  </w:abstractNum>
  <w:abstractNum w:abstractNumId="76">
    <w:nsid w:val="14FCE74E"/>
    <w:multiLevelType w:val="hybridMultilevel"/>
    <w:lvl w:ilvl="0">
      <w:lvlJc w:val="left"/>
      <w:lvlText w:val="(%1)"/>
      <w:numFmt w:val="lowerLetter"/>
      <w:start w:val="10"/>
    </w:lvl>
  </w:abstractNum>
  <w:abstractNum w:abstractNumId="77">
    <w:nsid w:val="6A3DD3E8"/>
    <w:multiLevelType w:val="hybridMultilevel"/>
    <w:lvl w:ilvl="0">
      <w:lvlJc w:val="left"/>
      <w:lvlText w:val="(%1)"/>
      <w:numFmt w:val="lowerLetter"/>
      <w:start w:val="1"/>
    </w:lvl>
  </w:abstractNum>
  <w:abstractNum w:abstractNumId="78">
    <w:nsid w:val="71C91298"/>
    <w:multiLevelType w:val="hybridMultilevel"/>
    <w:lvl w:ilvl="0">
      <w:lvlJc w:val="left"/>
      <w:lvlText w:val="(%1)"/>
      <w:numFmt w:val="lowerLetter"/>
      <w:start w:val="1"/>
    </w:lvl>
  </w:abstractNum>
  <w:abstractNum w:abstractNumId="79">
    <w:nsid w:val="9DAF632"/>
    <w:multiLevelType w:val="hybridMultilevel"/>
    <w:lvl w:ilvl="0">
      <w:lvlJc w:val="left"/>
      <w:lvlText w:val="(%1)"/>
      <w:numFmt w:val="decimal"/>
      <w:start w:val="2"/>
    </w:lvl>
  </w:abstractNum>
  <w:abstractNum w:abstractNumId="80">
    <w:nsid w:val="53299938"/>
    <w:multiLevelType w:val="hybridMultilevel"/>
    <w:lvl w:ilvl="0">
      <w:lvlJc w:val="left"/>
      <w:lvlText w:val="%1"/>
      <w:numFmt w:val="lowerRoman"/>
      <w:start w:val="1"/>
    </w:lvl>
    <w:lvl w:ilvl="1">
      <w:lvlJc w:val="left"/>
      <w:lvlText w:val="(%2)"/>
      <w:numFmt w:val="lowerRoman"/>
      <w:start w:val="1"/>
    </w:lvl>
  </w:abstractNum>
  <w:abstractNum w:abstractNumId="81">
    <w:nsid w:val="1FBFE8E0"/>
    <w:multiLevelType w:val="hybridMultilevel"/>
    <w:lvl w:ilvl="0">
      <w:lvlJc w:val="left"/>
      <w:lvlText w:val="(%1)"/>
      <w:numFmt w:val="lowerRoman"/>
      <w:start w:val="1"/>
    </w:lvl>
    <w:lvl w:ilvl="1">
      <w:lvlJc w:val="left"/>
      <w:lvlText w:val="(%2)"/>
      <w:numFmt w:val="lowerRoman"/>
      <w:start w:val="2"/>
    </w:lvl>
  </w:abstractNum>
  <w:abstractNum w:abstractNumId="82">
    <w:nsid w:val="5092CA79"/>
    <w:multiLevelType w:val="hybridMultilevel"/>
    <w:lvl w:ilvl="0">
      <w:lvlJc w:val="left"/>
      <w:lvlText w:val="(%1)"/>
      <w:numFmt w:val="lowerLetter"/>
      <w:start w:val="2"/>
    </w:lvl>
  </w:abstractNum>
  <w:abstractNum w:abstractNumId="83">
    <w:nsid w:val="1D545C4D"/>
    <w:multiLevelType w:val="hybridMultilevel"/>
    <w:lvl w:ilvl="0">
      <w:lvlJc w:val="left"/>
      <w:lvlText w:val="(%1)"/>
      <w:numFmt w:val="decimal"/>
      <w:start w:val="1"/>
    </w:lvl>
  </w:abstractNum>
  <w:abstractNum w:abstractNumId="84">
    <w:nsid w:val="59ADEA3D"/>
    <w:multiLevelType w:val="hybridMultilevel"/>
    <w:lvl w:ilvl="0">
      <w:lvlJc w:val="left"/>
      <w:lvlText w:val="(%1)"/>
      <w:numFmt w:val="decimal"/>
      <w:start w:val="1"/>
    </w:lvl>
  </w:abstractNum>
  <w:abstractNum w:abstractNumId="85">
    <w:nsid w:val="288F1A34"/>
    <w:multiLevelType w:val="hybridMultilevel"/>
    <w:lvl w:ilvl="0">
      <w:lvlJc w:val="left"/>
      <w:lvlText w:val="(%1)"/>
      <w:numFmt w:val="decimal"/>
      <w:start w:val="4"/>
    </w:lvl>
  </w:abstractNum>
  <w:abstractNum w:abstractNumId="86">
    <w:nsid w:val="2A155DBC"/>
    <w:multiLevelType w:val="hybridMultilevel"/>
    <w:lvl w:ilvl="0">
      <w:lvlJc w:val="left"/>
      <w:lvlText w:val="(%1)"/>
      <w:numFmt w:val="decimal"/>
      <w:start w:val="11"/>
    </w:lvl>
  </w:abstractNum>
  <w:abstractNum w:abstractNumId="87">
    <w:nsid w:val="1D9F6E5F"/>
    <w:multiLevelType w:val="hybridMultilevel"/>
    <w:lvl w:ilvl="0">
      <w:lvlJc w:val="left"/>
      <w:lvlText w:val="(%1)"/>
      <w:numFmt w:val="decimal"/>
      <w:start w:val="2"/>
    </w:lvl>
  </w:abstractNum>
  <w:abstractNum w:abstractNumId="88">
    <w:nsid w:val="97E1B4E"/>
    <w:multiLevelType w:val="hybridMultilevel"/>
    <w:lvl w:ilvl="0">
      <w:lvlJc w:val="left"/>
      <w:lvlText w:val="(%1)"/>
      <w:numFmt w:val="decimal"/>
      <w:start w:val="2"/>
    </w:lvl>
  </w:abstractNum>
  <w:abstractNum w:abstractNumId="89">
    <w:nsid w:val="51088277"/>
    <w:multiLevelType w:val="hybridMultilevel"/>
    <w:lvl w:ilvl="0">
      <w:lvlJc w:val="left"/>
      <w:lvlText w:val="(%1)"/>
      <w:numFmt w:val="lowerLetter"/>
      <w:start w:val="1"/>
    </w:lvl>
  </w:abstractNum>
  <w:abstractNum w:abstractNumId="90">
    <w:nsid w:val="1CA0C5FA"/>
    <w:multiLevelType w:val="hybridMultilevel"/>
    <w:lvl w:ilvl="0">
      <w:lvlJc w:val="left"/>
      <w:lvlText w:val="(%1)"/>
      <w:numFmt w:val="lowerLetter"/>
      <w:start w:val="2"/>
    </w:lvl>
    <w:lvl w:ilvl="1">
      <w:lvlJc w:val="left"/>
      <w:lvlText w:val="(%2)"/>
      <w:numFmt w:val="decimal"/>
      <w:start w:val="1"/>
    </w:lvl>
  </w:abstractNum>
  <w:abstractNum w:abstractNumId="91">
    <w:nsid w:val="53584BCB"/>
    <w:multiLevelType w:val="hybridMultilevel"/>
    <w:lvl w:ilvl="0">
      <w:lvlJc w:val="left"/>
      <w:lvlText w:val="(%1)"/>
      <w:numFmt w:val="lowerLetter"/>
      <w:start w:val="1"/>
    </w:lvl>
  </w:abstractNum>
  <w:abstractNum w:abstractNumId="92">
    <w:nsid w:val="415E286C"/>
    <w:multiLevelType w:val="hybridMultilevel"/>
    <w:lvl w:ilvl="0">
      <w:lvlJc w:val="left"/>
      <w:lvlText w:val="(%1)"/>
      <w:numFmt w:val="decimal"/>
      <w:start w:val="1"/>
    </w:lvl>
  </w:abstractNum>
  <w:abstractNum w:abstractNumId="93">
    <w:nsid w:val="7C58FD0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94">
    <w:nsid w:val="23D86AAC"/>
    <w:multiLevelType w:val="hybridMultilevel"/>
    <w:lvl w:ilvl="0">
      <w:lvlJc w:val="left"/>
      <w:lvlText w:val="(%1)"/>
      <w:numFmt w:val="lowerLetter"/>
      <w:start w:val="3"/>
    </w:lvl>
  </w:abstractNum>
  <w:abstractNum w:abstractNumId="95">
    <w:nsid w:val="45E6D486"/>
    <w:multiLevelType w:val="hybridMultilevel"/>
    <w:lvl w:ilvl="0">
      <w:lvlJc w:val="left"/>
      <w:lvlText w:val="(%1)"/>
      <w:numFmt w:val="lowerLetter"/>
      <w:start w:val="4"/>
    </w:lvl>
  </w:abstractNum>
  <w:abstractNum w:abstractNumId="96">
    <w:nsid w:val="5C10FE21"/>
    <w:multiLevelType w:val="hybridMultilevel"/>
    <w:lvl w:ilvl="0">
      <w:lvlJc w:val="left"/>
      <w:lvlText w:val="(%1)"/>
      <w:numFmt w:val="lowerLetter"/>
      <w:start w:val="5"/>
    </w:lvl>
  </w:abstractNum>
  <w:abstractNum w:abstractNumId="97">
    <w:nsid w:val="E7FFA2B"/>
    <w:multiLevelType w:val="hybridMultilevel"/>
    <w:lvl w:ilvl="0">
      <w:lvlJc w:val="left"/>
      <w:lvlText w:val="(%1)"/>
      <w:numFmt w:val="lowerLetter"/>
      <w:start w:val="6"/>
    </w:lvl>
  </w:abstractNum>
  <w:abstractNum w:abstractNumId="98">
    <w:nsid w:val="3C5991AA"/>
    <w:multiLevelType w:val="hybridMultilevel"/>
    <w:lvl w:ilvl="0">
      <w:lvlJc w:val="left"/>
      <w:lvlText w:val="(%1)"/>
      <w:numFmt w:val="lowerLetter"/>
      <w:start w:val="7"/>
    </w:lvl>
    <w:lvl w:ilvl="1">
      <w:lvlJc w:val="left"/>
      <w:lvlText w:val="(%2)"/>
      <w:numFmt w:val="decimal"/>
      <w:start w:val="1"/>
    </w:lvl>
    <w:lvl w:ilvl="2">
      <w:lvlJc w:val="left"/>
      <w:lvlText w:val="(%3)"/>
      <w:numFmt w:val="lowerRoman"/>
      <w:start w:val="1"/>
    </w:lvl>
  </w:abstractNum>
  <w:abstractNum w:abstractNumId="99">
    <w:nsid w:val="4BD8591A"/>
    <w:multiLevelType w:val="hybridMultilevel"/>
    <w:lvl w:ilvl="0">
      <w:lvlJc w:val="left"/>
      <w:lvlText w:val="%1"/>
      <w:numFmt w:val="lowerLetter"/>
      <w:start w:val="1"/>
    </w:lvl>
    <w:lvl w:ilvl="1">
      <w:lvlJc w:val="left"/>
      <w:lvlText w:val="(%2)"/>
      <w:numFmt w:val="decimal"/>
      <w:start w:val="8"/>
    </w:lvl>
    <w:lvl w:ilvl="2">
      <w:lvlJc w:val="left"/>
      <w:lvlText w:val="%3"/>
      <w:numFmt w:val="lowerRoman"/>
      <w:start w:val="1"/>
    </w:lvl>
  </w:abstractNum>
  <w:abstractNum w:abstractNumId="100">
    <w:nsid w:val="78DF6A5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1">
    <w:nsid w:val="39B7AAA2"/>
    <w:multiLevelType w:val="hybridMultilevel"/>
    <w:lvl w:ilvl="0">
      <w:lvlJc w:val="left"/>
      <w:lvlText w:val="(%1)"/>
      <w:numFmt w:val="lowerLetter"/>
      <w:start w:val="5"/>
    </w:lvl>
  </w:abstractNum>
  <w:abstractNum w:abstractNumId="102">
    <w:nsid w:val="2B0D8DBE"/>
    <w:multiLevelType w:val="hybridMultilevel"/>
    <w:lvl w:ilvl="0">
      <w:lvlJc w:val="left"/>
      <w:lvlText w:val="(%1)"/>
      <w:numFmt w:val="lowerLetter"/>
      <w:start w:val="6"/>
    </w:lvl>
  </w:abstractNum>
  <w:abstractNum w:abstractNumId="103">
    <w:nsid w:val="6C80EC70"/>
    <w:multiLevelType w:val="hybridMultilevel"/>
    <w:lvl w:ilvl="0">
      <w:lvlJc w:val="left"/>
      <w:lvlText w:val="(%1)"/>
      <w:numFmt w:val="lowerLetter"/>
      <w:start w:val="1"/>
    </w:lvl>
    <w:lvl w:ilvl="1">
      <w:lvlJc w:val="left"/>
      <w:lvlText w:val="(%2)"/>
      <w:numFmt w:val="lowerRoman"/>
      <w:start w:val="1"/>
    </w:lvl>
  </w:abstractNum>
  <w:abstractNum w:abstractNumId="104">
    <w:nsid w:val="379E21B5"/>
    <w:multiLevelType w:val="hybridMultilevel"/>
    <w:lvl w:ilvl="0">
      <w:lvlJc w:val="left"/>
      <w:lvlText w:val="(%1)"/>
      <w:numFmt w:val="lowerLetter"/>
      <w:start w:val="2"/>
    </w:lvl>
    <w:lvl w:ilvl="1">
      <w:lvlJc w:val="left"/>
      <w:lvlText w:val="(%2)"/>
      <w:numFmt w:val="lowerRoman"/>
      <w:start w:val="1"/>
    </w:lvl>
  </w:abstractNum>
  <w:abstractNum w:abstractNumId="105">
    <w:nsid w:val="69E373"/>
    <w:multiLevelType w:val="hybridMultilevel"/>
    <w:lvl w:ilvl="0">
      <w:lvlJc w:val="left"/>
      <w:lvlText w:val="(%1)"/>
      <w:numFmt w:val="lowerLetter"/>
      <w:start w:val="3"/>
    </w:lvl>
  </w:abstractNum>
  <w:abstractNum w:abstractNumId="106">
    <w:nsid w:val="2C27173B"/>
    <w:multiLevelType w:val="hybridMultilevel"/>
    <w:lvl w:ilvl="0">
      <w:lvlJc w:val="left"/>
      <w:lvlText w:val="(%1)"/>
      <w:numFmt w:val="lowerRoman"/>
      <w:start w:val="1"/>
    </w:lvl>
  </w:abstractNum>
  <w:abstractNum w:abstractNumId="107">
    <w:nsid w:val="4C9B0904"/>
    <w:multiLevelType w:val="hybridMultilevel"/>
    <w:lvl w:ilvl="0">
      <w:lvlJc w:val="left"/>
      <w:lvlText w:val="(%1)"/>
      <w:numFmt w:val="lowerRoman"/>
      <w:start w:val="2"/>
    </w:lvl>
  </w:abstractNum>
  <w:abstractNum w:abstractNumId="108">
    <w:nsid w:val="6AA7B75C"/>
    <w:multiLevelType w:val="hybridMultilevel"/>
    <w:lvl w:ilvl="0">
      <w:lvlJc w:val="left"/>
      <w:lvlText w:val="(%1)"/>
      <w:numFmt w:val="lowerLetter"/>
      <w:start w:val="1"/>
    </w:lvl>
  </w:abstractNum>
  <w:abstractNum w:abstractNumId="109">
    <w:nsid w:val="1DF029D3"/>
    <w:multiLevelType w:val="hybridMultilevel"/>
    <w:lvl w:ilvl="0">
      <w:lvlJc w:val="left"/>
      <w:lvlText w:val="(%1)"/>
      <w:numFmt w:val="lowerLetter"/>
      <w:start w:val="2"/>
    </w:lvl>
    <w:lvl w:ilvl="1">
      <w:lvlJc w:val="left"/>
      <w:lvlText w:val="(%2)"/>
      <w:numFmt w:val="decimal"/>
      <w:start w:val="1"/>
    </w:lvl>
  </w:abstractNum>
  <w:abstractNum w:abstractNumId="110">
    <w:nsid w:val="5675FF36"/>
    <w:multiLevelType w:val="hybridMultilevel"/>
    <w:lvl w:ilvl="0">
      <w:lvlJc w:val="left"/>
      <w:lvlText w:val="(%1)"/>
      <w:numFmt w:val="lowerLetter"/>
      <w:start w:val="3"/>
    </w:lvl>
    <w:lvl w:ilvl="1">
      <w:lvlJc w:val="left"/>
      <w:lvlText w:val="(%2)"/>
      <w:numFmt w:val="decimal"/>
      <w:start w:val="1"/>
    </w:lvl>
  </w:abstractNum>
  <w:abstractNum w:abstractNumId="111">
    <w:nsid w:val="3DD15094"/>
    <w:multiLevelType w:val="hybridMultilevel"/>
    <w:lvl w:ilvl="0">
      <w:lvlJc w:val="left"/>
      <w:lvlText w:val="%1"/>
      <w:numFmt w:val="lowerLetter"/>
      <w:start w:val="1"/>
    </w:lvl>
    <w:lvl w:ilvl="1">
      <w:lvlJc w:val="left"/>
      <w:lvlText w:val="(%2)"/>
      <w:numFmt w:val="decimal"/>
      <w:start w:val="2"/>
    </w:lvl>
  </w:abstractNum>
  <w:abstractNum w:abstractNumId="112">
    <w:nsid w:val="3DB012B3"/>
    <w:multiLevelType w:val="hybridMultilevel"/>
    <w:lvl w:ilvl="0">
      <w:lvlJc w:val="left"/>
      <w:lvlText w:val="(%1)"/>
      <w:numFmt w:val="lowerLetter"/>
      <w:start w:val="4"/>
    </w:lvl>
    <w:lvl w:ilvl="1">
      <w:lvlJc w:val="left"/>
      <w:lvlText w:val="%2"/>
      <w:numFmt w:val="decimal"/>
      <w:start w:val="1"/>
    </w:lvl>
  </w:abstractNum>
  <w:abstractNum w:abstractNumId="113">
    <w:nsid w:val="2708C9AF"/>
    <w:multiLevelType w:val="hybridMultilevel"/>
    <w:lvl w:ilvl="0">
      <w:lvlJc w:val="left"/>
      <w:lvlText w:val="(%1)"/>
      <w:numFmt w:val="lowerLetter"/>
      <w:start w:val="1"/>
    </w:lvl>
  </w:abstractNum>
  <w:abstractNum w:abstractNumId="114">
    <w:nsid w:val="5B25ACE2"/>
    <w:multiLevelType w:val="hybridMultilevel"/>
    <w:lvl w:ilvl="0">
      <w:lvlJc w:val="left"/>
      <w:lvlText w:val="%1"/>
      <w:numFmt w:val="lowerLetter"/>
      <w:start w:val="1"/>
    </w:lvl>
    <w:lvl w:ilvl="1">
      <w:lvlJc w:val="left"/>
      <w:lvlText w:val="(%2)"/>
      <w:numFmt w:val="lowerLetter"/>
      <w:start w:val="1"/>
    </w:lvl>
  </w:abstractNum>
  <w:abstractNum w:abstractNumId="115">
    <w:nsid w:val="175DFCF0"/>
    <w:multiLevelType w:val="hybridMultilevel"/>
    <w:lvl w:ilvl="0">
      <w:lvlJc w:val="left"/>
      <w:lvlText w:val="(%1)"/>
      <w:numFmt w:val="lowerLetter"/>
      <w:start w:val="35"/>
    </w:lvl>
    <w:lvl w:ilvl="1">
      <w:lvlJc w:val="left"/>
      <w:lvlText w:val="(%2)"/>
      <w:numFmt w:val="lowerLetter"/>
      <w:start w:val="4"/>
    </w:lvl>
  </w:abstractNum>
  <w:abstractNum w:abstractNumId="116">
    <w:nsid w:val="4F97E3E4"/>
    <w:multiLevelType w:val="hybridMultilevel"/>
    <w:lvl w:ilvl="0">
      <w:lvlJc w:val="left"/>
      <w:lvlText w:val="(%1)"/>
      <w:numFmt w:val="lowerLetter"/>
      <w:start w:val="3"/>
    </w:lvl>
  </w:abstractNum>
  <w:abstractNum w:abstractNumId="117">
    <w:nsid w:val="53B0A9E"/>
    <w:multiLevelType w:val="hybridMultilevel"/>
    <w:lvl w:ilvl="0">
      <w:lvlJc w:val="left"/>
      <w:lvlText w:val="%1."/>
      <w:numFmt w:val="decimal"/>
      <w:start w:val="1"/>
    </w:lvl>
  </w:abstractNum>
  <w:abstractNum w:abstractNumId="118">
    <w:nsid w:val="34FD6B4F"/>
    <w:multiLevelType w:val="hybridMultilevel"/>
    <w:lvl w:ilvl="0">
      <w:lvlJc w:val="left"/>
      <w:lvlText w:val="%1."/>
      <w:numFmt w:val="decimal"/>
      <w:start w:val="5"/>
    </w:lvl>
  </w:abstractNum>
  <w:abstractNum w:abstractNumId="119">
    <w:nsid w:val="5915FF32"/>
    <w:multiLevelType w:val="hybridMultilevel"/>
    <w:lvl w:ilvl="0">
      <w:lvlJc w:val="left"/>
      <w:lvlText w:val="%1."/>
      <w:numFmt w:val="decimal"/>
      <w:start w:val="12"/>
    </w:lvl>
  </w:abstractNum>
  <w:abstractNum w:abstractNumId="120">
    <w:nsid w:val="56438D15"/>
    <w:multiLevelType w:val="hybridMultilevel"/>
    <w:lvl w:ilvl="0">
      <w:lvlJc w:val="left"/>
      <w:lvlText w:val="o"/>
      <w:numFmt w:val="bullet"/>
      <w:start w:val="1"/>
    </w:lvl>
  </w:abstractNum>
  <w:abstractNum w:abstractNumId="121">
    <w:nsid w:val="519E3149"/>
    <w:multiLevelType w:val="hybridMultilevel"/>
    <w:lvl w:ilvl="0">
      <w:lvlJc w:val="left"/>
      <w:lvlText w:val="%1."/>
      <w:numFmt w:val="decimal"/>
      <w:start w:val="1"/>
    </w:lvl>
  </w:abstractNum>
  <w:abstractNum w:abstractNumId="122">
    <w:nsid w:val="2C6E4AFD"/>
    <w:multiLevelType w:val="hybridMultilevel"/>
    <w:lvl w:ilvl="0">
      <w:lvlJc w:val="left"/>
      <w:lvlText w:val="%1."/>
      <w:numFmt w:val="decimal"/>
      <w:start w:val="5"/>
    </w:lvl>
  </w:abstractNum>
  <w:abstractNum w:abstractNumId="123">
    <w:nsid w:val="17A1B582"/>
    <w:multiLevelType w:val="hybridMultilevel"/>
    <w:lvl w:ilvl="0">
      <w:lvlJc w:val="left"/>
      <w:lvlText w:val="%1."/>
      <w:numFmt w:val="decimal"/>
      <w:start w:val="12"/>
    </w:lvl>
  </w:abstractNum>
  <w:abstractNum w:abstractNumId="124">
    <w:nsid w:val="4DF72E4E"/>
    <w:multiLevelType w:val="hybridMultilevel"/>
    <w:lvl w:ilvl="0">
      <w:lvlJc w:val="left"/>
      <w:lvlText w:val="o"/>
      <w:numFmt w:val="bullet"/>
      <w:start w:val="1"/>
    </w:lvl>
  </w:abstractNum>
  <w:abstractNum w:abstractNumId="125">
    <w:nsid w:val="5046B5A9"/>
    <w:multiLevelType w:val="hybridMultilevel"/>
    <w:lvl w:ilvl="0">
      <w:lvlJc w:val="left"/>
      <w:lvlText w:val="%1."/>
      <w:numFmt w:val="decimal"/>
      <w:start w:val="1"/>
    </w:lvl>
  </w:abstractNum>
  <w:abstractNum w:abstractNumId="126">
    <w:nsid w:val="5D888A08"/>
    <w:multiLevelType w:val="hybridMultilevel"/>
    <w:lvl w:ilvl="0">
      <w:lvlJc w:val="left"/>
      <w:lvlText w:val="%1."/>
      <w:numFmt w:val="decimal"/>
      <w:start w:val="5"/>
    </w:lvl>
  </w:abstractNum>
  <w:abstractNum w:abstractNumId="127">
    <w:nsid w:val="2A082C70"/>
    <w:multiLevelType w:val="hybridMultilevel"/>
    <w:lvl w:ilvl="0">
      <w:lvlJc w:val="left"/>
      <w:lvlText w:val="%1."/>
      <w:numFmt w:val="decimal"/>
      <w:start w:val="13"/>
    </w:lvl>
  </w:abstractNum>
  <w:abstractNum w:abstractNumId="128">
    <w:nsid w:val="5EC6AFD4"/>
    <w:multiLevelType w:val="hybridMultilevel"/>
    <w:lvl w:ilvl="0">
      <w:lvlJc w:val="left"/>
      <w:lvlText w:val="(%1)"/>
      <w:numFmt w:val="upperLetter"/>
      <w:start w:val="9"/>
    </w:lvl>
  </w:abstractNum>
  <w:abstractNum w:abstractNumId="129">
    <w:nsid w:val="19E21BB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2019-12-28T16:44:53Z</dcterms:created>
  <dcterms:modified xsi:type="dcterms:W3CDTF">2019-12-28T16:44:53Z</dcterms:modified>
</cp:coreProperties>
</file>