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8703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70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Bokan Michael 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Worldwide Sales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5"/>
            <w:col w:w="3345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23,382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160,395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5,064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155,331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5,382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149,949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21,035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170,984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9,443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161,541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21,035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182,576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9,443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173,133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8,709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181,842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3,769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178,073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11,256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189,329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5,335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183,994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3,208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187,202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1,521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185,681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9,586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(8)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195,267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4,544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190,723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10/15/2024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1,691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108.34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189,032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17,201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(9)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21,035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4,216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21,035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4,216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8,709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7,080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-2596515</wp:posOffset>
            </wp:positionV>
            <wp:extent cx="28575" cy="26777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67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280670</wp:posOffset>
            </wp:positionH>
            <wp:positionV relativeFrom="page">
              <wp:posOffset>88900</wp:posOffset>
            </wp:positionV>
            <wp:extent cx="7047230" cy="25971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259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11,256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5,628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5,628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3,208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5,628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5,628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9,586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8,876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8,877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Awards vest in three equal annual installments beginning on the first anniversary of the grant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63.522 shares acquired on July 31, 2024 under the Micron Technology, Inc. Employee Stock Purchase Plan, which acquisition is exempt from reporting under Rules 16a-3(g)(1) and 16b-3(c).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/>
        <w:spacing w:after="0" w:line="232" w:lineRule="auto"/>
        <w:tabs>
          <w:tab w:leader="none" w:pos="14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High Value and Data Center NAND delivery and solutions each at 266% of target under the performance-based restricted stock units ("PRSU") with a 3-year performance period previously awarded on October 13, 2021. As reported at grant, the PRSUs could result in a payout (if earned) that varies (starting at 0%) based on actual achievement of the goals, subject to a 200% aggregate limit on the total target shares that may be received under the PRSUs awarded on October 13, 2021.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in year 3 of the performance period.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/>
        <w:spacing w:after="0" w:line="232" w:lineRule="auto"/>
        <w:tabs>
          <w:tab w:leader="none" w:pos="14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relative total shareholder return at a level of 108% of target under the performance-based restricted stock units ("PRSU") with a 3-year performance period previously awarded on October 13, 2021. As reported at grant, the PRSUs could result in a payout (if earned) that varies (starting at 0%) based on actual achievement of the goals, subject to a 200% aggregate limit on the total target shares that may be received under the PRSUs awarded on October 13, 2021.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at the end of year 3 of the performance period.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/>
        <w:spacing w:after="0" w:line="234" w:lineRule="auto"/>
        <w:tabs>
          <w:tab w:leader="none" w:pos="14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Data Center NAND delivery and solutions at a level of 200%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50% of the shares earned vested upon certification of the performance and 50% remain subject to vesting until the certification of the achievement of performance goals at the end of year 3 of the performance period.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/>
        <w:spacing w:after="0" w:line="234" w:lineRule="auto"/>
        <w:tabs>
          <w:tab w:leader="none" w:pos="14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DRAM revenue at a level of 57%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50% of the shares earned vested upon certification of the performance and 50% remain subject to vesting until the certification of the achievement of performance goals at the end of year 3 of the performance period.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20" w:right="140"/>
        <w:spacing w:after="0" w:line="234" w:lineRule="auto"/>
        <w:tabs>
          <w:tab w:leader="none" w:pos="14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relative total shareholder return at a level of 108%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 awarded on October 13, 2022. 50% of the shares earned vested upon certification of the performance and 50% remain subject to vesting until the certification of performance goals at the end of year 3 of the performance period.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a Trust for the benefit of the Reporting Person and his family, with the Reporting Person as a co-trustee with his spouse.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/>
        <w:spacing w:after="0" w:line="238" w:lineRule="auto"/>
        <w:tabs>
          <w:tab w:leader="none" w:pos="21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over a 3-year period beginning September 3, 2021 and ending August 29, 2024 (subject to a 200% aggregate limit on the total target shares that may be received under the PRSUs awarded on October 13, 2021), and certification of such performance by the Compensation Committee.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/>
        <w:spacing w:after="0" w:line="238" w:lineRule="auto"/>
        <w:tabs>
          <w:tab w:leader="none" w:pos="20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over a 3-year performance period beginning September 2, 2022 and ending August 28, 2025 (subject to a 200% aggregate limit on the total target shares that may be received under the PRSUs awarded on October 13, 2022), and certification of such performance by the Compensation Committee.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Mai Lan Bui,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10/16/2024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20" w:right="3680"/>
        <w:spacing w:after="0" w:line="331" w:lineRule="auto"/>
        <w:tabs>
          <w:tab w:leader="none" w:pos="15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54666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2024-10-16T17:12:10Z</dcterms:created>
  <dcterms:modified xsi:type="dcterms:W3CDTF">2024-10-16T17:12:10Z</dcterms:modified>
</cp:coreProperties>
</file>