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23, 2008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Borders>
              <w:bottom w:val="single" w:sz="8" w:color="auto"/>
            </w:tcBorders>
          </w:tcPr>
          <w:p>
            <w:pPr>
              <w:jc w:val="right"/>
              <w:ind w:right="151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354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34"/>
        </w:trPr>
        <w:tc>
          <w:tcPr>
            <w:tcW w:w="380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0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(Commission File Number)</w:t>
            </w:r>
          </w:p>
        </w:tc>
        <w:tc>
          <w:tcPr>
            <w:tcW w:w="35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419"/>
        </w:trPr>
        <w:tc>
          <w:tcPr>
            <w:tcW w:w="3800" w:type="dxa"/>
            <w:vAlign w:val="bottom"/>
          </w:tcPr>
          <w:p>
            <w:pPr>
              <w:spacing w:after="0"/>
              <w:rPr>
                <w:sz w:val="24"/>
                <w:szCs w:val="24"/>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8000 South Federal Way</w:t>
            </w:r>
          </w:p>
        </w:tc>
        <w:tc>
          <w:tcPr>
            <w:tcW w:w="3540" w:type="dxa"/>
            <w:vAlign w:val="bottom"/>
          </w:tcPr>
          <w:p>
            <w:pPr>
              <w:spacing w:after="0"/>
              <w:rPr>
                <w:sz w:val="24"/>
                <w:szCs w:val="24"/>
                <w:color w:val="auto"/>
              </w:rPr>
            </w:pPr>
          </w:p>
        </w:tc>
      </w:tr>
      <w:tr>
        <w:trPr>
          <w:trHeight w:val="245"/>
        </w:trPr>
        <w:tc>
          <w:tcPr>
            <w:tcW w:w="3800" w:type="dxa"/>
            <w:vAlign w:val="bottom"/>
          </w:tcPr>
          <w:p>
            <w:pPr>
              <w:spacing w:after="0"/>
              <w:rPr>
                <w:sz w:val="21"/>
                <w:szCs w:val="21"/>
                <w:color w:val="auto"/>
              </w:rPr>
            </w:pPr>
          </w:p>
        </w:tc>
        <w:tc>
          <w:tcPr>
            <w:tcW w:w="4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Boise, Idaho 83716-9632</w:t>
            </w:r>
          </w:p>
        </w:tc>
        <w:tc>
          <w:tcPr>
            <w:tcW w:w="3540" w:type="dxa"/>
            <w:vAlign w:val="bottom"/>
          </w:tcPr>
          <w:p>
            <w:pPr>
              <w:spacing w:after="0"/>
              <w:rPr>
                <w:sz w:val="21"/>
                <w:szCs w:val="21"/>
                <w:color w:val="auto"/>
              </w:rPr>
            </w:pPr>
          </w:p>
        </w:tc>
      </w:tr>
      <w:tr>
        <w:trPr>
          <w:trHeight w:val="234"/>
        </w:trPr>
        <w:tc>
          <w:tcPr>
            <w:tcW w:w="380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40" w:type="dxa"/>
            <w:vAlign w:val="bottom"/>
          </w:tcPr>
          <w:p>
            <w:pPr>
              <w:spacing w:after="0"/>
              <w:rPr>
                <w:sz w:val="20"/>
                <w:szCs w:val="20"/>
                <w:color w:val="auto"/>
              </w:rPr>
            </w:pPr>
          </w:p>
        </w:tc>
      </w:tr>
    </w:tbl>
    <w:p>
      <w:pPr>
        <w:spacing w:after="0" w:line="202"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2157730</wp:posOffset>
            </wp:positionH>
            <wp:positionV relativeFrom="paragraph">
              <wp:posOffset>19685</wp:posOffset>
            </wp:positionV>
            <wp:extent cx="32759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5965" cy="17145"/>
                    </a:xfrm>
                    <a:prstGeom prst="rect">
                      <a:avLst/>
                    </a:prstGeom>
                    <a:noFill/>
                  </pic:spPr>
                </pic:pic>
              </a:graphicData>
            </a:graphic>
          </wp:anchor>
        </w:drawing>
      </w:r>
    </w:p>
    <w:p>
      <w:pPr>
        <w:spacing w:after="0" w:line="20" w:lineRule="exact"/>
        <w:rPr>
          <w:sz w:val="24"/>
          <w:szCs w:val="24"/>
          <w:color w:val="auto"/>
        </w:rPr>
      </w:pPr>
    </w:p>
    <w:p>
      <w:pPr>
        <w:jc w:val="center"/>
        <w:ind w:left="5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2"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Written communications pursuant to Rule 425 under the Securities Act (17 CFR 230.425)</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Soliciting material pursuant to Rule 14a-12 under the Exchange Act (17 CFR 240.14a-12)</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 xml:space="preserve">o </w:t>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45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758190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7" w:right="2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On December 23, 2008, the Company announced its financial results for the fiscal quarter ended December 4, 2008. The full text of the press release issued in connection with the announcement is attached as Exhibit 99.1 to this Current Report on Form 8-K.</w:t>
      </w:r>
    </w:p>
    <w:p>
      <w:pPr>
        <w:spacing w:after="0" w:line="200" w:lineRule="exact"/>
        <w:rPr>
          <w:sz w:val="20"/>
          <w:szCs w:val="20"/>
          <w:color w:val="auto"/>
        </w:rPr>
      </w:pPr>
    </w:p>
    <w:p>
      <w:pPr>
        <w:spacing w:after="0" w:line="22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rPr>
              <w:t>(d)</w:t>
            </w:r>
          </w:p>
        </w:tc>
        <w:tc>
          <w:tcPr>
            <w:tcW w:w="40" w:type="dxa"/>
            <w:vAlign w:val="bottom"/>
          </w:tcPr>
          <w:p>
            <w:pPr>
              <w:spacing w:after="0"/>
              <w:rPr>
                <w:sz w:val="20"/>
                <w:szCs w:val="20"/>
                <w:color w:val="auto"/>
              </w:rPr>
            </w:pP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r>
      <w:tr>
        <w:trPr>
          <w:trHeight w:val="432"/>
        </w:trPr>
        <w:tc>
          <w:tcPr>
            <w:tcW w:w="20" w:type="dxa"/>
            <w:vAlign w:val="bottom"/>
          </w:tcPr>
          <w:p>
            <w:pPr>
              <w:spacing w:after="0"/>
              <w:rPr>
                <w:sz w:val="24"/>
                <w:szCs w:val="24"/>
                <w:color w:val="auto"/>
              </w:rPr>
            </w:pPr>
          </w:p>
        </w:tc>
        <w:tc>
          <w:tcPr>
            <w:tcW w:w="11400" w:type="dxa"/>
            <w:vAlign w:val="bottom"/>
            <w:gridSpan w:val="4"/>
          </w:tcPr>
          <w:p>
            <w:pPr>
              <w:ind w:left="124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466"/>
        </w:trPr>
        <w:tc>
          <w:tcPr>
            <w:tcW w:w="1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20" w:type="dxa"/>
            <w:vAlign w:val="bottom"/>
          </w:tcPr>
          <w:p>
            <w:pPr>
              <w:spacing w:after="0"/>
              <w:rPr>
                <w:sz w:val="20"/>
                <w:szCs w:val="20"/>
                <w:color w:val="auto"/>
              </w:rPr>
            </w:pPr>
          </w:p>
        </w:tc>
        <w:tc>
          <w:tcPr>
            <w:tcW w:w="12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Press Release issued on December 23, 2008</w:t>
            </w:r>
          </w:p>
        </w:tc>
      </w:tr>
      <w:tr>
        <w:trPr>
          <w:trHeight w:val="856"/>
        </w:trPr>
        <w:tc>
          <w:tcPr>
            <w:tcW w:w="20" w:type="dxa"/>
            <w:vAlign w:val="bottom"/>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9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8"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ectPr>
          <w:pgSz w:w="11900" w:h="16838" w:orient="portrait"/>
          <w:cols w:equalWidth="0" w:num="1">
            <w:col w:w="11000"/>
          </w:cols>
          <w:pgMar w:left="240" w:top="509" w:right="659" w:bottom="1440" w:gutter="0" w:footer="0" w:header="0"/>
        </w:sect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23, 2008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26035</wp:posOffset>
            </wp:positionV>
            <wp:extent cx="36874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87445" cy="17145"/>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3">
            <w:col w:w="400" w:space="160"/>
            <w:col w:w="3840" w:space="720"/>
            <w:col w:w="5880"/>
          </w:cols>
          <w:pgMar w:left="240" w:top="509" w:right="659" w:bottom="1440" w:gutter="0" w:footer="0" w:header="0"/>
          <w:type w:val="continuous"/>
        </w:sectPr>
      </w:pPr>
    </w:p>
    <w:p>
      <w:pPr>
        <w:ind w:left="5120"/>
        <w:spacing w:after="0"/>
        <w:rPr>
          <w:sz w:val="20"/>
          <w:szCs w:val="20"/>
          <w:color w:val="auto"/>
        </w:rPr>
      </w:pPr>
      <w:r>
        <w:rPr>
          <w:rFonts w:ascii="Times New Roman" w:cs="Times New Roman" w:eastAsia="Times New Roman" w:hAnsi="Times New Roman"/>
          <w:sz w:val="18"/>
          <w:szCs w:val="18"/>
          <w:color w:val="auto"/>
        </w:rPr>
        <w:t>Name:Ronald C. Foster</w:t>
      </w:r>
    </w:p>
    <w:p>
      <w:pPr>
        <w:spacing w:after="0" w:line="23"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Title: Chief Financial Officer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Vice President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509" w:right="659" w:bottom="1440" w:gutter="0" w:footer="0" w:header="0"/>
          <w:type w:val="continuous"/>
        </w:sectPr>
      </w:pPr>
    </w:p>
    <w:bookmarkStart w:id="3" w:name="page4"/>
    <w:bookmarkEnd w:id="3"/>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INDEX TO EXHIBITS FILED WITH</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THE CURRENT REPORT ON FORM 8-K DATED DECEMBER 23, 2008</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19685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p>
    <w:p>
      <w:pPr>
        <w:ind w:left="140"/>
        <w:spacing w:after="0"/>
        <w:tabs>
          <w:tab w:leader="none" w:pos="11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issued on December 23,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512445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752"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ectPr>
          <w:pgSz w:w="11900" w:h="16838" w:orient="portrait"/>
          <w:cols w:equalWidth="0" w:num="1">
            <w:col w:w="11420"/>
          </w:cols>
          <w:pgMar w:left="240" w:top="594" w:right="2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Kipp A. Bedard Investor Relations kbedard@micron.com (208) 368-4465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Daniel Francisco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Media Relations</w:t>
      </w:r>
    </w:p>
    <w:p>
      <w:pPr>
        <w:spacing w:after="0"/>
        <w:rPr>
          <w:sz w:val="20"/>
          <w:szCs w:val="20"/>
          <w:color w:val="auto"/>
        </w:rPr>
      </w:pPr>
      <w:r>
        <w:rPr>
          <w:rFonts w:ascii="Times New Roman" w:cs="Times New Roman" w:eastAsia="Times New Roman" w:hAnsi="Times New Roman"/>
          <w:sz w:val="19"/>
          <w:szCs w:val="19"/>
          <w:color w:val="auto"/>
        </w:rPr>
        <w:t>dfrancisco@micron.com</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(208) 368-5584</w:t>
      </w:r>
    </w:p>
    <w:p>
      <w:pPr>
        <w:spacing w:after="0" w:line="227" w:lineRule="exact"/>
        <w:rPr>
          <w:sz w:val="20"/>
          <w:szCs w:val="20"/>
          <w:color w:val="auto"/>
        </w:rPr>
      </w:pPr>
    </w:p>
    <w:p>
      <w:pPr>
        <w:sectPr>
          <w:pgSz w:w="11900" w:h="16838" w:orient="portrait"/>
          <w:cols w:equalWidth="0" w:num="3">
            <w:col w:w="760" w:space="60"/>
            <w:col w:w="1760" w:space="160"/>
            <w:col w:w="8680"/>
          </w:cols>
          <w:pgMar w:left="240" w:top="594" w:right="2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MICRON TECHNOLOGY, INC., REPORTS RESULTS FOR THE</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u w:val="single" w:color="auto"/>
          <w:color w:val="auto"/>
        </w:rPr>
        <w:t>FIRST QUARTER OF FISCAL 2009</w:t>
      </w:r>
    </w:p>
    <w:p>
      <w:pPr>
        <w:spacing w:after="0" w:line="21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b w:val="1"/>
          <w:bCs w:val="1"/>
          <w:color w:val="auto"/>
        </w:rPr>
        <w:t>BOISE, Idaho</w:t>
      </w:r>
      <w:r>
        <w:rPr>
          <w:rFonts w:ascii="Times New Roman" w:cs="Times New Roman" w:eastAsia="Times New Roman" w:hAnsi="Times New Roman"/>
          <w:sz w:val="20"/>
          <w:szCs w:val="20"/>
          <w:color w:val="auto"/>
        </w:rPr>
        <w:t>, December 23, 2008 – Micron Technology, Inc., (NYSE: MU) today announced results of operations for the company’s first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quarter of fiscal 2009, which ended December 4, 2008. For the first quarter of fiscal 2009, the company posted a net loss of $706 million, or $0.91 per diluted share, on net sales of $1.4 billion. These results reflect a non-cash charge to cost of goods sold of $369 million to write down the value of work in process and finished goods inventories of memory products to their estimated market values and a benefit of $157 million from first quarter sales of products that were subject to previous write-downs. In the first quarter of fiscal 2009, the company generated $359 million in cash flow from operating activities and ended the quarter with cash and investments of $1.0 billion.</w:t>
      </w:r>
    </w:p>
    <w:p>
      <w:pPr>
        <w:spacing w:after="0" w:line="210" w:lineRule="exact"/>
        <w:rPr>
          <w:sz w:val="20"/>
          <w:szCs w:val="20"/>
          <w:color w:val="auto"/>
        </w:rPr>
      </w:pPr>
    </w:p>
    <w:p>
      <w:pPr>
        <w:ind w:right="160" w:firstLine="648"/>
        <w:spacing w:after="0" w:line="245" w:lineRule="auto"/>
        <w:rPr>
          <w:sz w:val="20"/>
          <w:szCs w:val="20"/>
          <w:color w:val="auto"/>
        </w:rPr>
      </w:pPr>
      <w:r>
        <w:rPr>
          <w:rFonts w:ascii="Times New Roman" w:cs="Times New Roman" w:eastAsia="Times New Roman" w:hAnsi="Times New Roman"/>
          <w:sz w:val="20"/>
          <w:szCs w:val="20"/>
          <w:color w:val="auto"/>
        </w:rPr>
        <w:t>Sales of the company’s memory products in the first quarter of fiscal 2009 decreased 4 percent compared to the preceding quarter as a result of significant decreases in market selling prices for the company’s products, partially offset by a higher sales volume. The company’s sales measured in gigabits increased 35 percent and 40 percent for DRAM and NAND Flash products, respectively. The sales volume, which outpaced production during the first quarter, resulted in a 15 percent decrease in gigabits of the company’s finished goods inventories during the quarter. Average selling prices for the company’s memory products decreased 34 percent and 24 percent for DRAM and NAND Flash products, respectively.</w:t>
      </w:r>
    </w:p>
    <w:p>
      <w:pPr>
        <w:spacing w:after="0" w:line="21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color w:val="auto"/>
        </w:rPr>
        <w:t>The company’s reported gross margin decreased in the first quarter compared to the preceding quarter as decreases in per gigabit average selling prices for memory products outpaced decreases in cost. Comparing the first quarter to the fourth quarter of fiscal 2008, absent the effects of the first quarter and prior period inventory write-downs, per gigabit costs decreased 12 percent and 14 percent for DRAM and NAND Flash products, respectively.</w:t>
      </w:r>
    </w:p>
    <w:p>
      <w:pPr>
        <w:spacing w:after="0" w:line="207" w:lineRule="exact"/>
        <w:rPr>
          <w:sz w:val="20"/>
          <w:szCs w:val="20"/>
          <w:color w:val="auto"/>
        </w:rPr>
      </w:pPr>
    </w:p>
    <w:p>
      <w:pPr>
        <w:ind w:right="440"/>
        <w:spacing w:after="0" w:line="269" w:lineRule="auto"/>
        <w:rPr>
          <w:sz w:val="20"/>
          <w:szCs w:val="20"/>
          <w:color w:val="auto"/>
        </w:rPr>
      </w:pPr>
      <w:r>
        <w:rPr>
          <w:rFonts w:ascii="Times New Roman" w:cs="Times New Roman" w:eastAsia="Times New Roman" w:hAnsi="Times New Roman"/>
          <w:sz w:val="20"/>
          <w:szCs w:val="20"/>
          <w:color w:val="auto"/>
        </w:rPr>
        <w:t>The company’s cost-cutting and restructuring activities have yielded reductions in operating costs in nearly all areas and contributed to the company’s cash flow from operating activities in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508635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5" w:name="page6"/>
    <w:bookmarkEnd w:id="5"/>
    <w:p>
      <w:pPr>
        <w:ind w:right="160" w:firstLine="324"/>
        <w:spacing w:after="0" w:line="296" w:lineRule="auto"/>
        <w:rPr>
          <w:sz w:val="20"/>
          <w:szCs w:val="20"/>
          <w:color w:val="auto"/>
        </w:rPr>
      </w:pPr>
      <w:r>
        <w:rPr>
          <w:rFonts w:ascii="Times New Roman" w:cs="Times New Roman" w:eastAsia="Times New Roman" w:hAnsi="Times New Roman"/>
          <w:sz w:val="19"/>
          <w:szCs w:val="19"/>
          <w:color w:val="auto"/>
        </w:rPr>
        <w:t>Sales of CMOS image sensors in the first quarter of fiscal 2009 were relatively stable compared to the preceding quarter. The company’s gross margin on sales of Imaging products also remained stable compared to the fourth quarter, reflecting a slight decrease in costs per part.</w:t>
      </w:r>
    </w:p>
    <w:p>
      <w:pPr>
        <w:spacing w:after="0" w:line="163" w:lineRule="exact"/>
        <w:rPr>
          <w:sz w:val="20"/>
          <w:szCs w:val="20"/>
          <w:color w:val="auto"/>
        </w:rPr>
      </w:pPr>
    </w:p>
    <w:p>
      <w:pPr>
        <w:ind w:firstLine="324"/>
        <w:spacing w:after="0" w:line="249" w:lineRule="auto"/>
        <w:rPr>
          <w:sz w:val="20"/>
          <w:szCs w:val="20"/>
          <w:color w:val="auto"/>
        </w:rPr>
      </w:pPr>
      <w:r>
        <w:rPr>
          <w:rFonts w:ascii="Times New Roman" w:cs="Times New Roman" w:eastAsia="Times New Roman" w:hAnsi="Times New Roman"/>
          <w:sz w:val="20"/>
          <w:szCs w:val="20"/>
          <w:color w:val="auto"/>
        </w:rPr>
        <w:t>The company will host a conference call today at 2:30 p.m. MST to discuss its financial results. The call, audio and slides will be available online at www.micron.com. A webcast replay will be available on the company’s web site until Dec. 23, 2009. A taped audio replay of the conference call will also be available at (706) 645-9291 (conference number: 76127953) beginning at 5:30 p.m. MST today and continuing until 5:30 p.m. MST on Dec. 30, 2008.</w:t>
      </w:r>
    </w:p>
    <w:p>
      <w:pPr>
        <w:spacing w:after="0" w:line="207" w:lineRule="exact"/>
        <w:rPr>
          <w:sz w:val="20"/>
          <w:szCs w:val="20"/>
          <w:color w:val="auto"/>
        </w:rPr>
      </w:pPr>
    </w:p>
    <w:p>
      <w:pPr>
        <w:ind w:right="80" w:firstLine="324"/>
        <w:spacing w:after="0" w:line="249" w:lineRule="auto"/>
        <w:rPr>
          <w:sz w:val="20"/>
          <w:szCs w:val="20"/>
          <w:color w:val="auto"/>
        </w:rPr>
      </w:pPr>
      <w:r>
        <w:rPr>
          <w:rFonts w:ascii="Times New Roman" w:cs="Times New Roman" w:eastAsia="Times New Roman" w:hAnsi="Times New Roman"/>
          <w:sz w:val="20"/>
          <w:szCs w:val="20"/>
          <w:color w:val="auto"/>
        </w:rPr>
        <w:t xml:space="preserve">Micron Technology, Inc., is one of the world's leading providers of advanced semiconductor solutions. Through its worldwide operations, Micron manufactures and markets DRAM,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t>
      </w:r>
      <w:r>
        <w:rPr>
          <w:rFonts w:ascii="Times New Roman" w:cs="Times New Roman" w:eastAsia="Times New Roman" w:hAnsi="Times New Roman"/>
          <w:sz w:val="20"/>
          <w:szCs w:val="20"/>
          <w:u w:val="single" w:color="auto"/>
          <w:color w:val="auto"/>
        </w:rPr>
        <w:t>www.micron.com</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212725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6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MICRON TECHNOLOGY, INC.</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FINANCIAL SUMMARY</w:t>
      </w:r>
    </w:p>
    <w:p>
      <w:pPr>
        <w:jc w:val="center"/>
        <w:spacing w:after="0"/>
        <w:rPr>
          <w:sz w:val="20"/>
          <w:szCs w:val="20"/>
          <w:color w:val="auto"/>
        </w:rPr>
      </w:pPr>
      <w:r>
        <w:rPr>
          <w:rFonts w:ascii="Times New Roman" w:cs="Times New Roman" w:eastAsia="Times New Roman" w:hAnsi="Times New Roman"/>
          <w:sz w:val="20"/>
          <w:szCs w:val="20"/>
          <w:b w:val="1"/>
          <w:bCs w:val="1"/>
          <w:color w:val="auto"/>
        </w:rPr>
        <w:t>(Amounts in millions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7"/>
              </w:rPr>
              <w:t>1st Qtr.</w:t>
            </w: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5"/>
              </w:rPr>
              <w:t>4th Qtr.</w:t>
            </w:r>
          </w:p>
        </w:tc>
        <w:tc>
          <w:tcPr>
            <w:tcW w:w="2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4"/>
              </w:rPr>
              <w:t>1st Qtr.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20"/>
                <w:szCs w:val="20"/>
                <w:b w:val="1"/>
                <w:bCs w:val="1"/>
                <w:color w:val="auto"/>
                <w:w w:val="97"/>
              </w:rPr>
              <w:t>Dec. 4,</w:t>
            </w:r>
          </w:p>
        </w:tc>
        <w:tc>
          <w:tcPr>
            <w:tcW w:w="160" w:type="dxa"/>
            <w:vAlign w:val="bottom"/>
          </w:tcPr>
          <w:p>
            <w:pPr>
              <w:spacing w:after="0"/>
              <w:rPr>
                <w:sz w:val="19"/>
                <w:szCs w:val="19"/>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20"/>
                <w:szCs w:val="20"/>
                <w:b w:val="1"/>
                <w:bCs w:val="1"/>
                <w:color w:val="auto"/>
                <w:w w:val="99"/>
              </w:rPr>
              <w:t>Aug. 28,</w:t>
            </w:r>
          </w:p>
        </w:tc>
        <w:tc>
          <w:tcPr>
            <w:tcW w:w="20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b w:val="1"/>
                <w:bCs w:val="1"/>
                <w:color w:val="auto"/>
                <w:w w:val="94"/>
              </w:rPr>
              <w:t>Nov. 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9"/>
              </w:rPr>
              <w:t>2008</w:t>
            </w: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20"/>
                <w:szCs w:val="20"/>
                <w:b w:val="1"/>
                <w:bCs w:val="1"/>
                <w:color w:val="auto"/>
                <w:w w:val="99"/>
              </w:rPr>
              <w:t>2008</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20"/>
                <w:szCs w:val="20"/>
                <w:b w:val="1"/>
                <w:bCs w:val="1"/>
                <w:color w:val="auto"/>
                <w:w w:val="94"/>
              </w:rPr>
              <w:t>2007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sales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1,402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1,449</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1,535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Cost of goods sold (1)</w:t>
            </w:r>
          </w:p>
        </w:tc>
        <w:tc>
          <w:tcPr>
            <w:tcW w:w="1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1,514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Gross margin</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(449)</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167</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Restructure (2)</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Other operating (income) expense, net (3)</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(5)</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Operating loss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(672)</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(338)</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income (expense), net</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(20)</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Other non-operating income (expense), net</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(14)</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(6)</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Income tax provision (4)</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(13)</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(2)</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interests in net (income) loss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vMerge w:val="continue"/>
          </w:tcPr>
          <w:p>
            <w:pPr>
              <w:spacing w:after="0"/>
              <w:rPr>
                <w:sz w:val="23"/>
                <w:szCs w:val="23"/>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(706)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(344)</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40" w:type="dxa"/>
            <w:vAlign w:val="bottom"/>
            <w:tcBorders>
              <w:top w:val="single" w:sz="8" w:color="CCEEFF"/>
            </w:tcBorders>
          </w:tcPr>
          <w:p>
            <w:pPr>
              <w:spacing w:after="0" w:line="223" w:lineRule="exact"/>
              <w:rPr>
                <w:sz w:val="20"/>
                <w:szCs w:val="20"/>
                <w:color w:val="auto"/>
              </w:rPr>
            </w:pPr>
            <w:r>
              <w:rPr>
                <w:rFonts w:ascii="Times New Roman" w:cs="Times New Roman" w:eastAsia="Times New Roman" w:hAnsi="Times New Roman"/>
                <w:sz w:val="20"/>
                <w:szCs w:val="20"/>
                <w:color w:val="auto"/>
              </w:rPr>
              <w:t>Earnings (loss) per share:</w:t>
            </w:r>
          </w:p>
        </w:tc>
        <w:tc>
          <w:tcPr>
            <w:tcW w:w="1020" w:type="dxa"/>
            <w:vAlign w:val="bottom"/>
            <w:tcBorders>
              <w:top w:val="single" w:sz="8" w:color="CCEEFF"/>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Basic</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(0.91)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(0.45)</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Diluted</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(0.91)</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(0.45)</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Number of shares used in per share calculations: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Basic</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773.3</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772.9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771.9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Diluted</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773.3</w:t>
            </w:r>
          </w:p>
        </w:tc>
        <w:tc>
          <w:tcPr>
            <w:tcW w:w="16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772.9</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771.9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Reconciliation of GAAP to Non-GAAP Financial Measures (5)</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tcPr>
          <w:p>
            <w:pPr>
              <w:spacing w:after="0"/>
              <w:rPr>
                <w:sz w:val="20"/>
                <w:szCs w:val="20"/>
                <w:color w:val="auto"/>
              </w:rPr>
            </w:pPr>
            <w:r>
              <w:rPr>
                <w:rFonts w:ascii="Times New Roman" w:cs="Times New Roman" w:eastAsia="Times New Roman" w:hAnsi="Times New Roman"/>
                <w:sz w:val="20"/>
                <w:szCs w:val="20"/>
                <w:color w:val="auto"/>
              </w:rPr>
              <w:t>Gross margin:</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On a GAAP basis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(449)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(65)</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Period-end inventory write-down</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Estimated net effect of previous write-downs</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(157)</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NAND Flash memory price adjustments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(70)</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On a non-GAAP basis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(237)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57</w:t>
            </w:r>
          </w:p>
        </w:tc>
        <w:tc>
          <w:tcPr>
            <w:tcW w:w="2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loss:</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On a GAAP basis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(706)</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(344)</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(262)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Period-end inventory write-down</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369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Estimated net effect of previous write-downs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(157)</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Restructure</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(66)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NAND Flash memory price adjustments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(70)</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On a non-GAAP basis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(560)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(218)</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(201)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Diluted earnings (loss) per share:</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On a GAAP basis</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(0.91)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(0.45)</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Inventory write-downs</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20"/>
                <w:szCs w:val="20"/>
                <w:color w:val="auto"/>
              </w:rPr>
              <w:t>0.48</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0.27</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Estimated net effect of previous write-downs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(0.20)</w:t>
            </w: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(0.02)</w:t>
            </w: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Restructure</w:t>
            </w:r>
          </w:p>
        </w:tc>
        <w:tc>
          <w:tcPr>
            <w:tcW w:w="10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(0.09)</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20"/>
                <w:szCs w:val="20"/>
                <w:color w:val="auto"/>
              </w:rPr>
              <w:t>0.01</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40" w:type="dxa"/>
            <w:vAlign w:val="bottom"/>
          </w:tcPr>
          <w:p>
            <w:pPr>
              <w:ind w:left="480"/>
              <w:spacing w:after="0"/>
              <w:rPr>
                <w:sz w:val="20"/>
                <w:szCs w:val="20"/>
                <w:color w:val="auto"/>
              </w:rPr>
            </w:pPr>
            <w:r>
              <w:rPr>
                <w:rFonts w:ascii="Times New Roman" w:cs="Times New Roman" w:eastAsia="Times New Roman" w:hAnsi="Times New Roman"/>
                <w:sz w:val="20"/>
                <w:szCs w:val="20"/>
                <w:color w:val="auto"/>
              </w:rPr>
              <w:t>NAND Flash memory price adjustments</w:t>
            </w: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(0.09)</w:t>
            </w:r>
          </w:p>
        </w:tc>
        <w:tc>
          <w:tcPr>
            <w:tcW w:w="2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20"/>
                <w:szCs w:val="20"/>
                <w:color w:val="auto"/>
              </w:rPr>
              <w:t>On a non-GAAP basis</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20"/>
                <w:szCs w:val="20"/>
                <w:color w:val="auto"/>
              </w:rPr>
              <w:t>(0.72)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20"/>
                <w:szCs w:val="20"/>
                <w:color w:val="auto"/>
              </w:rPr>
              <w:t>(0.28)</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(0.26)</w:t>
            </w:r>
          </w:p>
        </w:tc>
        <w:tc>
          <w:tcPr>
            <w:tcW w:w="0" w:type="dxa"/>
            <w:vAlign w:val="bottom"/>
          </w:tcPr>
          <w:p>
            <w:pPr>
              <w:spacing w:after="0"/>
              <w:rPr>
                <w:sz w:val="1"/>
                <w:szCs w:val="1"/>
                <w:color w:val="auto"/>
              </w:rPr>
            </w:pPr>
          </w:p>
        </w:tc>
      </w:tr>
      <w:tr>
        <w:trPr>
          <w:trHeight w:val="652"/>
        </w:trPr>
        <w:tc>
          <w:tcPr>
            <w:tcW w:w="20" w:type="dxa"/>
            <w:vAlign w:val="bottom"/>
          </w:tcPr>
          <w:p>
            <w:pPr>
              <w:spacing w:after="0"/>
              <w:rPr>
                <w:sz w:val="24"/>
                <w:szCs w:val="24"/>
                <w:color w:val="auto"/>
              </w:rPr>
            </w:pPr>
          </w:p>
        </w:tc>
        <w:tc>
          <w:tcPr>
            <w:tcW w:w="6240" w:type="dxa"/>
            <w:vAlign w:val="bottom"/>
            <w:tcBorders>
              <w:top w:val="single" w:sz="8" w:color="CCEEFF"/>
              <w:bottom w:val="single" w:sz="8" w:color="808080"/>
            </w:tcBorders>
          </w:tcPr>
          <w:p>
            <w:pPr>
              <w:spacing w:after="0"/>
              <w:rPr>
                <w:sz w:val="24"/>
                <w:szCs w:val="24"/>
                <w:color w:val="auto"/>
              </w:rPr>
            </w:pPr>
          </w:p>
        </w:tc>
        <w:tc>
          <w:tcPr>
            <w:tcW w:w="1020" w:type="dxa"/>
            <w:vAlign w:val="bottom"/>
            <w:tcBorders>
              <w:top w:val="single" w:sz="8" w:color="CCEEFF"/>
              <w:bottom w:val="single" w:sz="8" w:color="808080"/>
            </w:tcBorders>
          </w:tcPr>
          <w:p>
            <w:pPr>
              <w:spacing w:after="0"/>
              <w:rPr>
                <w:sz w:val="24"/>
                <w:szCs w:val="24"/>
                <w:color w:val="auto"/>
              </w:rPr>
            </w:pPr>
          </w:p>
        </w:tc>
        <w:tc>
          <w:tcPr>
            <w:tcW w:w="18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220" w:type="dxa"/>
            <w:vAlign w:val="bottom"/>
            <w:tcBorders>
              <w:top w:val="single" w:sz="8" w:color="CCEEFF"/>
              <w:bottom w:val="single" w:sz="8" w:color="808080"/>
            </w:tcBorders>
          </w:tcPr>
          <w:p>
            <w:pPr>
              <w:spacing w:after="0"/>
              <w:rPr>
                <w:sz w:val="24"/>
                <w:szCs w:val="24"/>
                <w:color w:val="auto"/>
              </w:rPr>
            </w:pPr>
          </w:p>
        </w:tc>
        <w:tc>
          <w:tcPr>
            <w:tcW w:w="160" w:type="dxa"/>
            <w:vAlign w:val="bottom"/>
            <w:tcBorders>
              <w:top w:val="single" w:sz="8" w:color="auto"/>
              <w:bottom w:val="single" w:sz="8" w:color="808080"/>
            </w:tcBorders>
          </w:tcPr>
          <w:p>
            <w:pPr>
              <w:spacing w:after="0"/>
              <w:rPr>
                <w:sz w:val="24"/>
                <w:szCs w:val="24"/>
                <w:color w:val="auto"/>
              </w:rPr>
            </w:pPr>
          </w:p>
        </w:tc>
        <w:tc>
          <w:tcPr>
            <w:tcW w:w="1040" w:type="dxa"/>
            <w:vAlign w:val="bottom"/>
            <w:tcBorders>
              <w:top w:val="single" w:sz="8" w:color="auto"/>
              <w:bottom w:val="single" w:sz="8" w:color="808080"/>
            </w:tcBorders>
          </w:tcPr>
          <w:p>
            <w:pPr>
              <w:spacing w:after="0"/>
              <w:rPr>
                <w:sz w:val="24"/>
                <w:szCs w:val="24"/>
                <w:color w:val="auto"/>
              </w:rPr>
            </w:pPr>
          </w:p>
        </w:tc>
        <w:tc>
          <w:tcPr>
            <w:tcW w:w="200" w:type="dxa"/>
            <w:vAlign w:val="bottom"/>
            <w:tcBorders>
              <w:top w:val="single" w:sz="8" w:color="CCEEFF"/>
              <w:bottom w:val="single" w:sz="8" w:color="808080"/>
            </w:tcBorders>
          </w:tcPr>
          <w:p>
            <w:pPr>
              <w:spacing w:after="0"/>
              <w:rPr>
                <w:sz w:val="24"/>
                <w:szCs w:val="24"/>
                <w:color w:val="auto"/>
              </w:rPr>
            </w:pPr>
          </w:p>
        </w:tc>
        <w:tc>
          <w:tcPr>
            <w:tcW w:w="200" w:type="dxa"/>
            <w:vAlign w:val="bottom"/>
            <w:tcBorders>
              <w:top w:val="single" w:sz="8" w:color="auto"/>
              <w:bottom w:val="single" w:sz="8" w:color="808080"/>
            </w:tcBorders>
          </w:tcPr>
          <w:p>
            <w:pPr>
              <w:spacing w:after="0"/>
              <w:rPr>
                <w:sz w:val="24"/>
                <w:szCs w:val="24"/>
                <w:color w:val="auto"/>
              </w:rPr>
            </w:pPr>
          </w:p>
        </w:tc>
        <w:tc>
          <w:tcPr>
            <w:tcW w:w="1020" w:type="dxa"/>
            <w:vAlign w:val="bottom"/>
            <w:tcBorders>
              <w:top w:val="single" w:sz="8" w:color="auto"/>
              <w:bottom w:val="single" w:sz="8" w:color="808080"/>
            </w:tcBorders>
          </w:tcPr>
          <w:p>
            <w:pPr>
              <w:spacing w:after="0"/>
              <w:rPr>
                <w:sz w:val="24"/>
                <w:szCs w:val="24"/>
                <w:color w:val="auto"/>
              </w:rPr>
            </w:pPr>
          </w:p>
        </w:tc>
        <w:tc>
          <w:tcPr>
            <w:tcW w:w="100" w:type="dxa"/>
            <w:vAlign w:val="bottom"/>
            <w:tcBorders>
              <w:top w:val="single" w:sz="8" w:color="CCEEFF"/>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70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CONSOLIDATED FINANCIAL SUMMARY, Continued</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gridSpan w:val="4"/>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Dec. 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w w:val="96"/>
              </w:rPr>
              <w:t>Aug. 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w w:val="94"/>
              </w:rPr>
              <w:t>2008</w:t>
            </w: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20"/>
                <w:szCs w:val="20"/>
                <w:b w:val="1"/>
                <w:bCs w:val="1"/>
                <w:color w:val="auto"/>
              </w:rPr>
              <w:t>2008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Cash and short-term investments</w:t>
            </w:r>
          </w:p>
        </w:tc>
        <w:tc>
          <w:tcPr>
            <w:tcW w:w="1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1,028</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Receivables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1,031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1,032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Inventories (1)</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883</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assets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3,037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8,460</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8,811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(6)</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12,676</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13,430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expenses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1,111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343</w:t>
            </w:r>
          </w:p>
        </w:tc>
        <w:tc>
          <w:tcPr>
            <w:tcW w:w="1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Total current liabilities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1,635</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1,598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Long-term debt</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2,523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2,451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interests in subsidiaries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2,702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2,865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shareholders’ equity</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20"/>
                <w:szCs w:val="20"/>
                <w:color w:val="auto"/>
              </w:rPr>
              <w:t>5,484</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6,178</w:t>
            </w: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720"/>
              <w:spacing w:after="0"/>
              <w:rPr>
                <w:sz w:val="20"/>
                <w:szCs w:val="20"/>
                <w:color w:val="auto"/>
              </w:rPr>
            </w:pPr>
            <w:r>
              <w:rPr>
                <w:rFonts w:ascii="Times New Roman" w:cs="Times New Roman" w:eastAsia="Times New Roman" w:hAnsi="Times New Roman"/>
                <w:sz w:val="20"/>
                <w:szCs w:val="20"/>
                <w:b w:val="1"/>
                <w:bCs w:val="1"/>
                <w:color w:val="auto"/>
              </w:rPr>
              <w:t>Quarter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Dec. 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Nov. 29,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2008</w:t>
            </w:r>
          </w:p>
        </w:tc>
        <w:tc>
          <w:tcPr>
            <w:tcW w:w="18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2007</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provided by operating activities</w:t>
            </w:r>
          </w:p>
        </w:tc>
        <w:tc>
          <w:tcPr>
            <w:tcW w:w="1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359</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276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Net cash used for investing activities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1"/>
              <w:spacing w:after="0"/>
              <w:rPr>
                <w:sz w:val="20"/>
                <w:szCs w:val="20"/>
                <w:color w:val="auto"/>
              </w:rPr>
            </w:pPr>
            <w:r>
              <w:rPr>
                <w:rFonts w:ascii="Times New Roman" w:cs="Times New Roman" w:eastAsia="Times New Roman" w:hAnsi="Times New Roman"/>
                <w:sz w:val="20"/>
                <w:szCs w:val="20"/>
                <w:color w:val="auto"/>
              </w:rPr>
              <w:t>(489)</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(406)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(88)</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(182)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20"/>
                <w:szCs w:val="20"/>
                <w:color w:val="auto"/>
              </w:rPr>
              <w:t>594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Expenditures for property, plant and equipment</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1"/>
              <w:spacing w:after="0"/>
              <w:rPr>
                <w:sz w:val="20"/>
                <w:szCs w:val="20"/>
                <w:color w:val="auto"/>
              </w:rPr>
            </w:pPr>
            <w:r>
              <w:rPr>
                <w:rFonts w:ascii="Times New Roman" w:cs="Times New Roman" w:eastAsia="Times New Roman" w:hAnsi="Times New Roman"/>
                <w:sz w:val="20"/>
                <w:szCs w:val="20"/>
                <w:color w:val="auto"/>
              </w:rPr>
              <w:t>(270)</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(765)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cash received from (paid to) noncontrolling interests</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61"/>
              <w:spacing w:after="0"/>
              <w:rPr>
                <w:sz w:val="20"/>
                <w:szCs w:val="20"/>
                <w:color w:val="auto"/>
              </w:rPr>
            </w:pPr>
            <w:r>
              <w:rPr>
                <w:rFonts w:ascii="Times New Roman" w:cs="Times New Roman" w:eastAsia="Times New Roman" w:hAnsi="Times New Roman"/>
                <w:sz w:val="20"/>
                <w:szCs w:val="20"/>
                <w:color w:val="auto"/>
              </w:rPr>
              <w:t>(150)</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20"/>
                <w:szCs w:val="20"/>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Payments on equipment purchase contracts</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right"/>
              <w:ind w:right="61"/>
              <w:spacing w:after="0"/>
              <w:rPr>
                <w:sz w:val="20"/>
                <w:szCs w:val="20"/>
                <w:color w:val="auto"/>
              </w:rPr>
            </w:pPr>
            <w:r>
              <w:rPr>
                <w:rFonts w:ascii="Times New Roman" w:cs="Times New Roman" w:eastAsia="Times New Roman" w:hAnsi="Times New Roman"/>
                <w:sz w:val="20"/>
                <w:szCs w:val="20"/>
                <w:color w:val="auto"/>
              </w:rPr>
              <w:t>(64)</w:t>
            </w: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20" w:type="dxa"/>
            <w:vAlign w:val="bottom"/>
            <w:vMerge w:val="continue"/>
          </w:tcPr>
          <w:p>
            <w:pPr>
              <w:spacing w:after="0"/>
              <w:rPr>
                <w:sz w:val="22"/>
                <w:szCs w:val="22"/>
                <w:color w:val="auto"/>
              </w:rPr>
            </w:pPr>
          </w:p>
        </w:tc>
        <w:tc>
          <w:tcPr>
            <w:tcW w:w="7060" w:type="dxa"/>
            <w:vAlign w:val="bottom"/>
          </w:tcPr>
          <w:p>
            <w:pPr>
              <w:spacing w:after="0"/>
              <w:rPr>
                <w:sz w:val="20"/>
                <w:szCs w:val="20"/>
                <w:color w:val="auto"/>
              </w:rPr>
            </w:pPr>
            <w:r>
              <w:rPr>
                <w:rFonts w:ascii="Times New Roman" w:cs="Times New Roman" w:eastAsia="Times New Roman" w:hAnsi="Times New Roman"/>
                <w:sz w:val="20"/>
                <w:szCs w:val="20"/>
                <w:color w:val="auto"/>
              </w:rPr>
              <w:t>Noncash equipment acquisitions on contracts payable and capital leases</w:t>
            </w:r>
          </w:p>
        </w:tc>
        <w:tc>
          <w:tcPr>
            <w:tcW w:w="1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153</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152</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company’s first quarter of fiscal 2009 included 14 weeks while the company’s fourth quarter and first quarter of fiscal 2008 each included</w:t>
      </w:r>
    </w:p>
    <w:p>
      <w:pPr>
        <w:spacing w:after="0" w:line="33" w:lineRule="exact"/>
        <w:rPr>
          <w:sz w:val="20"/>
          <w:szCs w:val="20"/>
          <w:color w:val="auto"/>
        </w:rPr>
      </w:pPr>
    </w:p>
    <w:p>
      <w:pPr>
        <w:ind w:left="260" w:hanging="252"/>
        <w:spacing w:after="0"/>
        <w:tabs>
          <w:tab w:leader="none" w:pos="2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weeks.</w:t>
      </w:r>
    </w:p>
    <w:p>
      <w:pPr>
        <w:spacing w:after="0" w:line="220" w:lineRule="exact"/>
        <w:rPr>
          <w:rFonts w:ascii="Times New Roman" w:cs="Times New Roman" w:eastAsia="Times New Roman" w:hAnsi="Times New Roman"/>
          <w:sz w:val="20"/>
          <w:szCs w:val="20"/>
          <w:color w:val="auto"/>
        </w:rPr>
      </w:pPr>
    </w:p>
    <w:p>
      <w:pPr>
        <w:jc w:val="both"/>
        <w:ind w:left="340" w:hanging="324"/>
        <w:spacing w:after="0" w:line="249" w:lineRule="auto"/>
        <w:tabs>
          <w:tab w:leader="none" w:pos="34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for the first quarter of fiscal 2009 and the fourth and first quarters of fiscal 2008 include charges of $369 million, $205 million and $62 million, respectively, to write down the carrying value of work in process and finished goods inventories of memory products to their estimated market values. In addition, cost of goods sold in the fourth quarter of fiscal 2008 includes the effect of price adjustments for NAND products purchased from other suppliers in prior periods.</w:t>
      </w:r>
    </w:p>
    <w:p>
      <w:pPr>
        <w:spacing w:after="0" w:line="207" w:lineRule="exact"/>
        <w:rPr>
          <w:rFonts w:ascii="Times New Roman" w:cs="Times New Roman" w:eastAsia="Times New Roman" w:hAnsi="Times New Roman"/>
          <w:sz w:val="20"/>
          <w:szCs w:val="20"/>
          <w:color w:val="auto"/>
        </w:rPr>
      </w:pPr>
    </w:p>
    <w:p>
      <w:pPr>
        <w:jc w:val="both"/>
        <w:ind w:left="340" w:hanging="324"/>
        <w:spacing w:after="0" w:line="245" w:lineRule="auto"/>
        <w:tabs>
          <w:tab w:leader="none" w:pos="34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first quarter of fiscal 2009, in response to a challenging global environment for technology products, the company announced a restructuring of its memory operations. As part of the restructure, IM Flash Technologies (“IMFT”), a joint venture between the company and Intel Corporation (“Intel”), terminated its agreement with the company to supply NAND flash memory from the company’s Boise facility, reducing IMFT’s NAND Flash production by approximately 35,000 200mm wafers per month. In addition, as part of the restructuring, the company plans to reduce its global workforce by approximately 15 percent through 2010. Through the end of the first quarter of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215900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8" w:name="page9"/>
    <w:bookmarkEnd w:id="8"/>
    <w:p>
      <w:pPr>
        <w:ind w:left="224" w:right="620"/>
        <w:spacing w:after="0" w:line="269" w:lineRule="auto"/>
        <w:rPr>
          <w:sz w:val="20"/>
          <w:szCs w:val="20"/>
          <w:color w:val="auto"/>
        </w:rPr>
      </w:pPr>
      <w:r>
        <w:rPr>
          <w:rFonts w:ascii="Times New Roman" w:cs="Times New Roman" w:eastAsia="Times New Roman" w:hAnsi="Times New Roman"/>
          <w:sz w:val="20"/>
          <w:szCs w:val="20"/>
          <w:color w:val="auto"/>
        </w:rPr>
        <w:t>2009, approximately one half of these global workforce reductions occurred, the majority of which were effected through a voluntary program.</w:t>
      </w:r>
    </w:p>
    <w:p>
      <w:pPr>
        <w:spacing w:after="0" w:line="187" w:lineRule="exact"/>
        <w:rPr>
          <w:sz w:val="20"/>
          <w:szCs w:val="20"/>
          <w:color w:val="auto"/>
        </w:rPr>
      </w:pPr>
    </w:p>
    <w:p>
      <w:pPr>
        <w:ind w:left="224" w:right="100"/>
        <w:spacing w:after="0" w:line="254" w:lineRule="auto"/>
        <w:rPr>
          <w:sz w:val="20"/>
          <w:szCs w:val="20"/>
          <w:color w:val="auto"/>
        </w:rPr>
      </w:pPr>
      <w:r>
        <w:rPr>
          <w:rFonts w:ascii="Times New Roman" w:cs="Times New Roman" w:eastAsia="Times New Roman" w:hAnsi="Times New Roman"/>
          <w:sz w:val="20"/>
          <w:szCs w:val="20"/>
          <w:color w:val="auto"/>
        </w:rPr>
        <w:t>As a result of the these actions, the company recorded a net $66 million credit to restructure in the first quarter of fiscal 2009, attributable to the company’s memory segment, including an aggregate credit of $88 million related to the termination of the NAND Flash supply agreement net of related equipment losses and costs of $22 million for severance and other employee-related items.</w:t>
      </w:r>
    </w:p>
    <w:p>
      <w:pPr>
        <w:spacing w:after="0" w:line="202" w:lineRule="exact"/>
        <w:rPr>
          <w:sz w:val="20"/>
          <w:szCs w:val="20"/>
          <w:color w:val="auto"/>
        </w:rPr>
      </w:pPr>
    </w:p>
    <w:p>
      <w:pPr>
        <w:jc w:val="both"/>
        <w:ind w:left="324" w:hanging="324"/>
        <w:spacing w:after="0" w:line="249" w:lineRule="auto"/>
        <w:tabs>
          <w:tab w:leader="none" w:pos="3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operating (income) expense for the first quarter of fiscal 2009 includes losses of $14 million on disposals of semiconductor equipment. Other operating (income) expense for the first quarter of fiscal 2008 includes $38 million in receipts from the U.S. government in connection with anti-dumping tariffs, losses of $27 million from changes in currency exchange rates and gains of $10 million on disposals of semiconductor equipment.</w:t>
      </w:r>
    </w:p>
    <w:p>
      <w:pPr>
        <w:spacing w:after="0" w:line="207" w:lineRule="exact"/>
        <w:rPr>
          <w:rFonts w:ascii="Times New Roman" w:cs="Times New Roman" w:eastAsia="Times New Roman" w:hAnsi="Times New Roman"/>
          <w:sz w:val="20"/>
          <w:szCs w:val="20"/>
          <w:color w:val="auto"/>
        </w:rPr>
      </w:pPr>
    </w:p>
    <w:p>
      <w:pPr>
        <w:jc w:val="both"/>
        <w:ind w:left="324" w:hanging="324"/>
        <w:spacing w:after="0" w:line="254" w:lineRule="auto"/>
        <w:tabs>
          <w:tab w:leader="none" w:pos="3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taxes for fiscal 2009 and 2008 primarily reflect taxes on the company’s non-U.S. operations and U.S. alternative minimum tax. The company has a valuation allowance for its net deferred tax asset associated with its U.S. operations. Tax attributable to U.S. operations in fiscal 2009 and 2008 were substantially offset by changes in the valuation allowance.</w:t>
      </w:r>
    </w:p>
    <w:p>
      <w:pPr>
        <w:spacing w:after="0" w:line="201" w:lineRule="exact"/>
        <w:rPr>
          <w:rFonts w:ascii="Times New Roman" w:cs="Times New Roman" w:eastAsia="Times New Roman" w:hAnsi="Times New Roman"/>
          <w:sz w:val="20"/>
          <w:szCs w:val="20"/>
          <w:color w:val="auto"/>
        </w:rPr>
      </w:pPr>
    </w:p>
    <w:p>
      <w:pPr>
        <w:jc w:val="both"/>
        <w:ind w:left="324" w:hanging="324"/>
        <w:spacing w:after="0" w:line="259" w:lineRule="auto"/>
        <w:tabs>
          <w:tab w:leader="none" w:pos="324"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supplement its consolidated financial statements presented on a GAAP basis, the company uses non-GAAP measures of gross margin, net income and earnings per share, which are adjusted to exclude inventory write-downs, restructure charges and price adjustments for NAND products purchased from other suppliers in prior periods. Management does not consider these charges in evaluating the core operational activities of the company. In addition, management believes these non-GAAP measures are useful to investors in enabling them to better assess changes in the company’s operating results across different time periods. These measures should be considered in addition to results prepared in accordance with GAAP, but should not be considered a substitute for or superior to GAAP results. The non-GAAP financial measures presented by the company may be different than the non-GAAP financial measures presented by other companies.</w:t>
      </w:r>
    </w:p>
    <w:p>
      <w:pPr>
        <w:spacing w:after="0" w:line="199" w:lineRule="exact"/>
        <w:rPr>
          <w:rFonts w:ascii="Times New Roman" w:cs="Times New Roman" w:eastAsia="Times New Roman" w:hAnsi="Times New Roman"/>
          <w:sz w:val="19"/>
          <w:szCs w:val="19"/>
          <w:color w:val="auto"/>
        </w:rPr>
      </w:pPr>
    </w:p>
    <w:p>
      <w:pPr>
        <w:ind w:left="324" w:hanging="324"/>
        <w:spacing w:after="0" w:line="269" w:lineRule="auto"/>
        <w:tabs>
          <w:tab w:leader="none" w:pos="324"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first quarter of fiscal 2009, the company acquired from Qimonda AG (“Qimonda”) and its affiliates approximately 35.6% of the outstanding common stock of Inotera Memories, Inc. (“Inotera”) in a series of transactions for approximately $400 million.</w:t>
      </w:r>
    </w:p>
    <w:p>
      <w:pPr>
        <w:spacing w:after="0" w:line="186" w:lineRule="exact"/>
        <w:rPr>
          <w:rFonts w:ascii="Times New Roman" w:cs="Times New Roman" w:eastAsia="Times New Roman" w:hAnsi="Times New Roman"/>
          <w:sz w:val="20"/>
          <w:szCs w:val="20"/>
          <w:color w:val="auto"/>
        </w:rPr>
      </w:pPr>
    </w:p>
    <w:p>
      <w:pPr>
        <w:ind w:left="324" w:right="180"/>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acquisition, the company entered into a loan agreement with Nan Ya Plastics Corporation (“NPC”), pursuant to which NPC made a loan to the company in the principal amount of $200 million, the proceeds of which were used to pay for a portion of the purchase price of the shares in Inotera. In addition, the company entered into a loan agreement with Inotera, pursuant to which Inotera made a loan to the company in the principal amount of $85 million, the proceeds of which are to be used for general corporate purposes. The loans were recorded at their fair values and reflect an aggregate discount of $31 million from their face amounts. The discount was reflected as a reduction in the basis of the company’s investment in Inotera.</w:t>
      </w:r>
    </w:p>
    <w:p>
      <w:pPr>
        <w:spacing w:after="0" w:line="212" w:lineRule="exact"/>
        <w:rPr>
          <w:rFonts w:ascii="Times New Roman" w:cs="Times New Roman" w:eastAsia="Times New Roman" w:hAnsi="Times New Roman"/>
          <w:sz w:val="20"/>
          <w:szCs w:val="20"/>
          <w:color w:val="auto"/>
        </w:rPr>
      </w:pPr>
    </w:p>
    <w:p>
      <w:pPr>
        <w:ind w:left="324" w:right="40"/>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result of the above transactions, the carrying value of the company’s investment in Inotera is $378 million, which includes $10 million of costs and other fees incurred in connection with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353695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04"/>
      </w:cols>
      <w:pgMar w:left="256"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3"/>
    </w:lvl>
    <w:lvl w:ilvl="1">
      <w:lvlJc w:val="left"/>
      <w:lvlText w:val="(%2)"/>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2019-12-13T13:27:15Z</dcterms:created>
  <dcterms:modified xsi:type="dcterms:W3CDTF">2019-12-13T13:27:15Z</dcterms:modified>
</cp:coreProperties>
</file>