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166370</wp:posOffset>
            </wp:positionH>
            <wp:positionV relativeFrom="page">
              <wp:posOffset>757555</wp:posOffset>
            </wp:positionV>
            <wp:extent cx="7237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783590</wp:posOffset>
            </wp:positionV>
            <wp:extent cx="7237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ind w:left="300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7"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October 30,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40005</wp:posOffset>
            </wp:positionV>
            <wp:extent cx="155194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40005</wp:posOffset>
            </wp:positionV>
            <wp:extent cx="7237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37"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right"/>
              <w:ind w:right="1150"/>
              <w:spacing w:after="0"/>
              <w:rPr>
                <w:sz w:val="20"/>
                <w:szCs w:val="20"/>
                <w:color w:val="auto"/>
              </w:rPr>
            </w:pPr>
            <w:r>
              <w:rPr>
                <w:rFonts w:ascii="Arial" w:cs="Arial" w:eastAsia="Arial" w:hAnsi="Arial"/>
                <w:sz w:val="18"/>
                <w:szCs w:val="18"/>
                <w:b w:val="1"/>
                <w:bCs w:val="1"/>
                <w:color w:val="auto"/>
              </w:rPr>
              <w:t>1-10658</w:t>
            </w:r>
          </w:p>
        </w:tc>
        <w:tc>
          <w:tcPr>
            <w:tcW w:w="3580" w:type="dxa"/>
            <w:vAlign w:val="bottom"/>
          </w:tcPr>
          <w:p>
            <w:pPr>
              <w:jc w:val="right"/>
              <w:ind w:right="119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5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240" w:type="dxa"/>
            <w:vAlign w:val="bottom"/>
          </w:tcPr>
          <w:p>
            <w:pPr>
              <w:jc w:val="center"/>
              <w:ind w:left="90"/>
              <w:spacing w:after="0"/>
              <w:rPr>
                <w:sz w:val="20"/>
                <w:szCs w:val="20"/>
                <w:color w:val="auto"/>
              </w:rPr>
            </w:pPr>
            <w:r>
              <w:rPr>
                <w:rFonts w:ascii="Arial" w:cs="Arial" w:eastAsia="Arial" w:hAnsi="Arial"/>
                <w:sz w:val="18"/>
                <w:szCs w:val="18"/>
                <w:color w:val="auto"/>
                <w:w w:val="92"/>
              </w:rPr>
              <w:t>(Commission File Number)</w:t>
            </w:r>
          </w:p>
        </w:tc>
        <w:tc>
          <w:tcPr>
            <w:tcW w:w="3580" w:type="dxa"/>
            <w:vAlign w:val="bottom"/>
          </w:tcPr>
          <w:p>
            <w:pPr>
              <w:jc w:val="center"/>
              <w:ind w:left="50"/>
              <w:spacing w:after="0"/>
              <w:rPr>
                <w:sz w:val="20"/>
                <w:szCs w:val="20"/>
                <w:color w:val="auto"/>
              </w:rPr>
            </w:pPr>
            <w:r>
              <w:rPr>
                <w:rFonts w:ascii="Arial" w:cs="Arial" w:eastAsia="Arial" w:hAnsi="Arial"/>
                <w:sz w:val="18"/>
                <w:szCs w:val="18"/>
                <w:color w:val="auto"/>
                <w:w w:val="93"/>
              </w:rPr>
              <w:t>(I.R.S. Employer Identification No.)</w:t>
            </w: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34290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34290</wp:posOffset>
            </wp:positionV>
            <wp:extent cx="36106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2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5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Trading symbol</w:t>
            </w: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20" w:type="dxa"/>
            <w:vAlign w:val="bottom"/>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Stock, par value $0.10 per share</w:t>
            </w: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color w:val="auto"/>
              </w:rPr>
              <w:t>MU</w:t>
            </w:r>
          </w:p>
        </w:tc>
        <w:tc>
          <w:tcPr>
            <w:tcW w:w="406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121" w:lineRule="exact"/>
        <w:rPr>
          <w:sz w:val="24"/>
          <w:szCs w:val="24"/>
          <w:color w:val="auto"/>
        </w:rPr>
      </w:pPr>
    </w:p>
    <w:p>
      <w:pPr>
        <w:ind w:right="6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56515</wp:posOffset>
            </wp:positionV>
            <wp:extent cx="7237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81915</wp:posOffset>
            </wp:positionV>
            <wp:extent cx="7237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line="32" w:lineRule="exact"/>
        <w:rPr>
          <w:sz w:val="20"/>
          <w:szCs w:val="20"/>
          <w:color w:val="auto"/>
        </w:rPr>
      </w:pPr>
    </w:p>
    <w:p>
      <w:pPr>
        <w:ind w:left="20"/>
        <w:spacing w:after="0"/>
        <w:tabs>
          <w:tab w:leader="none" w:pos="150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391"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7"/>
          <w:szCs w:val="17"/>
          <w:color w:val="auto"/>
        </w:rPr>
        <w:t>On October 31, 2019, Micron Technology, Inc. (“Micron”) completed its previously announced acquisition (the “Acquisition”) of Intel Corporation’s (“Intel”) interest in the parties’ joint venture, IM Flash Technologies, LLC (“IMFT”), and paid Intel approximately $1.25 billion, which is subject to certain</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post-closing adjustments. Upon the consummation of the Acquisition, Micron, Intel and IMFT agreed to terminate that certain Second Amended and Restated Limited Liability Company Operating Agreement of IMFT, dated as of April 6, 2012, as amended (the “Operating Agreement”), that certain Amended and Restated Supply Agreement, dated April 6, 2012, between Intel and IMFT, and that certain Amended and Restated Supply Agreement, dated April 6, 2012, between Micron and IMFT. The Operating Agreement set forth the governance and the operation of IMFT before the Acquisition, including various rights and obligations of Micron and Intel. Under the terms of these supply agreements, Micron and Intel had rights and obligations to the capacity of IMFT in proportion to their investment, including member debt financing.</w:t>
      </w:r>
    </w:p>
    <w:p>
      <w:pPr>
        <w:spacing w:after="0" w:line="247" w:lineRule="exact"/>
        <w:rPr>
          <w:sz w:val="20"/>
          <w:szCs w:val="20"/>
          <w:color w:val="auto"/>
        </w:rPr>
      </w:pPr>
    </w:p>
    <w:p>
      <w:pPr>
        <w:ind w:left="20"/>
        <w:spacing w:after="0"/>
        <w:tabs>
          <w:tab w:leader="none" w:pos="15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39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On October 30, 2019, Micron borrowed $1.25 billion in aggregate principal amount of term loans under its existing Credit Agreement, dated as of July 3, 2018 (as amended to date, the “Credit Agreement”), by and among Micron, JPMorgan Chase Bank, N.A., as administrative agent, collateral agent, joint lead arranger, and joint book runner, HSBC Securities USA, Inc., as joint lead arranger and joint book runner, certain financial institutions as additional joint lead arrangers and certain financial institutions, as lenders.</w:t>
      </w:r>
    </w:p>
    <w:p>
      <w:pPr>
        <w:spacing w:after="0" w:line="21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 summary of the material terms of the Credit Agreement and the terms of the payment of the term loans is included in Micron’s Current Report on Form 8-K filed with the SEC on July 9, 2019 and is incorporated herein by reference.</w:t>
      </w:r>
    </w:p>
    <w:p>
      <w:pPr>
        <w:sectPr>
          <w:pgSz w:w="11900" w:h="16838" w:orient="portrait"/>
          <w:cols w:equalWidth="0" w:num="1">
            <w:col w:w="11420"/>
          </w:cols>
          <w:pgMar w:left="240" w:top="144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7240" w:type="dxa"/>
            <w:vAlign w:val="bottom"/>
            <w:gridSpan w:val="2"/>
          </w:tcPr>
          <w:p>
            <w:pPr>
              <w:ind w:left="196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783"/>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520" w:type="dxa"/>
            <w:vAlign w:val="bottom"/>
          </w:tcPr>
          <w:p>
            <w:pPr>
              <w:ind w:left="220"/>
              <w:spacing w:after="0"/>
              <w:rPr>
                <w:sz w:val="20"/>
                <w:szCs w:val="20"/>
                <w:color w:val="auto"/>
              </w:rPr>
            </w:pPr>
            <w:r>
              <w:rPr>
                <w:rFonts w:ascii="Arial" w:cs="Arial" w:eastAsia="Arial" w:hAnsi="Arial"/>
                <w:sz w:val="18"/>
                <w:szCs w:val="18"/>
                <w:color w:val="auto"/>
              </w:rPr>
              <w:t>November 1, 2019</w:t>
            </w:r>
          </w:p>
        </w:tc>
        <w:tc>
          <w:tcPr>
            <w:tcW w:w="2940" w:type="dxa"/>
            <w:vAlign w:val="bottom"/>
          </w:tcPr>
          <w:p>
            <w:pPr>
              <w:ind w:left="1960"/>
              <w:spacing w:after="0"/>
              <w:rPr>
                <w:sz w:val="20"/>
                <w:szCs w:val="20"/>
                <w:color w:val="auto"/>
              </w:rPr>
            </w:pPr>
            <w:r>
              <w:rPr>
                <w:rFonts w:ascii="Arial" w:cs="Arial" w:eastAsia="Arial" w:hAnsi="Arial"/>
                <w:sz w:val="18"/>
                <w:szCs w:val="18"/>
                <w:color w:val="auto"/>
              </w:rPr>
              <w:t>By:</w:t>
            </w:r>
          </w:p>
        </w:tc>
        <w:tc>
          <w:tcPr>
            <w:tcW w:w="430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940" w:type="dxa"/>
            <w:vAlign w:val="bottom"/>
            <w:vMerge w:val="restart"/>
          </w:tcPr>
          <w:p>
            <w:pPr>
              <w:ind w:left="1960"/>
              <w:spacing w:after="0"/>
              <w:rPr>
                <w:sz w:val="20"/>
                <w:szCs w:val="20"/>
                <w:color w:val="auto"/>
              </w:rPr>
            </w:pPr>
            <w:r>
              <w:rPr>
                <w:rFonts w:ascii="Arial" w:cs="Arial" w:eastAsia="Arial" w:hAnsi="Arial"/>
                <w:sz w:val="18"/>
                <w:szCs w:val="18"/>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940" w:type="dxa"/>
            <w:vAlign w:val="bottom"/>
            <w:vMerge w:val="continue"/>
          </w:tcPr>
          <w:p>
            <w:pPr>
              <w:spacing w:after="0"/>
              <w:rPr>
                <w:sz w:val="20"/>
                <w:szCs w:val="20"/>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2940" w:type="dxa"/>
            <w:vAlign w:val="bottom"/>
          </w:tcPr>
          <w:p>
            <w:pPr>
              <w:ind w:left="1960"/>
              <w:spacing w:after="0"/>
              <w:rPr>
                <w:sz w:val="20"/>
                <w:szCs w:val="20"/>
                <w:color w:val="auto"/>
              </w:rPr>
            </w:pPr>
            <w:r>
              <w:rPr>
                <w:rFonts w:ascii="Arial" w:cs="Arial" w:eastAsia="Arial" w:hAnsi="Arial"/>
                <w:sz w:val="18"/>
                <w:szCs w:val="18"/>
                <w:color w:val="auto"/>
              </w:rPr>
              <w:t>Title:</w:t>
            </w:r>
          </w:p>
        </w:tc>
        <w:tc>
          <w:tcPr>
            <w:tcW w:w="430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00"/>
      </w:cols>
      <w:pgMar w:left="240" w:top="14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2019-12-04T21:24:28Z</dcterms:created>
  <dcterms:modified xsi:type="dcterms:W3CDTF">2019-12-04T21:24:28Z</dcterms:modified>
</cp:coreProperties>
</file>