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25,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00" w:type="dxa"/>
            <w:vAlign w:val="bottom"/>
          </w:tcPr>
          <w:p>
            <w:pPr>
              <w:jc w:val="center"/>
              <w:ind w:right="30"/>
              <w:spacing w:after="0"/>
              <w:rPr>
                <w:sz w:val="20"/>
                <w:szCs w:val="20"/>
                <w:color w:val="auto"/>
              </w:rPr>
            </w:pPr>
            <w:r>
              <w:rPr>
                <w:rFonts w:ascii="Arial" w:cs="Arial" w:eastAsia="Arial" w:hAnsi="Arial"/>
                <w:sz w:val="18"/>
                <w:szCs w:val="18"/>
                <w:color w:val="auto"/>
                <w:w w:val="99"/>
              </w:rPr>
              <w:t>(Commission File Number)</w:t>
            </w:r>
          </w:p>
        </w:tc>
        <w:tc>
          <w:tcPr>
            <w:tcW w:w="3940" w:type="dxa"/>
            <w:vAlign w:val="bottom"/>
          </w:tcPr>
          <w:p>
            <w:pPr>
              <w:jc w:val="center"/>
              <w:ind w:right="10"/>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20" w:type="dxa"/>
            <w:vAlign w:val="bottom"/>
            <w:gridSpan w:val="3"/>
          </w:tcPr>
          <w:p>
            <w:pPr>
              <w:jc w:val="center"/>
              <w:ind w:right="140"/>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00" w:lineRule="exact"/>
        <w:rPr>
          <w:sz w:val="20"/>
          <w:szCs w:val="20"/>
          <w:color w:val="auto"/>
        </w:rPr>
      </w:pPr>
    </w:p>
    <w:p>
      <w:pPr>
        <w:spacing w:after="0" w:line="29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On March 25, 2020, we announced the financial results for our second quarter of fiscal 2020 ended February 27, 2020. The full text of the press release issued in connection with the announcement is attached as Exhibit 99.1 to this Current Report on Form 8-K.</w:t>
      </w:r>
    </w:p>
    <w:p>
      <w:pPr>
        <w:spacing w:after="0" w:line="3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340" w:type="dxa"/>
            <w:vAlign w:val="bottom"/>
          </w:tcPr>
          <w:p>
            <w:pPr>
              <w:spacing w:after="0"/>
              <w:rPr>
                <w:sz w:val="24"/>
                <w:szCs w:val="24"/>
                <w:color w:val="auto"/>
              </w:rPr>
            </w:pPr>
          </w:p>
        </w:tc>
        <w:tc>
          <w:tcPr>
            <w:tcW w:w="9900" w:type="dxa"/>
            <w:vAlign w:val="bottom"/>
            <w:gridSpan w:val="5"/>
          </w:tcPr>
          <w:p>
            <w:pPr>
              <w:ind w:left="40"/>
              <w:spacing w:after="0"/>
              <w:rPr>
                <w:sz w:val="20"/>
                <w:szCs w:val="20"/>
                <w:color w:val="auto"/>
              </w:rPr>
            </w:pPr>
            <w:r>
              <w:rPr>
                <w:rFonts w:ascii="Arial" w:cs="Arial" w:eastAsia="Arial" w:hAnsi="Arial"/>
                <w:sz w:val="18"/>
                <w:szCs w:val="18"/>
                <w:color w:val="auto"/>
              </w:rPr>
              <w:t>(d) Exhibits.</w:t>
            </w:r>
          </w:p>
        </w:tc>
      </w:tr>
      <w:tr>
        <w:trPr>
          <w:trHeight w:val="88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216"/>
        </w:trPr>
        <w:tc>
          <w:tcPr>
            <w:tcW w:w="134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25, 2020</w:t>
              </w:r>
            </w:hyperlink>
          </w:p>
        </w:tc>
      </w:tr>
      <w:tr>
        <w:trPr>
          <w:trHeight w:val="1499"/>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top w:val="single" w:sz="8" w:color="0000FF"/>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69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77"/>
        </w:trPr>
        <w:tc>
          <w:tcPr>
            <w:tcW w:w="3740" w:type="dxa"/>
            <w:vAlign w:val="bottom"/>
          </w:tcPr>
          <w:p>
            <w:pPr>
              <w:spacing w:after="0"/>
              <w:rPr>
                <w:sz w:val="20"/>
                <w:szCs w:val="20"/>
                <w:color w:val="auto"/>
              </w:rPr>
            </w:pPr>
            <w:r>
              <w:rPr>
                <w:rFonts w:ascii="Arial" w:cs="Arial" w:eastAsia="Arial" w:hAnsi="Arial"/>
                <w:sz w:val="18"/>
                <w:szCs w:val="18"/>
                <w:color w:val="auto"/>
              </w:rPr>
              <w:t>Date:   March 25, 2020</w:t>
            </w:r>
          </w:p>
        </w:tc>
        <w:tc>
          <w:tcPr>
            <w:tcW w:w="2660" w:type="dxa"/>
            <w:vAlign w:val="bottom"/>
          </w:tcPr>
          <w:p>
            <w:pPr>
              <w:ind w:left="1740"/>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740" w:type="dxa"/>
            <w:vAlign w:val="bottom"/>
          </w:tcPr>
          <w:p>
            <w:pPr>
              <w:spacing w:after="0"/>
              <w:rPr>
                <w:sz w:val="21"/>
                <w:szCs w:val="21"/>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Name:</w:t>
            </w:r>
          </w:p>
        </w:tc>
        <w:tc>
          <w:tcPr>
            <w:tcW w:w="424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6"/>
        </w:trPr>
        <w:tc>
          <w:tcPr>
            <w:tcW w:w="3740" w:type="dxa"/>
            <w:vAlign w:val="bottom"/>
          </w:tcPr>
          <w:p>
            <w:pPr>
              <w:spacing w:after="0"/>
              <w:rPr>
                <w:sz w:val="22"/>
                <w:szCs w:val="22"/>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Title:</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00"/>
          </w:cols>
          <w:pgMar w:left="320" w:top="88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2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57"/>
        </w:trPr>
        <w:tc>
          <w:tcPr>
            <w:tcW w:w="152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15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rPr>
                <w:sz w:val="20"/>
                <w:szCs w:val="20"/>
                <w:color w:val="auto"/>
              </w:rPr>
            </w:pPr>
            <w:r>
              <w:rPr>
                <w:rFonts w:ascii="Arial" w:cs="Arial" w:eastAsia="Arial" w:hAnsi="Arial"/>
                <w:sz w:val="18"/>
                <w:szCs w:val="18"/>
                <w:color w:val="0090DA"/>
              </w:rPr>
              <w:t>epompen@micron.com</w:t>
            </w:r>
          </w:p>
        </w:tc>
      </w:tr>
      <w:tr>
        <w:trPr>
          <w:trHeight w:val="277"/>
        </w:trPr>
        <w:tc>
          <w:tcPr>
            <w:tcW w:w="1520" w:type="dxa"/>
            <w:vAlign w:val="bottom"/>
          </w:tcPr>
          <w:p>
            <w:pPr>
              <w:spacing w:after="0"/>
              <w:rPr>
                <w:sz w:val="24"/>
                <w:szCs w:val="24"/>
                <w:color w:val="auto"/>
              </w:rPr>
            </w:pPr>
          </w:p>
        </w:tc>
        <w:tc>
          <w:tcPr>
            <w:tcW w:w="218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20" w:type="dxa"/>
            <w:vAlign w:val="bottom"/>
          </w:tcPr>
          <w:p>
            <w:pPr>
              <w:spacing w:after="0"/>
              <w:rPr>
                <w:sz w:val="24"/>
                <w:szCs w:val="24"/>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execution drives profitability and 13th consecutive quarter of free cash flow</w:t>
      </w:r>
    </w:p>
    <w:p>
      <w:pPr>
        <w:spacing w:after="0" w:line="20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25, 2020 – Micron Technology, Inc. (Nasdaq: MU) today announced results for its second quarter of fiscal 2020,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February 27,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2020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$4.80 billion versus $5.14 billion for the prior quarter and $5.84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$405 million, or $0.36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$517 million, or $0.45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$2.00 billion versus $2.01 billion for the prior quarter and $3.44 billion for the same period last year</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“Micron delivered solid second quarter results and revenue at the high end of the guidance range, despite the unfolding COVID-19 pandemic,” said Micron Technology President and CEO Sanjay Mehrotra. “I am grateful to our team for the excellent business execution we have achieved during this unprecedented situation. Their resilience, together with Micron’s technology leadership, stronger product portfolio, and healthy balance sheet, give us confidence that we will emerge from this challenging time well-positioned to capture the robust long-term demand opportunities for memory and storage.”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80" w:type="dxa"/>
            <w:vAlign w:val="bottom"/>
          </w:tcPr>
          <w:p>
            <w:pPr>
              <w:spacing w:after="0"/>
              <w:rPr>
                <w:sz w:val="23"/>
                <w:szCs w:val="23"/>
                <w:color w:val="auto"/>
              </w:rPr>
            </w:pPr>
          </w:p>
        </w:tc>
        <w:tc>
          <w:tcPr>
            <w:tcW w:w="900" w:type="dxa"/>
            <w:vAlign w:val="bottom"/>
            <w:tcBorders>
              <w:bottom w:val="single" w:sz="8" w:color="0090DA"/>
            </w:tcBorders>
          </w:tcPr>
          <w:p>
            <w:pPr>
              <w:spacing w:after="0"/>
              <w:rPr>
                <w:sz w:val="23"/>
                <w:szCs w:val="23"/>
                <w:color w:val="auto"/>
              </w:rPr>
            </w:pPr>
          </w:p>
        </w:tc>
        <w:tc>
          <w:tcPr>
            <w:tcW w:w="380" w:type="dxa"/>
            <w:vAlign w:val="bottom"/>
            <w:tcBorders>
              <w:bottom w:val="single" w:sz="8" w:color="0090DA"/>
            </w:tcBorders>
          </w:tcPr>
          <w:p>
            <w:pPr>
              <w:spacing w:after="0"/>
              <w:rPr>
                <w:sz w:val="23"/>
                <w:szCs w:val="23"/>
                <w:color w:val="auto"/>
              </w:rPr>
            </w:pPr>
          </w:p>
        </w:tc>
        <w:tc>
          <w:tcPr>
            <w:tcW w:w="7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w w:val="94"/>
              </w:rPr>
              <w:t xml:space="preserve">GAAP </w:t>
            </w:r>
            <w:r>
              <w:rPr>
                <w:rFonts w:ascii="Arial" w:cs="Arial" w:eastAsia="Arial" w:hAnsi="Arial"/>
                <w:sz w:val="23"/>
                <w:szCs w:val="23"/>
                <w:b w:val="1"/>
                <w:bCs w:val="1"/>
                <w:color w:val="auto"/>
                <w:w w:val="94"/>
                <w:vertAlign w:val="superscript"/>
              </w:rPr>
              <w:t>(1)</w:t>
            </w:r>
          </w:p>
        </w:tc>
        <w:tc>
          <w:tcPr>
            <w:tcW w:w="360" w:type="dxa"/>
            <w:vAlign w:val="bottom"/>
            <w:tcBorders>
              <w:bottom w:val="single" w:sz="8" w:color="0090DA"/>
            </w:tcBorders>
          </w:tcPr>
          <w:p>
            <w:pPr>
              <w:spacing w:after="0"/>
              <w:rPr>
                <w:sz w:val="23"/>
                <w:szCs w:val="23"/>
                <w:color w:val="auto"/>
              </w:rPr>
            </w:pPr>
          </w:p>
        </w:tc>
        <w:tc>
          <w:tcPr>
            <w:tcW w:w="720" w:type="dxa"/>
            <w:vAlign w:val="bottom"/>
            <w:tcBorders>
              <w:bottom w:val="single" w:sz="8" w:color="0090DA"/>
            </w:tcBorders>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Borders>
              <w:bottom w:val="single" w:sz="8" w:color="0090DA"/>
            </w:tcBorders>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1300" w:type="dxa"/>
            <w:vAlign w:val="bottom"/>
            <w:tcBorders>
              <w:bottom w:val="single" w:sz="8" w:color="0090DA"/>
            </w:tcBorders>
            <w:gridSpan w:val="2"/>
          </w:tcPr>
          <w:p>
            <w:pPr>
              <w:jc w:val="right"/>
              <w:ind w:right="70"/>
              <w:spacing w:after="0"/>
              <w:rPr>
                <w:sz w:val="20"/>
                <w:szCs w:val="20"/>
                <w:color w:val="auto"/>
              </w:rPr>
            </w:pPr>
            <w:r>
              <w:rPr>
                <w:rFonts w:ascii="Arial" w:cs="Arial" w:eastAsia="Arial" w:hAnsi="Arial"/>
                <w:sz w:val="18"/>
                <w:szCs w:val="18"/>
                <w:b w:val="1"/>
                <w:bCs w:val="1"/>
                <w:color w:val="auto"/>
                <w:w w:val="95"/>
              </w:rPr>
              <w:t xml:space="preserve">Non-GAAP </w:t>
            </w:r>
            <w:r>
              <w:rPr>
                <w:rFonts w:ascii="Arial" w:cs="Arial" w:eastAsia="Arial" w:hAnsi="Arial"/>
                <w:sz w:val="23"/>
                <w:szCs w:val="23"/>
                <w:b w:val="1"/>
                <w:bCs w:val="1"/>
                <w:color w:val="auto"/>
                <w:w w:val="95"/>
                <w:vertAlign w:val="superscript"/>
              </w:rPr>
              <w:t>(2)</w:t>
            </w:r>
          </w:p>
        </w:tc>
        <w:tc>
          <w:tcPr>
            <w:tcW w:w="720" w:type="dxa"/>
            <w:vAlign w:val="bottom"/>
            <w:tcBorders>
              <w:bottom w:val="single" w:sz="8" w:color="0090DA"/>
            </w:tcBorders>
          </w:tcPr>
          <w:p>
            <w:pPr>
              <w:spacing w:after="0"/>
              <w:rPr>
                <w:sz w:val="23"/>
                <w:szCs w:val="23"/>
                <w:color w:val="auto"/>
              </w:rPr>
            </w:pPr>
          </w:p>
        </w:tc>
        <w:tc>
          <w:tcPr>
            <w:tcW w:w="220" w:type="dxa"/>
            <w:vAlign w:val="bottom"/>
            <w:tcBorders>
              <w:bottom w:val="single" w:sz="8" w:color="0090DA"/>
            </w:tcBorders>
          </w:tcPr>
          <w:p>
            <w:pPr>
              <w:spacing w:after="0"/>
              <w:rPr>
                <w:sz w:val="23"/>
                <w:szCs w:val="23"/>
                <w:color w:val="auto"/>
              </w:rPr>
            </w:pPr>
          </w:p>
        </w:tc>
      </w:tr>
      <w:tr>
        <w:trPr>
          <w:trHeight w:val="243"/>
        </w:trPr>
        <w:tc>
          <w:tcPr>
            <w:tcW w:w="44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FQ2-20</w:t>
            </w:r>
          </w:p>
        </w:tc>
        <w:tc>
          <w:tcPr>
            <w:tcW w:w="380" w:type="dxa"/>
            <w:vAlign w:val="bottom"/>
            <w:tcBorders>
              <w:bottom w:val="single" w:sz="8" w:color="0090DA"/>
            </w:tcBorders>
          </w:tcPr>
          <w:p>
            <w:pPr>
              <w:spacing w:after="0"/>
              <w:rPr>
                <w:sz w:val="21"/>
                <w:szCs w:val="21"/>
                <w:color w:val="auto"/>
              </w:rPr>
            </w:pPr>
          </w:p>
        </w:tc>
        <w:tc>
          <w:tcPr>
            <w:tcW w:w="7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FQ1-20</w:t>
            </w:r>
          </w:p>
        </w:tc>
        <w:tc>
          <w:tcPr>
            <w:tcW w:w="36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FQ2-19</w:t>
            </w:r>
          </w:p>
        </w:tc>
        <w:tc>
          <w:tcPr>
            <w:tcW w:w="220" w:type="dxa"/>
            <w:vAlign w:val="bottom"/>
            <w:tcBorders>
              <w:bottom w:val="single" w:sz="8" w:color="0090DA"/>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FQ2-20</w:t>
            </w:r>
          </w:p>
        </w:tc>
        <w:tc>
          <w:tcPr>
            <w:tcW w:w="200" w:type="dxa"/>
            <w:vAlign w:val="bottom"/>
            <w:tcBorders>
              <w:bottom w:val="single" w:sz="8" w:color="0090DA"/>
            </w:tcBorders>
          </w:tcPr>
          <w:p>
            <w:pPr>
              <w:spacing w:after="0"/>
              <w:rPr>
                <w:sz w:val="21"/>
                <w:szCs w:val="21"/>
                <w:color w:val="auto"/>
              </w:rPr>
            </w:pPr>
          </w:p>
        </w:tc>
        <w:tc>
          <w:tcPr>
            <w:tcW w:w="90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FQ1-20</w:t>
            </w:r>
          </w:p>
        </w:tc>
        <w:tc>
          <w:tcPr>
            <w:tcW w:w="4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FQ2-19</w:t>
            </w:r>
          </w:p>
        </w:tc>
        <w:tc>
          <w:tcPr>
            <w:tcW w:w="220" w:type="dxa"/>
            <w:vAlign w:val="bottom"/>
            <w:tcBorders>
              <w:bottom w:val="single" w:sz="8" w:color="0090DA"/>
            </w:tcBorders>
          </w:tcPr>
          <w:p>
            <w:pPr>
              <w:spacing w:after="0"/>
              <w:rPr>
                <w:sz w:val="21"/>
                <w:szCs w:val="21"/>
                <w:color w:val="auto"/>
              </w:rPr>
            </w:pPr>
          </w:p>
        </w:tc>
      </w:tr>
      <w:tr>
        <w:trPr>
          <w:trHeight w:val="40"/>
        </w:trPr>
        <w:tc>
          <w:tcPr>
            <w:tcW w:w="4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7"/>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4,797</w:t>
            </w:r>
          </w:p>
        </w:tc>
        <w:tc>
          <w:tcPr>
            <w:tcW w:w="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5,144</w:t>
            </w:r>
          </w:p>
        </w:tc>
        <w:tc>
          <w:tcPr>
            <w:tcW w:w="3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5,835</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4,797</w:t>
            </w: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   5,144</w:t>
            </w:r>
          </w:p>
        </w:tc>
        <w:tc>
          <w:tcPr>
            <w:tcW w:w="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5,835</w:t>
            </w:r>
          </w:p>
        </w:tc>
        <w:tc>
          <w:tcPr>
            <w:tcW w:w="220" w:type="dxa"/>
            <w:vAlign w:val="bottom"/>
            <w:shd w:val="clear" w:color="auto" w:fill="DDDDDD"/>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900" w:type="dxa"/>
            <w:vAlign w:val="bottom"/>
          </w:tcPr>
          <w:p>
            <w:pPr>
              <w:jc w:val="right"/>
              <w:spacing w:after="0"/>
              <w:rPr>
                <w:sz w:val="20"/>
                <w:szCs w:val="20"/>
                <w:color w:val="auto"/>
              </w:rPr>
            </w:pPr>
            <w:r>
              <w:rPr>
                <w:rFonts w:ascii="Arial" w:cs="Arial" w:eastAsia="Arial" w:hAnsi="Arial"/>
                <w:sz w:val="18"/>
                <w:szCs w:val="18"/>
                <w:color w:val="auto"/>
              </w:rPr>
              <w:t>1,355</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1,366</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2,928</w:t>
            </w:r>
          </w:p>
        </w:tc>
        <w:tc>
          <w:tcPr>
            <w:tcW w:w="220" w:type="dxa"/>
            <w:vAlign w:val="bottom"/>
          </w:tcPr>
          <w:p>
            <w:pPr>
              <w:spacing w:after="0"/>
              <w:rPr>
                <w:sz w:val="21"/>
                <w:szCs w:val="21"/>
                <w:color w:val="auto"/>
              </w:rPr>
            </w:pP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28.2</w:t>
            </w:r>
          </w:p>
        </w:tc>
        <w:tc>
          <w:tcPr>
            <w:tcW w:w="380" w:type="dxa"/>
            <w:vAlign w:val="bottom"/>
            <w:shd w:val="clear" w:color="auto" w:fill="DDDDDD"/>
          </w:tcPr>
          <w:p>
            <w:pPr>
              <w:jc w:val="right"/>
              <w:ind w:right="90"/>
              <w:spacing w:after="0"/>
              <w:rPr>
                <w:sz w:val="20"/>
                <w:szCs w:val="20"/>
                <w:color w:val="auto"/>
              </w:rPr>
            </w:pPr>
            <w:r>
              <w:rPr>
                <w:rFonts w:ascii="Arial" w:cs="Arial" w:eastAsia="Arial" w:hAnsi="Arial"/>
                <w:sz w:val="18"/>
                <w:szCs w:val="18"/>
                <w:i w:val="1"/>
                <w:iCs w:val="1"/>
                <w:color w:val="auto"/>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26.6</w:t>
            </w:r>
          </w:p>
        </w:tc>
        <w:tc>
          <w:tcPr>
            <w:tcW w:w="360" w:type="dxa"/>
            <w:vAlign w:val="bottom"/>
            <w:shd w:val="clear" w:color="auto" w:fill="DDDDDD"/>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49.1</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29.1</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27.3</w:t>
            </w:r>
          </w:p>
        </w:tc>
        <w:tc>
          <w:tcPr>
            <w:tcW w:w="400" w:type="dxa"/>
            <w:vAlign w:val="bottom"/>
            <w:shd w:val="clear" w:color="auto" w:fill="DDDDDD"/>
          </w:tcPr>
          <w:p>
            <w:pPr>
              <w:jc w:val="right"/>
              <w:ind w:right="110"/>
              <w:spacing w:after="0"/>
              <w:rPr>
                <w:sz w:val="20"/>
                <w:szCs w:val="20"/>
                <w:color w:val="auto"/>
              </w:rPr>
            </w:pPr>
            <w:r>
              <w:rPr>
                <w:rFonts w:ascii="Arial" w:cs="Arial" w:eastAsia="Arial" w:hAnsi="Arial"/>
                <w:sz w:val="18"/>
                <w:szCs w:val="18"/>
                <w:i w:val="1"/>
                <w:iCs w:val="1"/>
                <w:color w:val="auto"/>
              </w:rPr>
              <w:t>%</w:t>
            </w: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50.2</w:t>
            </w:r>
          </w:p>
        </w:tc>
        <w:tc>
          <w:tcPr>
            <w:tcW w:w="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w:t>
            </w: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915</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21"/>
                <w:szCs w:val="21"/>
                <w:color w:val="auto"/>
              </w:rPr>
            </w:pP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440</w:t>
            </w:r>
          </w:p>
        </w:tc>
        <w:tc>
          <w:tcPr>
            <w:tcW w:w="38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594</w:t>
            </w:r>
          </w:p>
        </w:tc>
        <w:tc>
          <w:tcPr>
            <w:tcW w:w="40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2,110</w:t>
            </w:r>
          </w:p>
        </w:tc>
        <w:tc>
          <w:tcPr>
            <w:tcW w:w="220" w:type="dxa"/>
            <w:vAlign w:val="bottom"/>
            <w:shd w:val="clear" w:color="auto" w:fill="DDDDDD"/>
          </w:tcPr>
          <w:p>
            <w:pPr>
              <w:spacing w:after="0"/>
              <w:rPr>
                <w:sz w:val="22"/>
                <w:szCs w:val="22"/>
                <w:color w:val="auto"/>
              </w:rPr>
            </w:pPr>
          </w:p>
        </w:tc>
      </w:tr>
      <w:tr>
        <w:trPr>
          <w:trHeight w:val="250"/>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380" w:type="dxa"/>
            <w:vAlign w:val="bottom"/>
          </w:tcPr>
          <w:p>
            <w:pPr>
              <w:jc w:val="right"/>
              <w:ind w:right="90"/>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10.1</w:t>
            </w:r>
          </w:p>
        </w:tc>
        <w:tc>
          <w:tcPr>
            <w:tcW w:w="360" w:type="dxa"/>
            <w:vAlign w:val="bottom"/>
          </w:tcPr>
          <w:p>
            <w:pPr>
              <w:jc w:val="right"/>
              <w:ind w:right="110"/>
              <w:spacing w:after="0"/>
              <w:rPr>
                <w:sz w:val="20"/>
                <w:szCs w:val="20"/>
                <w:color w:val="auto"/>
              </w:rPr>
            </w:pPr>
            <w:r>
              <w:rPr>
                <w:rFonts w:ascii="Arial" w:cs="Arial" w:eastAsia="Arial" w:hAnsi="Arial"/>
                <w:sz w:val="18"/>
                <w:szCs w:val="18"/>
                <w:i w:val="1"/>
                <w:iCs w:val="1"/>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33.5</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400" w:type="dxa"/>
            <w:vAlign w:val="bottom"/>
          </w:tcPr>
          <w:p>
            <w:pPr>
              <w:jc w:val="right"/>
              <w:ind w:right="110"/>
              <w:spacing w:after="0"/>
              <w:rPr>
                <w:sz w:val="20"/>
                <w:szCs w:val="20"/>
                <w:color w:val="auto"/>
              </w:rPr>
            </w:pPr>
            <w:r>
              <w:rPr>
                <w:rFonts w:ascii="Arial" w:cs="Arial" w:eastAsia="Arial" w:hAnsi="Arial"/>
                <w:sz w:val="18"/>
                <w:szCs w:val="18"/>
                <w:i w:val="1"/>
                <w:i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22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63"/>
        </w:trPr>
        <w:tc>
          <w:tcPr>
            <w:tcW w:w="44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491</w:t>
            </w:r>
          </w:p>
        </w:tc>
        <w:tc>
          <w:tcPr>
            <w:tcW w:w="36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1,619</w:t>
            </w:r>
          </w:p>
        </w:tc>
        <w:tc>
          <w:tcPr>
            <w:tcW w:w="2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517</w:t>
            </w:r>
          </w:p>
        </w:tc>
        <w:tc>
          <w:tcPr>
            <w:tcW w:w="20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548</w:t>
            </w:r>
          </w:p>
        </w:tc>
        <w:tc>
          <w:tcPr>
            <w:tcW w:w="400" w:type="dxa"/>
            <w:vAlign w:val="bottom"/>
            <w:shd w:val="clear" w:color="auto" w:fill="DDDDDD"/>
          </w:tcPr>
          <w:p>
            <w:pPr>
              <w:spacing w:after="0"/>
              <w:rPr>
                <w:sz w:val="22"/>
                <w:szCs w:val="22"/>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1,971</w:t>
            </w:r>
          </w:p>
        </w:tc>
        <w:tc>
          <w:tcPr>
            <w:tcW w:w="220" w:type="dxa"/>
            <w:vAlign w:val="bottom"/>
            <w:shd w:val="clear" w:color="auto" w:fill="DDDDDD"/>
          </w:tcPr>
          <w:p>
            <w:pPr>
              <w:spacing w:after="0"/>
              <w:rPr>
                <w:sz w:val="22"/>
                <w:szCs w:val="22"/>
                <w:color w:val="auto"/>
              </w:rPr>
            </w:pP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r>
    </w:tbl>
    <w:p>
      <w:pPr>
        <w:spacing w:after="0" w:line="364" w:lineRule="exact"/>
        <w:rPr>
          <w:sz w:val="20"/>
          <w:szCs w:val="20"/>
          <w:color w:val="auto"/>
        </w:rPr>
      </w:pPr>
    </w:p>
    <w:p>
      <w:pPr>
        <w:ind w:right="220"/>
        <w:spacing w:after="0" w:line="207"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$1.94 billion for the second quarter of fiscal 2020,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$ 63 million. Micron repurchased approximately 785,000 shares of its common stock for $44 million during the second quarter of fiscal 2020 and ended the quarter with cash, marketable investments, and restricted cash of $8.12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$2.70 billion.</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89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64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3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9"/>
        </w:trPr>
        <w:tc>
          <w:tcPr>
            <w:tcW w:w="664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fiscal 2020:</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3"/>
        </w:trPr>
        <w:tc>
          <w:tcPr>
            <w:tcW w:w="66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FQ3-20</w:t>
            </w:r>
          </w:p>
        </w:tc>
        <w:tc>
          <w:tcPr>
            <w:tcW w:w="23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 xml:space="preserve">Non-GAAP </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6"/>
        </w:trPr>
        <w:tc>
          <w:tcPr>
            <w:tcW w:w="66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36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rPr>
              <w:t>$4.6 billion - $5.2 billion</w:t>
            </w:r>
          </w:p>
        </w:tc>
        <w:tc>
          <w:tcPr>
            <w:tcW w:w="2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$4.6 billion - $5.2 billion</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30% ± 1.5%</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31% ±1.5%</w:t>
            </w:r>
          </w:p>
        </w:tc>
      </w:tr>
      <w:tr>
        <w:trPr>
          <w:trHeight w:val="257"/>
        </w:trPr>
        <w:tc>
          <w:tcPr>
            <w:tcW w:w="66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36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rPr>
              <w:t>$891 million ± $25 million</w:t>
            </w:r>
          </w:p>
        </w:tc>
        <w:tc>
          <w:tcPr>
            <w:tcW w:w="2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$825 million ± $25 million</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$38 million</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$35 million</w:t>
            </w:r>
          </w:p>
        </w:tc>
      </w:tr>
      <w:tr>
        <w:trPr>
          <w:trHeight w:val="257"/>
        </w:trPr>
        <w:tc>
          <w:tcPr>
            <w:tcW w:w="66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earnings per share</w:t>
            </w:r>
          </w:p>
        </w:tc>
        <w:tc>
          <w:tcPr>
            <w:tcW w:w="236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rPr>
              <w:t>$0.41 ± $0.15</w:t>
            </w:r>
          </w:p>
        </w:tc>
        <w:tc>
          <w:tcPr>
            <w:tcW w:w="224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$0.55 ± $0.15</w:t>
            </w:r>
          </w:p>
        </w:tc>
      </w:tr>
    </w:tbl>
    <w:p>
      <w:pPr>
        <w:spacing w:after="0" w:line="350"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Micron will host a conference call on Wednesday, March 25, 2020 at 2:30 p.m. MT to discuss its second fiscal quarter financial results and provide forward-looking guidance for its third fiscal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the industry, our strategic position, and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18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29"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net cash.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8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180" w:type="dxa"/>
            <w:vAlign w:val="bottom"/>
          </w:tcPr>
          <w:p>
            <w:pPr>
              <w:spacing w:after="0"/>
              <w:rPr>
                <w:sz w:val="20"/>
                <w:szCs w:val="20"/>
                <w:color w:val="auto"/>
              </w:rPr>
            </w:pPr>
          </w:p>
        </w:tc>
        <w:tc>
          <w:tcPr>
            <w:tcW w:w="25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20"/>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27,</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November 28,</w:t>
            </w: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1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28,</w:t>
            </w:r>
          </w:p>
        </w:tc>
      </w:tr>
      <w:tr>
        <w:trPr>
          <w:trHeight w:val="246"/>
        </w:trPr>
        <w:tc>
          <w:tcPr>
            <w:tcW w:w="462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0"/>
        </w:trPr>
        <w:tc>
          <w:tcPr>
            <w:tcW w:w="4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4,797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5,144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5,835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9,941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13,748</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3,442</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3,778</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2,971</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7,220</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6,269</w:t>
            </w:r>
          </w:p>
        </w:tc>
      </w:tr>
      <w:tr>
        <w:trPr>
          <w:trHeight w:val="257"/>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1,366</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2,864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7,479</w:t>
            </w:r>
          </w:p>
        </w:tc>
      </w:tr>
      <w:tr>
        <w:trPr>
          <w:trHeight w:val="257"/>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418</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1,321</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1,212</w:t>
            </w:r>
          </w:p>
        </w:tc>
      </w:tr>
      <w:tr>
        <w:trPr>
          <w:trHeight w:val="257"/>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D1D2D4"/>
          </w:tcPr>
          <w:p>
            <w:pPr>
              <w:spacing w:after="0"/>
              <w:rPr>
                <w:sz w:val="22"/>
                <w:szCs w:val="22"/>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133</w:t>
            </w:r>
          </w:p>
        </w:tc>
      </w:tr>
      <w:tr>
        <w:trPr>
          <w:trHeight w:val="250"/>
        </w:trPr>
        <w:tc>
          <w:tcPr>
            <w:tcW w:w="46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5,716</w:t>
            </w:r>
          </w:p>
        </w:tc>
      </w:tr>
      <w:tr>
        <w:trPr>
          <w:trHeight w:val="263"/>
        </w:trPr>
        <w:tc>
          <w:tcPr>
            <w:tcW w:w="46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96</w:t>
            </w:r>
          </w:p>
        </w:tc>
      </w:tr>
      <w:tr>
        <w:trPr>
          <w:trHeight w:val="263"/>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(60)</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57"/>
        </w:trPr>
        <w:tc>
          <w:tcPr>
            <w:tcW w:w="46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5,677</w:t>
            </w:r>
          </w:p>
        </w:tc>
      </w:tr>
      <w:tr>
        <w:trPr>
          <w:trHeight w:val="257"/>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6"/>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(757)</w:t>
            </w:r>
          </w:p>
        </w:tc>
      </w:tr>
      <w:tr>
        <w:trPr>
          <w:trHeight w:val="250"/>
        </w:trPr>
        <w:tc>
          <w:tcPr>
            <w:tcW w:w="46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57"/>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4,921</w:t>
            </w:r>
          </w:p>
        </w:tc>
      </w:tr>
      <w:tr>
        <w:trPr>
          <w:trHeight w:val="256"/>
        </w:trPr>
        <w:tc>
          <w:tcPr>
            <w:tcW w:w="4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4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462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4,912</w:t>
            </w:r>
          </w:p>
        </w:tc>
      </w:tr>
      <w:tr>
        <w:trPr>
          <w:trHeight w:val="20"/>
        </w:trPr>
        <w:tc>
          <w:tcPr>
            <w:tcW w:w="462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6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0.81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4.37</w:t>
            </w:r>
          </w:p>
        </w:tc>
      </w:tr>
      <w:tr>
        <w:trPr>
          <w:trHeight w:val="250"/>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0.79</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4.24</w:t>
            </w:r>
          </w:p>
        </w:tc>
      </w:tr>
      <w:tr>
        <w:trPr>
          <w:trHeight w:val="263"/>
        </w:trPr>
        <w:tc>
          <w:tcPr>
            <w:tcW w:w="46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D1D2D4"/>
          </w:tcPr>
          <w:p>
            <w:pPr>
              <w:spacing w:after="0"/>
              <w:rPr>
                <w:sz w:val="22"/>
                <w:szCs w:val="22"/>
                <w:color w:val="auto"/>
              </w:rPr>
            </w:pPr>
          </w:p>
        </w:tc>
        <w:tc>
          <w:tcPr>
            <w:tcW w:w="10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1,107</w:t>
            </w:r>
          </w:p>
        </w:tc>
        <w:tc>
          <w:tcPr>
            <w:tcW w:w="16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1,123</w:t>
            </w: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1,157</w:t>
            </w: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8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7"/>
              </w:rPr>
              <w:t>February 27,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8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7,118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6,969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7,152</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803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3,049</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3,419</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3,195</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5,208</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4,943</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5,118</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r>
      <w:tr>
        <w:trPr>
          <w:trHeight w:val="256"/>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15,976</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16,167</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16,503</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1,164</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29,647</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29,352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28,240</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340</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764</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837</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1,228</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579</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575</w:t>
            </w:r>
          </w:p>
        </w:tc>
      </w:tr>
      <w:tr>
        <w:trPr>
          <w:trHeight w:val="281"/>
        </w:trPr>
        <w:tc>
          <w:tcPr>
            <w:tcW w:w="72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49,648</w:t>
            </w:r>
          </w:p>
        </w:tc>
        <w:tc>
          <w:tcPr>
            <w:tcW w:w="3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49,649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6"/>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spacing w:after="0"/>
              <w:rPr>
                <w:sz w:val="22"/>
                <w:szCs w:val="22"/>
                <w:color w:val="auto"/>
              </w:rPr>
            </w:pP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5,408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4,626</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1,310</w:t>
            </w:r>
          </w:p>
        </w:tc>
      </w:tr>
      <w:tr>
        <w:trPr>
          <w:trHeight w:val="250"/>
        </w:trPr>
        <w:tc>
          <w:tcPr>
            <w:tcW w:w="72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447</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w:t>
            </w:r>
          </w:p>
        </w:tc>
      </w:tr>
      <w:tr>
        <w:trPr>
          <w:trHeight w:val="257"/>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5,822</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6,317</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6,390</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5,188</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5,188</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4,541</w:t>
            </w:r>
          </w:p>
        </w:tc>
      </w:tr>
      <w:tr>
        <w:trPr>
          <w:trHeight w:val="263"/>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548</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636</w:t>
            </w: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426</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452</w:t>
            </w:r>
          </w:p>
        </w:tc>
      </w:tr>
      <w:tr>
        <w:trPr>
          <w:trHeight w:val="250"/>
        </w:trPr>
        <w:tc>
          <w:tcPr>
            <w:tcW w:w="728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12,527</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13,051</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12,019</w:t>
            </w:r>
          </w:p>
        </w:tc>
      </w:tr>
      <w:tr>
        <w:trPr>
          <w:trHeight w:val="203"/>
        </w:trPr>
        <w:tc>
          <w:tcPr>
            <w:tcW w:w="728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340" w:type="dxa"/>
            <w:vAlign w:val="bottom"/>
            <w:shd w:val="clear" w:color="auto" w:fill="D1D2D4"/>
          </w:tcPr>
          <w:p>
            <w:pPr>
              <w:spacing w:after="0"/>
              <w:rPr>
                <w:sz w:val="17"/>
                <w:szCs w:val="17"/>
                <w:color w:val="auto"/>
              </w:rPr>
            </w:pPr>
          </w:p>
        </w:tc>
        <w:tc>
          <w:tcPr>
            <w:tcW w:w="102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72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23"/>
        </w:trPr>
        <w:tc>
          <w:tcPr>
            <w:tcW w:w="72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118</w:t>
            </w:r>
          </w:p>
        </w:tc>
      </w:tr>
      <w:tr>
        <w:trPr>
          <w:trHeight w:val="250"/>
        </w:trPr>
        <w:tc>
          <w:tcPr>
            <w:tcW w:w="728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8,725</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8,428</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8,214</w:t>
            </w:r>
          </w:p>
        </w:tc>
      </w:tr>
      <w:tr>
        <w:trPr>
          <w:trHeight w:val="263"/>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31,602</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31,218</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30,761</w:t>
            </w:r>
          </w:p>
        </w:tc>
      </w:tr>
      <w:tr>
        <w:trPr>
          <w:trHeight w:val="250"/>
        </w:trPr>
        <w:tc>
          <w:tcPr>
            <w:tcW w:w="728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(3,414)</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(3,271)</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(3,221)</w:t>
            </w:r>
          </w:p>
        </w:tc>
      </w:tr>
      <w:tr>
        <w:trPr>
          <w:trHeight w:val="257"/>
        </w:trPr>
        <w:tc>
          <w:tcPr>
            <w:tcW w:w="72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9</w:t>
            </w:r>
          </w:p>
        </w:tc>
      </w:tr>
      <w:tr>
        <w:trPr>
          <w:trHeight w:val="250"/>
        </w:trPr>
        <w:tc>
          <w:tcPr>
            <w:tcW w:w="728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37,023</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36,500</w:t>
            </w:r>
          </w:p>
        </w:tc>
        <w:tc>
          <w:tcPr>
            <w:tcW w:w="1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35,881</w:t>
            </w: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22"/>
                <w:szCs w:val="22"/>
                <w:color w:val="auto"/>
              </w:rPr>
            </w:pP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889</w:t>
            </w:r>
          </w:p>
        </w:tc>
      </w:tr>
      <w:tr>
        <w:trPr>
          <w:trHeight w:val="250"/>
        </w:trPr>
        <w:tc>
          <w:tcPr>
            <w:tcW w:w="728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37,023</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36,500</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36,770</w:t>
            </w:r>
          </w:p>
        </w:tc>
      </w:tr>
      <w:tr>
        <w:trPr>
          <w:trHeight w:val="282"/>
        </w:trPr>
        <w:tc>
          <w:tcPr>
            <w:tcW w:w="72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49,648</w:t>
            </w:r>
          </w:p>
        </w:tc>
        <w:tc>
          <w:tcPr>
            <w:tcW w:w="3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49,649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48,887</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86"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8"/>
              </w:rPr>
              <w:t>February 27,</w:t>
            </w:r>
          </w:p>
        </w:tc>
        <w:tc>
          <w:tcPr>
            <w:tcW w:w="16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February 28,</w:t>
            </w:r>
          </w:p>
        </w:tc>
      </w:tr>
      <w:tr>
        <w:trPr>
          <w:trHeight w:val="246"/>
        </w:trPr>
        <w:tc>
          <w:tcPr>
            <w:tcW w:w="86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8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4,921</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2,648</w:t>
            </w: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29</w:t>
            </w:r>
          </w:p>
        </w:tc>
      </w:tr>
      <w:tr>
        <w:trPr>
          <w:trHeight w:val="250"/>
        </w:trPr>
        <w:tc>
          <w:tcPr>
            <w:tcW w:w="86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118</w:t>
            </w:r>
          </w:p>
        </w:tc>
      </w:tr>
      <w:tr>
        <w:trPr>
          <w:trHeight w:val="263"/>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on debt prepayments, repurchases, and conversions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69</w:t>
            </w:r>
          </w:p>
        </w:tc>
      </w:tr>
      <w:tr>
        <w:trPr>
          <w:trHeight w:val="257"/>
        </w:trPr>
        <w:tc>
          <w:tcPr>
            <w:tcW w:w="860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86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1,202</w:t>
            </w: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63"/>
        </w:trPr>
        <w:tc>
          <w:tcPr>
            <w:tcW w:w="86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(326)</w:t>
            </w:r>
          </w:p>
        </w:tc>
      </w:tr>
      <w:tr>
        <w:trPr>
          <w:trHeight w:val="250"/>
        </w:trPr>
        <w:tc>
          <w:tcPr>
            <w:tcW w:w="8600" w:type="dxa"/>
            <w:vAlign w:val="bottom"/>
          </w:tcPr>
          <w:p>
            <w:pPr>
              <w:ind w:left="46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320</w:t>
            </w:r>
          </w:p>
        </w:tc>
      </w:tr>
      <w:tr>
        <w:trPr>
          <w:trHeight w:val="257"/>
        </w:trPr>
        <w:tc>
          <w:tcPr>
            <w:tcW w:w="86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64</w:t>
            </w:r>
          </w:p>
        </w:tc>
      </w:tr>
      <w:tr>
        <w:trPr>
          <w:trHeight w:val="250"/>
        </w:trPr>
        <w:tc>
          <w:tcPr>
            <w:tcW w:w="860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4,012</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8,245</w:t>
            </w:r>
          </w:p>
        </w:tc>
      </w:tr>
      <w:tr>
        <w:trPr>
          <w:trHeight w:val="243"/>
        </w:trPr>
        <w:tc>
          <w:tcPr>
            <w:tcW w:w="860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00" w:type="dxa"/>
            <w:vAlign w:val="bottom"/>
            <w:shd w:val="clear" w:color="auto" w:fill="D1D2D4"/>
          </w:tcPr>
          <w:p>
            <w:pPr>
              <w:spacing w:after="0"/>
              <w:rPr>
                <w:sz w:val="21"/>
                <w:szCs w:val="21"/>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(5,349)</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(2,566)</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1,059</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160</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391</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455</w:t>
            </w:r>
          </w:p>
        </w:tc>
      </w:tr>
      <w:tr>
        <w:trPr>
          <w:trHeight w:val="250"/>
        </w:trPr>
        <w:tc>
          <w:tcPr>
            <w:tcW w:w="86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86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(2,899)</w:t>
            </w:r>
          </w:p>
        </w:tc>
        <w:tc>
          <w:tcPr>
            <w:tcW w:w="16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(6,919)</w:t>
            </w:r>
          </w:p>
        </w:tc>
      </w:tr>
      <w:tr>
        <w:trPr>
          <w:trHeight w:val="243"/>
        </w:trPr>
        <w:tc>
          <w:tcPr>
            <w:tcW w:w="8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(705)</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(2,568)</w:t>
            </w:r>
          </w:p>
        </w:tc>
      </w:tr>
      <w:tr>
        <w:trPr>
          <w:trHeight w:val="263"/>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w:t>
            </w: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1,800</w:t>
            </w:r>
          </w:p>
        </w:tc>
      </w:tr>
      <w:tr>
        <w:trPr>
          <w:trHeight w:val="257"/>
        </w:trPr>
        <w:tc>
          <w:tcPr>
            <w:tcW w:w="8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27</w:t>
            </w:r>
          </w:p>
        </w:tc>
      </w:tr>
      <w:tr>
        <w:trPr>
          <w:trHeight w:val="250"/>
        </w:trPr>
        <w:tc>
          <w:tcPr>
            <w:tcW w:w="860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(1,483)</w:t>
            </w:r>
          </w:p>
        </w:tc>
      </w:tr>
      <w:tr>
        <w:trPr>
          <w:trHeight w:val="243"/>
        </w:trPr>
        <w:tc>
          <w:tcPr>
            <w:tcW w:w="860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00" w:type="dxa"/>
            <w:vAlign w:val="bottom"/>
            <w:shd w:val="clear" w:color="auto" w:fill="D1D2D4"/>
          </w:tcPr>
          <w:p>
            <w:pPr>
              <w:spacing w:after="0"/>
              <w:rPr>
                <w:sz w:val="21"/>
                <w:szCs w:val="21"/>
                <w:color w:val="auto"/>
              </w:rPr>
            </w:pPr>
          </w:p>
        </w:tc>
      </w:tr>
      <w:tr>
        <w:trPr>
          <w:trHeight w:val="256"/>
        </w:trPr>
        <w:tc>
          <w:tcPr>
            <w:tcW w:w="860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860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bl>
    <w:p>
      <w:pPr>
        <w:spacing w:after="0" w:line="26"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right="2620"/>
        <w:spacing w:after="0" w:line="339" w:lineRule="auto"/>
        <w:rPr>
          <w:sz w:val="20"/>
          <w:szCs w:val="20"/>
          <w:color w:val="auto"/>
        </w:rPr>
      </w:pPr>
      <w:r>
        <w:rPr>
          <w:rFonts w:ascii="Arial" w:cs="Arial" w:eastAsia="Arial" w:hAnsi="Arial"/>
          <w:sz w:val="17"/>
          <w:szCs w:val="17"/>
          <w:color w:val="auto"/>
        </w:rPr>
        <w:t>Net decrease in cash, cash equivalents, and restricted cash 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cash equivalents, and restricted cash at end of period</w:t>
      </w:r>
    </w:p>
    <w:p>
      <w:pPr>
        <w:spacing w:after="0" w:line="20" w:lineRule="exact"/>
        <w:rPr>
          <w:sz w:val="20"/>
          <w:szCs w:val="20"/>
          <w:color w:val="auto"/>
        </w:rPr>
      </w:pPr>
      <w:r>
        <w:rPr>
          <w:sz w:val="20"/>
          <w:szCs w:val="20"/>
          <w:color w:val="auto"/>
        </w:rPr>
        <w:br w:type="column"/>
      </w:r>
    </w:p>
    <w:p>
      <w:pPr>
        <w:ind w:left="2100" w:hanging="1331"/>
        <w:spacing w:after="0"/>
        <w:tabs>
          <w:tab w:leader="none" w:pos="2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(158)</w:t>
      </w:r>
    </w:p>
    <w:p>
      <w:pPr>
        <w:spacing w:after="0" w:line="61"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7,279</w:t>
      </w:r>
      <w:r>
        <w:rPr>
          <w:rFonts w:ascii="Arial" w:cs="Arial" w:eastAsia="Arial" w:hAnsi="Arial"/>
          <w:sz w:val="17"/>
          <w:szCs w:val="17"/>
          <w:color w:val="auto"/>
        </w:rPr>
        <w:t>6,587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680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43" w:lineRule="exact"/>
        <w:rPr>
          <w:sz w:val="20"/>
          <w:szCs w:val="20"/>
          <w:color w:val="auto"/>
        </w:rPr>
      </w:pPr>
    </w:p>
    <w:p>
      <w:pPr>
        <w:spacing w:after="0"/>
        <w:tabs>
          <w:tab w:leader="none" w:pos="660" w:val="left"/>
          <w:tab w:leader="none" w:pos="1300" w:val="left"/>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7,171</w:t>
        <w:tab/>
        <w:t>$</w:t>
      </w:r>
      <w:r>
        <w:rPr>
          <w:sz w:val="20"/>
          <w:szCs w:val="20"/>
          <w:color w:val="auto"/>
        </w:rPr>
        <w:tab/>
      </w:r>
      <w:r>
        <w:rPr>
          <w:rFonts w:ascii="Arial" w:cs="Arial" w:eastAsia="Arial" w:hAnsi="Arial"/>
          <w:sz w:val="17"/>
          <w:szCs w:val="17"/>
          <w:color w:val="auto"/>
        </w:rPr>
        <w:t>6,429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680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2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40640</wp:posOffset>
            </wp:positionV>
            <wp:extent cx="1680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900" w:space="720"/>
            <w:col w:w="262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Property, Plant, and Equipment</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re-use rates, we revised the estimated useful lives of equipment in our NAND wafer fabrication facilities and our research and development facilities from five years to seven years as of the beginning of the first quarter of fiscal 2020. As a result, we estimate the reduction in non-cash depreciation expense for assets existing at that time benefited operating income and net income by approximately $125 million and diluted earnings per share by approximately $0.11 for the second quarter of fiscal 2020, and benefited operating income and net income by approximately $200 million and diluted earnings per share by approximately $0.17 for the first six months of fiscal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Adoption of Lease Accounting Standard</w:t>
      </w:r>
    </w:p>
    <w:p>
      <w:pPr>
        <w:spacing w:after="0" w:line="2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the first quarter of fiscal 2020, we adopted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In adoption, we applied the modified retrospective method and elected to not recast prior periods. As a result, we recognized $567 million for operating lease liabilities and right-of-use assets and reclassified an additional $66 million of other balances to right-of-use assets to conform to the new presentation requirements of ASC 842.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Activity</w:t>
      </w:r>
    </w:p>
    <w:p>
      <w:pPr>
        <w:spacing w:after="0" w:line="2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Subsequent to the second quarter of fiscal 2020, on March 13, 2020, we drew the $2.5 billion available under our revolving credit facility. Borrowings under the revolving credit facility are scheduled to mature on July 3, 2023, and we may repay amounts borrowed any time without penalty. The revolving credit facility bears interest at a rate equal to LIBOR plus 1.25% based on our current corporate credit rating and leverage ratio.</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80" w:type="dxa"/>
            <w:vAlign w:val="bottom"/>
          </w:tcPr>
          <w:p>
            <w:pPr>
              <w:spacing w:after="0"/>
              <w:rPr>
                <w:sz w:val="20"/>
                <w:szCs w:val="20"/>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0" w:type="dxa"/>
            <w:vAlign w:val="bottom"/>
          </w:tcPr>
          <w:p>
            <w:pPr>
              <w:spacing w:after="0"/>
              <w:rPr>
                <w:sz w:val="1"/>
                <w:szCs w:val="1"/>
                <w:color w:val="auto"/>
              </w:rPr>
            </w:pPr>
          </w:p>
        </w:tc>
      </w:tr>
      <w:tr>
        <w:trPr>
          <w:trHeight w:val="220"/>
        </w:trPr>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27,</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November 28,</w:t>
            </w:r>
          </w:p>
        </w:tc>
        <w:tc>
          <w:tcPr>
            <w:tcW w:w="14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46"/>
        </w:trPr>
        <w:tc>
          <w:tcPr>
            <w:tcW w:w="72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0"/>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1,355</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856</w:t>
            </w:r>
          </w:p>
        </w:tc>
        <w:tc>
          <w:tcPr>
            <w:tcW w:w="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811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2"/>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542</w:t>
            </w:r>
          </w:p>
        </w:tc>
        <w:tc>
          <w:tcPr>
            <w:tcW w:w="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594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income attributable to Micron</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405</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debt discount and other costs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(Gain) loss on debt repurchases and conversions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0"/>
        </w:trPr>
        <w:tc>
          <w:tcPr>
            <w:tcW w:w="7280" w:type="dxa"/>
            <w:vAlign w:val="bottom"/>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3"/>
        </w:trPr>
        <w:tc>
          <w:tcPr>
            <w:tcW w:w="72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Impact of U.S. income tax reform</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8"/>
        </w:trPr>
        <w:tc>
          <w:tcPr>
            <w:tcW w:w="7280" w:type="dxa"/>
            <w:vAlign w:val="bottom"/>
          </w:tcPr>
          <w:p>
            <w:pPr>
              <w:ind w:left="140"/>
              <w:spacing w:after="0" w:line="189" w:lineRule="exact"/>
              <w:rPr>
                <w:sz w:val="20"/>
                <w:szCs w:val="20"/>
                <w:color w:val="auto"/>
              </w:rPr>
            </w:pPr>
            <w:r>
              <w:rPr>
                <w:rFonts w:ascii="Arial" w:cs="Arial" w:eastAsia="Arial" w:hAnsi="Arial"/>
                <w:sz w:val="18"/>
                <w:szCs w:val="18"/>
                <w:color w:val="auto"/>
              </w:rPr>
              <w:t>Estimated tax effects of above, non-cash changes in net deferred income taxes, and</w:t>
            </w:r>
          </w:p>
        </w:tc>
        <w:tc>
          <w:tcPr>
            <w:tcW w:w="120" w:type="dxa"/>
            <w:vAlign w:val="bottom"/>
          </w:tcPr>
          <w:p>
            <w:pPr>
              <w:spacing w:after="0"/>
              <w:rPr>
                <w:sz w:val="16"/>
                <w:szCs w:val="16"/>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6"/>
                <w:szCs w:val="16"/>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6"/>
                <w:szCs w:val="16"/>
                <w:color w:val="auto"/>
              </w:rPr>
            </w:pPr>
          </w:p>
        </w:tc>
        <w:tc>
          <w:tcPr>
            <w:tcW w:w="1200" w:type="dxa"/>
            <w:vAlign w:val="bottom"/>
            <w:vMerge w:val="restart"/>
          </w:tcPr>
          <w:p>
            <w:pPr>
              <w:jc w:val="right"/>
              <w:ind w:right="7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7"/>
        </w:trPr>
        <w:tc>
          <w:tcPr>
            <w:tcW w:w="7280" w:type="dxa"/>
            <w:vAlign w:val="bottom"/>
            <w:tcBorders>
              <w:bottom w:val="single" w:sz="8" w:color="D1D2D4"/>
            </w:tcBorders>
          </w:tcPr>
          <w:p>
            <w:pPr>
              <w:ind w:left="300"/>
              <w:spacing w:after="0"/>
              <w:rPr>
                <w:sz w:val="20"/>
                <w:szCs w:val="20"/>
                <w:color w:val="auto"/>
              </w:rPr>
            </w:pPr>
            <w:r>
              <w:rPr>
                <w:rFonts w:ascii="Arial" w:cs="Arial" w:eastAsia="Arial" w:hAnsi="Arial"/>
                <w:sz w:val="18"/>
                <w:szCs w:val="18"/>
                <w:color w:val="auto"/>
              </w:rPr>
              <w:t>assessments of tax exposures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 attributable to Micron</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517</w:t>
            </w:r>
          </w:p>
        </w:tc>
        <w:tc>
          <w:tcPr>
            <w:tcW w:w="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548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1,133</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56"/>
        </w:trPr>
        <w:tc>
          <w:tcPr>
            <w:tcW w:w="72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capped calls and stock-based compensation</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120" w:type="dxa"/>
            <w:vAlign w:val="bottom"/>
            <w:tcBorders>
              <w:bottom w:val="single" w:sz="8" w:color="auto"/>
            </w:tcBorders>
            <w:shd w:val="clear" w:color="auto" w:fill="D1D2D4"/>
          </w:tcPr>
          <w:p>
            <w:pPr>
              <w:spacing w:after="0"/>
              <w:rPr>
                <w:sz w:val="23"/>
                <w:szCs w:val="23"/>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1,144</w:t>
            </w:r>
          </w:p>
        </w:tc>
        <w:tc>
          <w:tcPr>
            <w:tcW w:w="280" w:type="dxa"/>
            <w:vAlign w:val="bottom"/>
            <w:tcBorders>
              <w:bottom w:val="single" w:sz="8" w:color="auto"/>
            </w:tcBorders>
            <w:shd w:val="clear" w:color="auto" w:fill="D1D2D4"/>
          </w:tcPr>
          <w:p>
            <w:pPr>
              <w:spacing w:after="0"/>
              <w:rPr>
                <w:sz w:val="23"/>
                <w:szCs w:val="23"/>
                <w:color w:val="auto"/>
              </w:rPr>
            </w:pP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1,138</w:t>
            </w:r>
          </w:p>
        </w:tc>
        <w:tc>
          <w:tcPr>
            <w:tcW w:w="140" w:type="dxa"/>
            <w:vAlign w:val="bottom"/>
            <w:tcBorders>
              <w:bottom w:val="single" w:sz="8" w:color="auto"/>
            </w:tcBorders>
            <w:shd w:val="clear" w:color="auto" w:fill="D1D2D4"/>
          </w:tcPr>
          <w:p>
            <w:pPr>
              <w:spacing w:after="0"/>
              <w:rPr>
                <w:sz w:val="23"/>
                <w:szCs w:val="23"/>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6"/>
        </w:trPr>
        <w:tc>
          <w:tcPr>
            <w:tcW w:w="72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0.09</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0.45</w:t>
            </w:r>
          </w:p>
        </w:tc>
        <w:tc>
          <w:tcPr>
            <w:tcW w:w="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0.48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86"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13"/>
        </w:trPr>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2nd Qtr.</w:t>
            </w:r>
          </w:p>
        </w:tc>
        <w:tc>
          <w:tcPr>
            <w:tcW w:w="28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r>
      <w:tr>
        <w:trPr>
          <w:trHeight w:val="220"/>
        </w:trPr>
        <w:tc>
          <w:tcPr>
            <w:tcW w:w="7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8"/>
              </w:rPr>
              <w:t>February 27,</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November 28,</w:t>
            </w:r>
          </w:p>
        </w:tc>
        <w:tc>
          <w:tcPr>
            <w:tcW w:w="14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rPr>
              <w:t>February 28,</w:t>
            </w:r>
          </w:p>
        </w:tc>
      </w:tr>
      <w:tr>
        <w:trPr>
          <w:trHeight w:val="246"/>
        </w:trPr>
        <w:tc>
          <w:tcPr>
            <w:tcW w:w="72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r>
      <w:tr>
        <w:trPr>
          <w:trHeight w:val="40"/>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7"/>
        </w:trPr>
        <w:tc>
          <w:tcPr>
            <w:tcW w:w="72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3,435</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7280" w:type="dxa"/>
            <w:vAlign w:val="bottom"/>
            <w:shd w:val="clear" w:color="auto" w:fill="D1D2D4"/>
          </w:tcPr>
          <w:p>
            <w:pPr>
              <w:ind w:left="140"/>
              <w:spacing w:after="0" w:line="263" w:lineRule="exact"/>
              <w:rPr>
                <w:sz w:val="20"/>
                <w:szCs w:val="20"/>
                <w:color w:val="auto"/>
              </w:rPr>
            </w:pPr>
            <w:r>
              <w:rPr>
                <w:rFonts w:ascii="Arial" w:cs="Arial" w:eastAsia="Arial" w:hAnsi="Arial"/>
                <w:sz w:val="18"/>
                <w:szCs w:val="18"/>
                <w:color w:val="auto"/>
              </w:rPr>
              <w:t xml:space="preserve">Expenditures for property, plant, and equipment, net </w:t>
            </w:r>
            <w:r>
              <w:rPr>
                <w:rFonts w:ascii="Arial" w:cs="Arial" w:eastAsia="Arial" w:hAnsi="Arial"/>
                <w:sz w:val="23"/>
                <w:szCs w:val="23"/>
                <w:color w:val="auto"/>
                <w:vertAlign w:val="superscript"/>
              </w:rPr>
              <w:t>(1)</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D1D2D4"/>
          </w:tcPr>
          <w:p>
            <w:pPr>
              <w:spacing w:after="0"/>
              <w:rPr>
                <w:sz w:val="22"/>
                <w:szCs w:val="22"/>
                <w:color w:val="auto"/>
              </w:rPr>
            </w:pPr>
          </w:p>
        </w:tc>
        <w:tc>
          <w:tcPr>
            <w:tcW w:w="10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(1,936)</w:t>
            </w: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(2,629)</w:t>
            </w:r>
          </w:p>
        </w:tc>
      </w:tr>
      <w:tr>
        <w:trPr>
          <w:trHeight w:val="257"/>
        </w:trPr>
        <w:tc>
          <w:tcPr>
            <w:tcW w:w="7280" w:type="dxa"/>
            <w:vAlign w:val="bottom"/>
          </w:tcPr>
          <w:p>
            <w:pPr>
              <w:ind w:left="14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72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Amounts funded by partners</w:t>
            </w:r>
          </w:p>
        </w:tc>
        <w:tc>
          <w:tcPr>
            <w:tcW w:w="120" w:type="dxa"/>
            <w:vAlign w:val="bottom"/>
            <w:tcBorders>
              <w:bottom w:val="single" w:sz="8" w:color="auto"/>
            </w:tcBorders>
            <w:shd w:val="clear" w:color="auto" w:fill="D1D2D4"/>
          </w:tcPr>
          <w:p>
            <w:pPr>
              <w:spacing w:after="0"/>
              <w:rPr>
                <w:sz w:val="22"/>
                <w:szCs w:val="22"/>
                <w:color w:val="auto"/>
              </w:rPr>
            </w:pP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auto"/>
            </w:tcBorders>
            <w:shd w:val="clear" w:color="auto" w:fill="D1D2D4"/>
          </w:tcPr>
          <w:p>
            <w:pPr>
              <w:spacing w:after="0"/>
              <w:rPr>
                <w:sz w:val="22"/>
                <w:szCs w:val="22"/>
                <w:color w:val="auto"/>
              </w:rPr>
            </w:pPr>
          </w:p>
        </w:tc>
        <w:tc>
          <w:tcPr>
            <w:tcW w:w="108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225</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1,014</w:t>
            </w:r>
          </w:p>
        </w:tc>
      </w:tr>
      <w:tr>
        <w:trPr>
          <w:trHeight w:val="21"/>
        </w:trPr>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180" w:hanging="332"/>
        <w:spacing w:after="0" w:line="220" w:lineRule="auto"/>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$43 million for the second quarter of fiscal 2020, $7 million for the first quarter of fiscal 2020, and $20 million for the second quarter of fiscal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7"/>
              </w:rPr>
              <w:t>February 27,</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8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41"/>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7"/>
        </w:trPr>
        <w:tc>
          <w:tcPr>
            <w:tcW w:w="7280" w:type="dxa"/>
            <w:vAlign w:val="bottom"/>
            <w:shd w:val="clear" w:color="auto" w:fill="D1D2D4"/>
          </w:tcPr>
          <w:p>
            <w:pPr>
              <w:ind w:left="40"/>
              <w:spacing w:after="0"/>
              <w:rPr>
                <w:sz w:val="20"/>
                <w:szCs w:val="20"/>
                <w:color w:val="auto"/>
              </w:rPr>
            </w:pPr>
            <w:r>
              <w:rPr>
                <w:rFonts w:ascii="Arial" w:cs="Arial" w:eastAsia="Arial" w:hAnsi="Arial"/>
                <w:sz w:val="18"/>
                <w:szCs w:val="18"/>
                <w:color w:val="auto"/>
              </w:rPr>
              <w:t>Cash and short-term investments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7,481</w:t>
            </w:r>
          </w:p>
        </w:tc>
        <w:tc>
          <w:tcPr>
            <w:tcW w:w="34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7,588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7,955</w:t>
            </w:r>
          </w:p>
        </w:tc>
      </w:tr>
      <w:tr>
        <w:trPr>
          <w:trHeight w:val="256"/>
        </w:trPr>
        <w:tc>
          <w:tcPr>
            <w:tcW w:w="7280" w:type="dxa"/>
            <w:vAlign w:val="bottom"/>
          </w:tcPr>
          <w:p>
            <w:pPr>
              <w:ind w:left="40"/>
              <w:spacing w:after="0"/>
              <w:rPr>
                <w:sz w:val="20"/>
                <w:szCs w:val="20"/>
                <w:color w:val="auto"/>
              </w:rPr>
            </w:pPr>
            <w:r>
              <w:rPr>
                <w:rFonts w:ascii="Arial" w:cs="Arial" w:eastAsia="Arial" w:hAnsi="Arial"/>
                <w:sz w:val="18"/>
                <w:szCs w:val="18"/>
                <w:color w:val="auto"/>
              </w:rPr>
              <w:t>Current and noncurrent restricted cash</w:t>
            </w:r>
          </w:p>
        </w:tc>
        <w:tc>
          <w:tcPr>
            <w:tcW w:w="1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57"/>
        </w:trPr>
        <w:tc>
          <w:tcPr>
            <w:tcW w:w="7280" w:type="dxa"/>
            <w:vAlign w:val="bottom"/>
            <w:shd w:val="clear" w:color="auto" w:fill="D1D2D4"/>
          </w:tcPr>
          <w:p>
            <w:pPr>
              <w:ind w:left="40"/>
              <w:spacing w:after="0"/>
              <w:rPr>
                <w:sz w:val="20"/>
                <w:szCs w:val="20"/>
                <w:color w:val="auto"/>
              </w:rPr>
            </w:pPr>
            <w:r>
              <w:rPr>
                <w:rFonts w:ascii="Arial" w:cs="Arial" w:eastAsia="Arial" w:hAnsi="Arial"/>
                <w:sz w:val="18"/>
                <w:szCs w:val="18"/>
                <w:color w:val="auto"/>
              </w:rPr>
              <w:t>Long-term marketable investments</w:t>
            </w:r>
          </w:p>
        </w:tc>
        <w:tc>
          <w:tcPr>
            <w:tcW w:w="120" w:type="dxa"/>
            <w:vAlign w:val="bottom"/>
            <w:shd w:val="clear" w:color="auto" w:fill="D1D2D4"/>
          </w:tcPr>
          <w:p>
            <w:pPr>
              <w:spacing w:after="0"/>
              <w:rPr>
                <w:sz w:val="22"/>
                <w:szCs w:val="22"/>
                <w:color w:val="auto"/>
              </w:rPr>
            </w:pPr>
          </w:p>
        </w:tc>
        <w:tc>
          <w:tcPr>
            <w:tcW w:w="11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586</w:t>
            </w:r>
          </w:p>
        </w:tc>
        <w:tc>
          <w:tcPr>
            <w:tcW w:w="340" w:type="dxa"/>
            <w:vAlign w:val="bottom"/>
            <w:shd w:val="clear" w:color="auto" w:fill="D1D2D4"/>
          </w:tcPr>
          <w:p>
            <w:pPr>
              <w:spacing w:after="0"/>
              <w:rPr>
                <w:sz w:val="22"/>
                <w:szCs w:val="22"/>
                <w:color w:val="auto"/>
              </w:rPr>
            </w:pPr>
          </w:p>
        </w:tc>
        <w:tc>
          <w:tcPr>
            <w:tcW w:w="10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1,164</w:t>
            </w:r>
          </w:p>
        </w:tc>
      </w:tr>
      <w:tr>
        <w:trPr>
          <w:trHeight w:val="257"/>
        </w:trPr>
        <w:tc>
          <w:tcPr>
            <w:tcW w:w="7280" w:type="dxa"/>
            <w:vAlign w:val="bottom"/>
            <w:tcBorders>
              <w:bottom w:val="single" w:sz="8" w:color="D1D2D4"/>
            </w:tcBorders>
          </w:tcPr>
          <w:p>
            <w:pPr>
              <w:ind w:left="40"/>
              <w:spacing w:after="0"/>
              <w:rPr>
                <w:sz w:val="20"/>
                <w:szCs w:val="20"/>
                <w:color w:val="auto"/>
              </w:rPr>
            </w:pPr>
            <w:r>
              <w:rPr>
                <w:rFonts w:ascii="Arial" w:cs="Arial" w:eastAsia="Arial" w:hAnsi="Arial"/>
                <w:sz w:val="18"/>
                <w:szCs w:val="18"/>
                <w:color w:val="auto"/>
              </w:rPr>
              <w:t>Current and long-term debt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(5,650)</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(5,851)</w:t>
            </w:r>
          </w:p>
        </w:tc>
      </w:tr>
      <w:tr>
        <w:trPr>
          <w:trHeight w:val="275"/>
        </w:trPr>
        <w:tc>
          <w:tcPr>
            <w:tcW w:w="72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Net cash</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2,695</w:t>
            </w:r>
          </w:p>
        </w:tc>
        <w:tc>
          <w:tcPr>
            <w:tcW w:w="34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rPr>
              <w:t>2,663</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3,395</w:t>
            </w:r>
          </w:p>
        </w:tc>
      </w:tr>
      <w:tr>
        <w:trPr>
          <w:trHeight w:val="20"/>
        </w:trPr>
        <w:tc>
          <w:tcPr>
            <w:tcW w:w="72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numbers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U.S. income tax reform for the one-time transition tax, release of U.S. valuation allowance, and remeasurement of net deferred taxes reflecting lower U.S. corporate tax rates;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sectPr>
      </w:pPr>
    </w:p>
    <w:bookmarkStart w:id="11" w:name="page12"/>
    <w:bookmarkEnd w:id="11"/>
    <w:p>
      <w:pPr>
        <w:ind w:right="80"/>
        <w:spacing w:after="0" w:line="254"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capped calls based on the average share price for the period the capped calls are outstanding. Non-GAAP diluted shares are also adjusted for the impact of additional shares resulting from the exclusion of stock-based compensation from non-GAAP income.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20" w:type="dxa"/>
            <w:vAlign w:val="bottom"/>
          </w:tcPr>
          <w:p>
            <w:pPr>
              <w:spacing w:after="0"/>
              <w:rPr>
                <w:sz w:val="21"/>
                <w:szCs w:val="21"/>
                <w:color w:val="auto"/>
              </w:rPr>
            </w:pPr>
          </w:p>
        </w:tc>
        <w:tc>
          <w:tcPr>
            <w:tcW w:w="2720" w:type="dxa"/>
            <w:vAlign w:val="bottom"/>
            <w:gridSpan w:val="3"/>
          </w:tcPr>
          <w:p>
            <w:pPr>
              <w:ind w:left="460"/>
              <w:spacing w:after="0"/>
              <w:rPr>
                <w:sz w:val="20"/>
                <w:szCs w:val="20"/>
                <w:color w:val="auto"/>
              </w:rPr>
            </w:pPr>
            <w:r>
              <w:rPr>
                <w:rFonts w:ascii="Arial" w:cs="Arial" w:eastAsia="Arial" w:hAnsi="Arial"/>
                <w:sz w:val="18"/>
                <w:szCs w:val="18"/>
                <w:b w:val="1"/>
                <w:bCs w:val="1"/>
                <w:color w:val="auto"/>
              </w:rPr>
              <w:t>GAAP Outlook</w:t>
            </w:r>
          </w:p>
        </w:tc>
        <w:tc>
          <w:tcPr>
            <w:tcW w:w="21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Adjustments</w:t>
            </w: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41"/>
        </w:trPr>
        <w:tc>
          <w:tcPr>
            <w:tcW w:w="4220" w:type="dxa"/>
            <w:vAlign w:val="bottom"/>
            <w:tcBorders>
              <w:top w:val="single" w:sz="8" w:color="0090DA"/>
            </w:tcBorders>
          </w:tcPr>
          <w:p>
            <w:pPr>
              <w:spacing w:after="0"/>
              <w:rPr>
                <w:sz w:val="3"/>
                <w:szCs w:val="3"/>
                <w:color w:val="auto"/>
              </w:rPr>
            </w:pPr>
          </w:p>
        </w:tc>
        <w:tc>
          <w:tcPr>
            <w:tcW w:w="222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0090DA"/>
            </w:tcBorders>
          </w:tcPr>
          <w:p>
            <w:pPr>
              <w:spacing w:after="0"/>
              <w:rPr>
                <w:sz w:val="3"/>
                <w:szCs w:val="3"/>
                <w:color w:val="auto"/>
              </w:rPr>
            </w:pPr>
          </w:p>
        </w:tc>
        <w:tc>
          <w:tcPr>
            <w:tcW w:w="18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0090DA"/>
            </w:tcBorders>
          </w:tcPr>
          <w:p>
            <w:pPr>
              <w:spacing w:after="0"/>
              <w:rPr>
                <w:sz w:val="3"/>
                <w:szCs w:val="3"/>
                <w:color w:val="auto"/>
              </w:rPr>
            </w:pPr>
          </w:p>
        </w:tc>
        <w:tc>
          <w:tcPr>
            <w:tcW w:w="2180" w:type="dxa"/>
            <w:vAlign w:val="bottom"/>
            <w:tcBorders>
              <w:top w:val="single" w:sz="8" w:color="0090DA"/>
            </w:tcBorders>
          </w:tcPr>
          <w:p>
            <w:pPr>
              <w:spacing w:after="0"/>
              <w:rPr>
                <w:sz w:val="3"/>
                <w:szCs w:val="3"/>
                <w:color w:val="auto"/>
              </w:rPr>
            </w:pPr>
          </w:p>
        </w:tc>
      </w:tr>
      <w:tr>
        <w:trPr>
          <w:trHeight w:val="256"/>
        </w:trPr>
        <w:tc>
          <w:tcPr>
            <w:tcW w:w="42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720" w:type="dxa"/>
            <w:vAlign w:val="bottom"/>
            <w:gridSpan w:val="3"/>
            <w:shd w:val="clear" w:color="auto" w:fill="DDDDDD"/>
          </w:tcPr>
          <w:p>
            <w:pPr>
              <w:jc w:val="right"/>
              <w:ind w:right="660"/>
              <w:spacing w:after="0"/>
              <w:rPr>
                <w:sz w:val="20"/>
                <w:szCs w:val="20"/>
                <w:color w:val="auto"/>
              </w:rPr>
            </w:pPr>
            <w:r>
              <w:rPr>
                <w:rFonts w:ascii="Arial" w:cs="Arial" w:eastAsia="Arial" w:hAnsi="Arial"/>
                <w:sz w:val="18"/>
                <w:szCs w:val="18"/>
                <w:color w:val="auto"/>
              </w:rPr>
              <w:t>$4.6 billion - $5.2 billion</w:t>
            </w:r>
          </w:p>
        </w:tc>
        <w:tc>
          <w:tcPr>
            <w:tcW w:w="2120" w:type="dxa"/>
            <w:vAlign w:val="bottom"/>
            <w:gridSpan w:val="3"/>
            <w:shd w:val="clear" w:color="auto" w:fill="DDDDDD"/>
          </w:tcPr>
          <w:p>
            <w:pPr>
              <w:jc w:val="right"/>
              <w:ind w:right="136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$4.6 billion - $5.2 billion</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30% ± 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20" w:type="dxa"/>
            <w:vAlign w:val="bottom"/>
            <w:gridSpan w:val="3"/>
          </w:tcPr>
          <w:p>
            <w:pPr>
              <w:jc w:val="right"/>
              <w:ind w:right="1080"/>
              <w:spacing w:after="0"/>
              <w:rPr>
                <w:sz w:val="20"/>
                <w:szCs w:val="20"/>
                <w:color w:val="auto"/>
              </w:rPr>
            </w:pPr>
            <w:r>
              <w:rPr>
                <w:rFonts w:ascii="Arial" w:cs="Arial" w:eastAsia="Arial" w:hAnsi="Arial"/>
                <w:sz w:val="18"/>
                <w:szCs w:val="18"/>
                <w:color w:val="auto"/>
              </w:rPr>
              <w:t>1% A</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31% ±1.5%</w:t>
            </w:r>
          </w:p>
        </w:tc>
      </w:tr>
      <w:tr>
        <w:trPr>
          <w:trHeight w:val="257"/>
        </w:trPr>
        <w:tc>
          <w:tcPr>
            <w:tcW w:w="42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720" w:type="dxa"/>
            <w:vAlign w:val="bottom"/>
            <w:gridSpan w:val="3"/>
            <w:shd w:val="clear" w:color="auto" w:fill="DDDDDD"/>
          </w:tcPr>
          <w:p>
            <w:pPr>
              <w:jc w:val="right"/>
              <w:ind w:right="660"/>
              <w:spacing w:after="0"/>
              <w:rPr>
                <w:sz w:val="20"/>
                <w:szCs w:val="20"/>
                <w:color w:val="auto"/>
              </w:rPr>
            </w:pPr>
            <w:r>
              <w:rPr>
                <w:rFonts w:ascii="Arial" w:cs="Arial" w:eastAsia="Arial" w:hAnsi="Arial"/>
                <w:sz w:val="18"/>
                <w:szCs w:val="18"/>
                <w:color w:val="auto"/>
              </w:rPr>
              <w:t>$891 million ± $25 million</w:t>
            </w:r>
          </w:p>
        </w:tc>
        <w:tc>
          <w:tcPr>
            <w:tcW w:w="2120" w:type="dxa"/>
            <w:vAlign w:val="bottom"/>
            <w:gridSpan w:val="3"/>
            <w:shd w:val="clear" w:color="auto" w:fill="DDDDDD"/>
          </w:tcPr>
          <w:p>
            <w:pPr>
              <w:jc w:val="right"/>
              <w:ind w:right="1080"/>
              <w:spacing w:after="0"/>
              <w:rPr>
                <w:sz w:val="20"/>
                <w:szCs w:val="20"/>
                <w:color w:val="auto"/>
              </w:rPr>
            </w:pPr>
            <w:r>
              <w:rPr>
                <w:rFonts w:ascii="Arial" w:cs="Arial" w:eastAsia="Arial" w:hAnsi="Arial"/>
                <w:sz w:val="18"/>
                <w:szCs w:val="18"/>
                <w:color w:val="auto"/>
                <w:w w:val="98"/>
              </w:rPr>
              <w:t>$66 million B</w:t>
            </w:r>
          </w:p>
        </w:tc>
        <w:tc>
          <w:tcPr>
            <w:tcW w:w="21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w w:val="99"/>
              </w:rPr>
              <w:t>$825 million ± $25 million</w:t>
            </w:r>
          </w:p>
        </w:tc>
      </w:tr>
      <w:tr>
        <w:trPr>
          <w:trHeight w:val="250"/>
        </w:trPr>
        <w:tc>
          <w:tcPr>
            <w:tcW w:w="422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720" w:type="dxa"/>
            <w:vAlign w:val="bottom"/>
            <w:gridSpan w:val="3"/>
          </w:tcPr>
          <w:p>
            <w:pPr>
              <w:jc w:val="right"/>
              <w:ind w:right="660"/>
              <w:spacing w:after="0"/>
              <w:rPr>
                <w:sz w:val="20"/>
                <w:szCs w:val="20"/>
                <w:color w:val="auto"/>
              </w:rPr>
            </w:pPr>
            <w:r>
              <w:rPr>
                <w:rFonts w:ascii="Arial" w:cs="Arial" w:eastAsia="Arial" w:hAnsi="Arial"/>
                <w:sz w:val="18"/>
                <w:szCs w:val="18"/>
                <w:color w:val="auto"/>
              </w:rPr>
              <w:t>$38 million</w:t>
            </w:r>
          </w:p>
        </w:tc>
        <w:tc>
          <w:tcPr>
            <w:tcW w:w="2120" w:type="dxa"/>
            <w:vAlign w:val="bottom"/>
            <w:gridSpan w:val="3"/>
          </w:tcPr>
          <w:p>
            <w:pPr>
              <w:jc w:val="right"/>
              <w:ind w:right="1060"/>
              <w:spacing w:after="0"/>
              <w:rPr>
                <w:sz w:val="20"/>
                <w:szCs w:val="20"/>
                <w:color w:val="auto"/>
              </w:rPr>
            </w:pPr>
            <w:r>
              <w:rPr>
                <w:rFonts w:ascii="Arial" w:cs="Arial" w:eastAsia="Arial" w:hAnsi="Arial"/>
                <w:sz w:val="18"/>
                <w:szCs w:val="18"/>
                <w:color w:val="auto"/>
              </w:rPr>
              <w:t>$3 million C</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$35 million</w:t>
            </w:r>
          </w:p>
        </w:tc>
      </w:tr>
      <w:tr>
        <w:trPr>
          <w:trHeight w:val="263"/>
        </w:trPr>
        <w:tc>
          <w:tcPr>
            <w:tcW w:w="4220" w:type="dxa"/>
            <w:vAlign w:val="bottom"/>
            <w:shd w:val="clear" w:color="auto" w:fill="DDDDDD"/>
          </w:tcPr>
          <w:p>
            <w:pPr>
              <w:ind w:left="20"/>
              <w:spacing w:after="0" w:line="263" w:lineRule="exact"/>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23"/>
                <w:szCs w:val="23"/>
                <w:color w:val="auto"/>
                <w:vertAlign w:val="superscript"/>
              </w:rPr>
              <w:t>(1)</w:t>
            </w:r>
          </w:p>
        </w:tc>
        <w:tc>
          <w:tcPr>
            <w:tcW w:w="222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$0.41 ± $0.15</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2120" w:type="dxa"/>
            <w:vAlign w:val="bottom"/>
            <w:gridSpan w:val="3"/>
            <w:shd w:val="clear" w:color="auto" w:fill="DDDDDD"/>
          </w:tcPr>
          <w:p>
            <w:pPr>
              <w:jc w:val="right"/>
              <w:ind w:right="400"/>
              <w:spacing w:after="0"/>
              <w:rPr>
                <w:sz w:val="20"/>
                <w:szCs w:val="20"/>
                <w:color w:val="auto"/>
              </w:rPr>
            </w:pPr>
            <w:r>
              <w:rPr>
                <w:rFonts w:ascii="Arial" w:cs="Arial" w:eastAsia="Arial" w:hAnsi="Arial"/>
                <w:sz w:val="18"/>
                <w:szCs w:val="18"/>
                <w:color w:val="auto"/>
              </w:rPr>
              <w:t>$0.14 A, B, C, D</w:t>
            </w:r>
          </w:p>
        </w:tc>
        <w:tc>
          <w:tcPr>
            <w:tcW w:w="2180" w:type="dxa"/>
            <w:vAlign w:val="bottom"/>
            <w:shd w:val="clear" w:color="auto" w:fill="DDDDDD"/>
          </w:tcPr>
          <w:p>
            <w:pPr>
              <w:jc w:val="right"/>
              <w:ind w:right="70"/>
              <w:spacing w:after="0"/>
              <w:rPr>
                <w:sz w:val="20"/>
                <w:szCs w:val="20"/>
                <w:color w:val="auto"/>
              </w:rPr>
            </w:pPr>
            <w:r>
              <w:rPr>
                <w:rFonts w:ascii="Arial" w:cs="Arial" w:eastAsia="Arial" w:hAnsi="Arial"/>
                <w:sz w:val="18"/>
                <w:szCs w:val="18"/>
                <w:color w:val="auto"/>
              </w:rPr>
              <w:t>$0.55 ± $0.15</w:t>
            </w:r>
          </w:p>
        </w:tc>
      </w:tr>
      <w:tr>
        <w:trPr>
          <w:trHeight w:val="628"/>
        </w:trPr>
        <w:tc>
          <w:tcPr>
            <w:tcW w:w="42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22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380" w:type="dxa"/>
            <w:vAlign w:val="bottom"/>
            <w:tcBorders>
              <w:bottom w:val="single" w:sz="8" w:color="0090DA"/>
            </w:tcBorders>
          </w:tcPr>
          <w:p>
            <w:pPr>
              <w:spacing w:after="0"/>
              <w:rPr>
                <w:sz w:val="24"/>
                <w:szCs w:val="24"/>
                <w:color w:val="auto"/>
              </w:rPr>
            </w:pPr>
          </w:p>
        </w:tc>
        <w:tc>
          <w:tcPr>
            <w:tcW w:w="188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120" w:type="dxa"/>
            <w:vAlign w:val="bottom"/>
            <w:tcBorders>
              <w:bottom w:val="single" w:sz="8" w:color="0090DA"/>
            </w:tcBorders>
          </w:tcPr>
          <w:p>
            <w:pPr>
              <w:spacing w:after="0"/>
              <w:rPr>
                <w:sz w:val="24"/>
                <w:szCs w:val="24"/>
                <w:color w:val="auto"/>
              </w:rPr>
            </w:pPr>
          </w:p>
        </w:tc>
        <w:tc>
          <w:tcPr>
            <w:tcW w:w="2180" w:type="dxa"/>
            <w:vAlign w:val="bottom"/>
            <w:tcBorders>
              <w:bottom w:val="single" w:sz="8" w:color="0090DA"/>
            </w:tcBorders>
          </w:tcPr>
          <w:p>
            <w:pPr>
              <w:spacing w:after="0"/>
              <w:rPr>
                <w:sz w:val="24"/>
                <w:szCs w:val="24"/>
                <w:color w:val="auto"/>
              </w:rPr>
            </w:pPr>
          </w:p>
        </w:tc>
      </w:tr>
      <w:tr>
        <w:trPr>
          <w:trHeight w:val="41"/>
        </w:trPr>
        <w:tc>
          <w:tcPr>
            <w:tcW w:w="42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56"/>
        </w:trPr>
        <w:tc>
          <w:tcPr>
            <w:tcW w:w="4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2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2120" w:type="dxa"/>
            <w:vAlign w:val="bottom"/>
            <w:gridSpan w:val="3"/>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41</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257"/>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26</w:t>
            </w:r>
          </w:p>
        </w:tc>
      </w:tr>
      <w:tr>
        <w:trPr>
          <w:trHeight w:val="25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56"/>
        </w:trPr>
        <w:tc>
          <w:tcPr>
            <w:tcW w:w="42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  Other – operating expenses</w:t>
            </w:r>
          </w:p>
        </w:tc>
        <w:tc>
          <w:tcPr>
            <w:tcW w:w="22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380" w:type="dxa"/>
            <w:vAlign w:val="bottom"/>
            <w:shd w:val="clear" w:color="auto" w:fill="D1D2D4"/>
          </w:tcPr>
          <w:p>
            <w:pPr>
              <w:spacing w:after="0"/>
              <w:rPr>
                <w:sz w:val="22"/>
                <w:szCs w:val="22"/>
                <w:color w:val="auto"/>
              </w:rPr>
            </w:pP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21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19</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56"/>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88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0" w:type="dxa"/>
            <w:vAlign w:val="bottom"/>
            <w:tcBorders>
              <w:bottom w:val="single" w:sz="8" w:color="auto"/>
            </w:tcBorders>
            <w:shd w:val="clear" w:color="auto" w:fill="D1D2D4"/>
          </w:tcPr>
          <w:p>
            <w:pPr>
              <w:spacing w:after="0"/>
              <w:rPr>
                <w:sz w:val="22"/>
                <w:szCs w:val="22"/>
                <w:color w:val="auto"/>
              </w:rPr>
            </w:pPr>
          </w:p>
        </w:tc>
        <w:tc>
          <w:tcPr>
            <w:tcW w:w="21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41</w:t>
            </w:r>
          </w:p>
        </w:tc>
      </w:tr>
      <w:tr>
        <w:trPr>
          <w:trHeight w:val="244"/>
        </w:trPr>
        <w:tc>
          <w:tcPr>
            <w:tcW w:w="4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158</w:t>
            </w:r>
          </w:p>
        </w:tc>
      </w:tr>
      <w:tr>
        <w:trPr>
          <w:trHeight w:val="27"/>
        </w:trPr>
        <w:tc>
          <w:tcPr>
            <w:tcW w:w="4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180" w:type="dxa"/>
            <w:vAlign w:val="bottom"/>
            <w:tcBorders>
              <w:top w:val="single" w:sz="8" w:color="auto"/>
              <w:bottom w:val="single" w:sz="8" w:color="auto"/>
            </w:tcBorders>
          </w:tcPr>
          <w:p>
            <w:pPr>
              <w:spacing w:after="0"/>
              <w:rPr>
                <w:sz w:val="2"/>
                <w:szCs w:val="2"/>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1.14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08"/>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2020-03-25T15:02:38Z</dcterms:created>
  <dcterms:modified xsi:type="dcterms:W3CDTF">2020-03-25T15:02:38Z</dcterms:modified>
</cp:coreProperties>
</file>