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14,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14, 2013, Michael Rayfield, the Company’s Vice President of Wireless Solutions, entered into a prearranged trading plan under Rule 10b5-1 of the Securities and Exchange Act of 1934. Rule 10b5-1 permits officers and directors of public companies to adopt predetermined plans for selling specified amounts of stock. Mr. Rayfield’s trading plan provides for the sale of up to 116,750 shares of the Company’s stock over a 12-month period beginning in October 2013.</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32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740" w:type="dxa"/>
            <w:vAlign w:val="bottom"/>
          </w:tcPr>
          <w:p>
            <w:pPr>
              <w:spacing w:after="0"/>
              <w:rPr>
                <w:sz w:val="20"/>
                <w:szCs w:val="20"/>
                <w:color w:val="auto"/>
              </w:rPr>
            </w:pPr>
            <w:r>
              <w:rPr>
                <w:rFonts w:ascii="Arial" w:cs="Arial" w:eastAsia="Arial" w:hAnsi="Arial"/>
                <w:sz w:val="18"/>
                <w:szCs w:val="18"/>
                <w:color w:val="auto"/>
              </w:rPr>
              <w:t>Date:   August 19, 2013</w:t>
            </w:r>
          </w:p>
        </w:tc>
        <w:tc>
          <w:tcPr>
            <w:tcW w:w="3980" w:type="dxa"/>
            <w:vAlign w:val="bottom"/>
          </w:tcPr>
          <w:p>
            <w:pPr>
              <w:ind w:left="320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740" w:type="dxa"/>
            <w:vAlign w:val="bottom"/>
          </w:tcPr>
          <w:p>
            <w:pPr>
              <w:spacing w:after="0"/>
              <w:rPr>
                <w:sz w:val="17"/>
                <w:szCs w:val="17"/>
                <w:color w:val="auto"/>
              </w:rPr>
            </w:pPr>
          </w:p>
        </w:tc>
        <w:tc>
          <w:tcPr>
            <w:tcW w:w="3980" w:type="dxa"/>
            <w:vAlign w:val="bottom"/>
          </w:tcPr>
          <w:p>
            <w:pPr>
              <w:ind w:left="320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740" w:type="dxa"/>
            <w:vAlign w:val="bottom"/>
          </w:tcPr>
          <w:p>
            <w:pPr>
              <w:spacing w:after="0"/>
              <w:rPr>
                <w:sz w:val="18"/>
                <w:szCs w:val="18"/>
                <w:color w:val="auto"/>
              </w:rPr>
            </w:pPr>
          </w:p>
        </w:tc>
        <w:tc>
          <w:tcPr>
            <w:tcW w:w="3980" w:type="dxa"/>
            <w:vAlign w:val="bottom"/>
          </w:tcPr>
          <w:p>
            <w:pPr>
              <w:ind w:left="320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7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459"/>
        </w:trPr>
        <w:tc>
          <w:tcPr>
            <w:tcW w:w="3740" w:type="dxa"/>
            <w:vAlign w:val="bottom"/>
          </w:tcPr>
          <w:p>
            <w:pPr>
              <w:spacing w:after="0"/>
              <w:rPr>
                <w:sz w:val="24"/>
                <w:szCs w:val="24"/>
                <w:color w:val="auto"/>
              </w:rPr>
            </w:pPr>
          </w:p>
        </w:tc>
        <w:tc>
          <w:tcPr>
            <w:tcW w:w="3980" w:type="dxa"/>
            <w:vAlign w:val="bottom"/>
          </w:tcPr>
          <w:p>
            <w:pPr>
              <w:ind w:left="192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740" w:type="dxa"/>
            <w:vAlign w:val="bottom"/>
            <w:shd w:val="clear" w:color="auto" w:fill="808080"/>
          </w:tcPr>
          <w:p>
            <w:pPr>
              <w:spacing w:after="0"/>
              <w:rPr>
                <w:sz w:val="6"/>
                <w:szCs w:val="6"/>
                <w:color w:val="auto"/>
              </w:rPr>
            </w:pPr>
          </w:p>
        </w:tc>
        <w:tc>
          <w:tcPr>
            <w:tcW w:w="398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2019-12-05T20:28:20Z</dcterms:created>
  <dcterms:modified xsi:type="dcterms:W3CDTF">2019-12-05T20:28:20Z</dcterms:modified>
</cp:coreProperties>
</file>