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6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Zinsner David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MICRON 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306" w:lineRule="exact"/>
        <w:rPr>
          <w:sz w:val="24"/>
          <w:szCs w:val="24"/>
          <w:color w:val="auto"/>
        </w:rPr>
      </w:pPr>
    </w:p>
    <w:p>
      <w:pPr>
        <w:sectPr>
          <w:pgSz w:w="11900" w:h="16838" w:orient="portrait"/>
          <w:cols w:equalWidth="0" w:num="3">
            <w:col w:w="3200" w:space="720"/>
            <w:col w:w="3280" w:space="543"/>
            <w:col w:w="3337"/>
          </w:cols>
          <w:pgMar w:left="460" w:top="216" w:right="359" w:bottom="668"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1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085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08597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6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4,250</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133,464</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3,800</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137,264</w:t>
            </w:r>
          </w:p>
        </w:tc>
        <w:tc>
          <w:tcPr>
            <w:tcW w:w="300" w:type="dxa"/>
            <w:vAlign w:val="bottom"/>
          </w:tcPr>
          <w:p>
            <w:pPr>
              <w:spacing w:after="0"/>
              <w:rPr>
                <w:sz w:val="22"/>
                <w:szCs w:val="22"/>
                <w:color w:val="auto"/>
              </w:rPr>
            </w:pPr>
          </w:p>
        </w:tc>
        <w:tc>
          <w:tcPr>
            <w:tcW w:w="540" w:type="dxa"/>
            <w:vAlign w:val="bottom"/>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6,350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87.75</w:t>
            </w:r>
            <w:r>
              <w:rPr>
                <w:rFonts w:ascii="Times New Roman" w:cs="Times New Roman" w:eastAsia="Times New Roman" w:hAnsi="Times New Roman"/>
                <w:sz w:val="21"/>
                <w:szCs w:val="21"/>
                <w:color w:val="008000"/>
                <w:w w:val="93"/>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130,914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88.47</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129,292</w:t>
            </w:r>
            <w:r>
              <w:rPr>
                <w:rFonts w:ascii="Times New Roman" w:cs="Times New Roman" w:eastAsia="Times New Roman" w:hAnsi="Times New Roman"/>
                <w:sz w:val="21"/>
                <w:szCs w:val="21"/>
                <w:color w:val="008000"/>
                <w:w w:val="94"/>
                <w:vertAlign w:val="superscript"/>
              </w:rPr>
              <w:t>(4)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33,170</w:t>
            </w:r>
          </w:p>
        </w:tc>
        <w:tc>
          <w:tcPr>
            <w:tcW w:w="300" w:type="dxa"/>
            <w:vAlign w:val="bottom"/>
          </w:tcPr>
          <w:p>
            <w:pPr>
              <w:spacing w:after="0"/>
              <w:rPr>
                <w:sz w:val="21"/>
                <w:szCs w:val="21"/>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44.21</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02/16/2021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4,250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02/19/2026</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44,133</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44.21</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02/16/2021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3,800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02/19/2026</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39,385</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May 13, 2020.</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$87.12 to $88.08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$88.15 to $89.13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 shares acquired on January 29, 2021 under the Micron Technology, Inc. Employee Stock Purchase Plan, which acquisition is exempt from reporting under Rule 16a-3(f)(1)(i)(B).</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the reporting person and his family, with the reporting person as a co-trustee with his spouse.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four equal installments on February 19, 2019, 2020, 2021, and 2022.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w w:val="95"/>
              </w:rPr>
              <w:t>02/18/2021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30891"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2021-02-18T17:24:37Z</dcterms:created>
  <dcterms:modified xsi:type="dcterms:W3CDTF">2021-02-18T17:24:37Z</dcterms:modified>
</cp:coreProperties>
</file>