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29, 2004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40"/>
          </w:cols>
          <w:pgMar w:left="240" w:top="585" w:right="219" w:bottom="0" w:gutter="0" w:footer="0" w:header="0"/>
        </w:sectPr>
      </w:pPr>
    </w:p>
    <w:p>
      <w:pPr>
        <w:spacing w:after="0" w:line="2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001-10658</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80" w:space="720"/>
            <w:col w:w="2640" w:space="720"/>
            <w:col w:w="3180"/>
          </w:cols>
          <w:pgMar w:left="240" w:top="585" w:right="219" w:bottom="0" w:gutter="0" w:footer="0" w:header="0"/>
          <w:type w:val="continuous"/>
        </w:sectPr>
      </w:pP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40"/>
          </w:cols>
          <w:pgMar w:left="240" w:top="585" w:right="219" w:bottom="0" w:gutter="0" w:footer="0" w:header="0"/>
          <w:type w:val="continuous"/>
        </w:sectPr>
      </w:pPr>
    </w:p>
    <w:p>
      <w:pPr>
        <w:spacing w:after="0" w:line="23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Disclosure of Results of Operations and Financial Condition.</w:t>
      </w:r>
    </w:p>
    <w:p>
      <w:pPr>
        <w:spacing w:after="0" w:line="229" w:lineRule="exact"/>
        <w:rPr>
          <w:sz w:val="24"/>
          <w:szCs w:val="24"/>
          <w:color w:val="auto"/>
        </w:rPr>
      </w:pPr>
    </w:p>
    <w:p>
      <w:pPr>
        <w:ind w:right="20" w:firstLine="972"/>
        <w:spacing w:after="0" w:line="308" w:lineRule="auto"/>
        <w:rPr>
          <w:sz w:val="20"/>
          <w:szCs w:val="20"/>
          <w:color w:val="auto"/>
        </w:rPr>
      </w:pPr>
      <w:r>
        <w:rPr>
          <w:rFonts w:ascii="Arial" w:cs="Arial" w:eastAsia="Arial" w:hAnsi="Arial"/>
          <w:sz w:val="17"/>
          <w:szCs w:val="17"/>
          <w:color w:val="auto"/>
        </w:rPr>
        <w:t>On September 29, 2004, Micron Technology, Inc. announced its financial results for the quarter and year ended September 2, 2004. The full text of the press release issued in connection with the announcement is attached as Exhibit 99.1 to this Current Report on Form 8-K.</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0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Financial Statements and Exhibits.</w:t>
            </w:r>
          </w:p>
        </w:tc>
        <w:tc>
          <w:tcPr>
            <w:tcW w:w="20" w:type="dxa"/>
            <w:vAlign w:val="bottom"/>
          </w:tcPr>
          <w:p>
            <w:pPr>
              <w:spacing w:after="0"/>
              <w:rPr>
                <w:sz w:val="20"/>
                <w:szCs w:val="20"/>
                <w:color w:val="auto"/>
              </w:rPr>
            </w:pPr>
          </w:p>
        </w:tc>
      </w:tr>
      <w:tr>
        <w:trPr>
          <w:trHeight w:val="432"/>
        </w:trPr>
        <w:tc>
          <w:tcPr>
            <w:tcW w:w="1220" w:type="dxa"/>
            <w:vAlign w:val="bottom"/>
            <w:gridSpan w:val="2"/>
          </w:tcPr>
          <w:p>
            <w:pPr>
              <w:ind w:left="980"/>
              <w:spacing w:after="0"/>
              <w:rPr>
                <w:sz w:val="20"/>
                <w:szCs w:val="20"/>
                <w:color w:val="auto"/>
              </w:rPr>
            </w:pPr>
            <w:r>
              <w:rPr>
                <w:rFonts w:ascii="Arial" w:cs="Arial" w:eastAsia="Arial" w:hAnsi="Arial"/>
                <w:sz w:val="18"/>
                <w:szCs w:val="18"/>
                <w:color w:val="auto"/>
              </w:rPr>
              <w:t>(c)</w:t>
            </w:r>
          </w:p>
        </w:tc>
        <w:tc>
          <w:tcPr>
            <w:tcW w:w="10200" w:type="dxa"/>
            <w:vAlign w:val="bottom"/>
            <w:gridSpan w:val="2"/>
          </w:tcPr>
          <w:p>
            <w:pPr>
              <w:jc w:val="right"/>
              <w:ind w:right="9419"/>
              <w:spacing w:after="0"/>
              <w:rPr>
                <w:sz w:val="20"/>
                <w:szCs w:val="20"/>
                <w:color w:val="auto"/>
              </w:rPr>
            </w:pPr>
            <w:r>
              <w:rPr>
                <w:rFonts w:ascii="Arial" w:cs="Arial" w:eastAsia="Arial" w:hAnsi="Arial"/>
                <w:sz w:val="18"/>
                <w:szCs w:val="18"/>
                <w:color w:val="auto"/>
                <w:w w:val="99"/>
              </w:rPr>
              <w:t>Exhibits.</w:t>
            </w:r>
          </w:p>
        </w:tc>
        <w:tc>
          <w:tcPr>
            <w:tcW w:w="20" w:type="dxa"/>
            <w:vAlign w:val="bottom"/>
          </w:tcPr>
          <w:p>
            <w:pPr>
              <w:spacing w:after="0"/>
              <w:rPr>
                <w:sz w:val="24"/>
                <w:szCs w:val="24"/>
                <w:color w:val="auto"/>
              </w:rPr>
            </w:pPr>
          </w:p>
        </w:tc>
      </w:tr>
      <w:tr>
        <w:trPr>
          <w:trHeight w:val="432"/>
        </w:trPr>
        <w:tc>
          <w:tcPr>
            <w:tcW w:w="11420" w:type="dxa"/>
            <w:vAlign w:val="bottom"/>
            <w:gridSpan w:val="4"/>
          </w:tcPr>
          <w:p>
            <w:pPr>
              <w:ind w:left="980"/>
              <w:spacing w:after="0"/>
              <w:rPr>
                <w:sz w:val="20"/>
                <w:szCs w:val="20"/>
                <w:color w:val="auto"/>
              </w:rPr>
            </w:pPr>
            <w:r>
              <w:rPr>
                <w:rFonts w:ascii="Arial" w:cs="Arial" w:eastAsia="Arial" w:hAnsi="Arial"/>
                <w:sz w:val="18"/>
                <w:szCs w:val="18"/>
                <w:color w:val="auto"/>
              </w:rPr>
              <w:t>The following exhibits are filed herewith:</w:t>
            </w:r>
          </w:p>
        </w:tc>
        <w:tc>
          <w:tcPr>
            <w:tcW w:w="20" w:type="dxa"/>
            <w:vAlign w:val="bottom"/>
          </w:tcPr>
          <w:p>
            <w:pPr>
              <w:spacing w:after="0"/>
              <w:rPr>
                <w:sz w:val="24"/>
                <w:szCs w:val="24"/>
                <w:color w:val="auto"/>
              </w:rPr>
            </w:pPr>
          </w:p>
        </w:tc>
      </w:tr>
      <w:tr>
        <w:trPr>
          <w:trHeight w:val="365"/>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0" w:type="dxa"/>
            <w:vAlign w:val="bottom"/>
          </w:tcPr>
          <w:p>
            <w:pPr>
              <w:spacing w:after="0"/>
              <w:rPr>
                <w:sz w:val="24"/>
                <w:szCs w:val="24"/>
                <w:color w:val="auto"/>
              </w:rPr>
            </w:pPr>
          </w:p>
        </w:tc>
        <w:tc>
          <w:tcPr>
            <w:tcW w:w="10120" w:type="dxa"/>
            <w:vAlign w:val="bottom"/>
          </w:tcPr>
          <w:p>
            <w:pPr>
              <w:jc w:val="right"/>
              <w:ind w:right="4619"/>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426"/>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September 29, 2004.</w:t>
            </w:r>
          </w:p>
        </w:tc>
        <w:tc>
          <w:tcPr>
            <w:tcW w:w="2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05"/>
        </w:trPr>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7080" w:type="dxa"/>
            <w:vAlign w:val="bottom"/>
            <w:gridSpan w:val="2"/>
          </w:tcPr>
          <w:p>
            <w:pPr>
              <w:ind w:left="2400"/>
              <w:spacing w:after="0"/>
              <w:rPr>
                <w:sz w:val="20"/>
                <w:szCs w:val="20"/>
                <w:color w:val="auto"/>
              </w:rPr>
            </w:pPr>
            <w:r>
              <w:rPr>
                <w:rFonts w:ascii="Arial" w:cs="Arial" w:eastAsia="Arial" w:hAnsi="Arial"/>
                <w:sz w:val="18"/>
                <w:szCs w:val="18"/>
                <w:b w:val="1"/>
                <w:bCs w:val="1"/>
                <w:color w:val="auto"/>
              </w:rPr>
              <w:t>MICRON TECHNOLOGY, INC.</w:t>
            </w:r>
          </w:p>
        </w:tc>
      </w:tr>
      <w:tr>
        <w:trPr>
          <w:trHeight w:val="702"/>
        </w:trPr>
        <w:tc>
          <w:tcPr>
            <w:tcW w:w="4340" w:type="dxa"/>
            <w:vAlign w:val="bottom"/>
          </w:tcPr>
          <w:p>
            <w:pPr>
              <w:spacing w:after="0"/>
              <w:rPr>
                <w:sz w:val="20"/>
                <w:szCs w:val="20"/>
                <w:color w:val="auto"/>
              </w:rPr>
            </w:pPr>
            <w:r>
              <w:rPr>
                <w:rFonts w:ascii="Arial" w:cs="Arial" w:eastAsia="Arial" w:hAnsi="Arial"/>
                <w:sz w:val="18"/>
                <w:szCs w:val="18"/>
                <w:color w:val="auto"/>
              </w:rPr>
              <w:t>Date: September 29, 2004</w:t>
            </w:r>
          </w:p>
        </w:tc>
        <w:tc>
          <w:tcPr>
            <w:tcW w:w="3260" w:type="dxa"/>
            <w:vAlign w:val="bottom"/>
          </w:tcPr>
          <w:p>
            <w:pPr>
              <w:ind w:left="240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r>
      <w:tr>
        <w:trPr>
          <w:trHeight w:val="224"/>
        </w:trPr>
        <w:tc>
          <w:tcPr>
            <w:tcW w:w="4340" w:type="dxa"/>
            <w:vAlign w:val="bottom"/>
          </w:tcPr>
          <w:p>
            <w:pPr>
              <w:spacing w:after="0"/>
              <w:rPr>
                <w:sz w:val="19"/>
                <w:szCs w:val="19"/>
                <w:color w:val="auto"/>
              </w:rPr>
            </w:pPr>
          </w:p>
        </w:tc>
        <w:tc>
          <w:tcPr>
            <w:tcW w:w="3260" w:type="dxa"/>
            <w:vAlign w:val="bottom"/>
          </w:tcPr>
          <w:p>
            <w:pPr>
              <w:ind w:left="2400"/>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W. G. Stover, Jr.</w:t>
            </w:r>
          </w:p>
        </w:tc>
      </w:tr>
    </w:tbl>
    <w:p>
      <w:pPr>
        <w:sectPr>
          <w:pgSz w:w="11900" w:h="16838" w:orient="portrait"/>
          <w:cols w:equalWidth="0" w:num="1">
            <w:col w:w="11440"/>
          </w:cols>
          <w:pgMar w:left="240" w:top="585" w:right="219" w:bottom="0" w:gutter="0" w:footer="0" w:header="0"/>
          <w:type w:val="continuous"/>
        </w:sectPr>
      </w:pPr>
    </w:p>
    <w:bookmarkStart w:id="1" w:name="page2"/>
    <w:bookmarkEnd w:id="1"/>
    <w:p>
      <w:pPr>
        <w:ind w:left="67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ind w:right="459"/>
        <w:spacing w:after="0" w:line="277" w:lineRule="auto"/>
        <w:rPr>
          <w:sz w:val="20"/>
          <w:szCs w:val="20"/>
          <w:color w:val="auto"/>
        </w:rPr>
      </w:pPr>
      <w:r>
        <w:rPr>
          <w:rFonts w:ascii="Arial" w:cs="Arial" w:eastAsia="Arial" w:hAnsi="Arial"/>
          <w:sz w:val="18"/>
          <w:szCs w:val="18"/>
          <w:color w:val="auto"/>
        </w:rPr>
        <w:t>Vice President of Finance and Chief Financial Officer</w:t>
      </w:r>
    </w:p>
    <w:p>
      <w:pPr>
        <w:spacing w:after="0" w:line="170" w:lineRule="exact"/>
        <w:rPr>
          <w:sz w:val="20"/>
          <w:szCs w:val="20"/>
          <w:color w:val="auto"/>
        </w:rPr>
      </w:pPr>
    </w:p>
    <w:p>
      <w:pPr>
        <w:sectPr>
          <w:pgSz w:w="11900" w:h="16838" w:orient="portrait"/>
          <w:cols w:equalWidth="0" w:num="2">
            <w:col w:w="7120" w:space="480"/>
            <w:col w:w="2619"/>
          </w:cols>
          <w:pgMar w:left="240" w:top="125" w:right="1440" w:bottom="1440" w:gutter="0" w:footer="0" w:header="0"/>
        </w:sect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THE CURRENT REPORT ON FORM 8-K DATED SEPTEMBER 29, 2004</w:t>
      </w:r>
    </w:p>
    <w:p>
      <w:pPr>
        <w:spacing w:after="0" w:line="214" w:lineRule="exact"/>
        <w:rPr>
          <w:sz w:val="20"/>
          <w:szCs w:val="20"/>
          <w:color w:val="auto"/>
        </w:rPr>
      </w:pPr>
    </w:p>
    <w:p>
      <w:pPr>
        <w:spacing w:after="0"/>
        <w:tabs>
          <w:tab w:leader="none" w:pos="59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ind w:left="28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September 29, 2004.</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 w:name="page3"/>
    <w:bookmarkEnd w:id="2"/>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060" w:type="dxa"/>
            <w:vAlign w:val="bottom"/>
          </w:tcPr>
          <w:p>
            <w:pPr>
              <w:spacing w:after="0"/>
              <w:rPr>
                <w:sz w:val="20"/>
                <w:szCs w:val="20"/>
                <w:color w:val="auto"/>
              </w:rPr>
            </w:pPr>
          </w:p>
        </w:tc>
      </w:tr>
      <w:tr>
        <w:trPr>
          <w:trHeight w:val="634"/>
        </w:trPr>
        <w:tc>
          <w:tcPr>
            <w:tcW w:w="980" w:type="dxa"/>
            <w:vAlign w:val="bottom"/>
          </w:tcPr>
          <w:p>
            <w:pPr>
              <w:spacing w:after="0"/>
              <w:rPr>
                <w:sz w:val="20"/>
                <w:szCs w:val="20"/>
                <w:color w:val="auto"/>
              </w:rPr>
            </w:pPr>
            <w:r>
              <w:rPr>
                <w:rFonts w:ascii="Arial" w:cs="Arial" w:eastAsia="Arial" w:hAnsi="Arial"/>
                <w:sz w:val="18"/>
                <w:szCs w:val="18"/>
                <w:color w:val="auto"/>
              </w:rPr>
              <w:t>Contacts:</w:t>
            </w:r>
          </w:p>
        </w:tc>
        <w:tc>
          <w:tcPr>
            <w:tcW w:w="2320" w:type="dxa"/>
            <w:vAlign w:val="bottom"/>
          </w:tcPr>
          <w:p>
            <w:pPr>
              <w:ind w:left="280"/>
              <w:spacing w:after="0"/>
              <w:rPr>
                <w:sz w:val="20"/>
                <w:szCs w:val="20"/>
                <w:color w:val="auto"/>
              </w:rPr>
            </w:pPr>
            <w:r>
              <w:rPr>
                <w:rFonts w:ascii="Arial" w:cs="Arial" w:eastAsia="Arial" w:hAnsi="Arial"/>
                <w:sz w:val="18"/>
                <w:szCs w:val="18"/>
                <w:color w:val="auto"/>
              </w:rPr>
              <w:t>Kipp A. Bedard</w:t>
            </w:r>
          </w:p>
        </w:tc>
        <w:tc>
          <w:tcPr>
            <w:tcW w:w="2060" w:type="dxa"/>
            <w:vAlign w:val="bottom"/>
          </w:tcPr>
          <w:p>
            <w:pPr>
              <w:ind w:left="420"/>
              <w:spacing w:after="0"/>
              <w:rPr>
                <w:sz w:val="20"/>
                <w:szCs w:val="20"/>
                <w:color w:val="auto"/>
              </w:rPr>
            </w:pPr>
            <w:r>
              <w:rPr>
                <w:rFonts w:ascii="Arial" w:cs="Arial" w:eastAsia="Arial" w:hAnsi="Arial"/>
                <w:sz w:val="18"/>
                <w:szCs w:val="18"/>
                <w:color w:val="auto"/>
              </w:rPr>
              <w:t>David T. Parker</w:t>
            </w:r>
          </w:p>
        </w:tc>
      </w:tr>
      <w:tr>
        <w:trPr>
          <w:trHeight w:val="216"/>
        </w:trPr>
        <w:tc>
          <w:tcPr>
            <w:tcW w:w="980" w:type="dxa"/>
            <w:vAlign w:val="bottom"/>
          </w:tcPr>
          <w:p>
            <w:pPr>
              <w:spacing w:after="0"/>
              <w:rPr>
                <w:sz w:val="18"/>
                <w:szCs w:val="18"/>
                <w:color w:val="auto"/>
              </w:rPr>
            </w:pPr>
          </w:p>
        </w:tc>
        <w:tc>
          <w:tcPr>
            <w:tcW w:w="2320" w:type="dxa"/>
            <w:vAlign w:val="bottom"/>
          </w:tcPr>
          <w:p>
            <w:pPr>
              <w:ind w:left="280"/>
              <w:spacing w:after="0"/>
              <w:rPr>
                <w:sz w:val="20"/>
                <w:szCs w:val="20"/>
                <w:color w:val="auto"/>
              </w:rPr>
            </w:pPr>
            <w:r>
              <w:rPr>
                <w:rFonts w:ascii="Arial" w:cs="Arial" w:eastAsia="Arial" w:hAnsi="Arial"/>
                <w:sz w:val="18"/>
                <w:szCs w:val="18"/>
                <w:color w:val="auto"/>
              </w:rPr>
              <w:t>Investor Relations</w:t>
            </w:r>
          </w:p>
        </w:tc>
        <w:tc>
          <w:tcPr>
            <w:tcW w:w="2060" w:type="dxa"/>
            <w:vAlign w:val="bottom"/>
          </w:tcPr>
          <w:p>
            <w:pPr>
              <w:ind w:left="420"/>
              <w:spacing w:after="0"/>
              <w:rPr>
                <w:sz w:val="20"/>
                <w:szCs w:val="20"/>
                <w:color w:val="auto"/>
              </w:rPr>
            </w:pPr>
            <w:r>
              <w:rPr>
                <w:rFonts w:ascii="Arial" w:cs="Arial" w:eastAsia="Arial" w:hAnsi="Arial"/>
                <w:sz w:val="18"/>
                <w:szCs w:val="18"/>
                <w:color w:val="auto"/>
              </w:rPr>
              <w:t>Media Relations</w:t>
            </w:r>
          </w:p>
        </w:tc>
      </w:tr>
      <w:tr>
        <w:trPr>
          <w:trHeight w:val="216"/>
        </w:trPr>
        <w:tc>
          <w:tcPr>
            <w:tcW w:w="980" w:type="dxa"/>
            <w:vAlign w:val="bottom"/>
          </w:tcPr>
          <w:p>
            <w:pPr>
              <w:spacing w:after="0"/>
              <w:rPr>
                <w:sz w:val="18"/>
                <w:szCs w:val="18"/>
                <w:color w:val="auto"/>
              </w:rPr>
            </w:pPr>
          </w:p>
        </w:tc>
        <w:tc>
          <w:tcPr>
            <w:tcW w:w="2320" w:type="dxa"/>
            <w:vAlign w:val="bottom"/>
          </w:tcPr>
          <w:p>
            <w:pPr>
              <w:ind w:left="280"/>
              <w:spacing w:after="0"/>
              <w:rPr>
                <w:sz w:val="20"/>
                <w:szCs w:val="20"/>
                <w:color w:val="auto"/>
              </w:rPr>
            </w:pPr>
            <w:r>
              <w:rPr>
                <w:rFonts w:ascii="Arial" w:cs="Arial" w:eastAsia="Arial" w:hAnsi="Arial"/>
                <w:sz w:val="18"/>
                <w:szCs w:val="18"/>
                <w:color w:val="auto"/>
              </w:rPr>
              <w:t>kbedard@micron.com</w:t>
            </w:r>
          </w:p>
        </w:tc>
        <w:tc>
          <w:tcPr>
            <w:tcW w:w="2060" w:type="dxa"/>
            <w:vAlign w:val="bottom"/>
          </w:tcPr>
          <w:p>
            <w:pPr>
              <w:ind w:left="420"/>
              <w:spacing w:after="0"/>
              <w:rPr>
                <w:sz w:val="20"/>
                <w:szCs w:val="20"/>
                <w:color w:val="auto"/>
              </w:rPr>
            </w:pPr>
            <w:r>
              <w:rPr>
                <w:rFonts w:ascii="Arial" w:cs="Arial" w:eastAsia="Arial" w:hAnsi="Arial"/>
                <w:sz w:val="18"/>
                <w:szCs w:val="18"/>
                <w:color w:val="auto"/>
                <w:w w:val="91"/>
              </w:rPr>
              <w:t>dtparker@micron.com</w:t>
            </w:r>
          </w:p>
        </w:tc>
      </w:tr>
      <w:tr>
        <w:trPr>
          <w:trHeight w:val="230"/>
        </w:trPr>
        <w:tc>
          <w:tcPr>
            <w:tcW w:w="980" w:type="dxa"/>
            <w:vAlign w:val="bottom"/>
          </w:tcPr>
          <w:p>
            <w:pPr>
              <w:spacing w:after="0"/>
              <w:rPr>
                <w:sz w:val="20"/>
                <w:szCs w:val="20"/>
                <w:color w:val="auto"/>
              </w:rPr>
            </w:pPr>
          </w:p>
        </w:tc>
        <w:tc>
          <w:tcPr>
            <w:tcW w:w="2320" w:type="dxa"/>
            <w:vAlign w:val="bottom"/>
          </w:tcPr>
          <w:p>
            <w:pPr>
              <w:ind w:left="280"/>
              <w:spacing w:after="0"/>
              <w:rPr>
                <w:sz w:val="20"/>
                <w:szCs w:val="20"/>
                <w:color w:val="auto"/>
              </w:rPr>
            </w:pPr>
            <w:r>
              <w:rPr>
                <w:rFonts w:ascii="Arial" w:cs="Arial" w:eastAsia="Arial" w:hAnsi="Arial"/>
                <w:sz w:val="18"/>
                <w:szCs w:val="18"/>
                <w:color w:val="auto"/>
              </w:rPr>
              <w:t>(208) 368-4400</w:t>
            </w:r>
          </w:p>
        </w:tc>
        <w:tc>
          <w:tcPr>
            <w:tcW w:w="2060" w:type="dxa"/>
            <w:vAlign w:val="bottom"/>
          </w:tcPr>
          <w:p>
            <w:pPr>
              <w:ind w:left="420"/>
              <w:spacing w:after="0"/>
              <w:rPr>
                <w:sz w:val="20"/>
                <w:szCs w:val="20"/>
                <w:color w:val="auto"/>
              </w:rPr>
            </w:pPr>
            <w:r>
              <w:rPr>
                <w:rFonts w:ascii="Arial" w:cs="Arial" w:eastAsia="Arial" w:hAnsi="Arial"/>
                <w:sz w:val="18"/>
                <w:szCs w:val="18"/>
                <w:color w:val="auto"/>
              </w:rPr>
              <w:t>(208) 368-4400</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Web site URL http://www.micron.com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MICRON TECHNOLOGY, INC., REPORTS RESULTS FOR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FOURTH QUARTER AND FISCAL YEAR 2004</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Boise, Idaho, September 29, 2004 – Micron Technology, Inc., (NYSE: MU) today announced results of operations for its fourth quarter and fiscal year 2004, which ended September 2, 2004. For the fourth quarter, the Company earned operating income of $125 million and net income of $94 million, or $0.14 per diluted share, on net sales of $1,189 million. These quarterly results compare to a net loss of $123 million, or $0.20 per diluted share, for the fourth quarter of fiscal 2003. For the 2004 fiscal year, the Company earned net income of $157 million, or $0.24 per diluted share, on net sales of $4,404 million. These annual results compare to a net loss of $1,273 million, or $2.11 per diluted share, for fiscal 2003.</w:t>
      </w:r>
    </w:p>
    <w:p>
      <w:pPr>
        <w:spacing w:after="0" w:line="173"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Net sales for fiscal 2004 were 42% higher than fiscal 2003 in part as a result of an approximate 15% higher per megabit average selling price for semiconductor memory. Semiconductor memory production, which is measured in megabits, was approximately 23% higher in fiscal 2004 than in fiscal 2003. The growth rate in memory production was constrained in part due to the allocation of wafers to generally higher margin, lower density products, including certain synchronous DRAM, other specialty DRAM products and NOR Flash memory devices which do not require leading edge process technology and therefore inherently have a lower production growth rate than the Company’s advanced core DRAM products. The Company also allocated a higher level of wafer production in fiscal 2004 to CMOS image sensors for which production is not measured in megabits. Average selling prices for the Company’s semiconductor memory products in the fourth quarter of fiscal 2004 were approximately 5% lower than the preceding quarter and were approximately 20% higher than the fourth quarter of the prior fiscal year. The Company’s average selling price in recent periods benefited from sales of synchronous DRAM and other specialty DRAM products, including PSRAM, which experienced relatively favorable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Improved operating results allowed the Company to generate $1.2 billion of operating cash flows in its fiscal year ended September 2, 2004. Capital expenditures for fiscal year 2005 are estimated at $1.5 billion, principally for the continued ramp of production at the Company’s 300 mm wafer fab in Virginia and for research and development tooling. As of the fiscal year end, the Company had cash and liquid investment balances totaling $1.2 billion.</w:t>
      </w:r>
    </w:p>
    <w:p>
      <w:pPr>
        <w:spacing w:after="0" w:line="14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will host a conference call today at 3:30 p.m. MDT to discuss its financial results. The conference call, audio and slides, will be available online at www.micron.com. A Webcast replay will be available on the Company’s web site until September 29, 2005. A taped audio replay of the conference call will also be available at (973) 341-3080 (confirmation code: 5127647) beginning at 5:30 p.m. MDT today and continuing until 5:30 p.m. MDT on October 7, 2004.</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its web site at www.micron.com.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4th Qtr.</w:t>
            </w:r>
          </w:p>
        </w:tc>
        <w:tc>
          <w:tcPr>
            <w:tcW w:w="22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3rd Qtr.</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4th Qtr.</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Year Ended</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Sep. 2,</w:t>
            </w:r>
          </w:p>
        </w:tc>
        <w:tc>
          <w:tcPr>
            <w:tcW w:w="22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Jun. 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Aug. 28,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Sep. 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Aug.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1,189.2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4,404.2</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 of goods sold (1)</w:t>
            </w: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796.6</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719.0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199.2</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Restructure (2)</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operating (income) expense (3)</w:t>
            </w:r>
          </w:p>
        </w:tc>
        <w:tc>
          <w:tcPr>
            <w:tcW w:w="2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(4)</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4" w:orient="portrait"/>
          <w:cols w:equalWidth="0" w:num="1">
            <w:col w:w="11420"/>
          </w:cols>
          <w:pgMar w:left="240" w:top="121" w:right="239" w:bottom="0" w:gutter="0" w:footer="0" w:header="0"/>
        </w:sectPr>
      </w:pPr>
    </w:p>
    <w:bookmarkStart w:id="3" w:name="page4"/>
    <w:bookmarkEnd w:id="3"/>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93.5</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90.9</w:t>
            </w: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(123.2)</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157.2</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(1,273.2)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0.14</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4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7"/>
              </w:rPr>
              <w:t>Number of shares used in per share calculations: (5)</w:t>
            </w: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645.1</w:t>
            </w: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701.4</w:t>
            </w:r>
          </w:p>
        </w:tc>
        <w:tc>
          <w:tcPr>
            <w:tcW w:w="4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705.4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609.5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Sep. 2,</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Jun. 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center"/>
              <w:ind w:right="233"/>
              <w:spacing w:after="0" w:line="119" w:lineRule="exact"/>
              <w:rPr>
                <w:sz w:val="20"/>
                <w:szCs w:val="20"/>
                <w:color w:val="auto"/>
              </w:rPr>
            </w:pPr>
            <w:r>
              <w:rPr>
                <w:rFonts w:ascii="Arial" w:cs="Arial" w:eastAsia="Arial" w:hAnsi="Arial"/>
                <w:sz w:val="13"/>
                <w:szCs w:val="13"/>
                <w:b w:val="1"/>
                <w:bCs w:val="1"/>
                <w:color w:val="auto"/>
              </w:rPr>
              <w:t>Aug.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773.7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(6)</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Shareholders’ equity (5)</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5,614.8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5,509.5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4,971.0</w:t>
            </w: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Sep. 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center"/>
              <w:ind w:right="253"/>
              <w:spacing w:after="0" w:line="119" w:lineRule="exact"/>
              <w:rPr>
                <w:sz w:val="20"/>
                <w:szCs w:val="20"/>
                <w:color w:val="auto"/>
              </w:rPr>
            </w:pPr>
            <w:r>
              <w:rPr>
                <w:rFonts w:ascii="Arial" w:cs="Arial" w:eastAsia="Arial" w:hAnsi="Arial"/>
                <w:sz w:val="13"/>
                <w:szCs w:val="13"/>
                <w:b w:val="1"/>
                <w:bCs w:val="1"/>
                <w:color w:val="auto"/>
                <w:w w:val="98"/>
              </w:rPr>
              <w:t>Aug.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(1,312.7)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(1,080.7)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2004 contained 53 weeks and its first quarter of fiscal 2004 contained 14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40" w:lineRule="exact"/>
        <w:rPr>
          <w:sz w:val="20"/>
          <w:szCs w:val="20"/>
          <w:color w:val="auto"/>
        </w:rPr>
      </w:pPr>
    </w:p>
    <w:p>
      <w:pPr>
        <w:ind w:left="340" w:right="40" w:hanging="332"/>
        <w:spacing w:after="0" w:line="286"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Company’s operating results include charges to write down inventories to their estimated market values of $4 million and $307 million for the fourth quarter and year of fiscal 2003, respectively. Cost of goods sold in fiscal 2003 also includes a $7 million write-down of raw materials and work in process inventories associated with products discontinued in connection with the Company’s restructure activities. See Note (2).</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0" w:lineRule="exact"/>
        <w:rPr>
          <w:rFonts w:ascii="Arial" w:cs="Arial" w:eastAsia="Arial" w:hAnsi="Arial"/>
          <w:sz w:val="17"/>
          <w:szCs w:val="17"/>
          <w:color w:val="auto"/>
        </w:rPr>
      </w:pPr>
    </w:p>
    <w:p>
      <w:pPr>
        <w:ind w:left="340" w:right="60" w:hanging="332"/>
        <w:spacing w:after="0" w:line="273"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In the second quarter of fiscal 2003, the Company announced a series of cost-reduction initiatives. In connection with its restructure plan, the Company’s results of operations in fiscal 2003 include a restructure charge of $109 million and other restructure-related charges of $7 million, which are included in cost of goods sold to write down the carrying value of raw materials and work in process inventories associated with discontinued products. The restructure charge for fiscal 2003 includes equipment write-downs of $51 million, severance and other termination benefits of $26 million, the write-off of certain intangible assets of $19 million, and other costs totaling $13 million. The credit to restructure in fiscal 2004 primarily reflects sales of equipment associated with the Company’s 200 mm production line in Virginia.</w:t>
      </w:r>
    </w:p>
    <w:p>
      <w:pPr>
        <w:spacing w:after="0" w:line="178" w:lineRule="exact"/>
        <w:rPr>
          <w:rFonts w:ascii="Arial" w:cs="Arial" w:eastAsia="Arial" w:hAnsi="Arial"/>
          <w:sz w:val="17"/>
          <w:szCs w:val="17"/>
          <w:color w:val="auto"/>
        </w:rPr>
      </w:pPr>
    </w:p>
    <w:p>
      <w:pPr>
        <w:ind w:left="340" w:right="220" w:hanging="332"/>
        <w:spacing w:after="0" w:line="276"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Other operating income in the fourth quarter of fiscal 2004 includes $7 million from the Commonwealth of Virginia for meeting investment commitments at the Virginia wafer fab. Other operating expense in the fourth quarter of fiscal 2003 includes net losses of $22 million on write-downs and disposals of semiconductor equipment. Other operating expense in fiscal 2003 includes net losses of $42 million on write-downs and disposals of semiconductor equipment and net losses of $11 million from changes in currency exchange rates. Other operating expense for fiscal 2003 is net of $14 million in receipts from the U.S. government in connection with anti-dumping tariffs.</w:t>
      </w:r>
    </w:p>
    <w:p>
      <w:pPr>
        <w:spacing w:after="0" w:line="172" w:lineRule="exact"/>
        <w:rPr>
          <w:rFonts w:ascii="Arial" w:cs="Arial" w:eastAsia="Arial" w:hAnsi="Arial"/>
          <w:sz w:val="17"/>
          <w:szCs w:val="17"/>
          <w:color w:val="auto"/>
        </w:rPr>
      </w:pPr>
    </w:p>
    <w:p>
      <w:pPr>
        <w:ind w:left="340" w:right="20" w:hanging="332"/>
        <w:spacing w:after="0" w:line="286"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Income taxes for fiscal 2004 and 2003 primarily reflect taxes on the Company’s non-U.S. operations. U.S. operating results are not expected to reflect an income tax provision, until such time as the Company utilizes a substantial portion of its U.S. net operating loss carryforwards and unused tax credits, as any such provision is substantially offset by a corresponding reduction in the deferred tax valuation allowance.</w:t>
      </w:r>
    </w:p>
    <w:p>
      <w:pPr>
        <w:spacing w:after="0" w:line="165" w:lineRule="exact"/>
        <w:rPr>
          <w:rFonts w:ascii="Arial" w:cs="Arial" w:eastAsia="Arial" w:hAnsi="Arial"/>
          <w:sz w:val="17"/>
          <w:szCs w:val="17"/>
          <w:color w:val="auto"/>
        </w:rPr>
      </w:pPr>
    </w:p>
    <w:p>
      <w:pPr>
        <w:ind w:left="340" w:right="60" w:hanging="332"/>
        <w:spacing w:after="0" w:line="297" w:lineRule="auto"/>
        <w:tabs>
          <w:tab w:leader="none" w:pos="361"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September 24, 2003, the Company received $450 million from Intel Corporation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 mm wafer processing capacity. In the event the Company fails to achieve certain 2005 milestones and the Company’s common stock price is then below Intel’s purchase price of $13.29, the Company could be obligated to pay Intel amounts not to exceed $135 million, a substantial portion of which is payable, at the Company’s election,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-3416300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928" w:orient="portrait"/>
          <w:cols w:equalWidth="0" w:num="1">
            <w:col w:w="11440"/>
          </w:cols>
          <w:pgMar w:left="240" w:top="125" w:right="219" w:bottom="0" w:gutter="0" w:footer="0" w:header="0"/>
        </w:sectPr>
      </w:pPr>
    </w:p>
    <w:bookmarkStart w:id="4" w:name="page5"/>
    <w:bookmarkEnd w:id="4"/>
    <w:p>
      <w:pPr>
        <w:ind w:left="332" w:right="620"/>
        <w:spacing w:after="0" w:line="277" w:lineRule="auto"/>
        <w:rPr>
          <w:sz w:val="20"/>
          <w:szCs w:val="20"/>
          <w:color w:val="auto"/>
        </w:rPr>
      </w:pPr>
      <w:r>
        <w:rPr>
          <w:rFonts w:ascii="Arial" w:cs="Arial" w:eastAsia="Arial" w:hAnsi="Arial"/>
          <w:sz w:val="18"/>
          <w:szCs w:val="18"/>
          <w:color w:val="auto"/>
        </w:rPr>
        <w:t>Company’s common stock. The shares issuable pursuant to the stock rights are included in weighted average common shares outstanding in the computations of earnings per share.</w:t>
      </w:r>
    </w:p>
    <w:p>
      <w:pPr>
        <w:spacing w:after="0" w:line="170" w:lineRule="exact"/>
        <w:rPr>
          <w:sz w:val="20"/>
          <w:szCs w:val="20"/>
          <w:color w:val="auto"/>
        </w:rPr>
      </w:pPr>
    </w:p>
    <w:p>
      <w:pPr>
        <w:ind w:left="332" w:hanging="332"/>
        <w:spacing w:after="0" w:line="259" w:lineRule="auto"/>
        <w:tabs>
          <w:tab w:leader="none" w:pos="353"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$67.5 million in cash. During the first quarter of fiscal 2004, Toshiba exercised its option and the Company redeemed the 1.5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12"/>
      </w:cols>
      <w:pgMar w:left="248"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2019-12-11T20:00:36Z</dcterms:created>
  <dcterms:modified xsi:type="dcterms:W3CDTF">2019-12-11T20:00:36Z</dcterms:modified>
</cp:coreProperties>
</file>