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94" w:right="1440" w:bottom="1440" w:gutter="0" w:footer="0" w:header="0"/>
        </w:sectPr>
      </w:pPr>
    </w:p>
    <w:p>
      <w:pPr>
        <w:spacing w:after="0" w:line="390" w:lineRule="exact"/>
        <w:rPr>
          <w:sz w:val="24"/>
          <w:szCs w:val="24"/>
          <w:color w:val="auto"/>
        </w:rPr>
      </w:pPr>
    </w:p>
    <w:tbl>
      <w:tblPr>
        <w:tblLayout w:type="fixed"/>
        <w:tblInd w:w="480" w:type="dxa"/>
        <w:tblCellMar>
          <w:top w:w="0" w:type="dxa"/>
          <w:left w:w="0" w:type="dxa"/>
          <w:bottom w:w="0" w:type="dxa"/>
          <w:right w:w="0" w:type="dxa"/>
        </w:tblCellMar>
      </w:tblPr>
      <w:tr>
        <w:trPr>
          <w:trHeight w:val="549"/>
        </w:trPr>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C0014"/>
                <w:w w:val="95"/>
              </w:rPr>
              <w:t>Exchange</w:t>
            </w:r>
          </w:p>
        </w:tc>
        <w:tc>
          <w:tcPr>
            <w:tcW w:w="260" w:type="dxa"/>
            <w:vAlign w:val="bottom"/>
            <w:textDirection w:val="btLr"/>
          </w:tcPr>
          <w:p>
            <w:pPr>
              <w:ind w:left="40"/>
              <w:spacing w:after="0"/>
              <w:rPr>
                <w:sz w:val="20"/>
                <w:szCs w:val="20"/>
                <w:color w:val="auto"/>
              </w:rPr>
            </w:pPr>
            <w:r>
              <w:rPr>
                <w:rFonts w:ascii="Arial" w:cs="Arial" w:eastAsia="Arial" w:hAnsi="Arial"/>
                <w:sz w:val="12"/>
                <w:szCs w:val="12"/>
                <w:b w:val="1"/>
                <w:bCs w:val="1"/>
                <w:color w:val="FC0014"/>
                <w:w w:val="96"/>
              </w:rPr>
              <w:t>buy these</w:t>
            </w:r>
          </w:p>
        </w:tc>
      </w:tr>
      <w:tr>
        <w:trPr>
          <w:trHeight w:val="1137"/>
        </w:trPr>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C0014"/>
                <w:w w:val="99"/>
              </w:rPr>
              <w:t>U.S. Securities and</w:t>
            </w:r>
          </w:p>
        </w:tc>
        <w:tc>
          <w:tcPr>
            <w:tcW w:w="260" w:type="dxa"/>
            <w:vAlign w:val="bottom"/>
            <w:textDirection w:val="btLr"/>
          </w:tcPr>
          <w:p>
            <w:pPr>
              <w:ind w:left="40"/>
              <w:spacing w:after="0"/>
              <w:rPr>
                <w:sz w:val="20"/>
                <w:szCs w:val="20"/>
                <w:color w:val="auto"/>
              </w:rPr>
            </w:pPr>
            <w:r>
              <w:rPr>
                <w:rFonts w:ascii="Arial" w:cs="Arial" w:eastAsia="Arial" w:hAnsi="Arial"/>
                <w:sz w:val="12"/>
                <w:szCs w:val="12"/>
                <w:b w:val="1"/>
                <w:bCs w:val="1"/>
                <w:color w:val="FC0014"/>
                <w:w w:val="95"/>
              </w:rPr>
              <w:t>soliciting an offer to</w:t>
            </w:r>
          </w:p>
        </w:tc>
      </w:tr>
      <w:tr>
        <w:trPr>
          <w:trHeight w:val="2264"/>
        </w:trPr>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C0014"/>
              </w:rPr>
              <w:t>to these notes has been filed with the</w:t>
            </w:r>
          </w:p>
        </w:tc>
        <w:tc>
          <w:tcPr>
            <w:tcW w:w="260" w:type="dxa"/>
            <w:vAlign w:val="bottom"/>
            <w:textDirection w:val="btLr"/>
          </w:tcPr>
          <w:p>
            <w:pPr>
              <w:ind w:left="40"/>
              <w:spacing w:after="0"/>
              <w:rPr>
                <w:sz w:val="20"/>
                <w:szCs w:val="20"/>
                <w:color w:val="auto"/>
              </w:rPr>
            </w:pPr>
            <w:r>
              <w:rPr>
                <w:rFonts w:ascii="Arial" w:cs="Arial" w:eastAsia="Arial" w:hAnsi="Arial"/>
                <w:sz w:val="12"/>
                <w:szCs w:val="12"/>
                <w:b w:val="1"/>
                <w:bCs w:val="1"/>
                <w:color w:val="FC0014"/>
                <w:w w:val="97"/>
              </w:rPr>
              <w:t>offer to sell these notes and they are not</w:t>
            </w:r>
          </w:p>
        </w:tc>
      </w:tr>
      <w:tr>
        <w:trPr>
          <w:trHeight w:val="6433"/>
        </w:trPr>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C0014"/>
              </w:rPr>
              <w:t>This preliminary prospectus supplement is not complete and may be changed. A registration statement relating</w:t>
            </w:r>
          </w:p>
        </w:tc>
        <w:tc>
          <w:tcPr>
            <w:tcW w:w="260" w:type="dxa"/>
            <w:vAlign w:val="bottom"/>
            <w:textDirection w:val="btLr"/>
          </w:tcPr>
          <w:p>
            <w:pPr>
              <w:ind w:left="134"/>
              <w:spacing w:after="0"/>
              <w:rPr>
                <w:sz w:val="20"/>
                <w:szCs w:val="20"/>
                <w:color w:val="auto"/>
              </w:rPr>
            </w:pPr>
            <w:r>
              <w:rPr>
                <w:rFonts w:ascii="Arial" w:cs="Arial" w:eastAsia="Arial" w:hAnsi="Arial"/>
                <w:sz w:val="11"/>
                <w:szCs w:val="11"/>
                <w:b w:val="1"/>
                <w:bCs w:val="1"/>
                <w:color w:val="FC0014"/>
                <w:w w:val="70"/>
              </w:rPr>
              <w:t>Commission and is effective. This preliminary prospectus supplement and the accompanying prospectus are not annotesinanyjurisdictionwheretheofferorsaleisnotpermitted.</w:t>
            </w:r>
          </w:p>
        </w:tc>
      </w:tr>
    </w:tbl>
    <w:p>
      <w:pPr>
        <w:spacing w:after="0" w:line="20" w:lineRule="exact"/>
        <w:rPr>
          <w:sz w:val="24"/>
          <w:szCs w:val="24"/>
          <w:color w:val="auto"/>
        </w:rPr>
      </w:pPr>
      <w:r>
        <w:rPr>
          <w:sz w:val="24"/>
          <w:szCs w:val="24"/>
          <w:color w:val="auto"/>
        </w:rPr>
        <w:br w:type="column"/>
      </w:r>
    </w:p>
    <w:p>
      <w:pPr>
        <w:spacing w:after="0" w:line="369" w:lineRule="exact"/>
        <w:rPr>
          <w:sz w:val="24"/>
          <w:szCs w:val="24"/>
          <w:color w:val="auto"/>
        </w:rPr>
      </w:pPr>
    </w:p>
    <w:p>
      <w:pPr>
        <w:jc w:val="right"/>
        <w:ind w:right="499"/>
        <w:spacing w:after="0"/>
        <w:rPr>
          <w:sz w:val="20"/>
          <w:szCs w:val="20"/>
          <w:color w:val="auto"/>
        </w:rPr>
      </w:pPr>
      <w:r>
        <w:rPr>
          <w:rFonts w:ascii="Arial" w:cs="Arial" w:eastAsia="Arial" w:hAnsi="Arial"/>
          <w:sz w:val="15"/>
          <w:szCs w:val="15"/>
          <w:b w:val="1"/>
          <w:bCs w:val="1"/>
          <w:color w:val="auto"/>
        </w:rPr>
        <w:t> Filed Pursuant to Rule 424(b)(2)​</w:t>
      </w:r>
    </w:p>
    <w:p>
      <w:pPr>
        <w:jc w:val="right"/>
        <w:ind w:right="499"/>
        <w:spacing w:after="0" w:line="227" w:lineRule="auto"/>
        <w:rPr>
          <w:sz w:val="20"/>
          <w:szCs w:val="20"/>
          <w:color w:val="auto"/>
        </w:rPr>
      </w:pPr>
      <w:r>
        <w:rPr>
          <w:rFonts w:ascii="Arial" w:cs="Arial" w:eastAsia="Arial" w:hAnsi="Arial"/>
          <w:sz w:val="15"/>
          <w:szCs w:val="15"/>
          <w:b w:val="1"/>
          <w:bCs w:val="1"/>
          <w:color w:val="auto"/>
        </w:rPr>
        <w:t> Registration No. 333-275276​</w:t>
      </w:r>
    </w:p>
    <w:p>
      <w:pPr>
        <w:ind w:left="2350"/>
        <w:spacing w:after="0"/>
        <w:rPr>
          <w:sz w:val="20"/>
          <w:szCs w:val="20"/>
          <w:color w:val="auto"/>
        </w:rPr>
      </w:pPr>
      <w:r>
        <w:rPr>
          <w:rFonts w:ascii="Arial" w:cs="Arial" w:eastAsia="Arial" w:hAnsi="Arial"/>
          <w:sz w:val="13"/>
          <w:szCs w:val="13"/>
          <w:b w:val="1"/>
          <w:bCs w:val="1"/>
          <w:color w:val="FC0014"/>
        </w:rPr>
        <w:t>Subject to Completion, dated January 13, 2025</w:t>
      </w:r>
    </w:p>
    <w:p>
      <w:pPr>
        <w:spacing w:after="0" w:line="31" w:lineRule="exact"/>
        <w:rPr>
          <w:sz w:val="24"/>
          <w:szCs w:val="24"/>
          <w:color w:val="auto"/>
        </w:rPr>
      </w:pPr>
    </w:p>
    <w:p>
      <w:pPr>
        <w:ind w:left="10"/>
        <w:spacing w:after="0"/>
        <w:rPr>
          <w:sz w:val="20"/>
          <w:szCs w:val="20"/>
          <w:color w:val="auto"/>
        </w:rPr>
      </w:pPr>
      <w:r>
        <w:rPr>
          <w:rFonts w:ascii="Arial" w:cs="Arial" w:eastAsia="Arial" w:hAnsi="Arial"/>
          <w:sz w:val="13"/>
          <w:szCs w:val="13"/>
          <w:b w:val="1"/>
          <w:bCs w:val="1"/>
          <w:color w:val="auto"/>
        </w:rPr>
        <w:t>Preliminary Prospectus Supplement</w:t>
      </w:r>
    </w:p>
    <w:p>
      <w:pPr>
        <w:spacing w:after="0" w:line="17" w:lineRule="exact"/>
        <w:rPr>
          <w:sz w:val="24"/>
          <w:szCs w:val="24"/>
          <w:color w:val="auto"/>
        </w:rPr>
      </w:pPr>
    </w:p>
    <w:p>
      <w:pPr>
        <w:ind w:left="10"/>
        <w:spacing w:after="0"/>
        <w:rPr>
          <w:sz w:val="20"/>
          <w:szCs w:val="20"/>
          <w:color w:val="auto"/>
        </w:rPr>
      </w:pPr>
      <w:r>
        <w:rPr>
          <w:rFonts w:ascii="Arial" w:cs="Arial" w:eastAsia="Arial" w:hAnsi="Arial"/>
          <w:sz w:val="13"/>
          <w:szCs w:val="13"/>
          <w:b w:val="1"/>
          <w:bCs w:val="1"/>
          <w:color w:val="auto"/>
        </w:rPr>
        <w:t>(To Prospectus dated November 2, 2023)</w:t>
      </w:r>
    </w:p>
    <w:p>
      <w:pPr>
        <w:spacing w:after="0" w:line="42" w:lineRule="exact"/>
        <w:rPr>
          <w:sz w:val="24"/>
          <w:szCs w:val="24"/>
          <w:color w:val="auto"/>
        </w:rPr>
      </w:pPr>
    </w:p>
    <w:p>
      <w:pPr>
        <w:ind w:left="3150"/>
        <w:spacing w:after="0"/>
        <w:rPr>
          <w:sz w:val="20"/>
          <w:szCs w:val="20"/>
          <w:color w:val="auto"/>
        </w:rPr>
      </w:pPr>
      <w:r>
        <w:rPr>
          <w:rFonts w:ascii="Arial" w:cs="Arial" w:eastAsia="Arial" w:hAnsi="Arial"/>
          <w:sz w:val="19"/>
          <w:szCs w:val="19"/>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1572895</wp:posOffset>
            </wp:positionH>
            <wp:positionV relativeFrom="paragraph">
              <wp:posOffset>60960</wp:posOffset>
            </wp:positionV>
            <wp:extent cx="1577340" cy="3295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3295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529"/>
        <w:spacing w:after="0"/>
        <w:rPr>
          <w:sz w:val="20"/>
          <w:szCs w:val="20"/>
          <w:color w:val="auto"/>
        </w:rPr>
      </w:pPr>
      <w:r>
        <w:rPr>
          <w:rFonts w:ascii="Arial" w:cs="Arial" w:eastAsia="Arial" w:hAnsi="Arial"/>
          <w:sz w:val="32"/>
          <w:szCs w:val="32"/>
          <w:b w:val="1"/>
          <w:bCs w:val="1"/>
          <w:color w:val="auto"/>
        </w:rPr>
        <w:t>Micron Technology, Inc.</w:t>
      </w:r>
    </w:p>
    <w:p>
      <w:pPr>
        <w:spacing w:after="0" w:line="49" w:lineRule="exact"/>
        <w:rPr>
          <w:sz w:val="24"/>
          <w:szCs w:val="24"/>
          <w:color w:val="auto"/>
        </w:rPr>
      </w:pPr>
    </w:p>
    <w:p>
      <w:pPr>
        <w:ind w:left="2690"/>
        <w:spacing w:after="0"/>
        <w:rPr>
          <w:sz w:val="20"/>
          <w:szCs w:val="20"/>
          <w:color w:val="auto"/>
        </w:rPr>
      </w:pPr>
      <w:r>
        <w:rPr>
          <w:rFonts w:ascii="Arial" w:cs="Arial" w:eastAsia="Arial" w:hAnsi="Arial"/>
          <w:sz w:val="19"/>
          <w:szCs w:val="19"/>
          <w:b w:val="1"/>
          <w:bCs w:val="1"/>
          <w:color w:val="auto"/>
        </w:rPr>
        <w:t>% Senior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1859915</wp:posOffset>
            </wp:positionH>
            <wp:positionV relativeFrom="paragraph">
              <wp:posOffset>69215</wp:posOffset>
            </wp:positionV>
            <wp:extent cx="10096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196" w:lineRule="exact"/>
        <w:rPr>
          <w:sz w:val="24"/>
          <w:szCs w:val="24"/>
          <w:color w:val="auto"/>
        </w:rPr>
      </w:pPr>
    </w:p>
    <w:p>
      <w:pPr>
        <w:ind w:left="10" w:right="939"/>
        <w:spacing w:after="0" w:line="259" w:lineRule="auto"/>
        <w:rPr>
          <w:sz w:val="20"/>
          <w:szCs w:val="20"/>
          <w:color w:val="auto"/>
        </w:rPr>
      </w:pPr>
      <w:r>
        <w:rPr>
          <w:rFonts w:ascii="Arial" w:cs="Arial" w:eastAsia="Arial" w:hAnsi="Arial"/>
          <w:sz w:val="15"/>
          <w:szCs w:val="15"/>
          <w:color w:val="auto"/>
        </w:rPr>
        <w:t>Micron Technology, Inc. is offering $            aggregate principal amount of        % senior notes due 20        (the “notes”).</w:t>
      </w:r>
    </w:p>
    <w:p>
      <w:pPr>
        <w:spacing w:after="0" w:line="36" w:lineRule="exact"/>
        <w:rPr>
          <w:sz w:val="24"/>
          <w:szCs w:val="24"/>
          <w:color w:val="auto"/>
        </w:rPr>
      </w:pPr>
    </w:p>
    <w:p>
      <w:pPr>
        <w:ind w:left="10" w:right="899"/>
        <w:spacing w:after="0" w:line="259" w:lineRule="auto"/>
        <w:rPr>
          <w:sz w:val="20"/>
          <w:szCs w:val="20"/>
          <w:color w:val="auto"/>
        </w:rPr>
      </w:pPr>
      <w:r>
        <w:rPr>
          <w:rFonts w:ascii="Arial" w:cs="Arial" w:eastAsia="Arial" w:hAnsi="Arial"/>
          <w:sz w:val="15"/>
          <w:szCs w:val="15"/>
          <w:color w:val="auto"/>
        </w:rPr>
        <w:t>The notes will bear interest at the rate of        % per year. Interest on the notes will be payable semi-annually in arrears on                     and                     of each year, beginning         , 2025.</w:t>
      </w:r>
    </w:p>
    <w:p>
      <w:pPr>
        <w:spacing w:after="0" w:line="36" w:lineRule="exact"/>
        <w:rPr>
          <w:sz w:val="24"/>
          <w:szCs w:val="24"/>
          <w:color w:val="auto"/>
        </w:rPr>
      </w:pPr>
    </w:p>
    <w:p>
      <w:pPr>
        <w:ind w:left="10"/>
        <w:spacing w:after="0"/>
        <w:rPr>
          <w:sz w:val="20"/>
          <w:szCs w:val="20"/>
          <w:color w:val="auto"/>
        </w:rPr>
      </w:pPr>
      <w:r>
        <w:rPr>
          <w:rFonts w:ascii="Arial" w:cs="Arial" w:eastAsia="Arial" w:hAnsi="Arial"/>
          <w:sz w:val="15"/>
          <w:szCs w:val="15"/>
          <w:color w:val="auto"/>
        </w:rPr>
        <w:t>The notes will mature on         , 20        .</w:t>
      </w:r>
    </w:p>
    <w:p>
      <w:pPr>
        <w:spacing w:after="0" w:line="70" w:lineRule="exact"/>
        <w:rPr>
          <w:sz w:val="24"/>
          <w:szCs w:val="24"/>
          <w:color w:val="auto"/>
        </w:rPr>
      </w:pPr>
    </w:p>
    <w:p>
      <w:pPr>
        <w:jc w:val="both"/>
        <w:ind w:left="10" w:right="559"/>
        <w:spacing w:after="0" w:line="260" w:lineRule="auto"/>
        <w:rPr>
          <w:sz w:val="20"/>
          <w:szCs w:val="20"/>
          <w:color w:val="auto"/>
        </w:rPr>
      </w:pPr>
      <w:r>
        <w:rPr>
          <w:rFonts w:ascii="Arial" w:cs="Arial" w:eastAsia="Arial" w:hAnsi="Arial"/>
          <w:sz w:val="14"/>
          <w:szCs w:val="14"/>
          <w:color w:val="auto"/>
        </w:rPr>
        <w:t>We may redeem some or all of the notes, at any time or from time to time, at a redemption price equal to the greater of (i) a make-whole amount (as described in the section entitled “Description of the Notes — Optional Redemption”) and (ii) 100% of the principal amount of the notes to be redeemed, plus accrued and unpaid interest thereon to, but excluding, the redemption date. In addition, we may redeem the notes, in whole or in part, at any time from or after</w:t>
      </w:r>
    </w:p>
    <w:p>
      <w:pPr>
        <w:spacing w:after="0" w:line="1" w:lineRule="exact"/>
        <w:rPr>
          <w:sz w:val="24"/>
          <w:szCs w:val="24"/>
          <w:color w:val="auto"/>
        </w:rPr>
      </w:pPr>
    </w:p>
    <w:p>
      <w:pPr>
        <w:ind w:left="10" w:right="679" w:hanging="10"/>
        <w:spacing w:after="0" w:line="237" w:lineRule="auto"/>
        <w:tabs>
          <w:tab w:leader="none" w:pos="91" w:val="left"/>
        </w:tabs>
        <w:numPr>
          <w:ilvl w:val="0"/>
          <w:numId w:val="1"/>
        </w:numPr>
        <w:rPr>
          <w:rFonts w:ascii="Arial" w:cs="Arial" w:eastAsia="Arial" w:hAnsi="Arial"/>
          <w:sz w:val="15"/>
          <w:szCs w:val="15"/>
          <w:color w:val="auto"/>
        </w:rPr>
      </w:pPr>
      <w:r>
        <w:rPr>
          <w:rFonts w:ascii="Arial" w:cs="Arial" w:eastAsia="Arial" w:hAnsi="Arial"/>
          <w:sz w:val="15"/>
          <w:szCs w:val="15"/>
          <w:color w:val="auto"/>
        </w:rPr>
        <w:t>    , 20        , at a redemption price equal to 100% of the principal amount of the notes to be redeemed, plus accrued and unpaid interest thereon to, but excluding, the redemption date. See “Description of the Notes —  Optional Redemption” in this prospectus supplement for more information. We will be required to make an offer to purchase the notes, at a price equal to 101% of their principal amount, plus accrued and unpaid interest to, but excluding, the date of purchase, upon the occurrence of a Change of Control Triggering Event (as defined herein). See the section entitled “Description of the Notes — Repurchase of Notes Upon a Change of Control Triggering Event” for more information.</w:t>
      </w:r>
    </w:p>
    <w:p>
      <w:pPr>
        <w:spacing w:after="0" w:line="52" w:lineRule="exact"/>
        <w:rPr>
          <w:sz w:val="24"/>
          <w:szCs w:val="24"/>
          <w:color w:val="auto"/>
        </w:rPr>
      </w:pPr>
    </w:p>
    <w:p>
      <w:pPr>
        <w:ind w:left="10" w:right="919"/>
        <w:spacing w:after="0" w:line="259" w:lineRule="auto"/>
        <w:rPr>
          <w:sz w:val="20"/>
          <w:szCs w:val="20"/>
          <w:color w:val="auto"/>
        </w:rPr>
      </w:pPr>
      <w:r>
        <w:rPr>
          <w:rFonts w:ascii="Arial" w:cs="Arial" w:eastAsia="Arial" w:hAnsi="Arial"/>
          <w:sz w:val="15"/>
          <w:szCs w:val="15"/>
          <w:color w:val="auto"/>
        </w:rPr>
        <w:t>The notes will be our senior unsecured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1859915</wp:posOffset>
            </wp:positionH>
            <wp:positionV relativeFrom="paragraph">
              <wp:posOffset>32385</wp:posOffset>
            </wp:positionV>
            <wp:extent cx="10096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160" w:lineRule="exact"/>
        <w:rPr>
          <w:sz w:val="24"/>
          <w:szCs w:val="24"/>
          <w:color w:val="auto"/>
        </w:rPr>
      </w:pPr>
    </w:p>
    <w:p>
      <w:pPr>
        <w:ind w:left="10" w:right="579"/>
        <w:spacing w:after="0" w:line="270" w:lineRule="auto"/>
        <w:rPr>
          <w:sz w:val="20"/>
          <w:szCs w:val="20"/>
          <w:color w:val="auto"/>
        </w:rPr>
      </w:pPr>
      <w:r>
        <w:rPr>
          <w:rFonts w:ascii="Arial" w:cs="Arial" w:eastAsia="Arial" w:hAnsi="Arial"/>
          <w:sz w:val="15"/>
          <w:szCs w:val="15"/>
          <w:b w:val="1"/>
          <w:bCs w:val="1"/>
          <w:color w:val="auto"/>
        </w:rPr>
        <w:t xml:space="preserve">Investing in the notes involves risks. See “Risk Factors” beginning on page </w:t>
      </w:r>
      <w:r>
        <w:rPr>
          <w:rFonts w:ascii="Arial" w:cs="Arial" w:eastAsia="Arial" w:hAnsi="Arial"/>
          <w:sz w:val="15"/>
          <w:szCs w:val="15"/>
          <w:b w:val="1"/>
          <w:bCs w:val="1"/>
          <w:u w:val="single" w:color="auto"/>
          <w:color w:val="0000EE"/>
        </w:rPr>
        <w:t>S-5</w:t>
      </w:r>
      <w:r>
        <w:rPr>
          <w:rFonts w:ascii="Arial" w:cs="Arial" w:eastAsia="Arial" w:hAnsi="Arial"/>
          <w:sz w:val="15"/>
          <w:szCs w:val="15"/>
          <w:b w:val="1"/>
          <w:bCs w:val="1"/>
          <w:color w:val="auto"/>
        </w:rPr>
        <w:t xml:space="preserve"> for a discussion of certain risks that should be considered in connection with an investment in the notes.</w:t>
      </w:r>
    </w:p>
    <w:p>
      <w:pPr>
        <w:spacing w:after="0" w:line="20" w:lineRule="exact"/>
        <w:rPr>
          <w:sz w:val="24"/>
          <w:szCs w:val="24"/>
          <w:color w:val="auto"/>
        </w:rPr>
      </w:pPr>
    </w:p>
    <w:p>
      <w:pPr>
        <w:jc w:val="both"/>
        <w:ind w:left="10" w:right="559"/>
        <w:spacing w:after="0" w:line="285" w:lineRule="auto"/>
        <w:rPr>
          <w:sz w:val="20"/>
          <w:szCs w:val="20"/>
          <w:color w:val="auto"/>
        </w:rPr>
      </w:pPr>
      <w:r>
        <w:rPr>
          <w:rFonts w:ascii="Arial" w:cs="Arial" w:eastAsia="Arial" w:hAnsi="Arial"/>
          <w:sz w:val="14"/>
          <w:szCs w:val="14"/>
          <w:b w:val="1"/>
          <w:bCs w:val="1"/>
          <w:color w:val="auto"/>
        </w:rPr>
        <w:t>Neither the U.S. Securities and Exchange Commission nor any state securities commission has approved or disapproved of the notes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1859915</wp:posOffset>
            </wp:positionH>
            <wp:positionV relativeFrom="paragraph">
              <wp:posOffset>16510</wp:posOffset>
            </wp:positionV>
            <wp:extent cx="10096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6" w:lineRule="exact"/>
        <w:rPr>
          <w:sz w:val="24"/>
          <w:szCs w:val="24"/>
          <w:color w:val="auto"/>
        </w:rPr>
      </w:pPr>
    </w:p>
    <w:tbl>
      <w:tblPr>
        <w:tblLayout w:type="fixed"/>
        <w:tblInd w:w="10" w:type="dxa"/>
        <w:tblCellMar>
          <w:top w:w="0" w:type="dxa"/>
          <w:left w:w="0" w:type="dxa"/>
          <w:bottom w:w="0" w:type="dxa"/>
          <w:right w:w="0" w:type="dxa"/>
        </w:tblCellMar>
      </w:tblPr>
      <w:tr>
        <w:trPr>
          <w:trHeight w:val="138"/>
        </w:trPr>
        <w:tc>
          <w:tcPr>
            <w:tcW w:w="27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94"/>
              </w:rPr>
              <w:t>Public</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Underwriting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Proceeds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7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520" w:type="dxa"/>
            <w:vAlign w:val="bottom"/>
            <w:gridSpan w:val="2"/>
          </w:tcPr>
          <w:p>
            <w:pPr>
              <w:jc w:val="center"/>
              <w:ind w:left="19"/>
              <w:spacing w:after="0" w:line="119" w:lineRule="exact"/>
              <w:rPr>
                <w:sz w:val="20"/>
                <w:szCs w:val="20"/>
                <w:color w:val="auto"/>
              </w:rPr>
            </w:pPr>
            <w:r>
              <w:rPr>
                <w:rFonts w:ascii="Arial" w:cs="Arial" w:eastAsia="Arial" w:hAnsi="Arial"/>
                <w:sz w:val="12"/>
                <w:szCs w:val="12"/>
                <w:b w:val="1"/>
                <w:bCs w:val="1"/>
                <w:color w:val="auto"/>
                <w:w w:val="98"/>
              </w:rPr>
              <w:t>offering</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spacing w:after="0" w:line="119" w:lineRule="exact"/>
              <w:rPr>
                <w:sz w:val="20"/>
                <w:szCs w:val="20"/>
                <w:color w:val="auto"/>
              </w:rPr>
            </w:pPr>
            <w:r>
              <w:rPr>
                <w:rFonts w:ascii="Arial" w:cs="Arial" w:eastAsia="Arial" w:hAnsi="Arial"/>
                <w:sz w:val="12"/>
                <w:szCs w:val="12"/>
                <w:b w:val="1"/>
                <w:bCs w:val="1"/>
                <w:color w:val="auto"/>
                <w:w w:val="97"/>
              </w:rPr>
              <w:t>to us, before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720" w:type="dxa"/>
            <w:vAlign w:val="bottom"/>
          </w:tcPr>
          <w:p>
            <w:pPr>
              <w:spacing w:after="0"/>
              <w:rPr>
                <w:sz w:val="20"/>
                <w:szCs w:val="20"/>
                <w:color w:val="auto"/>
              </w:rPr>
            </w:pPr>
            <w:r>
              <w:rPr>
                <w:rFonts w:ascii="Arial" w:cs="Arial" w:eastAsia="Arial" w:hAnsi="Arial"/>
                <w:sz w:val="12"/>
                <w:szCs w:val="12"/>
                <w:b w:val="1"/>
                <w:bCs w:val="1"/>
                <w:color w:val="auto"/>
              </w:rPr>
              <w:t>​</w:t>
            </w:r>
          </w:p>
        </w:tc>
        <w:tc>
          <w:tcPr>
            <w:tcW w:w="2820" w:type="dxa"/>
            <w:vAlign w:val="bottom"/>
            <w:gridSpan w:val="3"/>
          </w:tcPr>
          <w:p>
            <w:pPr>
              <w:ind w:left="2240"/>
              <w:spacing w:after="0" w:line="154" w:lineRule="exact"/>
              <w:rPr>
                <w:sz w:val="20"/>
                <w:szCs w:val="20"/>
                <w:color w:val="auto"/>
              </w:rPr>
            </w:pPr>
            <w:r>
              <w:rPr>
                <w:rFonts w:ascii="Arial" w:cs="Arial" w:eastAsia="Arial" w:hAnsi="Arial"/>
                <w:sz w:val="17"/>
                <w:szCs w:val="17"/>
                <w:b w:val="1"/>
                <w:bCs w:val="1"/>
                <w:color w:val="auto"/>
                <w:vertAlign w:val="subscript"/>
              </w:rPr>
              <w:t>​ ​</w:t>
            </w:r>
            <w:r>
              <w:rPr>
                <w:rFonts w:ascii="Arial" w:cs="Arial" w:eastAsia="Arial" w:hAnsi="Arial"/>
                <w:sz w:val="10"/>
                <w:szCs w:val="10"/>
                <w:b w:val="1"/>
                <w:bCs w:val="1"/>
                <w:color w:val="auto"/>
              </w:rPr>
              <w:t xml:space="preserve"> price</w:t>
            </w:r>
            <w:r>
              <w:rPr>
                <w:rFonts w:ascii="Arial" w:cs="Arial" w:eastAsia="Arial" w:hAnsi="Arial"/>
                <w:sz w:val="11"/>
                <w:szCs w:val="11"/>
                <w:b w:val="1"/>
                <w:bCs w:val="1"/>
                <w:color w:val="auto"/>
                <w:vertAlign w:val="superscript"/>
              </w:rPr>
              <w:t>(1)</w:t>
            </w:r>
          </w:p>
        </w:tc>
        <w:tc>
          <w:tcPr>
            <w:tcW w:w="2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2"/>
                <w:szCs w:val="12"/>
                <w:b w:val="1"/>
                <w:bCs w:val="1"/>
                <w:color w:val="auto"/>
              </w:rPr>
              <w:t>​ ​</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8"/>
              </w:rPr>
              <w:t>discount</w:t>
            </w:r>
            <w:r>
              <w:rPr>
                <w:rFonts w:ascii="Arial" w:cs="Arial" w:eastAsia="Arial" w:hAnsi="Arial"/>
                <w:sz w:val="7"/>
                <w:szCs w:val="7"/>
                <w:b w:val="1"/>
                <w:bCs w:val="1"/>
                <w:color w:val="auto"/>
                <w:w w:val="98"/>
              </w:rPr>
              <w:t>(2)</w:t>
            </w:r>
          </w:p>
        </w:tc>
        <w:tc>
          <w:tcPr>
            <w:tcW w:w="960" w:type="dxa"/>
            <w:vAlign w:val="bottom"/>
            <w:gridSpan w:val="5"/>
          </w:tcPr>
          <w:p>
            <w:pPr>
              <w:jc w:val="right"/>
              <w:spacing w:after="0" w:line="154" w:lineRule="exact"/>
              <w:rPr>
                <w:sz w:val="20"/>
                <w:szCs w:val="20"/>
                <w:color w:val="auto"/>
              </w:rPr>
            </w:pP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 expenses</w:t>
            </w:r>
            <w:r>
              <w:rPr>
                <w:rFonts w:ascii="Arial" w:cs="Arial" w:eastAsia="Arial" w:hAnsi="Arial"/>
                <w:sz w:val="6"/>
                <w:szCs w:val="6"/>
                <w:b w:val="1"/>
                <w:bCs w:val="1"/>
                <w:color w:val="auto"/>
              </w:rPr>
              <w:t>(1)</w:t>
            </w:r>
            <w:r>
              <w:rPr>
                <w:rFonts w:ascii="Arial" w:cs="Arial" w:eastAsia="Arial" w:hAnsi="Arial"/>
                <w:sz w:val="9"/>
                <w:szCs w:val="9"/>
                <w:b w:val="1"/>
                <w:bCs w:val="1"/>
                <w:color w:val="auto"/>
              </w:rPr>
              <w:t xml:space="preserve">  </w:t>
            </w:r>
            <w:r>
              <w:rPr>
                <w:rFonts w:ascii="Arial" w:cs="Arial" w:eastAsia="Arial" w:hAnsi="Arial"/>
                <w:sz w:val="17"/>
                <w:szCs w:val="17"/>
                <w:b w:val="1"/>
                <w:bCs w:val="1"/>
                <w:color w:val="auto"/>
                <w:vertAlign w:val="subscript"/>
              </w:rPr>
              <w:t>​</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720" w:type="dxa"/>
            <w:vAlign w:val="bottom"/>
          </w:tcPr>
          <w:p>
            <w:pPr>
              <w:spacing w:after="0"/>
              <w:rPr>
                <w:sz w:val="20"/>
                <w:szCs w:val="20"/>
                <w:color w:val="auto"/>
              </w:rPr>
            </w:pPr>
            <w:r>
              <w:rPr>
                <w:rFonts w:ascii="Arial" w:cs="Arial" w:eastAsia="Arial" w:hAnsi="Arial"/>
                <w:sz w:val="13"/>
                <w:szCs w:val="13"/>
                <w:color w:val="auto"/>
              </w:rPr>
              <w:t>Per Note</w:t>
            </w:r>
          </w:p>
        </w:tc>
        <w:tc>
          <w:tcPr>
            <w:tcW w:w="2300" w:type="dxa"/>
            <w:vAlign w:val="bottom"/>
          </w:tcPr>
          <w:p>
            <w:pPr>
              <w:ind w:left="2240"/>
              <w:spacing w:after="0"/>
              <w:rPr>
                <w:sz w:val="20"/>
                <w:szCs w:val="20"/>
                <w:color w:val="auto"/>
              </w:rPr>
            </w:pPr>
            <w:r>
              <w:rPr>
                <w:rFonts w:ascii="Arial" w:cs="Arial" w:eastAsia="Arial" w:hAnsi="Arial"/>
                <w:sz w:val="13"/>
                <w:szCs w:val="13"/>
                <w:color w:val="auto"/>
              </w:rPr>
              <w:t>​</w:t>
            </w:r>
          </w:p>
        </w:tc>
        <w:tc>
          <w:tcPr>
            <w:tcW w:w="660" w:type="dxa"/>
            <w:vAlign w:val="bottom"/>
            <w:gridSpan w:val="4"/>
          </w:tcPr>
          <w:p>
            <w:pPr>
              <w:jc w:val="right"/>
              <w:spacing w:after="0"/>
              <w:rPr>
                <w:sz w:val="20"/>
                <w:szCs w:val="20"/>
                <w:color w:val="auto"/>
              </w:rPr>
            </w:pPr>
            <w:r>
              <w:rPr>
                <w:rFonts w:ascii="Arial" w:cs="Arial" w:eastAsia="Arial" w:hAnsi="Arial"/>
                <w:sz w:val="13"/>
                <w:szCs w:val="13"/>
                <w:color w:val="auto"/>
              </w:rPr>
              <w:t>​ ​ ​       %​​</w:t>
            </w:r>
          </w:p>
        </w:tc>
        <w:tc>
          <w:tcPr>
            <w:tcW w:w="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ind w:left="160"/>
              <w:spacing w:after="0"/>
              <w:rPr>
                <w:sz w:val="20"/>
                <w:szCs w:val="20"/>
                <w:color w:val="auto"/>
              </w:rPr>
            </w:pPr>
            <w:r>
              <w:rPr>
                <w:rFonts w:ascii="Arial" w:cs="Arial" w:eastAsia="Arial" w:hAnsi="Arial"/>
                <w:sz w:val="13"/>
                <w:szCs w:val="13"/>
                <w:color w:val="auto"/>
              </w:rPr>
              <w:t>​  ​       %</w:t>
            </w:r>
          </w:p>
        </w:tc>
        <w:tc>
          <w:tcPr>
            <w:tcW w:w="100" w:type="dxa"/>
            <w:vAlign w:val="bottom"/>
          </w:tcPr>
          <w:p>
            <w:pPr>
              <w:spacing w:after="0"/>
              <w:rPr>
                <w:sz w:val="20"/>
                <w:szCs w:val="20"/>
                <w:color w:val="auto"/>
              </w:rPr>
            </w:pPr>
            <w:r>
              <w:rPr>
                <w:rFonts w:ascii="Arial" w:cs="Arial" w:eastAsia="Arial" w:hAnsi="Arial"/>
                <w:sz w:val="13"/>
                <w:szCs w:val="13"/>
                <w:color w:val="auto"/>
              </w:rPr>
              <w:t>​ ​</w:t>
            </w:r>
          </w:p>
        </w:tc>
        <w:tc>
          <w:tcPr>
            <w:tcW w:w="80" w:type="dxa"/>
            <w:vAlign w:val="bottom"/>
          </w:tcPr>
          <w:p>
            <w:pPr>
              <w:ind w:left="40"/>
              <w:spacing w:after="0"/>
              <w:rPr>
                <w:sz w:val="20"/>
                <w:szCs w:val="20"/>
                <w:color w:val="auto"/>
              </w:rPr>
            </w:pPr>
            <w:r>
              <w:rPr>
                <w:rFonts w:ascii="Arial" w:cs="Arial" w:eastAsia="Arial" w:hAnsi="Arial"/>
                <w:sz w:val="13"/>
                <w:szCs w:val="13"/>
                <w:color w:val="auto"/>
              </w:rPr>
              <w:t>​</w:t>
            </w:r>
          </w:p>
        </w:tc>
        <w:tc>
          <w:tcPr>
            <w:tcW w:w="280" w:type="dxa"/>
            <w:vAlign w:val="bottom"/>
          </w:tcPr>
          <w:p>
            <w:pPr>
              <w:ind w:left="16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0"/>
                <w:szCs w:val="20"/>
                <w:color w:val="auto"/>
              </w:rPr>
            </w:pPr>
            <w:r>
              <w:rPr>
                <w:rFonts w:ascii="Arial" w:cs="Arial" w:eastAsia="Arial" w:hAnsi="Arial"/>
                <w:sz w:val="13"/>
                <w:szCs w:val="13"/>
                <w:color w:val="auto"/>
              </w:rPr>
              <w:t>​       %</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2720" w:type="dxa"/>
            <w:vAlign w:val="bottom"/>
          </w:tcPr>
          <w:p>
            <w:pPr>
              <w:spacing w:after="0"/>
              <w:rPr>
                <w:sz w:val="20"/>
                <w:szCs w:val="20"/>
                <w:color w:val="auto"/>
              </w:rPr>
            </w:pPr>
            <w:r>
              <w:rPr>
                <w:rFonts w:ascii="Arial" w:cs="Arial" w:eastAsia="Arial" w:hAnsi="Arial"/>
                <w:sz w:val="13"/>
                <w:szCs w:val="13"/>
                <w:color w:val="auto"/>
              </w:rPr>
              <w:t>Total</w:t>
            </w:r>
          </w:p>
        </w:tc>
        <w:tc>
          <w:tcPr>
            <w:tcW w:w="2300" w:type="dxa"/>
            <w:vAlign w:val="bottom"/>
          </w:tcPr>
          <w:p>
            <w:pPr>
              <w:ind w:left="224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20"/>
              <w:spacing w:after="0"/>
              <w:rPr>
                <w:sz w:val="20"/>
                <w:szCs w:val="20"/>
                <w:color w:val="auto"/>
              </w:rPr>
            </w:pPr>
            <w:r>
              <w:rPr>
                <w:rFonts w:ascii="Arial" w:cs="Arial" w:eastAsia="Arial" w:hAnsi="Arial"/>
                <w:sz w:val="13"/>
                <w:szCs w:val="13"/>
                <w:color w:val="auto"/>
              </w:rPr>
              <w:t>​ ​$</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ind w:left="160"/>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20"/>
                <w:szCs w:val="20"/>
                <w:color w:val="auto"/>
              </w:rPr>
            </w:pPr>
            <w:r>
              <w:rPr>
                <w:rFonts w:ascii="Arial" w:cs="Arial" w:eastAsia="Arial" w:hAnsi="Arial"/>
                <w:sz w:val="13"/>
                <w:szCs w:val="13"/>
                <w:color w:val="auto"/>
              </w:rPr>
              <w:t>​ ​</w:t>
            </w:r>
          </w:p>
        </w:tc>
        <w:tc>
          <w:tcPr>
            <w:tcW w:w="80" w:type="dxa"/>
            <w:vAlign w:val="bottom"/>
          </w:tcPr>
          <w:p>
            <w:pPr>
              <w:ind w:left="40"/>
              <w:spacing w:after="0"/>
              <w:rPr>
                <w:sz w:val="20"/>
                <w:szCs w:val="20"/>
                <w:color w:val="auto"/>
              </w:rPr>
            </w:pPr>
            <w:r>
              <w:rPr>
                <w:rFonts w:ascii="Arial" w:cs="Arial" w:eastAsia="Arial" w:hAnsi="Arial"/>
                <w:sz w:val="13"/>
                <w:szCs w:val="13"/>
                <w:color w:val="auto"/>
              </w:rPr>
              <w:t>​</w:t>
            </w:r>
          </w:p>
        </w:tc>
        <w:tc>
          <w:tcPr>
            <w:tcW w:w="280" w:type="dxa"/>
            <w:vAlign w:val="bottom"/>
          </w:tcPr>
          <w:p>
            <w:pPr>
              <w:ind w:left="160"/>
              <w:spacing w:after="0"/>
              <w:rPr>
                <w:sz w:val="20"/>
                <w:szCs w:val="20"/>
                <w:color w:val="auto"/>
              </w:rPr>
            </w:pPr>
            <w:r>
              <w:rPr>
                <w:rFonts w:ascii="Arial" w:cs="Arial" w:eastAsia="Arial" w:hAnsi="Arial"/>
                <w:sz w:val="13"/>
                <w:szCs w:val="13"/>
                <w:color w:val="auto"/>
                <w:w w:val="91"/>
              </w:rPr>
              <w:t>​ $</w:t>
            </w: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-227965</wp:posOffset>
            </wp:positionV>
            <wp:extent cx="4718050" cy="112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18050" cy="11239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114935</wp:posOffset>
            </wp:positionV>
            <wp:extent cx="10096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78" w:lineRule="exact"/>
        <w:rPr>
          <w:sz w:val="24"/>
          <w:szCs w:val="24"/>
          <w:color w:val="auto"/>
        </w:rPr>
      </w:pPr>
    </w:p>
    <w:p>
      <w:pPr>
        <w:ind w:left="290" w:hanging="290"/>
        <w:spacing w:after="0"/>
        <w:tabs>
          <w:tab w:leader="none" w:pos="290" w:val="left"/>
        </w:tabs>
        <w:numPr>
          <w:ilvl w:val="0"/>
          <w:numId w:val="2"/>
        </w:numPr>
        <w:rPr>
          <w:rFonts w:ascii="Arial" w:cs="Arial" w:eastAsia="Arial" w:hAnsi="Arial"/>
          <w:sz w:val="13"/>
          <w:szCs w:val="13"/>
          <w:color w:val="auto"/>
        </w:rPr>
      </w:pPr>
      <w:r>
        <w:rPr>
          <w:rFonts w:ascii="Arial" w:cs="Arial" w:eastAsia="Arial" w:hAnsi="Arial"/>
          <w:sz w:val="13"/>
          <w:szCs w:val="13"/>
          <w:color w:val="auto"/>
        </w:rPr>
        <w:t>Plus accrued interest, if any, from                     , 2025.</w:t>
      </w:r>
    </w:p>
    <w:p>
      <w:pPr>
        <w:spacing w:after="0" w:line="71" w:lineRule="exact"/>
        <w:rPr>
          <w:rFonts w:ascii="Arial" w:cs="Arial" w:eastAsia="Arial" w:hAnsi="Arial"/>
          <w:sz w:val="13"/>
          <w:szCs w:val="13"/>
          <w:color w:val="auto"/>
        </w:rPr>
      </w:pPr>
    </w:p>
    <w:p>
      <w:pPr>
        <w:ind w:left="290" w:hanging="290"/>
        <w:spacing w:after="0"/>
        <w:tabs>
          <w:tab w:leader="none" w:pos="29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underwriters have agreed to reimburse us for certain expenses in connection with the offering. See “Underwriting.”</w:t>
      </w:r>
    </w:p>
    <w:p>
      <w:pPr>
        <w:spacing w:after="0" w:line="49" w:lineRule="exact"/>
        <w:rPr>
          <w:sz w:val="24"/>
          <w:szCs w:val="24"/>
          <w:color w:val="auto"/>
        </w:rPr>
      </w:pPr>
    </w:p>
    <w:p>
      <w:pPr>
        <w:jc w:val="both"/>
        <w:ind w:left="10" w:right="559"/>
        <w:spacing w:after="0" w:line="279" w:lineRule="auto"/>
        <w:rPr>
          <w:sz w:val="20"/>
          <w:szCs w:val="20"/>
          <w:color w:val="auto"/>
        </w:rPr>
      </w:pPr>
      <w:r>
        <w:rPr>
          <w:rFonts w:ascii="Arial" w:cs="Arial" w:eastAsia="Arial" w:hAnsi="Arial"/>
          <w:sz w:val="14"/>
          <w:szCs w:val="14"/>
          <w:color w:val="auto"/>
        </w:rPr>
        <w:t>Interest on the notes will accrue from       , 2025. The notes will be issued in registered, book-entry form only without interest coupons, in minimum denominations of $2,000 and integral multiples of $1,000 in excess thereof. The notes will not be listed on any securities exchange. Currently there is no public market for the notes.</w:t>
      </w:r>
    </w:p>
    <w:p>
      <w:pPr>
        <w:spacing w:after="0" w:line="2" w:lineRule="exact"/>
        <w:rPr>
          <w:sz w:val="24"/>
          <w:szCs w:val="24"/>
          <w:color w:val="auto"/>
        </w:rPr>
      </w:pPr>
    </w:p>
    <w:p>
      <w:pPr>
        <w:ind w:left="10" w:right="659"/>
        <w:spacing w:after="0" w:line="252" w:lineRule="auto"/>
        <w:rPr>
          <w:sz w:val="20"/>
          <w:szCs w:val="20"/>
          <w:color w:val="auto"/>
        </w:rPr>
      </w:pPr>
      <w:r>
        <w:rPr>
          <w:rFonts w:ascii="Arial" w:cs="Arial" w:eastAsia="Arial" w:hAnsi="Arial"/>
          <w:sz w:val="15"/>
          <w:szCs w:val="15"/>
          <w:color w:val="auto"/>
        </w:rPr>
        <w:t>The underwriters expect to deliver the notes to purchasers through the book-entry delivery system of The Depository Trust Company and its participants, including Euroclear Bank S.A./N.V and Clearstream Banking, S.A., on or about       , 2025, which will be the third business day from the date of the pricing of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1859915</wp:posOffset>
            </wp:positionH>
            <wp:positionV relativeFrom="paragraph">
              <wp:posOffset>43180</wp:posOffset>
            </wp:positionV>
            <wp:extent cx="10096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156" w:lineRule="exact"/>
        <w:rPr>
          <w:sz w:val="24"/>
          <w:szCs w:val="24"/>
          <w:color w:val="auto"/>
        </w:rPr>
      </w:pPr>
    </w:p>
    <w:p>
      <w:pPr>
        <w:jc w:val="center"/>
        <w:ind w:right="529"/>
        <w:spacing w:after="0"/>
        <w:rPr>
          <w:sz w:val="20"/>
          <w:szCs w:val="20"/>
          <w:color w:val="auto"/>
        </w:rPr>
      </w:pPr>
      <w:r>
        <w:rPr>
          <w:rFonts w:ascii="Arial" w:cs="Arial" w:eastAsia="Arial" w:hAnsi="Arial"/>
          <w:sz w:val="15"/>
          <w:szCs w:val="15"/>
          <w:i w:val="1"/>
          <w:iCs w:val="1"/>
          <w:color w:val="auto"/>
        </w:rPr>
        <w:t>Joint Book-Running Managers</w:t>
      </w:r>
    </w:p>
    <w:p>
      <w:pPr>
        <w:spacing w:after="0" w:line="75" w:lineRule="exact"/>
        <w:rPr>
          <w:sz w:val="24"/>
          <w:szCs w:val="24"/>
          <w:color w:val="auto"/>
        </w:rPr>
      </w:pPr>
    </w:p>
    <w:p>
      <w:pPr>
        <w:jc w:val="center"/>
        <w:ind w:right="529"/>
        <w:spacing w:after="0"/>
        <w:tabs>
          <w:tab w:leader="none" w:pos="380" w:val="left"/>
          <w:tab w:leader="none" w:pos="380" w:val="left"/>
          <w:tab w:leader="none" w:pos="380" w:val="left"/>
        </w:tabs>
        <w:rPr>
          <w:sz w:val="20"/>
          <w:szCs w:val="20"/>
          <w:color w:val="auto"/>
        </w:rPr>
      </w:pPr>
      <w:r>
        <w:rPr>
          <w:rFonts w:ascii="Arial" w:cs="Arial" w:eastAsia="Arial" w:hAnsi="Arial"/>
          <w:sz w:val="21"/>
          <w:szCs w:val="21"/>
          <w:b w:val="1"/>
          <w:bCs w:val="1"/>
          <w:color w:val="auto"/>
        </w:rPr>
        <w:t>Morgan Stanley</w:t>
      </w:r>
      <w:r>
        <w:rPr>
          <w:sz w:val="20"/>
          <w:szCs w:val="20"/>
          <w:color w:val="auto"/>
        </w:rPr>
        <w:tab/>
      </w:r>
      <w:r>
        <w:rPr>
          <w:rFonts w:ascii="Arial" w:cs="Arial" w:eastAsia="Arial" w:hAnsi="Arial"/>
          <w:sz w:val="21"/>
          <w:szCs w:val="21"/>
          <w:b w:val="1"/>
          <w:bCs w:val="1"/>
          <w:color w:val="auto"/>
        </w:rPr>
        <w:t>BNP PARIBAS</w:t>
      </w:r>
      <w:r>
        <w:rPr>
          <w:sz w:val="20"/>
          <w:szCs w:val="20"/>
          <w:color w:val="auto"/>
        </w:rPr>
        <w:tab/>
      </w:r>
      <w:r>
        <w:rPr>
          <w:rFonts w:ascii="Arial" w:cs="Arial" w:eastAsia="Arial" w:hAnsi="Arial"/>
          <w:sz w:val="21"/>
          <w:szCs w:val="21"/>
          <w:b w:val="1"/>
          <w:bCs w:val="1"/>
          <w:color w:val="auto"/>
        </w:rPr>
        <w:t>J.P. Morgan</w:t>
      </w:r>
      <w:r>
        <w:rPr>
          <w:sz w:val="20"/>
          <w:szCs w:val="20"/>
          <w:color w:val="auto"/>
        </w:rPr>
        <w:tab/>
      </w:r>
      <w:r>
        <w:rPr>
          <w:rFonts w:ascii="Arial" w:cs="Arial" w:eastAsia="Arial" w:hAnsi="Arial"/>
          <w:sz w:val="20"/>
          <w:szCs w:val="20"/>
          <w:b w:val="1"/>
          <w:bCs w:val="1"/>
          <w:color w:val="auto"/>
        </w:rPr>
        <w:t>Wells Fargo Securities</w:t>
      </w:r>
    </w:p>
    <w:p>
      <w:pPr>
        <w:spacing w:after="0" w:line="83" w:lineRule="exact"/>
        <w:rPr>
          <w:sz w:val="24"/>
          <w:szCs w:val="24"/>
          <w:color w:val="auto"/>
        </w:rPr>
      </w:pPr>
    </w:p>
    <w:p>
      <w:pPr>
        <w:jc w:val="center"/>
        <w:ind w:right="529"/>
        <w:spacing w:after="0"/>
        <w:rPr>
          <w:sz w:val="20"/>
          <w:szCs w:val="20"/>
          <w:color w:val="auto"/>
        </w:rPr>
      </w:pPr>
      <w:r>
        <w:rPr>
          <w:rFonts w:ascii="Arial" w:cs="Arial" w:eastAsia="Arial" w:hAnsi="Arial"/>
          <w:sz w:val="15"/>
          <w:szCs w:val="15"/>
          <w:color w:val="auto"/>
        </w:rPr>
        <w:t>                     ,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-585470</wp:posOffset>
            </wp:positionH>
            <wp:positionV relativeFrom="paragraph">
              <wp:posOffset>202565</wp:posOffset>
            </wp:positionV>
            <wp:extent cx="5558790"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58790" cy="39370"/>
                    </a:xfrm>
                    <a:prstGeom prst="rect">
                      <a:avLst/>
                    </a:prstGeom>
                    <a:noFill/>
                  </pic:spPr>
                </pic:pic>
              </a:graphicData>
            </a:graphic>
          </wp:anchor>
        </w:drawing>
      </w:r>
    </w:p>
    <w:p>
      <w:pPr>
        <w:sectPr>
          <w:pgSz w:w="11900" w:h="16838" w:orient="portrait"/>
          <w:cols w:equalWidth="0" w:num="2">
            <w:col w:w="860" w:space="190"/>
            <w:col w:w="7969"/>
          </w:cols>
          <w:pgMar w:left="1440" w:top="194" w:right="1440" w:bottom="1440" w:gutter="0" w:footer="0" w:header="0"/>
          <w:type w:val="continuous"/>
        </w:sectPr>
      </w:pPr>
    </w:p>
    <w:bookmarkStart w:id="1" w:name="page2"/>
    <w:bookmarkEnd w:id="1"/>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TABLE OF CONTENTS</w:t>
      </w:r>
    </w:p>
    <w:p>
      <w:pPr>
        <w:spacing w:after="0" w:line="17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Prospectus Supplement</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1905</wp:posOffset>
            </wp:positionV>
            <wp:extent cx="4262120" cy="14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Cautionary Note on Forward-Looking Statements</w:t>
      </w:r>
    </w:p>
    <w:p>
      <w:pPr>
        <w:spacing w:after="0" w:line="37"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About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33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17"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Summary</w:t>
      </w:r>
    </w:p>
    <w:p>
      <w:pPr>
        <w:spacing w:after="0" w:line="37"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Use of Proceeds</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Cash and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Description of the Notes</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Material 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Underwriting</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Validity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Experts</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Where You Can Find More Information</w:t>
      </w:r>
    </w:p>
    <w:p>
      <w:pPr>
        <w:spacing w:after="0" w:line="17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Prospectus</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1905</wp:posOffset>
            </wp:positionV>
            <wp:extent cx="4262120" cy="14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About This Prospectus</w:t>
      </w:r>
    </w:p>
    <w:p>
      <w:pPr>
        <w:spacing w:after="0" w:line="37" w:lineRule="exact"/>
        <w:rPr>
          <w:sz w:val="20"/>
          <w:szCs w:val="20"/>
          <w:color w:val="auto"/>
        </w:rPr>
      </w:pPr>
    </w:p>
    <w:p>
      <w:pPr>
        <w:ind w:left="1140"/>
        <w:spacing w:after="0"/>
        <w:rPr>
          <w:sz w:val="20"/>
          <w:szCs w:val="20"/>
          <w:color w:val="auto"/>
        </w:rPr>
      </w:pPr>
      <w:r>
        <w:rPr>
          <w:rFonts w:ascii="Arial" w:cs="Arial" w:eastAsia="Arial" w:hAnsi="Arial"/>
          <w:sz w:val="14"/>
          <w:szCs w:val="14"/>
          <w:u w:val="single" w:color="auto"/>
          <w:color w:val="0000EE"/>
        </w:rPr>
        <w:t>Where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19050</wp:posOffset>
            </wp:positionV>
            <wp:extent cx="4262120" cy="133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29"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The Company</w:t>
      </w:r>
    </w:p>
    <w:p>
      <w:pPr>
        <w:spacing w:after="0" w:line="37"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Use of Proceeds</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Description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Plan of Distribution</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vertAlign w:val="subscript"/>
        </w:rPr>
        <w:t>​ ​</w:t>
      </w:r>
      <w:r>
        <w:rPr>
          <w:rFonts w:ascii="Arial" w:cs="Arial" w:eastAsia="Arial" w:hAnsi="Arial"/>
          <w:sz w:val="12"/>
          <w:szCs w:val="12"/>
          <w:b w:val="1"/>
          <w:bCs w:val="1"/>
          <w:color w:val="auto"/>
        </w:rPr>
        <w:t xml:space="preserve">  Page </w:t>
      </w:r>
      <w:r>
        <w:rPr>
          <w:rFonts w:ascii="Arial" w:cs="Arial" w:eastAsia="Arial" w:hAnsi="Arial"/>
          <w:sz w:val="23"/>
          <w:szCs w:val="23"/>
          <w:b w:val="1"/>
          <w:bCs w:val="1"/>
          <w:color w:val="auto"/>
          <w:vertAlign w:val="subscript"/>
        </w:rPr>
        <w:t>​</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u w:val="single" w:color="auto"/>
          <w:color w:val="0000EE"/>
        </w:rPr>
        <w:t>S-ii</w:t>
      </w:r>
      <w:r>
        <w:rPr>
          <w:rFonts w:ascii="Arial" w:cs="Arial" w:eastAsia="Arial" w:hAnsi="Arial"/>
          <w:sz w:val="15"/>
          <w:szCs w:val="15"/>
          <w:color w:val="auto"/>
        </w:rPr>
        <w:t>​</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u w:val="single" w:color="auto"/>
          <w:color w:val="0000EE"/>
        </w:rPr>
        <w:t>S-iv</w:t>
      </w:r>
      <w:r>
        <w:rPr>
          <w:rFonts w:ascii="Arial" w:cs="Arial" w:eastAsia="Arial" w:hAnsi="Arial"/>
          <w:sz w:val="15"/>
          <w:szCs w:val="15"/>
          <w:color w:val="auto"/>
        </w:rPr>
        <w:t>​</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u w:val="single" w:color="auto"/>
          <w:color w:val="0000EE"/>
        </w:rPr>
        <w:t>S-1</w:t>
      </w:r>
      <w:r>
        <w:rPr>
          <w:rFonts w:ascii="Arial" w:cs="Arial" w:eastAsia="Arial" w:hAnsi="Arial"/>
          <w:sz w:val="15"/>
          <w:szCs w:val="15"/>
          <w:color w:val="auto"/>
        </w:rPr>
        <w:t>​</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u w:val="single" w:color="auto"/>
          <w:color w:val="0000EE"/>
        </w:rPr>
        <w:t>S-5</w:t>
      </w:r>
      <w:r>
        <w:rPr>
          <w:rFonts w:ascii="Arial" w:cs="Arial" w:eastAsia="Arial" w:hAnsi="Arial"/>
          <w:sz w:val="15"/>
          <w:szCs w:val="15"/>
          <w:color w:val="auto"/>
        </w:rPr>
        <w:t>​</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u w:val="single" w:color="auto"/>
          <w:color w:val="0000EE"/>
        </w:rPr>
        <w:t>S-9</w:t>
      </w:r>
      <w:r>
        <w:rPr>
          <w:rFonts w:ascii="Arial" w:cs="Arial" w:eastAsia="Arial" w:hAnsi="Arial"/>
          <w:sz w:val="15"/>
          <w:szCs w:val="15"/>
          <w:color w:val="auto"/>
        </w:rPr>
        <w: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u w:val="single" w:color="auto"/>
          <w:color w:val="0000EE"/>
        </w:rPr>
        <w:t>S-10</w:t>
      </w:r>
      <w:r>
        <w:rPr>
          <w:rFonts w:ascii="Arial" w:cs="Arial" w:eastAsia="Arial" w:hAnsi="Arial"/>
          <w:sz w:val="15"/>
          <w:szCs w:val="15"/>
          <w:color w:val="auto"/>
        </w:rPr>
        <w: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u w:val="single" w:color="auto"/>
          <w:color w:val="0000EE"/>
        </w:rPr>
        <w:t>S-12</w:t>
      </w:r>
      <w:r>
        <w:rPr>
          <w:rFonts w:ascii="Arial" w:cs="Arial" w:eastAsia="Arial" w:hAnsi="Arial"/>
          <w:sz w:val="15"/>
          <w:szCs w:val="15"/>
          <w:color w:val="auto"/>
        </w:rPr>
        <w: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u w:val="single" w:color="auto"/>
          <w:color w:val="0000EE"/>
        </w:rPr>
        <w:t>S-34</w:t>
      </w:r>
      <w:r>
        <w:rPr>
          <w:rFonts w:ascii="Arial" w:cs="Arial" w:eastAsia="Arial" w:hAnsi="Arial"/>
          <w:sz w:val="15"/>
          <w:szCs w:val="15"/>
          <w:color w:val="auto"/>
        </w:rPr>
        <w: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u w:val="single" w:color="auto"/>
          <w:color w:val="0000EE"/>
        </w:rPr>
        <w:t>S-39</w:t>
      </w:r>
      <w:r>
        <w:rPr>
          <w:rFonts w:ascii="Arial" w:cs="Arial" w:eastAsia="Arial" w:hAnsi="Arial"/>
          <w:sz w:val="15"/>
          <w:szCs w:val="15"/>
          <w:color w:val="auto"/>
        </w:rPr>
        <w: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u w:val="single" w:color="auto"/>
          <w:color w:val="0000EE"/>
        </w:rPr>
        <w:t>S-45</w:t>
      </w:r>
      <w:r>
        <w:rPr>
          <w:rFonts w:ascii="Arial" w:cs="Arial" w:eastAsia="Arial" w:hAnsi="Arial"/>
          <w:sz w:val="15"/>
          <w:szCs w:val="15"/>
          <w:color w:val="auto"/>
        </w:rPr>
        <w: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u w:val="single" w:color="auto"/>
          <w:color w:val="0000EE"/>
        </w:rPr>
        <w:t>S-45</w:t>
      </w:r>
      <w:r>
        <w:rPr>
          <w:rFonts w:ascii="Arial" w:cs="Arial" w:eastAsia="Arial" w:hAnsi="Arial"/>
          <w:sz w:val="15"/>
          <w:szCs w:val="15"/>
          <w:color w:val="auto"/>
        </w:rPr>
        <w: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u w:val="single" w:color="auto"/>
          <w:color w:val="0000EE"/>
        </w:rPr>
        <w:t>S-45</w:t>
      </w:r>
      <w:r>
        <w:rPr>
          <w:rFonts w:ascii="Arial" w:cs="Arial" w:eastAsia="Arial" w:hAnsi="Arial"/>
          <w:sz w:val="15"/>
          <w:szCs w:val="15"/>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vertAlign w:val="subscript"/>
        </w:rPr>
        <w:t>​ ​</w:t>
      </w:r>
      <w:r>
        <w:rPr>
          <w:rFonts w:ascii="Arial" w:cs="Arial" w:eastAsia="Arial" w:hAnsi="Arial"/>
          <w:sz w:val="12"/>
          <w:szCs w:val="12"/>
          <w:b w:val="1"/>
          <w:bCs w:val="1"/>
          <w:color w:val="auto"/>
        </w:rPr>
        <w:t xml:space="preserve">  Page </w:t>
      </w:r>
      <w:r>
        <w:rPr>
          <w:rFonts w:ascii="Arial" w:cs="Arial" w:eastAsia="Arial" w:hAnsi="Arial"/>
          <w:sz w:val="23"/>
          <w:szCs w:val="23"/>
          <w:b w:val="1"/>
          <w:bCs w:val="1"/>
          <w:color w:val="auto"/>
          <w:vertAlign w:val="subscript"/>
        </w:rPr>
        <w:t>​</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1</w:t>
      </w:r>
      <w:r>
        <w:rPr>
          <w:rFonts w:ascii="Arial" w:cs="Arial" w:eastAsia="Arial" w:hAnsi="Arial"/>
          <w:sz w:val="15"/>
          <w:szCs w:val="15"/>
          <w:color w:val="auto"/>
        </w:rPr>
        <w:t xml:space="preserve"> ​</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2</w:t>
      </w:r>
      <w:r>
        <w:rPr>
          <w:rFonts w:ascii="Arial" w:cs="Arial" w:eastAsia="Arial" w:hAnsi="Arial"/>
          <w:sz w:val="15"/>
          <w:szCs w:val="15"/>
          <w:color w:val="auto"/>
        </w:rPr>
        <w:t xml:space="preserve"> ​</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4</w:t>
      </w:r>
      <w:r>
        <w:rPr>
          <w:rFonts w:ascii="Arial" w:cs="Arial" w:eastAsia="Arial" w:hAnsi="Arial"/>
          <w:sz w:val="15"/>
          <w:szCs w:val="15"/>
          <w:color w:val="auto"/>
        </w:rPr>
        <w:t xml:space="preserve"> ​</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5</w:t>
      </w:r>
      <w:r>
        <w:rPr>
          <w:rFonts w:ascii="Arial" w:cs="Arial" w:eastAsia="Arial" w:hAnsi="Arial"/>
          <w:sz w:val="15"/>
          <w:szCs w:val="15"/>
          <w:color w:val="auto"/>
        </w:rPr>
        <w:t xml:space="preserve"> ​</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6</w:t>
      </w:r>
      <w:r>
        <w:rPr>
          <w:rFonts w:ascii="Arial" w:cs="Arial" w:eastAsia="Arial" w:hAnsi="Arial"/>
          <w:sz w:val="15"/>
          <w:szCs w:val="15"/>
          <w:color w:val="auto"/>
        </w:rPr>
        <w:t xml:space="preserve"> ​</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7</w:t>
      </w:r>
      <w:r>
        <w:rPr>
          <w:rFonts w:ascii="Arial" w:cs="Arial" w:eastAsia="Arial" w:hAnsi="Arial"/>
          <w:sz w:val="15"/>
          <w:szCs w:val="15"/>
          <w:color w:val="auto"/>
        </w:rPr>
        <w:t xml:space="preserve"> ​</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8</w:t>
      </w:r>
      <w:r>
        <w:rPr>
          <w:rFonts w:ascii="Arial" w:cs="Arial" w:eastAsia="Arial" w:hAnsi="Arial"/>
          <w:sz w:val="15"/>
          <w:szCs w:val="15"/>
          <w:color w:val="auto"/>
        </w:rPr>
        <w:t xml:space="preserve"> ​</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9</w:t>
      </w:r>
      <w:r>
        <w:rPr>
          <w:rFonts w:ascii="Arial" w:cs="Arial" w:eastAsia="Arial" w:hAnsi="Arial"/>
          <w:sz w:val="15"/>
          <w:szCs w:val="15"/>
          <w:color w:val="auto"/>
        </w:rPr>
        <w:t xml:space="preserve"> ​</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9</w:t>
      </w:r>
      <w:r>
        <w:rPr>
          <w:rFonts w:ascii="Arial" w:cs="Arial" w:eastAsia="Arial" w:hAnsi="Arial"/>
          <w:sz w:val="15"/>
          <w:szCs w:val="15"/>
          <w:color w:val="auto"/>
        </w:rPr>
        <w:t xml:space="preserve"> ​</w:t>
      </w:r>
    </w:p>
    <w:p>
      <w:pPr>
        <w:sectPr>
          <w:pgSz w:w="11900" w:h="16838" w:orient="portrait"/>
          <w:cols w:equalWidth="0" w:num="2">
            <w:col w:w="6620" w:space="720"/>
            <w:col w:w="1679"/>
          </w:cols>
          <w:pgMar w:left="1440" w:top="98" w:right="1440" w:bottom="1440" w:gutter="0" w:footer="0" w:header="0"/>
        </w:sectPr>
      </w:pPr>
    </w:p>
    <w:bookmarkStart w:id="2" w:name="page3"/>
    <w:bookmarkEnd w:id="2"/>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CAUTIONARY NOTE ON FORWARD-</w:t>
      </w:r>
    </w:p>
    <w:p>
      <w:pPr>
        <w:ind w:left="1140"/>
        <w:spacing w:after="0" w:line="234" w:lineRule="auto"/>
        <w:rPr>
          <w:sz w:val="20"/>
          <w:szCs w:val="20"/>
          <w:color w:val="auto"/>
        </w:rPr>
      </w:pPr>
      <w:r>
        <w:rPr>
          <w:rFonts w:ascii="Arial" w:cs="Arial" w:eastAsia="Arial" w:hAnsi="Arial"/>
          <w:sz w:val="32"/>
          <w:szCs w:val="32"/>
          <w:b w:val="1"/>
          <w:bCs w:val="1"/>
          <w:color w:val="auto"/>
        </w:rPr>
        <w:t>LOOKING</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STATEMENTS</w:t>
      </w:r>
    </w:p>
    <w:p>
      <w:pPr>
        <w:spacing w:after="0" w:line="87" w:lineRule="exact"/>
        <w:rPr>
          <w:sz w:val="20"/>
          <w:szCs w:val="20"/>
          <w:color w:val="auto"/>
        </w:rPr>
      </w:pPr>
    </w:p>
    <w:p>
      <w:pPr>
        <w:ind w:left="1140" w:right="1199"/>
        <w:spacing w:after="0"/>
        <w:rPr>
          <w:sz w:val="20"/>
          <w:szCs w:val="20"/>
          <w:color w:val="auto"/>
        </w:rPr>
      </w:pPr>
      <w:r>
        <w:rPr>
          <w:rFonts w:ascii="Arial" w:cs="Arial" w:eastAsia="Arial" w:hAnsi="Arial"/>
          <w:sz w:val="15"/>
          <w:szCs w:val="15"/>
          <w:color w:val="auto"/>
        </w:rPr>
        <w:t>This prospectus supplement, the accompanying prospectus and the information incorporated herein and therein by reference contain trend information and other forward-looking statements that involve a number of risks and uncertainties. Such forward-looking statements may be identified by words such as “anticipate,” “expect,” “intend,” “pledge,” “committed,” “plan,” “opportunities,” “future,” “believe,” “target,” “on track,” “estimate,” “continue,” “likely,” “may,” “will,” “would,” “should,” “could,” and variations of such words and similar expressions. However, the absence of these words or similar expressions does not mean that a statement is not forward-looking.</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Specific forward-looking statements include, but are not limited to:</w:t>
      </w:r>
    </w:p>
    <w:p>
      <w:pPr>
        <w:spacing w:after="0" w:line="92" w:lineRule="exact"/>
        <w:rPr>
          <w:sz w:val="20"/>
          <w:szCs w:val="20"/>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statements such as those made regarding expected production ramp of certain products;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plans to invest in research and development, including the plans to implement EUV lithography;</w:t>
      </w:r>
    </w:p>
    <w:p>
      <w:pPr>
        <w:spacing w:after="0" w:line="103" w:lineRule="exact"/>
        <w:rPr>
          <w:rFonts w:ascii="Arial" w:cs="Arial" w:eastAsia="Arial" w:hAnsi="Arial"/>
          <w:sz w:val="14"/>
          <w:szCs w:val="14"/>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anticipated technological developments;</w:t>
      </w:r>
    </w:p>
    <w:p>
      <w:pPr>
        <w:spacing w:after="0" w:line="81"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potential change in our effective tax rate;</w:t>
      </w:r>
    </w:p>
    <w:p>
      <w:pPr>
        <w:spacing w:after="0" w:line="92" w:lineRule="exact"/>
        <w:rPr>
          <w:rFonts w:ascii="Arial" w:cs="Arial" w:eastAsia="Arial" w:hAnsi="Arial"/>
          <w:sz w:val="15"/>
          <w:szCs w:val="15"/>
          <w:color w:val="auto"/>
        </w:rPr>
      </w:pPr>
    </w:p>
    <w:p>
      <w:pPr>
        <w:ind w:left="1580" w:right="1519" w:hanging="138"/>
        <w:spacing w:after="0" w:line="274" w:lineRule="auto"/>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timing for construction and ramping of production for our facilities, including new memory manufacturing fabs in the United States;</w:t>
      </w:r>
    </w:p>
    <w:p>
      <w:pPr>
        <w:spacing w:after="0" w:line="47"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receipt, timing, and utilization of government incentives;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payment of future cash dividends;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market conditions and profitability in our industry;</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future demand for our products;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DRAM bit shipments in future periods;</w:t>
      </w:r>
    </w:p>
    <w:p>
      <w:pPr>
        <w:spacing w:after="0" w:line="81"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actions to align our NAND supply with industry demand trends;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impact of the Cyberspace Administration of China decision;</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capital spending in 2025;</w:t>
      </w:r>
    </w:p>
    <w:p>
      <w:pPr>
        <w:spacing w:after="0" w:line="92" w:lineRule="exact"/>
        <w:rPr>
          <w:rFonts w:ascii="Arial" w:cs="Arial" w:eastAsia="Arial" w:hAnsi="Arial"/>
          <w:sz w:val="15"/>
          <w:szCs w:val="15"/>
          <w:color w:val="auto"/>
        </w:rPr>
      </w:pPr>
    </w:p>
    <w:p>
      <w:pPr>
        <w:ind w:left="1580" w:right="1239" w:hanging="138"/>
        <w:spacing w:after="0" w:line="274" w:lineRule="auto"/>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potential impact of business, economic, political, legal and regulatory developments upon our global operations;</w:t>
      </w:r>
    </w:p>
    <w:p>
      <w:pPr>
        <w:spacing w:after="0" w:line="47"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sufficiency of our cash and investments; and</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intended use of proceeds from the offering of notes.</w:t>
      </w:r>
    </w:p>
    <w:p>
      <w:pPr>
        <w:spacing w:after="0" w:line="115" w:lineRule="exact"/>
        <w:rPr>
          <w:sz w:val="20"/>
          <w:szCs w:val="20"/>
          <w:color w:val="auto"/>
        </w:rPr>
      </w:pPr>
    </w:p>
    <w:p>
      <w:pPr>
        <w:ind w:left="1140" w:right="1219"/>
        <w:spacing w:after="0" w:line="249" w:lineRule="auto"/>
        <w:rPr>
          <w:sz w:val="20"/>
          <w:szCs w:val="20"/>
          <w:color w:val="auto"/>
        </w:rPr>
      </w:pPr>
      <w:r>
        <w:rPr>
          <w:rFonts w:ascii="Arial" w:cs="Arial" w:eastAsia="Arial" w:hAnsi="Arial"/>
          <w:sz w:val="15"/>
          <w:szCs w:val="15"/>
          <w:color w:val="auto"/>
        </w:rPr>
        <w:t>Our actual results could differ materially from our historical results and those discussed in the forward-looking statements. Factors that could cause actual results to differ materially include, but are not limited to those identified in the section titled “Risk Factors” of this prospectus supplement and in our Annual Report on Form 10-K and our Quarterly Report on Form 10-Q incorporated by reference herein and as may be updated in this prospectus supplement and in filings we make with the U.S. Securities and Exchange Commission (the “SEC”). The forward-looking statements contained herein are based on information available to us as of the date of this prospectus supplement and are based on management’s current views and assumptions and should not be relied upon as representing our views as of any subsequent date.</w:t>
      </w:r>
    </w:p>
    <w:p>
      <w:pPr>
        <w:spacing w:after="0" w:line="101" w:lineRule="exact"/>
        <w:rPr>
          <w:sz w:val="20"/>
          <w:szCs w:val="20"/>
          <w:color w:val="auto"/>
        </w:rPr>
      </w:pPr>
    </w:p>
    <w:p>
      <w:pPr>
        <w:ind w:left="1140" w:right="1159"/>
        <w:spacing w:after="0" w:line="275" w:lineRule="auto"/>
        <w:rPr>
          <w:sz w:val="20"/>
          <w:szCs w:val="20"/>
          <w:color w:val="auto"/>
        </w:rPr>
      </w:pPr>
      <w:r>
        <w:rPr>
          <w:rFonts w:ascii="Arial" w:cs="Arial" w:eastAsia="Arial" w:hAnsi="Arial"/>
          <w:sz w:val="14"/>
          <w:szCs w:val="14"/>
          <w:color w:val="auto"/>
        </w:rPr>
        <w:t>All subsequent written and oral forward-looking statements attributable to us or any person acting on our behalf are expressly qualified in their entirety by the cautionary statements contained or referred to in this prospectus supplement and any other cautionary statements that may accompany such forward-looking statements. We do not undertake any obligation to update any of these forward-looking statements to conform these statements to actual results, unless the securities laws require us to do so.</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 w:name="page4"/>
    <w:bookmarkEnd w:id="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Trademarks and Service Marks</w:t>
      </w:r>
    </w:p>
    <w:p>
      <w:pPr>
        <w:spacing w:after="0" w:line="133" w:lineRule="exact"/>
        <w:rPr>
          <w:sz w:val="20"/>
          <w:szCs w:val="20"/>
          <w:color w:val="auto"/>
        </w:rPr>
      </w:pPr>
    </w:p>
    <w:p>
      <w:pPr>
        <w:ind w:left="1140" w:right="1159"/>
        <w:spacing w:after="0" w:line="235" w:lineRule="auto"/>
        <w:rPr>
          <w:sz w:val="20"/>
          <w:szCs w:val="20"/>
          <w:color w:val="auto"/>
        </w:rPr>
      </w:pPr>
      <w:r>
        <w:rPr>
          <w:rFonts w:ascii="Arial" w:cs="Arial" w:eastAsia="Arial" w:hAnsi="Arial"/>
          <w:sz w:val="15"/>
          <w:szCs w:val="15"/>
          <w:color w:val="auto"/>
        </w:rPr>
        <w:t xml:space="preserve">We own or have rights to trademarks, service marks or trade names that we use in connection with the operation of our business. Other trademarks, service marks and trade names appearing in this prospectus supplement or the documents incorporated by reference herein are the property of their respective owners. Solely for convenience, the trademarks, service marks, and tradenames referred to in this prospectus supplement may be listed without the ® and </w:t>
      </w:r>
      <w:r>
        <w:rPr>
          <w:rFonts w:ascii="Arial" w:cs="Arial" w:eastAsia="Arial" w:hAnsi="Arial"/>
          <w:sz w:val="22"/>
          <w:szCs w:val="22"/>
          <w:color w:val="auto"/>
          <w:vertAlign w:val="superscript"/>
        </w:rPr>
        <w:t>TM</w:t>
      </w:r>
      <w:r>
        <w:rPr>
          <w:rFonts w:ascii="Arial" w:cs="Arial" w:eastAsia="Arial" w:hAnsi="Arial"/>
          <w:sz w:val="15"/>
          <w:szCs w:val="15"/>
          <w:color w:val="auto"/>
        </w:rPr>
        <w:t xml:space="preserve"> symbols, but we will assert, to the fullest extent under applicable law, our rights or the rights of the applicable licensors to these trademarks, service 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 w:name="page5"/>
    <w:bookmarkEnd w:id="4"/>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ABOUT THIS PROSPECTUS SUPPLEMENT</w:t>
      </w:r>
    </w:p>
    <w:p>
      <w:pPr>
        <w:spacing w:after="0" w:line="130" w:lineRule="exact"/>
        <w:rPr>
          <w:sz w:val="20"/>
          <w:szCs w:val="20"/>
          <w:color w:val="auto"/>
        </w:rPr>
      </w:pPr>
    </w:p>
    <w:p>
      <w:pPr>
        <w:ind w:left="1140" w:right="1199"/>
        <w:spacing w:after="0" w:line="267" w:lineRule="auto"/>
        <w:rPr>
          <w:sz w:val="20"/>
          <w:szCs w:val="20"/>
          <w:color w:val="auto"/>
        </w:rPr>
      </w:pPr>
      <w:r>
        <w:rPr>
          <w:rFonts w:ascii="Arial" w:cs="Arial" w:eastAsia="Arial" w:hAnsi="Arial"/>
          <w:sz w:val="14"/>
          <w:szCs w:val="14"/>
          <w:color w:val="auto"/>
        </w:rPr>
        <w:t>This prospectus supplement and the accompanying prospectus dated November 2, 2023 are part of a registration statement that we filed with the SEC, using a “shelf” registration process. Under this shelf registration process, we may from time to time offer to sell securities, in one or more offerings. We provide information to you about this offering of the notes in two separate documents that are bound together: (1) this prospectus supplement, which describes the specific details regarding this offering; and</w:t>
      </w:r>
    </w:p>
    <w:p>
      <w:pPr>
        <w:spacing w:after="0" w:line="2" w:lineRule="exact"/>
        <w:rPr>
          <w:sz w:val="20"/>
          <w:szCs w:val="20"/>
          <w:color w:val="auto"/>
        </w:rPr>
      </w:pPr>
    </w:p>
    <w:p>
      <w:pPr>
        <w:ind w:left="1140" w:right="1179" w:firstLine="8"/>
        <w:spacing w:after="0" w:line="265" w:lineRule="auto"/>
        <w:tabs>
          <w:tab w:leader="none" w:pos="135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 for example, a document incorporated by reference in the accompanying prospectus, 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 “Where You Can Find More Information.”</w:t>
      </w:r>
    </w:p>
    <w:p>
      <w:pPr>
        <w:spacing w:after="0" w:line="93" w:lineRule="exact"/>
        <w:rPr>
          <w:sz w:val="20"/>
          <w:szCs w:val="20"/>
          <w:color w:val="auto"/>
        </w:rPr>
      </w:pPr>
    </w:p>
    <w:p>
      <w:pPr>
        <w:ind w:left="1140" w:right="1159"/>
        <w:spacing w:after="0" w:line="248" w:lineRule="auto"/>
        <w:rPr>
          <w:sz w:val="20"/>
          <w:szCs w:val="20"/>
          <w:color w:val="auto"/>
        </w:rPr>
      </w:pPr>
      <w:r>
        <w:rPr>
          <w:rFonts w:ascii="Arial" w:cs="Arial" w:eastAsia="Arial" w:hAnsi="Arial"/>
          <w:sz w:val="15"/>
          <w:szCs w:val="15"/>
          <w:color w:val="auto"/>
        </w:rPr>
        <w:t>You should rely only on the information contained in or incorporated by reference in this prospectus supplement, the accompanying prospectus or in any related free writing prospectus filed by us with the SEC. Neither we nor the underwriters have authorized anyone to provide you with different information. This prospectus supplement and the accompanying prospectus do not constitute an offer to sell or the solicitation of an offer to buy our securities other than the notes described in this prospectus supplement or an offer to sell or the solicitation of an offer to buy the notes in any circumstances in which such offer or solicitation is unlawful. You should assume that the information appearing in this prospectus supplement, the accompanying prospectus, the documents incorporated by reference and any related free writing prospectus is accurate only as of their respective dates or as otherwise specified therein. Our business, financial condition, results of operations and prospects may have changed materially since those dates.</w:t>
      </w:r>
    </w:p>
    <w:p>
      <w:pPr>
        <w:spacing w:after="0" w:line="93" w:lineRule="exact"/>
        <w:rPr>
          <w:sz w:val="20"/>
          <w:szCs w:val="20"/>
          <w:color w:val="auto"/>
        </w:rPr>
      </w:pPr>
    </w:p>
    <w:p>
      <w:pPr>
        <w:ind w:left="1140" w:right="1219"/>
        <w:spacing w:after="0" w:line="255" w:lineRule="auto"/>
        <w:rPr>
          <w:sz w:val="20"/>
          <w:szCs w:val="20"/>
          <w:color w:val="auto"/>
        </w:rPr>
      </w:pPr>
      <w:r>
        <w:rPr>
          <w:rFonts w:ascii="Arial" w:cs="Arial" w:eastAsia="Arial" w:hAnsi="Arial"/>
          <w:sz w:val="15"/>
          <w:szCs w:val="15"/>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the notes offered by this prospectus supplement.</w:t>
      </w:r>
    </w:p>
    <w:p>
      <w:pPr>
        <w:spacing w:after="0" w:line="95" w:lineRule="exact"/>
        <w:rPr>
          <w:sz w:val="20"/>
          <w:szCs w:val="20"/>
          <w:color w:val="auto"/>
        </w:rPr>
      </w:pPr>
    </w:p>
    <w:p>
      <w:pPr>
        <w:ind w:left="1140" w:right="1419"/>
        <w:spacing w:after="0" w:line="260" w:lineRule="auto"/>
        <w:rPr>
          <w:sz w:val="20"/>
          <w:szCs w:val="20"/>
          <w:color w:val="auto"/>
        </w:rPr>
      </w:pPr>
      <w:r>
        <w:rPr>
          <w:rFonts w:ascii="Arial" w:cs="Arial" w:eastAsia="Arial" w:hAnsi="Arial"/>
          <w:sz w:val="15"/>
          <w:szCs w:val="15"/>
          <w:color w:val="auto"/>
        </w:rPr>
        <w:t>Unless the context requires otherwise or unless otherwise specified, references in this prospectus supplement to “Micron,” “we,” “our,” “us,” and the “Company” refer to Micron Technology, Inc. and our consolidated subsidiaries.</w:t>
      </w:r>
    </w:p>
    <w:p>
      <w:pPr>
        <w:spacing w:after="0" w:line="91" w:lineRule="exact"/>
        <w:rPr>
          <w:sz w:val="20"/>
          <w:szCs w:val="20"/>
          <w:color w:val="auto"/>
        </w:rPr>
      </w:pPr>
    </w:p>
    <w:p>
      <w:pPr>
        <w:ind w:left="1140" w:right="1159"/>
        <w:spacing w:after="0" w:line="249" w:lineRule="auto"/>
        <w:rPr>
          <w:sz w:val="20"/>
          <w:szCs w:val="20"/>
          <w:color w:val="auto"/>
        </w:rPr>
      </w:pPr>
      <w:r>
        <w:rPr>
          <w:rFonts w:ascii="Arial" w:cs="Arial" w:eastAsia="Arial" w:hAnsi="Arial"/>
          <w:sz w:val="15"/>
          <w:szCs w:val="15"/>
          <w:color w:val="auto"/>
        </w:rPr>
        <w:t>We expect that delivery of the notes will be made to investors on or about                     , 2025, which will be the third business day following the date of this prospectus supplement (such settlement being referred to as T+3). Under Rule 15c6-1 under the Securities Exchange Act of 1934, as amended, trades in the secondary market are required to settle in one business day, unless the parties to any such trade expressly agree otherwise. Accordingly, purchasers who wish to trade notes more than one business day prior to                     , 2025 will be required, by virtue of the fact that the notes initially settle in T+3, to specify an alternate settlement arrangement to prevent a failed settlement. Purchasers of the notes who wish to trade the notes more than one business day prior to                     , 2025 should consult their advisors.</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 w:name="page6"/>
    <w:bookmarkEnd w:id="5"/>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266700</wp:posOffset>
            </wp:positionV>
            <wp:extent cx="4505960" cy="6511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05960" cy="651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160"/>
        <w:spacing w:after="0"/>
        <w:rPr>
          <w:sz w:val="20"/>
          <w:szCs w:val="20"/>
          <w:color w:val="auto"/>
        </w:rPr>
      </w:pPr>
      <w:r>
        <w:rPr>
          <w:rFonts w:ascii="Arial" w:cs="Arial" w:eastAsia="Arial" w:hAnsi="Arial"/>
          <w:sz w:val="32"/>
          <w:szCs w:val="32"/>
          <w:b w:val="1"/>
          <w:bCs w:val="1"/>
          <w:color w:val="auto"/>
        </w:rPr>
        <w:t>SUMMARY</w:t>
      </w:r>
    </w:p>
    <w:p>
      <w:pPr>
        <w:spacing w:after="0" w:line="88" w:lineRule="exact"/>
        <w:rPr>
          <w:sz w:val="20"/>
          <w:szCs w:val="20"/>
          <w:color w:val="auto"/>
        </w:rPr>
      </w:pPr>
    </w:p>
    <w:p>
      <w:pPr>
        <w:ind w:left="1160" w:right="1199"/>
        <w:spacing w:after="0" w:line="248" w:lineRule="auto"/>
        <w:rPr>
          <w:sz w:val="20"/>
          <w:szCs w:val="20"/>
          <w:color w:val="auto"/>
        </w:rPr>
      </w:pPr>
      <w:r>
        <w:rPr>
          <w:rFonts w:ascii="Arial" w:cs="Arial" w:eastAsia="Arial" w:hAnsi="Arial"/>
          <w:sz w:val="15"/>
          <w:szCs w:val="15"/>
          <w:i w:val="1"/>
          <w:iCs w:val="1"/>
          <w:color w:val="auto"/>
        </w:rPr>
        <w:t>This summary highlights selected information contained elsewhere in or incorporated by reference into this prospectus supplement and the accompanying prospectus. Because the following is only a summary, it does not contain all of the information that you should consider before investing in the notes. You should carefully read this entire prospectus supplement as well as the accompanying prospectus, including the factors described under the heading “Risk Factors” included in this prospectus supplement, our Annual Report on Form 10-K for the fiscal year ended August 29, 2024, our Quarterly Report on Form 10-Q for the fiscal quarter ended November 28, 2024, documents that we subsequently file with the SEC and the financial statements and other information included or incorporated by reference in this prospectus supplement and the accompanying prospectus, before making an investment decision.</w:t>
      </w:r>
    </w:p>
    <w:p>
      <w:pPr>
        <w:spacing w:after="0" w:line="5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006CB7"/>
        </w:rPr>
        <w:t>Micron Technology, Inc.</w:t>
      </w:r>
    </w:p>
    <w:p>
      <w:pPr>
        <w:spacing w:after="0" w:line="8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Overview</w:t>
      </w:r>
    </w:p>
    <w:p>
      <w:pPr>
        <w:spacing w:after="0" w:line="79" w:lineRule="exact"/>
        <w:rPr>
          <w:sz w:val="20"/>
          <w:szCs w:val="20"/>
          <w:color w:val="auto"/>
        </w:rPr>
      </w:pPr>
    </w:p>
    <w:p>
      <w:pPr>
        <w:ind w:left="1160" w:right="1259"/>
        <w:spacing w:after="0" w:line="252" w:lineRule="auto"/>
        <w:rPr>
          <w:sz w:val="20"/>
          <w:szCs w:val="20"/>
          <w:color w:val="auto"/>
        </w:rPr>
      </w:pPr>
      <w:r>
        <w:rPr>
          <w:rFonts w:ascii="Arial" w:cs="Arial" w:eastAsia="Arial" w:hAnsi="Arial"/>
          <w:sz w:val="14"/>
          <w:szCs w:val="14"/>
          <w:color w:val="auto"/>
        </w:rPr>
        <w:t xml:space="preserve">We are an industry leader in innovative memory and storage solutions transforming how the world uses information to enrich life </w:t>
      </w:r>
      <w:r>
        <w:rPr>
          <w:rFonts w:ascii="Arial" w:cs="Arial" w:eastAsia="Arial" w:hAnsi="Arial"/>
          <w:sz w:val="14"/>
          <w:szCs w:val="14"/>
          <w:i w:val="1"/>
          <w:iCs w:val="1"/>
          <w:color w:val="auto"/>
        </w:rPr>
        <w:t>for all</w:t>
      </w:r>
      <w:r>
        <w:rPr>
          <w:rFonts w:ascii="Arial" w:cs="Arial" w:eastAsia="Arial" w:hAnsi="Arial"/>
          <w:sz w:val="14"/>
          <w:szCs w:val="14"/>
          <w:color w:val="auto"/>
        </w:rPr>
        <w:t>. With a relentless focus on our customers, technology leadership, manufacturing, and operational excellence, Micron delivers a rich portfolio of high-performance DRAM, NAND, and NOR memory and storage products through our Micron</w:t>
      </w:r>
      <w:r>
        <w:rPr>
          <w:rFonts w:ascii="Arial" w:cs="Arial" w:eastAsia="Arial" w:hAnsi="Arial"/>
          <w:sz w:val="21"/>
          <w:szCs w:val="21"/>
          <w:color w:val="auto"/>
          <w:vertAlign w:val="superscript"/>
        </w:rPr>
        <w:t>®</w:t>
      </w:r>
      <w:r>
        <w:rPr>
          <w:rFonts w:ascii="Arial" w:cs="Arial" w:eastAsia="Arial" w:hAnsi="Arial"/>
          <w:sz w:val="14"/>
          <w:szCs w:val="14"/>
          <w:color w:val="auto"/>
        </w:rPr>
        <w:t xml:space="preserve"> and Crucial</w:t>
      </w:r>
      <w:r>
        <w:rPr>
          <w:rFonts w:ascii="Arial" w:cs="Arial" w:eastAsia="Arial" w:hAnsi="Arial"/>
          <w:sz w:val="21"/>
          <w:szCs w:val="21"/>
          <w:color w:val="auto"/>
          <w:vertAlign w:val="superscript"/>
        </w:rPr>
        <w:t>®</w:t>
      </w:r>
      <w:r>
        <w:rPr>
          <w:rFonts w:ascii="Arial" w:cs="Arial" w:eastAsia="Arial" w:hAnsi="Arial"/>
          <w:sz w:val="14"/>
          <w:szCs w:val="14"/>
          <w:color w:val="auto"/>
        </w:rPr>
        <w:t xml:space="preserve"> brands. Every day, the innovations that our people create fuel the data economy, enabling advances in artificial intelligence (AI) and compute-intensive applications that unleash opportunities — from the data center to the intelligent edge and across the client and mobile user experience.</w:t>
      </w:r>
    </w:p>
    <w:p>
      <w:pPr>
        <w:spacing w:after="0" w:line="46" w:lineRule="exact"/>
        <w:rPr>
          <w:sz w:val="20"/>
          <w:szCs w:val="20"/>
          <w:color w:val="auto"/>
        </w:rPr>
      </w:pPr>
    </w:p>
    <w:p>
      <w:pPr>
        <w:ind w:left="1160" w:right="1139"/>
        <w:spacing w:after="0" w:line="267" w:lineRule="auto"/>
        <w:rPr>
          <w:sz w:val="20"/>
          <w:szCs w:val="20"/>
          <w:color w:val="auto"/>
        </w:rPr>
      </w:pPr>
      <w:r>
        <w:rPr>
          <w:rFonts w:ascii="Arial" w:cs="Arial" w:eastAsia="Arial" w:hAnsi="Arial"/>
          <w:sz w:val="14"/>
          <w:szCs w:val="14"/>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development,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45" w:lineRule="exact"/>
        <w:rPr>
          <w:sz w:val="20"/>
          <w:szCs w:val="20"/>
          <w:color w:val="auto"/>
        </w:rPr>
      </w:pPr>
    </w:p>
    <w:p>
      <w:pPr>
        <w:ind w:left="1160" w:right="1259"/>
        <w:spacing w:after="0" w:line="272" w:lineRule="auto"/>
        <w:rPr>
          <w:sz w:val="20"/>
          <w:szCs w:val="20"/>
          <w:color w:val="auto"/>
        </w:rPr>
      </w:pPr>
      <w:r>
        <w:rPr>
          <w:rFonts w:ascii="Arial" w:cs="Arial" w:eastAsia="Arial" w:hAnsi="Arial"/>
          <w:sz w:val="14"/>
          <w:szCs w:val="14"/>
          <w:color w:val="auto"/>
        </w:rPr>
        <w:t>We face intense competition in the semiconductor memory and storage markets. To remain competitive we must continuously develop and implement new products and technologies and decrease manufacturing costs in spite of inflationary pressures.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Recent Developments</w:t>
      </w:r>
    </w:p>
    <w:p>
      <w:pPr>
        <w:spacing w:after="0" w:line="68" w:lineRule="exact"/>
        <w:rPr>
          <w:sz w:val="20"/>
          <w:szCs w:val="20"/>
          <w:color w:val="auto"/>
        </w:rPr>
      </w:pPr>
    </w:p>
    <w:p>
      <w:pPr>
        <w:ind w:left="1160" w:right="1159"/>
        <w:spacing w:after="0" w:line="252" w:lineRule="auto"/>
        <w:rPr>
          <w:sz w:val="20"/>
          <w:szCs w:val="20"/>
          <w:color w:val="auto"/>
        </w:rPr>
      </w:pPr>
      <w:r>
        <w:rPr>
          <w:rFonts w:ascii="Arial" w:cs="Arial" w:eastAsia="Arial" w:hAnsi="Arial"/>
          <w:sz w:val="15"/>
          <w:szCs w:val="15"/>
          <w:color w:val="auto"/>
        </w:rPr>
        <w:t>Concurrently with the pricing of the offering of notes, we intend to issue a notice of redemption to redeem in full our existing 4.975% Senior Notes due 2026 (the “2026 notes” and such redemption, the “2026 notes Redemption”). The 2026 notes Redemption will be contingent on the issuance of the notes contemplated hereby. Nothing contained in this prospectus supplement should be deemed to be an offer to repurchase any 2026 notes.</w:t>
      </w:r>
    </w:p>
    <w:p>
      <w:pPr>
        <w:spacing w:after="0" w:line="55" w:lineRule="exact"/>
        <w:rPr>
          <w:sz w:val="20"/>
          <w:szCs w:val="20"/>
          <w:color w:val="auto"/>
        </w:rPr>
      </w:pPr>
    </w:p>
    <w:p>
      <w:pPr>
        <w:ind w:left="1160" w:right="1259"/>
        <w:spacing w:after="0" w:line="275" w:lineRule="auto"/>
        <w:rPr>
          <w:sz w:val="20"/>
          <w:szCs w:val="20"/>
          <w:color w:val="auto"/>
        </w:rPr>
      </w:pPr>
      <w:r>
        <w:rPr>
          <w:rFonts w:ascii="Arial" w:cs="Arial" w:eastAsia="Arial" w:hAnsi="Arial"/>
          <w:sz w:val="14"/>
          <w:szCs w:val="14"/>
          <w:color w:val="auto"/>
        </w:rPr>
        <w:t>We currently anticipate raising up to $1.9 billion in aggregate principal amount through the borrowing of one or more new term loans during our current fiscal quarter to refinance our existing term loans. There can be no assurance that any additional financing following the consummation of this offering will be available to us on commercially reasonable terms or at all, or that we will choose to consummate such term loan financing, and the actual amount and terms of any additional financing will be subject</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 w:name="page7"/>
    <w:bookmarkEnd w:id="6"/>
    <w:p>
      <w:pPr>
        <w:ind w:left="12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266700</wp:posOffset>
            </wp:positionV>
            <wp:extent cx="4505960" cy="6525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05960" cy="652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right="1639"/>
        <w:spacing w:after="0" w:line="274" w:lineRule="auto"/>
        <w:rPr>
          <w:sz w:val="20"/>
          <w:szCs w:val="20"/>
          <w:color w:val="auto"/>
        </w:rPr>
      </w:pPr>
      <w:r>
        <w:rPr>
          <w:rFonts w:ascii="Arial" w:cs="Arial" w:eastAsia="Arial" w:hAnsi="Arial"/>
          <w:sz w:val="15"/>
          <w:szCs w:val="15"/>
          <w:color w:val="auto"/>
        </w:rPr>
        <w:t>to prevailing market conditions and other considerations. The consummation of this offering is not contingent on consummation of any additional financing.</w:t>
      </w:r>
    </w:p>
    <w:p>
      <w:pPr>
        <w:spacing w:after="0" w:line="81" w:lineRule="exact"/>
        <w:rPr>
          <w:sz w:val="20"/>
          <w:szCs w:val="20"/>
          <w:color w:val="auto"/>
        </w:rPr>
      </w:pPr>
    </w:p>
    <w:p>
      <w:pPr>
        <w:ind w:left="1160" w:right="1199"/>
        <w:spacing w:after="0" w:line="249" w:lineRule="auto"/>
        <w:rPr>
          <w:sz w:val="20"/>
          <w:szCs w:val="20"/>
          <w:color w:val="auto"/>
        </w:rPr>
      </w:pPr>
      <w:r>
        <w:rPr>
          <w:rFonts w:ascii="Arial" w:cs="Arial" w:eastAsia="Arial" w:hAnsi="Arial"/>
          <w:sz w:val="15"/>
          <w:szCs w:val="15"/>
          <w:color w:val="auto"/>
        </w:rPr>
        <w:t>On January 9, 2025, a complaint was filed against us, our Chief Executive Officer and our Chief Financial Officer in the US District Court for the Southern District of Florida. The lawsuit purports to be brought on behalf of a class of purchasers of our stock during the period from September 28, 2023 through December 18, 2024. The complaint alleges that statements made by the defendants regarding demand for our products, especially NAND products, were false and misleading and in violation of securities laws. The complaint seeks to recover damages, fees, interest, costs, and other appropriate relief. We are unable to predict the outcome of these matters and therefore cannot estimate the range of possible loss.</w:t>
      </w:r>
    </w:p>
    <w:p>
      <w:pPr>
        <w:spacing w:after="0" w:line="200" w:lineRule="exact"/>
        <w:rPr>
          <w:sz w:val="20"/>
          <w:szCs w:val="20"/>
          <w:color w:val="auto"/>
        </w:rPr>
      </w:pPr>
    </w:p>
    <w:p>
      <w:pPr>
        <w:spacing w:after="0" w:line="212" w:lineRule="exact"/>
        <w:rPr>
          <w:sz w:val="20"/>
          <w:szCs w:val="20"/>
          <w:color w:val="auto"/>
        </w:rPr>
      </w:pPr>
    </w:p>
    <w:p>
      <w:pPr>
        <w:ind w:left="1160" w:right="1159"/>
        <w:spacing w:after="0" w:line="252" w:lineRule="auto"/>
        <w:rPr>
          <w:sz w:val="20"/>
          <w:szCs w:val="20"/>
          <w:color w:val="auto"/>
        </w:rPr>
      </w:pPr>
      <w:r>
        <w:rPr>
          <w:rFonts w:ascii="Arial" w:cs="Arial" w:eastAsia="Arial" w:hAnsi="Arial"/>
          <w:sz w:val="15"/>
          <w:szCs w:val="15"/>
          <w:color w:val="auto"/>
        </w:rPr>
        <w:t>Our executive offices are located at 8000 South Federal Way, Boise, Idaho 83716 and our telephone number is (208) 368-4000. Information about us is available at our website www.micron.com. Information contained or referenced on our website is not incorporated by reference and does not form a part of this prospectus supplement or the accompanying prospectus. You should not rely on any such information in making your decision whether to purchase the notes.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006CB7"/>
        </w:rPr>
        <w:t>The Offering</w:t>
      </w:r>
    </w:p>
    <w:p>
      <w:pPr>
        <w:spacing w:after="0" w:line="135" w:lineRule="exact"/>
        <w:rPr>
          <w:sz w:val="20"/>
          <w:szCs w:val="20"/>
          <w:color w:val="auto"/>
        </w:rPr>
      </w:pPr>
    </w:p>
    <w:p>
      <w:pPr>
        <w:ind w:left="1160" w:right="1199"/>
        <w:spacing w:after="0" w:line="250" w:lineRule="auto"/>
        <w:rPr>
          <w:sz w:val="20"/>
          <w:szCs w:val="20"/>
          <w:color w:val="auto"/>
        </w:rPr>
      </w:pPr>
      <w:r>
        <w:rPr>
          <w:rFonts w:ascii="Arial" w:cs="Arial" w:eastAsia="Arial" w:hAnsi="Arial"/>
          <w:sz w:val="15"/>
          <w:szCs w:val="15"/>
          <w:i w:val="1"/>
          <w:iCs w:val="1"/>
          <w:color w:val="auto"/>
        </w:rPr>
        <w:t>The following summary contains basic information about the notes and is not a complete description of the offering. Certain of the terms and conditions described below are subject to important limitations and exceptions. Thus, it does not contain all the information that is important to you. For a more detailed description of the notes you should read the section titled “Description of the Notes” in this prospectus supplement. In this section, references to “Micron,” “us,” “we,” “our” or the “Company” refer only to Micron Technology, Inc. and not to any of its subsidiaries.</w:t>
      </w:r>
    </w:p>
    <w:p>
      <w:pPr>
        <w:spacing w:after="0" w:line="68"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860" w:type="dxa"/>
            <w:vAlign w:val="bottom"/>
          </w:tcPr>
          <w:p>
            <w:pPr>
              <w:spacing w:after="0"/>
              <w:rPr>
                <w:sz w:val="16"/>
                <w:szCs w:val="16"/>
                <w:color w:val="auto"/>
              </w:rPr>
            </w:pPr>
          </w:p>
        </w:tc>
        <w:tc>
          <w:tcPr>
            <w:tcW w:w="2320" w:type="dxa"/>
            <w:vAlign w:val="bottom"/>
          </w:tcPr>
          <w:p>
            <w:pPr>
              <w:ind w:left="180"/>
              <w:spacing w:after="0"/>
              <w:rPr>
                <w:sz w:val="20"/>
                <w:szCs w:val="20"/>
                <w:color w:val="auto"/>
              </w:rPr>
            </w:pPr>
            <w:r>
              <w:rPr>
                <w:rFonts w:ascii="Arial" w:cs="Arial" w:eastAsia="Arial" w:hAnsi="Arial"/>
                <w:sz w:val="15"/>
                <w:szCs w:val="15"/>
                <w:color w:val="auto"/>
              </w:rPr>
              <w:t>Issuer</w:t>
            </w:r>
          </w:p>
        </w:tc>
        <w:tc>
          <w:tcPr>
            <w:tcW w:w="4760" w:type="dxa"/>
            <w:vAlign w:val="bottom"/>
            <w:gridSpan w:val="2"/>
          </w:tcPr>
          <w:p>
            <w:pPr>
              <w:ind w:left="340"/>
              <w:spacing w:after="0"/>
              <w:rPr>
                <w:sz w:val="20"/>
                <w:szCs w:val="20"/>
                <w:color w:val="auto"/>
              </w:rPr>
            </w:pPr>
            <w:r>
              <w:rPr>
                <w:rFonts w:ascii="Arial" w:cs="Arial" w:eastAsia="Arial" w:hAnsi="Arial"/>
                <w:sz w:val="15"/>
                <w:szCs w:val="15"/>
                <w:color w:val="auto"/>
              </w:rPr>
              <w:t>Micron Technology, Inc.</w:t>
            </w:r>
          </w:p>
        </w:tc>
        <w:tc>
          <w:tcPr>
            <w:tcW w:w="820" w:type="dxa"/>
            <w:vAlign w:val="bottom"/>
          </w:tcPr>
          <w:p>
            <w:pPr>
              <w:spacing w:after="0"/>
              <w:rPr>
                <w:sz w:val="16"/>
                <w:szCs w:val="16"/>
                <w:color w:val="auto"/>
              </w:rPr>
            </w:pPr>
          </w:p>
        </w:tc>
      </w:tr>
      <w:tr>
        <w:trPr>
          <w:trHeight w:val="248"/>
        </w:trPr>
        <w:tc>
          <w:tcPr>
            <w:tcW w:w="860" w:type="dxa"/>
            <w:vAlign w:val="bottom"/>
          </w:tcPr>
          <w:p>
            <w:pPr>
              <w:spacing w:after="0"/>
              <w:rPr>
                <w:sz w:val="21"/>
                <w:szCs w:val="21"/>
                <w:color w:val="auto"/>
              </w:rPr>
            </w:pPr>
          </w:p>
        </w:tc>
        <w:tc>
          <w:tcPr>
            <w:tcW w:w="2320" w:type="dxa"/>
            <w:vAlign w:val="bottom"/>
          </w:tcPr>
          <w:p>
            <w:pPr>
              <w:ind w:left="180"/>
              <w:spacing w:after="0"/>
              <w:rPr>
                <w:sz w:val="20"/>
                <w:szCs w:val="20"/>
                <w:color w:val="auto"/>
              </w:rPr>
            </w:pPr>
            <w:r>
              <w:rPr>
                <w:rFonts w:ascii="Arial" w:cs="Arial" w:eastAsia="Arial" w:hAnsi="Arial"/>
                <w:sz w:val="15"/>
                <w:szCs w:val="15"/>
                <w:color w:val="auto"/>
              </w:rPr>
              <w:t>Securities Offered</w:t>
            </w:r>
          </w:p>
        </w:tc>
        <w:tc>
          <w:tcPr>
            <w:tcW w:w="4760" w:type="dxa"/>
            <w:vAlign w:val="bottom"/>
            <w:gridSpan w:val="2"/>
          </w:tcPr>
          <w:p>
            <w:pPr>
              <w:ind w:left="340"/>
              <w:spacing w:after="0"/>
              <w:rPr>
                <w:sz w:val="20"/>
                <w:szCs w:val="20"/>
                <w:color w:val="auto"/>
              </w:rPr>
            </w:pPr>
            <w:r>
              <w:rPr>
                <w:rFonts w:ascii="Arial" w:cs="Arial" w:eastAsia="Arial" w:hAnsi="Arial"/>
                <w:sz w:val="15"/>
                <w:szCs w:val="15"/>
                <w:color w:val="auto"/>
              </w:rPr>
              <w:t>$            aggregate principal amount of            % Senior Notes</w:t>
            </w:r>
          </w:p>
        </w:tc>
        <w:tc>
          <w:tcPr>
            <w:tcW w:w="820" w:type="dxa"/>
            <w:vAlign w:val="bottom"/>
          </w:tcPr>
          <w:p>
            <w:pPr>
              <w:spacing w:after="0"/>
              <w:rPr>
                <w:sz w:val="21"/>
                <w:szCs w:val="21"/>
                <w:color w:val="auto"/>
              </w:rPr>
            </w:pPr>
          </w:p>
        </w:tc>
      </w:tr>
      <w:tr>
        <w:trPr>
          <w:trHeight w:val="193"/>
        </w:trPr>
        <w:tc>
          <w:tcPr>
            <w:tcW w:w="8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760" w:type="dxa"/>
            <w:vAlign w:val="bottom"/>
            <w:gridSpan w:val="2"/>
          </w:tcPr>
          <w:p>
            <w:pPr>
              <w:ind w:left="340"/>
              <w:spacing w:after="0"/>
              <w:rPr>
                <w:sz w:val="20"/>
                <w:szCs w:val="20"/>
                <w:color w:val="auto"/>
              </w:rPr>
            </w:pPr>
            <w:r>
              <w:rPr>
                <w:rFonts w:ascii="Arial" w:cs="Arial" w:eastAsia="Arial" w:hAnsi="Arial"/>
                <w:sz w:val="15"/>
                <w:szCs w:val="15"/>
                <w:color w:val="auto"/>
              </w:rPr>
              <w:t>due 20      .</w:t>
            </w:r>
          </w:p>
        </w:tc>
        <w:tc>
          <w:tcPr>
            <w:tcW w:w="820" w:type="dxa"/>
            <w:vAlign w:val="bottom"/>
          </w:tcPr>
          <w:p>
            <w:pPr>
              <w:spacing w:after="0"/>
              <w:rPr>
                <w:sz w:val="16"/>
                <w:szCs w:val="16"/>
                <w:color w:val="auto"/>
              </w:rPr>
            </w:pPr>
          </w:p>
        </w:tc>
      </w:tr>
      <w:tr>
        <w:trPr>
          <w:trHeight w:val="265"/>
        </w:trPr>
        <w:tc>
          <w:tcPr>
            <w:tcW w:w="860" w:type="dxa"/>
            <w:vAlign w:val="bottom"/>
          </w:tcPr>
          <w:p>
            <w:pPr>
              <w:spacing w:after="0"/>
              <w:rPr>
                <w:sz w:val="23"/>
                <w:szCs w:val="23"/>
                <w:color w:val="auto"/>
              </w:rPr>
            </w:pPr>
          </w:p>
        </w:tc>
        <w:tc>
          <w:tcPr>
            <w:tcW w:w="2320" w:type="dxa"/>
            <w:vAlign w:val="bottom"/>
          </w:tcPr>
          <w:p>
            <w:pPr>
              <w:ind w:left="180"/>
              <w:spacing w:after="0"/>
              <w:rPr>
                <w:sz w:val="20"/>
                <w:szCs w:val="20"/>
                <w:color w:val="auto"/>
              </w:rPr>
            </w:pPr>
            <w:r>
              <w:rPr>
                <w:rFonts w:ascii="Arial" w:cs="Arial" w:eastAsia="Arial" w:hAnsi="Arial"/>
                <w:sz w:val="15"/>
                <w:szCs w:val="15"/>
                <w:color w:val="auto"/>
              </w:rPr>
              <w:t>Maturity</w:t>
            </w:r>
          </w:p>
        </w:tc>
        <w:tc>
          <w:tcPr>
            <w:tcW w:w="4760" w:type="dxa"/>
            <w:vAlign w:val="bottom"/>
            <w:gridSpan w:val="2"/>
          </w:tcPr>
          <w:p>
            <w:pPr>
              <w:ind w:left="340"/>
              <w:spacing w:after="0"/>
              <w:rPr>
                <w:sz w:val="20"/>
                <w:szCs w:val="20"/>
                <w:color w:val="auto"/>
              </w:rPr>
            </w:pPr>
            <w:r>
              <w:rPr>
                <w:rFonts w:ascii="Arial" w:cs="Arial" w:eastAsia="Arial" w:hAnsi="Arial"/>
                <w:sz w:val="15"/>
                <w:szCs w:val="15"/>
                <w:color w:val="auto"/>
              </w:rPr>
              <w:t>The notes will mature on            , 20      .</w:t>
            </w:r>
          </w:p>
        </w:tc>
        <w:tc>
          <w:tcPr>
            <w:tcW w:w="820" w:type="dxa"/>
            <w:vAlign w:val="bottom"/>
          </w:tcPr>
          <w:p>
            <w:pPr>
              <w:spacing w:after="0"/>
              <w:rPr>
                <w:sz w:val="23"/>
                <w:szCs w:val="23"/>
                <w:color w:val="auto"/>
              </w:rPr>
            </w:pPr>
          </w:p>
        </w:tc>
      </w:tr>
      <w:tr>
        <w:trPr>
          <w:trHeight w:val="248"/>
        </w:trPr>
        <w:tc>
          <w:tcPr>
            <w:tcW w:w="860" w:type="dxa"/>
            <w:vAlign w:val="bottom"/>
          </w:tcPr>
          <w:p>
            <w:pPr>
              <w:spacing w:after="0"/>
              <w:rPr>
                <w:sz w:val="21"/>
                <w:szCs w:val="21"/>
                <w:color w:val="auto"/>
              </w:rPr>
            </w:pPr>
          </w:p>
        </w:tc>
        <w:tc>
          <w:tcPr>
            <w:tcW w:w="2320" w:type="dxa"/>
            <w:vAlign w:val="bottom"/>
          </w:tcPr>
          <w:p>
            <w:pPr>
              <w:ind w:left="180"/>
              <w:spacing w:after="0"/>
              <w:rPr>
                <w:sz w:val="20"/>
                <w:szCs w:val="20"/>
                <w:color w:val="auto"/>
              </w:rPr>
            </w:pPr>
            <w:r>
              <w:rPr>
                <w:rFonts w:ascii="Arial" w:cs="Arial" w:eastAsia="Arial" w:hAnsi="Arial"/>
                <w:sz w:val="15"/>
                <w:szCs w:val="15"/>
                <w:color w:val="auto"/>
              </w:rPr>
              <w:t>Interest and Payment Dates</w:t>
            </w:r>
          </w:p>
        </w:tc>
        <w:tc>
          <w:tcPr>
            <w:tcW w:w="4760" w:type="dxa"/>
            <w:vAlign w:val="bottom"/>
            <w:gridSpan w:val="2"/>
          </w:tcPr>
          <w:p>
            <w:pPr>
              <w:ind w:left="340"/>
              <w:spacing w:after="0"/>
              <w:rPr>
                <w:sz w:val="20"/>
                <w:szCs w:val="20"/>
                <w:color w:val="auto"/>
              </w:rPr>
            </w:pPr>
            <w:r>
              <w:rPr>
                <w:rFonts w:ascii="Arial" w:cs="Arial" w:eastAsia="Arial" w:hAnsi="Arial"/>
                <w:sz w:val="15"/>
                <w:szCs w:val="15"/>
                <w:color w:val="auto"/>
                <w:w w:val="99"/>
              </w:rPr>
              <w:t>            % per year on the principal amount of the notes. Interest is</w:t>
            </w:r>
          </w:p>
        </w:tc>
        <w:tc>
          <w:tcPr>
            <w:tcW w:w="820" w:type="dxa"/>
            <w:vAlign w:val="bottom"/>
          </w:tcPr>
          <w:p>
            <w:pPr>
              <w:spacing w:after="0"/>
              <w:rPr>
                <w:sz w:val="21"/>
                <w:szCs w:val="21"/>
                <w:color w:val="auto"/>
              </w:rPr>
            </w:pPr>
          </w:p>
        </w:tc>
      </w:tr>
      <w:tr>
        <w:trPr>
          <w:trHeight w:val="177"/>
        </w:trPr>
        <w:tc>
          <w:tcPr>
            <w:tcW w:w="8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760" w:type="dxa"/>
            <w:vAlign w:val="bottom"/>
            <w:gridSpan w:val="2"/>
          </w:tcPr>
          <w:p>
            <w:pPr>
              <w:ind w:left="340"/>
              <w:spacing w:after="0"/>
              <w:rPr>
                <w:sz w:val="20"/>
                <w:szCs w:val="20"/>
                <w:color w:val="auto"/>
              </w:rPr>
            </w:pPr>
            <w:r>
              <w:rPr>
                <w:rFonts w:ascii="Arial" w:cs="Arial" w:eastAsia="Arial" w:hAnsi="Arial"/>
                <w:sz w:val="15"/>
                <w:szCs w:val="15"/>
                <w:color w:val="auto"/>
              </w:rPr>
              <w:t>payable on the notes on            and            of each year after the</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760" w:type="dxa"/>
            <w:vAlign w:val="bottom"/>
            <w:gridSpan w:val="2"/>
          </w:tcPr>
          <w:p>
            <w:pPr>
              <w:ind w:left="340"/>
              <w:spacing w:after="0"/>
              <w:rPr>
                <w:sz w:val="20"/>
                <w:szCs w:val="20"/>
                <w:color w:val="auto"/>
              </w:rPr>
            </w:pPr>
            <w:r>
              <w:rPr>
                <w:rFonts w:ascii="Arial" w:cs="Arial" w:eastAsia="Arial" w:hAnsi="Arial"/>
                <w:sz w:val="15"/>
                <w:szCs w:val="15"/>
                <w:color w:val="auto"/>
              </w:rPr>
              <w:t>date of issuance, commencing            , 2025. Interest on the</w:t>
            </w:r>
          </w:p>
        </w:tc>
        <w:tc>
          <w:tcPr>
            <w:tcW w:w="820" w:type="dxa"/>
            <w:vAlign w:val="bottom"/>
          </w:tcPr>
          <w:p>
            <w:pPr>
              <w:spacing w:after="0"/>
              <w:rPr>
                <w:sz w:val="15"/>
                <w:szCs w:val="15"/>
                <w:color w:val="auto"/>
              </w:rPr>
            </w:pPr>
          </w:p>
        </w:tc>
      </w:tr>
      <w:tr>
        <w:trPr>
          <w:trHeight w:val="193"/>
        </w:trPr>
        <w:tc>
          <w:tcPr>
            <w:tcW w:w="8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760" w:type="dxa"/>
            <w:vAlign w:val="bottom"/>
            <w:gridSpan w:val="2"/>
          </w:tcPr>
          <w:p>
            <w:pPr>
              <w:ind w:left="340"/>
              <w:spacing w:after="0"/>
              <w:rPr>
                <w:sz w:val="20"/>
                <w:szCs w:val="20"/>
                <w:color w:val="auto"/>
              </w:rPr>
            </w:pPr>
            <w:r>
              <w:rPr>
                <w:rFonts w:ascii="Arial" w:cs="Arial" w:eastAsia="Arial" w:hAnsi="Arial"/>
                <w:sz w:val="15"/>
                <w:szCs w:val="15"/>
                <w:color w:val="auto"/>
              </w:rPr>
              <w:t>notes will accrue from            , 2025.</w:t>
            </w:r>
          </w:p>
        </w:tc>
        <w:tc>
          <w:tcPr>
            <w:tcW w:w="820" w:type="dxa"/>
            <w:vAlign w:val="bottom"/>
          </w:tcPr>
          <w:p>
            <w:pPr>
              <w:spacing w:after="0"/>
              <w:rPr>
                <w:sz w:val="16"/>
                <w:szCs w:val="16"/>
                <w:color w:val="auto"/>
              </w:rPr>
            </w:pPr>
          </w:p>
        </w:tc>
      </w:tr>
      <w:tr>
        <w:trPr>
          <w:trHeight w:val="248"/>
        </w:trPr>
        <w:tc>
          <w:tcPr>
            <w:tcW w:w="860" w:type="dxa"/>
            <w:vAlign w:val="bottom"/>
          </w:tcPr>
          <w:p>
            <w:pPr>
              <w:spacing w:after="0"/>
              <w:rPr>
                <w:sz w:val="21"/>
                <w:szCs w:val="21"/>
                <w:color w:val="auto"/>
              </w:rPr>
            </w:pPr>
          </w:p>
        </w:tc>
        <w:tc>
          <w:tcPr>
            <w:tcW w:w="2320" w:type="dxa"/>
            <w:vAlign w:val="bottom"/>
          </w:tcPr>
          <w:p>
            <w:pPr>
              <w:ind w:left="180"/>
              <w:spacing w:after="0"/>
              <w:rPr>
                <w:sz w:val="20"/>
                <w:szCs w:val="20"/>
                <w:color w:val="auto"/>
              </w:rPr>
            </w:pPr>
            <w:r>
              <w:rPr>
                <w:rFonts w:ascii="Arial" w:cs="Arial" w:eastAsia="Arial" w:hAnsi="Arial"/>
                <w:sz w:val="15"/>
                <w:szCs w:val="15"/>
                <w:color w:val="auto"/>
              </w:rPr>
              <w:t>Ranking of the Notes</w:t>
            </w:r>
          </w:p>
        </w:tc>
        <w:tc>
          <w:tcPr>
            <w:tcW w:w="4760" w:type="dxa"/>
            <w:vAlign w:val="bottom"/>
            <w:gridSpan w:val="2"/>
          </w:tcPr>
          <w:p>
            <w:pPr>
              <w:ind w:left="340"/>
              <w:spacing w:after="0"/>
              <w:rPr>
                <w:sz w:val="20"/>
                <w:szCs w:val="20"/>
                <w:color w:val="auto"/>
              </w:rPr>
            </w:pPr>
            <w:r>
              <w:rPr>
                <w:rFonts w:ascii="Arial" w:cs="Arial" w:eastAsia="Arial" w:hAnsi="Arial"/>
                <w:sz w:val="15"/>
                <w:szCs w:val="15"/>
                <w:color w:val="auto"/>
              </w:rPr>
              <w:t>The notes will be senior unsecured obligations and will rank</w:t>
            </w:r>
          </w:p>
        </w:tc>
        <w:tc>
          <w:tcPr>
            <w:tcW w:w="820" w:type="dxa"/>
            <w:vAlign w:val="bottom"/>
          </w:tcPr>
          <w:p>
            <w:pPr>
              <w:spacing w:after="0"/>
              <w:rPr>
                <w:sz w:val="21"/>
                <w:szCs w:val="21"/>
                <w:color w:val="auto"/>
              </w:rPr>
            </w:pPr>
          </w:p>
        </w:tc>
      </w:tr>
      <w:tr>
        <w:trPr>
          <w:trHeight w:val="177"/>
        </w:trPr>
        <w:tc>
          <w:tcPr>
            <w:tcW w:w="8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760" w:type="dxa"/>
            <w:vAlign w:val="bottom"/>
            <w:gridSpan w:val="2"/>
          </w:tcPr>
          <w:p>
            <w:pPr>
              <w:ind w:left="340"/>
              <w:spacing w:after="0"/>
              <w:rPr>
                <w:sz w:val="20"/>
                <w:szCs w:val="20"/>
                <w:color w:val="auto"/>
              </w:rPr>
            </w:pPr>
            <w:r>
              <w:rPr>
                <w:rFonts w:ascii="Arial" w:cs="Arial" w:eastAsia="Arial" w:hAnsi="Arial"/>
                <w:sz w:val="15"/>
                <w:szCs w:val="15"/>
                <w:color w:val="auto"/>
              </w:rPr>
              <w:t>equally with all of our other existing and future unsecured and</w:t>
            </w:r>
          </w:p>
        </w:tc>
        <w:tc>
          <w:tcPr>
            <w:tcW w:w="820" w:type="dxa"/>
            <w:vAlign w:val="bottom"/>
          </w:tcPr>
          <w:p>
            <w:pPr>
              <w:spacing w:after="0"/>
              <w:rPr>
                <w:sz w:val="15"/>
                <w:szCs w:val="15"/>
                <w:color w:val="auto"/>
              </w:rPr>
            </w:pPr>
          </w:p>
        </w:tc>
      </w:tr>
      <w:tr>
        <w:trPr>
          <w:trHeight w:val="193"/>
        </w:trPr>
        <w:tc>
          <w:tcPr>
            <w:tcW w:w="8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760" w:type="dxa"/>
            <w:vAlign w:val="bottom"/>
            <w:gridSpan w:val="2"/>
          </w:tcPr>
          <w:p>
            <w:pPr>
              <w:ind w:left="340"/>
              <w:spacing w:after="0"/>
              <w:rPr>
                <w:sz w:val="20"/>
                <w:szCs w:val="20"/>
                <w:color w:val="auto"/>
              </w:rPr>
            </w:pPr>
            <w:r>
              <w:rPr>
                <w:rFonts w:ascii="Arial" w:cs="Arial" w:eastAsia="Arial" w:hAnsi="Arial"/>
                <w:sz w:val="15"/>
                <w:szCs w:val="15"/>
                <w:color w:val="auto"/>
              </w:rPr>
              <w:t>unsubordinated indebtedness from time to time outstanding.</w:t>
            </w:r>
          </w:p>
        </w:tc>
        <w:tc>
          <w:tcPr>
            <w:tcW w:w="820" w:type="dxa"/>
            <w:vAlign w:val="bottom"/>
          </w:tcPr>
          <w:p>
            <w:pPr>
              <w:spacing w:after="0"/>
              <w:rPr>
                <w:sz w:val="16"/>
                <w:szCs w:val="16"/>
                <w:color w:val="auto"/>
              </w:rPr>
            </w:pPr>
          </w:p>
        </w:tc>
      </w:tr>
      <w:tr>
        <w:trPr>
          <w:trHeight w:val="287"/>
        </w:trPr>
        <w:tc>
          <w:tcPr>
            <w:tcW w:w="8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760" w:type="dxa"/>
            <w:vAlign w:val="bottom"/>
            <w:gridSpan w:val="2"/>
          </w:tcPr>
          <w:p>
            <w:pPr>
              <w:ind w:left="340"/>
              <w:spacing w:after="0"/>
              <w:rPr>
                <w:sz w:val="20"/>
                <w:szCs w:val="20"/>
                <w:color w:val="auto"/>
              </w:rPr>
            </w:pPr>
            <w:r>
              <w:rPr>
                <w:rFonts w:ascii="Arial" w:cs="Arial" w:eastAsia="Arial" w:hAnsi="Arial"/>
                <w:sz w:val="15"/>
                <w:szCs w:val="15"/>
                <w:color w:val="auto"/>
              </w:rPr>
              <w:t>As of November 28, 2024:</w:t>
            </w:r>
          </w:p>
        </w:tc>
        <w:tc>
          <w:tcPr>
            <w:tcW w:w="820" w:type="dxa"/>
            <w:vAlign w:val="bottom"/>
          </w:tcPr>
          <w:p>
            <w:pPr>
              <w:spacing w:after="0"/>
              <w:rPr>
                <w:sz w:val="24"/>
                <w:szCs w:val="24"/>
                <w:color w:val="auto"/>
              </w:rPr>
            </w:pPr>
          </w:p>
        </w:tc>
      </w:tr>
      <w:tr>
        <w:trPr>
          <w:trHeight w:val="293"/>
        </w:trPr>
        <w:tc>
          <w:tcPr>
            <w:tcW w:w="8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00" w:type="dxa"/>
            <w:vAlign w:val="bottom"/>
          </w:tcPr>
          <w:p>
            <w:pPr>
              <w:ind w:left="340"/>
              <w:spacing w:after="0"/>
              <w:rPr>
                <w:sz w:val="20"/>
                <w:szCs w:val="20"/>
                <w:color w:val="auto"/>
              </w:rPr>
            </w:pPr>
            <w:r>
              <w:rPr>
                <w:rFonts w:ascii="Arial" w:cs="Arial" w:eastAsia="Arial" w:hAnsi="Arial"/>
                <w:sz w:val="15"/>
                <w:szCs w:val="15"/>
                <w:color w:val="auto"/>
              </w:rPr>
              <w:t>•</w:t>
            </w:r>
          </w:p>
        </w:tc>
        <w:tc>
          <w:tcPr>
            <w:tcW w:w="4260" w:type="dxa"/>
            <w:vAlign w:val="bottom"/>
          </w:tcPr>
          <w:p>
            <w:pPr>
              <w:ind w:left="140"/>
              <w:spacing w:after="0"/>
              <w:rPr>
                <w:sz w:val="20"/>
                <w:szCs w:val="20"/>
                <w:color w:val="auto"/>
              </w:rPr>
            </w:pPr>
            <w:r>
              <w:rPr>
                <w:rFonts w:ascii="Arial" w:cs="Arial" w:eastAsia="Arial" w:hAnsi="Arial"/>
                <w:sz w:val="15"/>
                <w:szCs w:val="15"/>
                <w:color w:val="auto"/>
              </w:rPr>
              <w:t>we had approximately $11.5 billion aggregate principal</w:t>
            </w:r>
          </w:p>
        </w:tc>
        <w:tc>
          <w:tcPr>
            <w:tcW w:w="820" w:type="dxa"/>
            <w:vAlign w:val="bottom"/>
          </w:tcPr>
          <w:p>
            <w:pPr>
              <w:spacing w:after="0"/>
              <w:rPr>
                <w:sz w:val="24"/>
                <w:szCs w:val="24"/>
                <w:color w:val="auto"/>
              </w:rPr>
            </w:pPr>
          </w:p>
        </w:tc>
      </w:tr>
      <w:tr>
        <w:trPr>
          <w:trHeight w:val="193"/>
        </w:trPr>
        <w:tc>
          <w:tcPr>
            <w:tcW w:w="8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60" w:type="dxa"/>
            <w:vAlign w:val="bottom"/>
          </w:tcPr>
          <w:p>
            <w:pPr>
              <w:ind w:left="140"/>
              <w:spacing w:after="0"/>
              <w:rPr>
                <w:sz w:val="20"/>
                <w:szCs w:val="20"/>
                <w:color w:val="auto"/>
              </w:rPr>
            </w:pPr>
            <w:r>
              <w:rPr>
                <w:rFonts w:ascii="Arial" w:cs="Arial" w:eastAsia="Arial" w:hAnsi="Arial"/>
                <w:sz w:val="15"/>
                <w:szCs w:val="15"/>
                <w:color w:val="auto"/>
              </w:rPr>
              <w:t>amount of indebtedness; and</w:t>
            </w:r>
          </w:p>
        </w:tc>
        <w:tc>
          <w:tcPr>
            <w:tcW w:w="820" w:type="dxa"/>
            <w:vAlign w:val="bottom"/>
          </w:tcPr>
          <w:p>
            <w:pPr>
              <w:spacing w:after="0"/>
              <w:rPr>
                <w:sz w:val="16"/>
                <w:szCs w:val="16"/>
                <w:color w:val="auto"/>
              </w:rPr>
            </w:pPr>
          </w:p>
        </w:tc>
      </w:tr>
      <w:tr>
        <w:trPr>
          <w:trHeight w:val="293"/>
        </w:trPr>
        <w:tc>
          <w:tcPr>
            <w:tcW w:w="8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00" w:type="dxa"/>
            <w:vAlign w:val="bottom"/>
          </w:tcPr>
          <w:p>
            <w:pPr>
              <w:ind w:left="340"/>
              <w:spacing w:after="0"/>
              <w:rPr>
                <w:sz w:val="20"/>
                <w:szCs w:val="20"/>
                <w:color w:val="auto"/>
              </w:rPr>
            </w:pPr>
            <w:r>
              <w:rPr>
                <w:rFonts w:ascii="Arial" w:cs="Arial" w:eastAsia="Arial" w:hAnsi="Arial"/>
                <w:sz w:val="15"/>
                <w:szCs w:val="15"/>
                <w:color w:val="auto"/>
              </w:rPr>
              <w:t>•</w:t>
            </w:r>
          </w:p>
        </w:tc>
        <w:tc>
          <w:tcPr>
            <w:tcW w:w="4260" w:type="dxa"/>
            <w:vAlign w:val="bottom"/>
          </w:tcPr>
          <w:p>
            <w:pPr>
              <w:ind w:left="140"/>
              <w:spacing w:after="0"/>
              <w:rPr>
                <w:sz w:val="20"/>
                <w:szCs w:val="20"/>
                <w:color w:val="auto"/>
              </w:rPr>
            </w:pPr>
            <w:r>
              <w:rPr>
                <w:rFonts w:ascii="Arial" w:cs="Arial" w:eastAsia="Arial" w:hAnsi="Arial"/>
                <w:sz w:val="15"/>
                <w:szCs w:val="15"/>
                <w:color w:val="auto"/>
              </w:rPr>
              <w:t>our subsidiaries had outstanding liabilities (including trade</w:t>
            </w:r>
          </w:p>
        </w:tc>
        <w:tc>
          <w:tcPr>
            <w:tcW w:w="820" w:type="dxa"/>
            <w:vAlign w:val="bottom"/>
          </w:tcPr>
          <w:p>
            <w:pPr>
              <w:spacing w:after="0"/>
              <w:rPr>
                <w:sz w:val="24"/>
                <w:szCs w:val="24"/>
                <w:color w:val="auto"/>
              </w:rPr>
            </w:pPr>
          </w:p>
        </w:tc>
      </w:tr>
      <w:tr>
        <w:trPr>
          <w:trHeight w:val="177"/>
        </w:trPr>
        <w:tc>
          <w:tcPr>
            <w:tcW w:w="8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60" w:type="dxa"/>
            <w:vAlign w:val="bottom"/>
          </w:tcPr>
          <w:p>
            <w:pPr>
              <w:ind w:left="140"/>
              <w:spacing w:after="0"/>
              <w:rPr>
                <w:sz w:val="20"/>
                <w:szCs w:val="20"/>
                <w:color w:val="auto"/>
              </w:rPr>
            </w:pPr>
            <w:r>
              <w:rPr>
                <w:rFonts w:ascii="Arial" w:cs="Arial" w:eastAsia="Arial" w:hAnsi="Arial"/>
                <w:sz w:val="15"/>
                <w:szCs w:val="15"/>
                <w:color w:val="auto"/>
              </w:rPr>
              <w:t>payables and indebtedness to third parties at the full stated</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60" w:type="dxa"/>
            <w:vAlign w:val="bottom"/>
          </w:tcPr>
          <w:p>
            <w:pPr>
              <w:ind w:left="140"/>
              <w:spacing w:after="0"/>
              <w:rPr>
                <w:sz w:val="20"/>
                <w:szCs w:val="20"/>
                <w:color w:val="auto"/>
              </w:rPr>
            </w:pPr>
            <w:r>
              <w:rPr>
                <w:rFonts w:ascii="Arial" w:cs="Arial" w:eastAsia="Arial" w:hAnsi="Arial"/>
                <w:sz w:val="15"/>
                <w:szCs w:val="15"/>
                <w:color w:val="auto"/>
              </w:rPr>
              <w:t>amount thereof but excluding intercompany indebtedness</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60" w:type="dxa"/>
            <w:vAlign w:val="bottom"/>
          </w:tcPr>
          <w:p>
            <w:pPr>
              <w:ind w:left="140"/>
              <w:spacing w:after="0"/>
              <w:rPr>
                <w:sz w:val="20"/>
                <w:szCs w:val="20"/>
                <w:color w:val="auto"/>
              </w:rPr>
            </w:pPr>
            <w:r>
              <w:rPr>
                <w:rFonts w:ascii="Arial" w:cs="Arial" w:eastAsia="Arial" w:hAnsi="Arial"/>
                <w:sz w:val="15"/>
                <w:szCs w:val="15"/>
                <w:color w:val="auto"/>
              </w:rPr>
              <w:t>and other obligations and liabilities of a type not required to</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60" w:type="dxa"/>
            <w:vAlign w:val="bottom"/>
          </w:tcPr>
          <w:p>
            <w:pPr>
              <w:ind w:left="140"/>
              <w:spacing w:after="0"/>
              <w:rPr>
                <w:sz w:val="20"/>
                <w:szCs w:val="20"/>
                <w:color w:val="auto"/>
              </w:rPr>
            </w:pPr>
            <w:r>
              <w:rPr>
                <w:rFonts w:ascii="Arial" w:cs="Arial" w:eastAsia="Arial" w:hAnsi="Arial"/>
                <w:sz w:val="15"/>
                <w:szCs w:val="15"/>
                <w:color w:val="auto"/>
              </w:rPr>
              <w:t>be reflected on a balance sheet of such subsidiaries in</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60" w:type="dxa"/>
            <w:vAlign w:val="bottom"/>
          </w:tcPr>
          <w:p>
            <w:pPr>
              <w:ind w:left="140"/>
              <w:spacing w:after="0"/>
              <w:rPr>
                <w:sz w:val="20"/>
                <w:szCs w:val="20"/>
                <w:color w:val="auto"/>
              </w:rPr>
            </w:pPr>
            <w:r>
              <w:rPr>
                <w:rFonts w:ascii="Arial" w:cs="Arial" w:eastAsia="Arial" w:hAnsi="Arial"/>
                <w:sz w:val="15"/>
                <w:szCs w:val="15"/>
                <w:color w:val="auto"/>
              </w:rPr>
              <w:t>accordance with GAAP) of approximately $10.7 billion, all of</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60" w:type="dxa"/>
            <w:vAlign w:val="bottom"/>
          </w:tcPr>
          <w:p>
            <w:pPr>
              <w:ind w:left="140"/>
              <w:spacing w:after="0"/>
              <w:rPr>
                <w:sz w:val="20"/>
                <w:szCs w:val="20"/>
                <w:color w:val="auto"/>
              </w:rPr>
            </w:pPr>
            <w:r>
              <w:rPr>
                <w:rFonts w:ascii="Arial" w:cs="Arial" w:eastAsia="Arial" w:hAnsi="Arial"/>
                <w:sz w:val="15"/>
                <w:szCs w:val="15"/>
                <w:color w:val="auto"/>
              </w:rPr>
              <w:t>which will be structurally senior to the notes with respect to</w:t>
            </w:r>
          </w:p>
        </w:tc>
        <w:tc>
          <w:tcPr>
            <w:tcW w:w="820" w:type="dxa"/>
            <w:vAlign w:val="bottom"/>
          </w:tcPr>
          <w:p>
            <w:pPr>
              <w:spacing w:after="0"/>
              <w:rPr>
                <w:sz w:val="15"/>
                <w:szCs w:val="15"/>
                <w:color w:val="auto"/>
              </w:rPr>
            </w:pPr>
          </w:p>
        </w:tc>
      </w:tr>
      <w:tr>
        <w:trPr>
          <w:trHeight w:val="193"/>
        </w:trPr>
        <w:tc>
          <w:tcPr>
            <w:tcW w:w="8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60" w:type="dxa"/>
            <w:vAlign w:val="bottom"/>
          </w:tcPr>
          <w:p>
            <w:pPr>
              <w:ind w:left="140"/>
              <w:spacing w:after="0"/>
              <w:rPr>
                <w:sz w:val="20"/>
                <w:szCs w:val="20"/>
                <w:color w:val="auto"/>
              </w:rPr>
            </w:pPr>
            <w:r>
              <w:rPr>
                <w:rFonts w:ascii="Arial" w:cs="Arial" w:eastAsia="Arial" w:hAnsi="Arial"/>
                <w:sz w:val="15"/>
                <w:szCs w:val="15"/>
                <w:color w:val="auto"/>
              </w:rPr>
              <w:t>claims on the assets and cash flows of our subsidiaries.</w:t>
            </w:r>
          </w:p>
        </w:tc>
        <w:tc>
          <w:tcPr>
            <w:tcW w:w="820" w:type="dxa"/>
            <w:vAlign w:val="bottom"/>
          </w:tcPr>
          <w:p>
            <w:pPr>
              <w:spacing w:after="0"/>
              <w:rPr>
                <w:sz w:val="16"/>
                <w:szCs w:val="16"/>
                <w:color w:val="auto"/>
              </w:rPr>
            </w:pPr>
          </w:p>
        </w:tc>
      </w:tr>
      <w:tr>
        <w:trPr>
          <w:trHeight w:val="265"/>
        </w:trPr>
        <w:tc>
          <w:tcPr>
            <w:tcW w:w="860" w:type="dxa"/>
            <w:vAlign w:val="bottom"/>
          </w:tcPr>
          <w:p>
            <w:pPr>
              <w:spacing w:after="0"/>
              <w:rPr>
                <w:sz w:val="23"/>
                <w:szCs w:val="23"/>
                <w:color w:val="auto"/>
              </w:rPr>
            </w:pPr>
          </w:p>
        </w:tc>
        <w:tc>
          <w:tcPr>
            <w:tcW w:w="2320" w:type="dxa"/>
            <w:vAlign w:val="bottom"/>
          </w:tcPr>
          <w:p>
            <w:pPr>
              <w:ind w:left="180"/>
              <w:spacing w:after="0"/>
              <w:rPr>
                <w:sz w:val="20"/>
                <w:szCs w:val="20"/>
                <w:color w:val="auto"/>
              </w:rPr>
            </w:pPr>
            <w:r>
              <w:rPr>
                <w:rFonts w:ascii="Arial" w:cs="Arial" w:eastAsia="Arial" w:hAnsi="Arial"/>
                <w:sz w:val="15"/>
                <w:szCs w:val="15"/>
                <w:color w:val="auto"/>
              </w:rPr>
              <w:t>Sinking Fund</w:t>
            </w:r>
          </w:p>
        </w:tc>
        <w:tc>
          <w:tcPr>
            <w:tcW w:w="4760" w:type="dxa"/>
            <w:vAlign w:val="bottom"/>
            <w:gridSpan w:val="2"/>
          </w:tcPr>
          <w:p>
            <w:pPr>
              <w:ind w:left="340"/>
              <w:spacing w:after="0"/>
              <w:rPr>
                <w:sz w:val="20"/>
                <w:szCs w:val="20"/>
                <w:color w:val="auto"/>
              </w:rPr>
            </w:pPr>
            <w:r>
              <w:rPr>
                <w:rFonts w:ascii="Arial" w:cs="Arial" w:eastAsia="Arial" w:hAnsi="Arial"/>
                <w:sz w:val="15"/>
                <w:szCs w:val="15"/>
                <w:color w:val="auto"/>
              </w:rPr>
              <w:t>None.</w:t>
            </w:r>
          </w:p>
        </w:tc>
        <w:tc>
          <w:tcPr>
            <w:tcW w:w="820" w:type="dxa"/>
            <w:vAlign w:val="bottom"/>
          </w:tcPr>
          <w:p>
            <w:pPr>
              <w:spacing w:after="0"/>
              <w:rPr>
                <w:sz w:val="23"/>
                <w:szCs w:val="23"/>
                <w:color w:val="auto"/>
              </w:rPr>
            </w:pPr>
          </w:p>
        </w:tc>
      </w:tr>
      <w:tr>
        <w:trPr>
          <w:trHeight w:val="248"/>
        </w:trPr>
        <w:tc>
          <w:tcPr>
            <w:tcW w:w="860" w:type="dxa"/>
            <w:vAlign w:val="bottom"/>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spacing w:after="0"/>
              <w:rPr>
                <w:sz w:val="21"/>
                <w:szCs w:val="21"/>
                <w:color w:val="auto"/>
              </w:rPr>
            </w:pPr>
          </w:p>
        </w:tc>
        <w:tc>
          <w:tcPr>
            <w:tcW w:w="820" w:type="dxa"/>
            <w:vAlign w:val="bottom"/>
          </w:tcPr>
          <w:p>
            <w:pPr>
              <w:spacing w:after="0"/>
              <w:rPr>
                <w:sz w:val="21"/>
                <w:szCs w:val="21"/>
                <w:color w:val="auto"/>
              </w:rPr>
            </w:pPr>
          </w:p>
        </w:tc>
      </w:tr>
      <w:tr>
        <w:trPr>
          <w:trHeight w:val="251"/>
        </w:trPr>
        <w:tc>
          <w:tcPr>
            <w:tcW w:w="8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60" w:type="dxa"/>
            <w:vAlign w:val="bottom"/>
          </w:tcPr>
          <w:p>
            <w:pPr>
              <w:ind w:left="580"/>
              <w:spacing w:after="0"/>
              <w:rPr>
                <w:sz w:val="20"/>
                <w:szCs w:val="20"/>
                <w:color w:val="auto"/>
              </w:rPr>
            </w:pPr>
            <w:r>
              <w:rPr>
                <w:rFonts w:ascii="Arial" w:cs="Arial" w:eastAsia="Arial" w:hAnsi="Arial"/>
                <w:sz w:val="15"/>
                <w:szCs w:val="15"/>
                <w:color w:val="auto"/>
              </w:rPr>
              <w:t>S-2</w:t>
            </w:r>
          </w:p>
        </w:tc>
        <w:tc>
          <w:tcPr>
            <w:tcW w:w="820" w:type="dxa"/>
            <w:vAlign w:val="bottom"/>
          </w:tcPr>
          <w:p>
            <w:pPr>
              <w:spacing w:after="0"/>
              <w:rPr>
                <w:sz w:val="21"/>
                <w:szCs w:val="21"/>
                <w:color w:val="auto"/>
              </w:rPr>
            </w:pPr>
          </w:p>
        </w:tc>
      </w:tr>
      <w:tr>
        <w:trPr>
          <w:trHeight w:val="320"/>
        </w:trPr>
        <w:tc>
          <w:tcPr>
            <w:tcW w:w="8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-26035</wp:posOffset>
            </wp:positionV>
            <wp:extent cx="3238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-26035</wp:posOffset>
            </wp:positionV>
            <wp:extent cx="3238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 w:name="page8"/>
    <w:bookmarkEnd w:id="7"/>
    <w:p>
      <w:pPr>
        <w:ind w:left="1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269875</wp:posOffset>
            </wp:positionV>
            <wp:extent cx="4505960" cy="6553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05960" cy="655320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480"/>
        <w:spacing w:after="0"/>
        <w:rPr>
          <w:sz w:val="20"/>
          <w:szCs w:val="20"/>
          <w:color w:val="auto"/>
        </w:rPr>
      </w:pPr>
      <w:r>
        <w:rPr>
          <w:rFonts w:ascii="Arial" w:cs="Arial" w:eastAsia="Arial" w:hAnsi="Arial"/>
          <w:sz w:val="14"/>
          <w:szCs w:val="14"/>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320" w:hanging="146"/>
        <w:spacing w:after="0" w:line="287" w:lineRule="auto"/>
        <w:rPr>
          <w:sz w:val="20"/>
          <w:szCs w:val="20"/>
          <w:color w:val="auto"/>
        </w:rPr>
      </w:pPr>
      <w:r>
        <w:rPr>
          <w:rFonts w:ascii="Arial" w:cs="Arial" w:eastAsia="Arial" w:hAnsi="Arial"/>
          <w:sz w:val="14"/>
          <w:szCs w:val="14"/>
          <w:color w:val="auto"/>
        </w:rPr>
        <w:t>Mandatory Offer to Repurchase Upon a Change of Control Triggering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Certain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No Prior Market; No Listing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 w:right="1139"/>
        <w:spacing w:after="0" w:line="248" w:lineRule="auto"/>
        <w:rPr>
          <w:sz w:val="20"/>
          <w:szCs w:val="20"/>
          <w:color w:val="auto"/>
        </w:rPr>
      </w:pPr>
      <w:r>
        <w:rPr>
          <w:rFonts w:ascii="Arial" w:cs="Arial" w:eastAsia="Arial" w:hAnsi="Arial"/>
          <w:sz w:val="15"/>
          <w:szCs w:val="15"/>
          <w:color w:val="auto"/>
        </w:rPr>
        <w:t>The notes will be redeemable at our option, in whole or in part, at any time and from time to time at a redemption price for the notes equal to the greater of (i) the make-whole amount (as described in the section entitled “Description of the Notes — Optional Redemption”) and (ii) 100% of the principal amount of the notes to be redeemed, plus accrued and unpaid interest thereon to, but excluding, the redemption date. In addition, on or after            , 20      (      months prior to the maturity date of the notes), we may redeem the notes at a redemption price equal to 100% of the principal amount thereof plus accrued and unpaid interest to, but excluding, the date of redemption. See “Description of the Notes — Optional Redemption.”</w:t>
      </w:r>
    </w:p>
    <w:p>
      <w:pPr>
        <w:spacing w:after="0" w:line="200" w:lineRule="exact"/>
        <w:rPr>
          <w:sz w:val="20"/>
          <w:szCs w:val="20"/>
          <w:color w:val="auto"/>
        </w:rPr>
      </w:pPr>
    </w:p>
    <w:p>
      <w:pPr>
        <w:spacing w:after="0" w:line="222" w:lineRule="exact"/>
        <w:rPr>
          <w:sz w:val="20"/>
          <w:szCs w:val="20"/>
          <w:color w:val="auto"/>
        </w:rPr>
      </w:pPr>
    </w:p>
    <w:p>
      <w:pPr>
        <w:ind w:left="4" w:right="1139"/>
        <w:spacing w:after="0" w:line="250" w:lineRule="auto"/>
        <w:rPr>
          <w:sz w:val="20"/>
          <w:szCs w:val="20"/>
          <w:color w:val="auto"/>
        </w:rPr>
      </w:pPr>
      <w:r>
        <w:rPr>
          <w:rFonts w:ascii="Arial" w:cs="Arial" w:eastAsia="Arial" w:hAnsi="Arial"/>
          <w:sz w:val="15"/>
          <w:szCs w:val="15"/>
          <w:color w:val="auto"/>
        </w:rPr>
        <w:t>Upon the occurrence of a Change of Control Triggering Event (as defined elsewhere in this prospectus supplement), we will be required to make an offer to purchase the notes at a price equal to 101% of their principal amount plus accrued and unpaid interest to, but excluding, the date of purchase. See “Description of the Notes — Repurchase of Notes Upon a Change of Control Triggering Event.”</w:t>
      </w:r>
    </w:p>
    <w:p>
      <w:pPr>
        <w:spacing w:after="0" w:line="67" w:lineRule="exact"/>
        <w:rPr>
          <w:sz w:val="20"/>
          <w:szCs w:val="20"/>
          <w:color w:val="auto"/>
        </w:rPr>
      </w:pPr>
    </w:p>
    <w:p>
      <w:pPr>
        <w:ind w:left="4" w:right="1199"/>
        <w:spacing w:after="0" w:line="275" w:lineRule="auto"/>
        <w:rPr>
          <w:sz w:val="20"/>
          <w:szCs w:val="20"/>
          <w:color w:val="auto"/>
        </w:rPr>
      </w:pPr>
      <w:r>
        <w:rPr>
          <w:rFonts w:ascii="Arial" w:cs="Arial" w:eastAsia="Arial" w:hAnsi="Arial"/>
          <w:sz w:val="14"/>
          <w:szCs w:val="14"/>
          <w:color w:val="auto"/>
        </w:rPr>
        <w:t>The indenture that will govern the notes contains covenants that, subject to significant exceptions, limit our ability and/or the ability of our restricted subsidiaries (which are generally domestic subsidiaries in which we own at least 80% of the voting stock and which own Principal Property (as defined herein)) to:</w:t>
      </w:r>
    </w:p>
    <w:p>
      <w:pPr>
        <w:spacing w:after="0" w:line="82" w:lineRule="exact"/>
        <w:rPr>
          <w:sz w:val="20"/>
          <w:szCs w:val="20"/>
          <w:color w:val="auto"/>
        </w:rPr>
      </w:pPr>
    </w:p>
    <w:p>
      <w:pPr>
        <w:jc w:val="both"/>
        <w:ind w:left="304" w:right="1279" w:hanging="304"/>
        <w:spacing w:after="0" w:line="279" w:lineRule="auto"/>
        <w:tabs>
          <w:tab w:leader="none" w:pos="304" w:val="left"/>
        </w:tabs>
        <w:numPr>
          <w:ilvl w:val="0"/>
          <w:numId w:val="5"/>
        </w:numPr>
        <w:rPr>
          <w:rFonts w:ascii="Arial" w:cs="Arial" w:eastAsia="Arial" w:hAnsi="Arial"/>
          <w:sz w:val="14"/>
          <w:szCs w:val="14"/>
          <w:color w:val="auto"/>
        </w:rPr>
      </w:pPr>
      <w:r>
        <w:rPr>
          <w:rFonts w:ascii="Arial" w:cs="Arial" w:eastAsia="Arial" w:hAnsi="Arial"/>
          <w:sz w:val="14"/>
          <w:szCs w:val="14"/>
          <w:color w:val="auto"/>
        </w:rPr>
        <w:t>create or incur certain liens on Principal Property owned by us or a Restricted Subsidiary and shares of capital stock of any restricted subsidiary and enter into sale and lease-back transactions with respect to Principal Property; and</w:t>
      </w:r>
    </w:p>
    <w:p>
      <w:pPr>
        <w:spacing w:after="0" w:line="68" w:lineRule="exact"/>
        <w:rPr>
          <w:rFonts w:ascii="Arial" w:cs="Arial" w:eastAsia="Arial" w:hAnsi="Arial"/>
          <w:sz w:val="14"/>
          <w:szCs w:val="14"/>
          <w:color w:val="auto"/>
        </w:rPr>
      </w:pPr>
    </w:p>
    <w:p>
      <w:pPr>
        <w:jc w:val="both"/>
        <w:ind w:left="304" w:right="1259" w:hanging="304"/>
        <w:spacing w:after="0" w:line="311" w:lineRule="auto"/>
        <w:tabs>
          <w:tab w:leader="none" w:pos="304" w:val="left"/>
        </w:tabs>
        <w:numPr>
          <w:ilvl w:val="0"/>
          <w:numId w:val="5"/>
        </w:numPr>
        <w:rPr>
          <w:rFonts w:ascii="Arial" w:cs="Arial" w:eastAsia="Arial" w:hAnsi="Arial"/>
          <w:sz w:val="14"/>
          <w:szCs w:val="14"/>
          <w:color w:val="auto"/>
        </w:rPr>
      </w:pPr>
      <w:r>
        <w:rPr>
          <w:rFonts w:ascii="Arial" w:cs="Arial" w:eastAsia="Arial" w:hAnsi="Arial"/>
          <w:sz w:val="14"/>
          <w:szCs w:val="14"/>
          <w:color w:val="auto"/>
        </w:rPr>
        <w:t>consolidate with or merge with or into, or convey, transfer or lease all or substantially all of our assets, to another person.</w:t>
      </w:r>
    </w:p>
    <w:p>
      <w:pPr>
        <w:spacing w:after="0" w:line="57" w:lineRule="exact"/>
        <w:rPr>
          <w:sz w:val="20"/>
          <w:szCs w:val="20"/>
          <w:color w:val="auto"/>
        </w:rPr>
      </w:pPr>
    </w:p>
    <w:p>
      <w:pPr>
        <w:ind w:left="4" w:right="1239"/>
        <w:spacing w:after="0" w:line="252" w:lineRule="auto"/>
        <w:rPr>
          <w:sz w:val="20"/>
          <w:szCs w:val="20"/>
          <w:color w:val="auto"/>
        </w:rPr>
      </w:pPr>
      <w:r>
        <w:rPr>
          <w:rFonts w:ascii="Arial" w:cs="Arial" w:eastAsia="Arial" w:hAnsi="Arial"/>
          <w:sz w:val="15"/>
          <w:szCs w:val="15"/>
          <w:color w:val="auto"/>
        </w:rPr>
        <w:t>These covenants are subject to a number of important limitations and exceptions as described under “Description of the Notes Certain Covenants.”</w:t>
      </w:r>
    </w:p>
    <w:p>
      <w:pPr>
        <w:spacing w:after="0" w:line="53" w:lineRule="exact"/>
        <w:rPr>
          <w:sz w:val="20"/>
          <w:szCs w:val="20"/>
          <w:color w:val="auto"/>
        </w:rPr>
      </w:pPr>
    </w:p>
    <w:p>
      <w:pPr>
        <w:ind w:left="4" w:right="1199"/>
        <w:spacing w:after="0" w:line="248" w:lineRule="auto"/>
        <w:rPr>
          <w:sz w:val="20"/>
          <w:szCs w:val="20"/>
          <w:color w:val="auto"/>
        </w:rPr>
      </w:pPr>
      <w:r>
        <w:rPr>
          <w:rFonts w:ascii="Arial" w:cs="Arial" w:eastAsia="Arial" w:hAnsi="Arial"/>
          <w:sz w:val="15"/>
          <w:szCs w:val="15"/>
          <w:color w:val="auto"/>
        </w:rPr>
        <w:t>The notes will be a new issue of securities for which there is currently no established public market. Although the underwriters have informed us that they intend to make a market in the notes, they are not obligated to do so and may discontinue market-making with respect to the notes at any time without notice. Accordingly, a liquid market for the notes may not develop or be maintained. See “Risk Factors — Risks Related to the Notes — Your ability to transfer the notes may be limited by the absence of an active trading market, and an active trading market may not develop for the notes.”</w:t>
      </w:r>
    </w:p>
    <w:p>
      <w:pPr>
        <w:spacing w:after="0" w:line="105" w:lineRule="exact"/>
        <w:rPr>
          <w:sz w:val="20"/>
          <w:szCs w:val="20"/>
          <w:color w:val="auto"/>
        </w:rPr>
      </w:pPr>
    </w:p>
    <w:p>
      <w:pPr>
        <w:ind w:left="4" w:right="1179"/>
        <w:spacing w:after="0" w:line="244" w:lineRule="auto"/>
        <w:rPr>
          <w:sz w:val="20"/>
          <w:szCs w:val="20"/>
          <w:color w:val="auto"/>
        </w:rPr>
      </w:pPr>
      <w:r>
        <w:rPr>
          <w:rFonts w:ascii="Arial" w:cs="Arial" w:eastAsia="Arial" w:hAnsi="Arial"/>
          <w:sz w:val="15"/>
          <w:szCs w:val="15"/>
          <w:color w:val="auto"/>
        </w:rPr>
        <w:t>We do not intend to apply for the listing of the notes on any securities exchange or for the quotation of the notes in any dealer quotation system.</w:t>
      </w:r>
    </w:p>
    <w:p>
      <w:pPr>
        <w:spacing w:after="0" w:line="70" w:lineRule="exact"/>
        <w:rPr>
          <w:sz w:val="20"/>
          <w:szCs w:val="20"/>
          <w:color w:val="auto"/>
        </w:rPr>
      </w:pPr>
    </w:p>
    <w:p>
      <w:pPr>
        <w:ind w:left="4" w:right="1339"/>
        <w:spacing w:after="0" w:line="287" w:lineRule="auto"/>
        <w:rPr>
          <w:sz w:val="20"/>
          <w:szCs w:val="20"/>
          <w:color w:val="auto"/>
        </w:rPr>
      </w:pPr>
      <w:r>
        <w:rPr>
          <w:rFonts w:ascii="Arial" w:cs="Arial" w:eastAsia="Arial" w:hAnsi="Arial"/>
          <w:sz w:val="14"/>
          <w:szCs w:val="14"/>
          <w:color w:val="auto"/>
        </w:rPr>
        <w:t>We estimate net proceeds from the sale of the notes, after deducting underwriter discounts and other estimated offering expenses, will be approximately $            . We intend to use the</w:t>
      </w:r>
    </w:p>
    <w:p>
      <w:pPr>
        <w:spacing w:after="0" w:line="200" w:lineRule="exact"/>
        <w:rPr>
          <w:sz w:val="20"/>
          <w:szCs w:val="20"/>
          <w:color w:val="auto"/>
        </w:rPr>
      </w:pPr>
    </w:p>
    <w:p>
      <w:pPr>
        <w:sectPr>
          <w:pgSz w:w="11900" w:h="16838" w:orient="portrait"/>
          <w:cols w:equalWidth="0" w:num="2">
            <w:col w:w="3200" w:space="436"/>
            <w:col w:w="5384"/>
          </w:cols>
          <w:pgMar w:left="1440" w:top="105" w:right="1440" w:bottom="1440" w:gutter="0" w:footer="0" w:header="0"/>
          <w:type w:val="continuous"/>
        </w:sectPr>
      </w:pP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8" w:name="page9"/>
    <w:bookmarkEnd w:id="8"/>
    <w:p>
      <w:pPr>
        <w:ind w:left="12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266700</wp:posOffset>
            </wp:positionV>
            <wp:extent cx="4505960" cy="6511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05960" cy="651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net proceeds from the sale of the notes to pay the redemption</w:t>
      </w:r>
    </w:p>
    <w:p>
      <w:pPr>
        <w:spacing w:after="0" w:line="18"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price of the 2026 notes Redemption and any remainder of the net</w:t>
      </w:r>
    </w:p>
    <w:p>
      <w:pPr>
        <w:spacing w:after="0" w:line="16"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proceeds for general corporate purposes, which may include the</w:t>
      </w:r>
    </w:p>
    <w:p>
      <w:pPr>
        <w:spacing w:after="0" w:line="16"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repayment of other indebtedness. See “Use of Proceeds.”</w:t>
      </w:r>
    </w:p>
    <w:p>
      <w:pPr>
        <w:sectPr>
          <w:pgSz w:w="11900" w:h="16838" w:orient="portrait"/>
          <w:cols w:equalWidth="0" w:num="1">
            <w:col w:w="9019"/>
          </w:cols>
          <w:pgMar w:left="1440" w:top="98" w:right="1440" w:bottom="1440" w:gutter="0" w:footer="0" w:header="0"/>
        </w:sectPr>
      </w:pPr>
    </w:p>
    <w:p>
      <w:pPr>
        <w:spacing w:after="0" w:line="78"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Risk Factors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1139"/>
        <w:spacing w:after="0" w:line="250" w:lineRule="auto"/>
        <w:rPr>
          <w:sz w:val="20"/>
          <w:szCs w:val="20"/>
          <w:color w:val="auto"/>
        </w:rPr>
      </w:pPr>
      <w:r>
        <w:rPr>
          <w:rFonts w:ascii="Arial" w:cs="Arial" w:eastAsia="Arial" w:hAnsi="Arial"/>
          <w:sz w:val="15"/>
          <w:szCs w:val="15"/>
          <w:color w:val="auto"/>
        </w:rPr>
        <w:t>You should carefully consider all of the information set forth in this prospectus supplement and the accompanying prospectus and the documents, including the information incorporated by reference, and, in particular, should evaluate the specific factors set forth in this prospectus supplement under “Risk Factors” for an explanation of certain risks you should consider before investing in the notes.</w:t>
      </w:r>
    </w:p>
    <w:p>
      <w:pPr>
        <w:spacing w:after="0" w:line="67" w:lineRule="exact"/>
        <w:rPr>
          <w:sz w:val="20"/>
          <w:szCs w:val="20"/>
          <w:color w:val="auto"/>
        </w:rPr>
      </w:pPr>
    </w:p>
    <w:p>
      <w:pPr>
        <w:sectPr>
          <w:pgSz w:w="11900" w:h="16838" w:orient="portrait"/>
          <w:cols w:equalWidth="0" w:num="2">
            <w:col w:w="2920" w:space="720"/>
            <w:col w:w="5379"/>
          </w:cols>
          <w:pgMar w:left="1440" w:top="98" w:right="1440" w:bottom="1440" w:gutter="0" w:footer="0" w:header="0"/>
          <w:type w:val="continuous"/>
        </w:sectPr>
      </w:pPr>
    </w:p>
    <w:p>
      <w:pPr>
        <w:ind w:left="1160"/>
        <w:spacing w:after="0"/>
        <w:rPr>
          <w:sz w:val="20"/>
          <w:szCs w:val="20"/>
          <w:color w:val="auto"/>
        </w:rPr>
      </w:pPr>
      <w:r>
        <w:rPr>
          <w:rFonts w:ascii="Arial" w:cs="Arial" w:eastAsia="Arial" w:hAnsi="Arial"/>
          <w:sz w:val="14"/>
          <w:szCs w:val="14"/>
          <w:color w:val="auto"/>
        </w:rPr>
        <w:t>Form and Denomination</w:t>
      </w:r>
    </w:p>
    <w:p>
      <w:pPr>
        <w:spacing w:after="0" w:line="20" w:lineRule="exact"/>
        <w:rPr>
          <w:sz w:val="20"/>
          <w:szCs w:val="20"/>
          <w:color w:val="auto"/>
        </w:rPr>
      </w:pPr>
      <w:r>
        <w:rPr>
          <w:sz w:val="20"/>
          <w:szCs w:val="20"/>
          <w:color w:val="auto"/>
        </w:rPr>
        <w:br w:type="column"/>
      </w:r>
    </w:p>
    <w:p>
      <w:pPr>
        <w:ind w:right="1159"/>
        <w:spacing w:after="0" w:line="266" w:lineRule="auto"/>
        <w:rPr>
          <w:sz w:val="20"/>
          <w:szCs w:val="20"/>
          <w:color w:val="auto"/>
        </w:rPr>
      </w:pPr>
      <w:r>
        <w:rPr>
          <w:rFonts w:ascii="Arial" w:cs="Arial" w:eastAsia="Arial" w:hAnsi="Arial"/>
          <w:sz w:val="14"/>
          <w:szCs w:val="14"/>
          <w:color w:val="auto"/>
        </w:rPr>
        <w:t>The notes will be issued in the form of one or more fully registered global securities, without coupons, in denominations of $2,000 in principal amount and integral multiples of $1,000 in excess thereof. These global notes will be deposited with the trustee as custodian for, and registered in the name of, a nominee of The Depository Trust Company (“DTC”). Except in the limited circumstances described under “Description of the Notes — Book-Entry, Form, Denomination and Delivery of Notes,” notes in certificated form will not be issued or exchanged for interests in global securities. Investors may hold their interests in a global note directly through Euroclear Bank S.A./N.V, as operator of the Euroclear System (“Euroclear”), and Clearstream Banking, S.A.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200" w:lineRule="exact"/>
        <w:rPr>
          <w:sz w:val="20"/>
          <w:szCs w:val="20"/>
          <w:color w:val="auto"/>
        </w:rPr>
      </w:pPr>
    </w:p>
    <w:p>
      <w:pPr>
        <w:sectPr>
          <w:pgSz w:w="11900" w:h="16838" w:orient="portrait"/>
          <w:cols w:equalWidth="0" w:num="2">
            <w:col w:w="2920" w:space="720"/>
            <w:col w:w="5379"/>
          </w:cols>
          <w:pgMar w:left="1440" w:top="98" w:right="1440" w:bottom="1440" w:gutter="0" w:footer="0" w:header="0"/>
          <w:type w:val="continuous"/>
        </w:sectPr>
      </w:pPr>
    </w:p>
    <w:p>
      <w:pPr>
        <w:spacing w:after="0" w:line="3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Trustee, Registrar and Paying</w:t>
      </w:r>
    </w:p>
    <w:p>
      <w:pPr>
        <w:spacing w:after="0" w:line="30"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Agent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U.S. Bank Trust Company, National Association.</w:t>
      </w:r>
    </w:p>
    <w:p>
      <w:pPr>
        <w:spacing w:after="0" w:line="103" w:lineRule="exact"/>
        <w:rPr>
          <w:sz w:val="20"/>
          <w:szCs w:val="20"/>
          <w:color w:val="auto"/>
        </w:rPr>
      </w:pPr>
    </w:p>
    <w:p>
      <w:pPr>
        <w:sectPr>
          <w:pgSz w:w="11900" w:h="16838" w:orient="portrait"/>
          <w:cols w:equalWidth="0" w:num="2">
            <w:col w:w="3080" w:space="560"/>
            <w:col w:w="5379"/>
          </w:cols>
          <w:pgMar w:left="1440" w:top="98" w:right="1440" w:bottom="1440" w:gutter="0" w:footer="0" w:header="0"/>
          <w:type w:val="continuous"/>
        </w:sectPr>
      </w:pPr>
    </w:p>
    <w:p>
      <w:pPr>
        <w:ind w:left="1160"/>
        <w:spacing w:after="0"/>
        <w:rPr>
          <w:sz w:val="20"/>
          <w:szCs w:val="20"/>
          <w:color w:val="auto"/>
        </w:rPr>
      </w:pPr>
      <w:r>
        <w:rPr>
          <w:rFonts w:ascii="Arial" w:cs="Arial" w:eastAsia="Arial" w:hAnsi="Arial"/>
          <w:sz w:val="14"/>
          <w:szCs w:val="14"/>
          <w:color w:val="auto"/>
        </w:rPr>
        <w:t>Governing Law</w:t>
      </w:r>
    </w:p>
    <w:p>
      <w:pPr>
        <w:spacing w:after="0" w:line="20" w:lineRule="exact"/>
        <w:rPr>
          <w:sz w:val="20"/>
          <w:szCs w:val="20"/>
          <w:color w:val="auto"/>
        </w:rPr>
      </w:pPr>
      <w:r>
        <w:rPr>
          <w:sz w:val="20"/>
          <w:szCs w:val="20"/>
          <w:color w:val="auto"/>
        </w:rPr>
        <w:br w:type="column"/>
      </w:r>
    </w:p>
    <w:p>
      <w:pPr>
        <w:ind w:right="1319"/>
        <w:spacing w:after="0" w:line="274" w:lineRule="auto"/>
        <w:rPr>
          <w:sz w:val="20"/>
          <w:szCs w:val="20"/>
          <w:color w:val="auto"/>
        </w:rPr>
      </w:pPr>
      <w:r>
        <w:rPr>
          <w:rFonts w:ascii="Arial" w:cs="Arial" w:eastAsia="Arial" w:hAnsi="Arial"/>
          <w:sz w:val="15"/>
          <w:szCs w:val="15"/>
          <w:color w:val="auto"/>
        </w:rPr>
        <w:t>The indenture and the notes will be governed by the laws of the State of New York.</w:t>
      </w:r>
    </w:p>
    <w:p>
      <w:pPr>
        <w:spacing w:after="0" w:line="200" w:lineRule="exact"/>
        <w:rPr>
          <w:sz w:val="20"/>
          <w:szCs w:val="20"/>
          <w:color w:val="auto"/>
        </w:rPr>
      </w:pPr>
    </w:p>
    <w:p>
      <w:pPr>
        <w:sectPr>
          <w:pgSz w:w="11900" w:h="16838" w:orient="portrait"/>
          <w:cols w:equalWidth="0" w:num="2">
            <w:col w:w="2920" w:space="720"/>
            <w:col w:w="5379"/>
          </w:cols>
          <w:pgMar w:left="1440" w:top="9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9" w:name="page10"/>
    <w:bookmarkEnd w:id="9"/>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RISK FACTORS</w:t>
      </w:r>
    </w:p>
    <w:p>
      <w:pPr>
        <w:spacing w:after="0" w:line="132" w:lineRule="exact"/>
        <w:rPr>
          <w:sz w:val="20"/>
          <w:szCs w:val="20"/>
          <w:color w:val="auto"/>
        </w:rPr>
      </w:pPr>
    </w:p>
    <w:p>
      <w:pPr>
        <w:ind w:left="1140" w:right="1179"/>
        <w:spacing w:after="0" w:line="250" w:lineRule="auto"/>
        <w:rPr>
          <w:sz w:val="20"/>
          <w:szCs w:val="20"/>
          <w:color w:val="auto"/>
        </w:rPr>
      </w:pPr>
      <w:r>
        <w:rPr>
          <w:rFonts w:ascii="Arial" w:cs="Arial" w:eastAsia="Arial" w:hAnsi="Arial"/>
          <w:sz w:val="15"/>
          <w:szCs w:val="15"/>
          <w:i w:val="1"/>
          <w:iCs w:val="1"/>
          <w:color w:val="auto"/>
        </w:rPr>
        <w:t>In considering whether to purchase the notes, you should carefully consider all the information contained or incorporated by reference in this prospectus supplement and the accompanying prospectus. In particular, you should carefully consider the risk factors in our Quarterly Report on Form 10-Q for the fiscal quarter ended November 28, 2024 as well as the risk factors described below, which are not exhaustive. In this section, references to “Micron,” “us,” “we,” or “our” refer only to Micron Technology, Inc. and not to any of its subsidiaries.</w:t>
      </w:r>
    </w:p>
    <w:p>
      <w:pPr>
        <w:spacing w:after="0" w:line="148"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Risks Related to Our Business</w:t>
      </w:r>
    </w:p>
    <w:p>
      <w:pPr>
        <w:spacing w:after="0" w:line="122" w:lineRule="exact"/>
        <w:rPr>
          <w:sz w:val="20"/>
          <w:szCs w:val="20"/>
          <w:color w:val="auto"/>
        </w:rPr>
      </w:pPr>
    </w:p>
    <w:p>
      <w:pPr>
        <w:ind w:left="1140" w:right="1219"/>
        <w:spacing w:after="0" w:line="274" w:lineRule="auto"/>
        <w:rPr>
          <w:sz w:val="20"/>
          <w:szCs w:val="20"/>
          <w:color w:val="auto"/>
        </w:rPr>
      </w:pPr>
      <w:r>
        <w:rPr>
          <w:rFonts w:ascii="Arial" w:cs="Arial" w:eastAsia="Arial" w:hAnsi="Arial"/>
          <w:sz w:val="15"/>
          <w:szCs w:val="15"/>
          <w:color w:val="auto"/>
        </w:rPr>
        <w:t>We hereby incorporate by reference the risk factors in Item 1A of our Quarterly Report on Form 10-Q for the fiscal quarter ended November 28, 2024.</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Risks Related to the Notes</w:t>
      </w:r>
    </w:p>
    <w:p>
      <w:pPr>
        <w:spacing w:after="0" w:line="190" w:lineRule="exact"/>
        <w:rPr>
          <w:sz w:val="20"/>
          <w:szCs w:val="20"/>
          <w:color w:val="auto"/>
        </w:rPr>
      </w:pPr>
    </w:p>
    <w:p>
      <w:pPr>
        <w:ind w:left="1140" w:right="1399"/>
        <w:spacing w:after="0" w:line="282" w:lineRule="auto"/>
        <w:rPr>
          <w:sz w:val="20"/>
          <w:szCs w:val="20"/>
          <w:color w:val="auto"/>
        </w:rPr>
      </w:pPr>
      <w:r>
        <w:rPr>
          <w:rFonts w:ascii="Arial" w:cs="Arial" w:eastAsia="Arial" w:hAnsi="Arial"/>
          <w:sz w:val="15"/>
          <w:szCs w:val="15"/>
          <w:b w:val="1"/>
          <w:bCs w:val="1"/>
          <w:i w:val="1"/>
          <w:iCs w:val="1"/>
          <w:color w:val="auto"/>
        </w:rPr>
        <w:t>We may not be able to generate sufficient cash to service our debt obligations, including our obligations under the notes.</w:t>
      </w:r>
    </w:p>
    <w:p>
      <w:pPr>
        <w:spacing w:after="0" w:line="67" w:lineRule="exact"/>
        <w:rPr>
          <w:sz w:val="20"/>
          <w:szCs w:val="20"/>
          <w:color w:val="auto"/>
        </w:rPr>
      </w:pPr>
    </w:p>
    <w:p>
      <w:pPr>
        <w:ind w:left="1140" w:right="1279"/>
        <w:spacing w:after="0" w:line="252" w:lineRule="auto"/>
        <w:rPr>
          <w:sz w:val="20"/>
          <w:szCs w:val="20"/>
          <w:color w:val="auto"/>
        </w:rPr>
      </w:pPr>
      <w:r>
        <w:rPr>
          <w:rFonts w:ascii="Arial" w:cs="Arial" w:eastAsia="Arial" w:hAnsi="Arial"/>
          <w:sz w:val="15"/>
          <w:szCs w:val="15"/>
          <w:color w:val="auto"/>
        </w:rPr>
        <w:t>Our ability to make payments on and to refinance our indebtedness, including the notes, will depend on our financial and operating performance, which is subject to prevailing economic and competitive conditions and to certain financial, business and other factors beyond our control. We may be unable to maintain a level of cash flows from operating activities sufficient to permit us to pay the principal, premium, if any, and interest on our indebtedness, including the notes.</w:t>
      </w:r>
    </w:p>
    <w:p>
      <w:pPr>
        <w:spacing w:after="0" w:line="88" w:lineRule="exact"/>
        <w:rPr>
          <w:sz w:val="20"/>
          <w:szCs w:val="20"/>
          <w:color w:val="auto"/>
        </w:rPr>
      </w:pPr>
    </w:p>
    <w:p>
      <w:pPr>
        <w:ind w:left="1140" w:right="1219"/>
        <w:spacing w:after="0" w:line="269" w:lineRule="auto"/>
        <w:rPr>
          <w:sz w:val="20"/>
          <w:szCs w:val="20"/>
          <w:color w:val="auto"/>
        </w:rPr>
      </w:pPr>
      <w:r>
        <w:rPr>
          <w:rFonts w:ascii="Arial" w:cs="Arial" w:eastAsia="Arial" w:hAnsi="Arial"/>
          <w:sz w:val="14"/>
          <w:szCs w:val="14"/>
          <w:color w:val="auto"/>
        </w:rPr>
        <w:t>If our cash flows and capital resources are insufficient to fund our debt service obligations, we may be forced to reduce or delay investments and capital expenditures, or to sell assets, seek additional capital or restructure or refinance our indebtedness, including the notes. These alternative measures may not be successful and may not permit us to meet our scheduled debt service obligations. We cannot assure you that we would be able to implement any of these alternatives on satisfactory terms or at all. In the absence of such operating results and resources, we could face substantial liquidity problems and might be required to dispose of material assets or operations to meet our debt service and other obligations. We may not be able to consummate those dispositions or to obtain the proceeds that we could realize from them, and these proceeds may not be adequate to meet any debt service obligations then due.</w:t>
      </w:r>
    </w:p>
    <w:p>
      <w:pPr>
        <w:spacing w:after="0" w:line="87" w:lineRule="exact"/>
        <w:rPr>
          <w:sz w:val="20"/>
          <w:szCs w:val="20"/>
          <w:color w:val="auto"/>
        </w:rPr>
      </w:pPr>
    </w:p>
    <w:p>
      <w:pPr>
        <w:ind w:left="1140" w:right="1179"/>
        <w:spacing w:after="0" w:line="251" w:lineRule="auto"/>
        <w:rPr>
          <w:sz w:val="20"/>
          <w:szCs w:val="20"/>
          <w:color w:val="auto"/>
        </w:rPr>
      </w:pPr>
      <w:r>
        <w:rPr>
          <w:rFonts w:ascii="Arial" w:cs="Arial" w:eastAsia="Arial" w:hAnsi="Arial"/>
          <w:sz w:val="15"/>
          <w:szCs w:val="15"/>
          <w:color w:val="auto"/>
        </w:rPr>
        <w:t>If we are unable to service our debt obligations from cash flows, we may need to refinance all or a portion of our debt obligations prior to maturity. Our ability to refinance or restructure our debt will depend upon the condition of the capital markets and our financial condition at such time. Any refinancing of our debt could be at higher interest rates and may require us to comply with more onerous covenants, which could further restrict our business operations. We may not be able to refinance any of our indebtedness on commercially reasonable terms or at all.</w:t>
      </w:r>
    </w:p>
    <w:p>
      <w:pPr>
        <w:spacing w:after="0" w:line="156" w:lineRule="exact"/>
        <w:rPr>
          <w:sz w:val="20"/>
          <w:szCs w:val="20"/>
          <w:color w:val="auto"/>
        </w:rPr>
      </w:pPr>
    </w:p>
    <w:p>
      <w:pPr>
        <w:ind w:left="1140" w:right="1379"/>
        <w:spacing w:after="0" w:line="282" w:lineRule="auto"/>
        <w:rPr>
          <w:sz w:val="20"/>
          <w:szCs w:val="20"/>
          <w:color w:val="auto"/>
        </w:rPr>
      </w:pPr>
      <w:r>
        <w:rPr>
          <w:rFonts w:ascii="Arial" w:cs="Arial" w:eastAsia="Arial" w:hAnsi="Arial"/>
          <w:sz w:val="15"/>
          <w:szCs w:val="15"/>
          <w:b w:val="1"/>
          <w:bCs w:val="1"/>
          <w:i w:val="1"/>
          <w:iCs w:val="1"/>
          <w:color w:val="auto"/>
        </w:rPr>
        <w:t>Despite current indebtedness levels, we are able to incur substantially more debt. This could further exacerbate the risks described herein.</w:t>
      </w:r>
    </w:p>
    <w:p>
      <w:pPr>
        <w:spacing w:after="0" w:line="67" w:lineRule="exact"/>
        <w:rPr>
          <w:sz w:val="20"/>
          <w:szCs w:val="20"/>
          <w:color w:val="auto"/>
        </w:rPr>
      </w:pPr>
    </w:p>
    <w:p>
      <w:pPr>
        <w:ind w:left="1140" w:right="1159"/>
        <w:spacing w:after="0" w:line="268" w:lineRule="auto"/>
        <w:rPr>
          <w:sz w:val="20"/>
          <w:szCs w:val="20"/>
          <w:color w:val="auto"/>
        </w:rPr>
      </w:pPr>
      <w:r>
        <w:rPr>
          <w:rFonts w:ascii="Arial" w:cs="Arial" w:eastAsia="Arial" w:hAnsi="Arial"/>
          <w:sz w:val="14"/>
          <w:szCs w:val="14"/>
          <w:color w:val="auto"/>
        </w:rPr>
        <w:t xml:space="preserve">We and our subsidiaries are able to incur substantial additional indebtedness in the future, including secured indebtedness, and the terms of the indenture governing the notes offered hereby will not fully prohibit us or our subsidiaries from incurring secured indebtedness. If we incur any secured indebtedness without equally and ratably securing the notes offered hereby (as is permitted in certain circumstances), the holders of any such additional secured indebtedness would have payment priority, to the extent of the value of the assets securing such indebtedness (but not the notes), in connection with any insolvency, liquidation, reorganization, dissolution or other winding up of us. These payment priorities may have the effect of reducing the amount of proceeds paid to you. If we incur any additional indebtedness that ranks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with the notes, the holders of that debt will be entitled to share ratably with you in any proceeds distributed in connection with any insolvency, liquidation, reorganization,</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 w:name="page11"/>
    <w:bookmarkEnd w:id="1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89" w:lineRule="auto"/>
        <w:rPr>
          <w:sz w:val="20"/>
          <w:szCs w:val="20"/>
          <w:color w:val="auto"/>
        </w:rPr>
      </w:pPr>
      <w:r>
        <w:rPr>
          <w:rFonts w:ascii="Arial" w:cs="Arial" w:eastAsia="Arial" w:hAnsi="Arial"/>
          <w:sz w:val="15"/>
          <w:szCs w:val="15"/>
          <w:color w:val="auto"/>
        </w:rPr>
        <w:t>dissolution or other winding-up of us. If new debt is added to our current debt levels, the related risks that we and our subsidiaries now face could intensify. See “Description of the Notes.”</w:t>
      </w:r>
    </w:p>
    <w:p>
      <w:pPr>
        <w:spacing w:after="0" w:line="139" w:lineRule="exact"/>
        <w:rPr>
          <w:sz w:val="20"/>
          <w:szCs w:val="20"/>
          <w:color w:val="auto"/>
        </w:rPr>
      </w:pPr>
    </w:p>
    <w:p>
      <w:pPr>
        <w:ind w:left="1140" w:right="1539"/>
        <w:spacing w:after="0" w:line="282" w:lineRule="auto"/>
        <w:rPr>
          <w:sz w:val="20"/>
          <w:szCs w:val="20"/>
          <w:color w:val="auto"/>
        </w:rPr>
      </w:pPr>
      <w:r>
        <w:rPr>
          <w:rFonts w:ascii="Arial" w:cs="Arial" w:eastAsia="Arial" w:hAnsi="Arial"/>
          <w:sz w:val="15"/>
          <w:szCs w:val="15"/>
          <w:b w:val="1"/>
          <w:bCs w:val="1"/>
          <w:i w:val="1"/>
          <w:iCs w:val="1"/>
          <w:color w:val="auto"/>
        </w:rPr>
        <w:t>The indenture governing the notes will contain negative covenants that may have a limited effect but these covenants may still restrict the operation of our business.</w:t>
      </w:r>
    </w:p>
    <w:p>
      <w:pPr>
        <w:spacing w:after="0" w:line="78" w:lineRule="exact"/>
        <w:rPr>
          <w:sz w:val="20"/>
          <w:szCs w:val="20"/>
          <w:color w:val="auto"/>
        </w:rPr>
      </w:pPr>
    </w:p>
    <w:p>
      <w:pPr>
        <w:ind w:left="1140" w:right="1159"/>
        <w:spacing w:after="0" w:line="257" w:lineRule="auto"/>
        <w:rPr>
          <w:sz w:val="20"/>
          <w:szCs w:val="20"/>
          <w:color w:val="auto"/>
        </w:rPr>
      </w:pPr>
      <w:r>
        <w:rPr>
          <w:rFonts w:ascii="Arial" w:cs="Arial" w:eastAsia="Arial" w:hAnsi="Arial"/>
          <w:sz w:val="15"/>
          <w:szCs w:val="15"/>
          <w:color w:val="auto"/>
        </w:rPr>
        <w:t>The indenture governing the notes will contain limited covenants. These covenants will restrict our ability and/or the ability of our restricted subsidiaries (which are generally domestic subsidiaries in which we own at least 80% of the voting stock and which own Principal Property) to create certain liens on Principal Property owned by us or a restricted subsidiary and shares of capital stock of any restricted subsidiary, enter into certain sale and lease-back transactions with respect to Principal Property and consolidate or merge with or into, or sell substantially all of our assets to, another person. A substantial portion of our assets are owned by and a substantial portion of our operations are conducted through our foreign subsidiaries, none of which are subject to these restrictions. In addition, these limited covenants contain exceptions that will allow us and our restricted subsidiaries to incur liens on Principal Property owned by us or a restricted subsidiary and shares of capital stock of a restricted subsidiary and to enter into sale and lease-back transactions with respect to Principal Property. See “Description of the Notes —  Certain Covenants.” In light of these exceptions, holders of the notes may be structurally or contractually subordinated to new lenders or other creditors.</w:t>
      </w:r>
    </w:p>
    <w:p>
      <w:pPr>
        <w:spacing w:after="0" w:line="105" w:lineRule="exact"/>
        <w:rPr>
          <w:sz w:val="20"/>
          <w:szCs w:val="20"/>
          <w:color w:val="auto"/>
        </w:rPr>
      </w:pPr>
    </w:p>
    <w:p>
      <w:pPr>
        <w:ind w:left="1140" w:right="1179"/>
        <w:spacing w:after="0" w:line="258" w:lineRule="auto"/>
        <w:rPr>
          <w:sz w:val="20"/>
          <w:szCs w:val="20"/>
          <w:color w:val="auto"/>
        </w:rPr>
      </w:pPr>
      <w:r>
        <w:rPr>
          <w:rFonts w:ascii="Arial" w:cs="Arial" w:eastAsia="Arial" w:hAnsi="Arial"/>
          <w:sz w:val="15"/>
          <w:szCs w:val="15"/>
          <w:color w:val="auto"/>
        </w:rPr>
        <w:t>Despite the limited effect of the covenants in the indenture governing the notes, existing or additional indebtedness that we incur in the future may subject us to other restrictions or covenants. Our failure to comply with these restrictions or covenants could result in a default under the agreements governing the relevant indebtedness. If a default under the indenture or any such debt agreement is not cured or waived, the default could result in the acceleration of debt under our debt agreements that contain cross-acceleration or cross-default provisions, which could require us to repurchase or repay debt prior to the date it is otherwise due and that could adversely affect our financial condition. The indenture governing the notes does not have cross-acceleration or cross-default provisions.</w:t>
      </w:r>
    </w:p>
    <w:p>
      <w:pPr>
        <w:spacing w:after="0" w:line="106" w:lineRule="exact"/>
        <w:rPr>
          <w:sz w:val="20"/>
          <w:szCs w:val="20"/>
          <w:color w:val="auto"/>
        </w:rPr>
      </w:pPr>
    </w:p>
    <w:p>
      <w:pPr>
        <w:ind w:left="1140" w:right="1239"/>
        <w:spacing w:after="0" w:line="282" w:lineRule="auto"/>
        <w:rPr>
          <w:sz w:val="20"/>
          <w:szCs w:val="20"/>
          <w:color w:val="auto"/>
        </w:rPr>
      </w:pPr>
      <w:r>
        <w:rPr>
          <w:rFonts w:ascii="Arial" w:cs="Arial" w:eastAsia="Arial" w:hAnsi="Arial"/>
          <w:sz w:val="14"/>
          <w:szCs w:val="14"/>
          <w:color w:val="auto"/>
        </w:rPr>
        <w:t>Our ability to comply with covenants contained in the indenture and any other debt agreements to which we may become a party may be affected by events beyond our control, including prevailing economic, financial and industry conditions. Even if we are able to comply with all of the applicable covenants, the restrictions on our ability to manage our business in our sole discretion could adversely affect our business by, among other things, limiting our ability to take advantage of financings, mergers, acquisitions and other corporate opportunities that we believe would be beneficial to us.</w:t>
      </w:r>
    </w:p>
    <w:p>
      <w:pPr>
        <w:spacing w:after="0" w:line="148" w:lineRule="exact"/>
        <w:rPr>
          <w:sz w:val="20"/>
          <w:szCs w:val="20"/>
          <w:color w:val="auto"/>
        </w:rPr>
      </w:pPr>
    </w:p>
    <w:p>
      <w:pPr>
        <w:ind w:left="1140" w:right="2039"/>
        <w:spacing w:after="0" w:line="282" w:lineRule="auto"/>
        <w:rPr>
          <w:sz w:val="20"/>
          <w:szCs w:val="20"/>
          <w:color w:val="auto"/>
        </w:rPr>
      </w:pPr>
      <w:r>
        <w:rPr>
          <w:rFonts w:ascii="Arial" w:cs="Arial" w:eastAsia="Arial" w:hAnsi="Arial"/>
          <w:sz w:val="15"/>
          <w:szCs w:val="15"/>
          <w:b w:val="1"/>
          <w:bCs w:val="1"/>
          <w:i w:val="1"/>
          <w:iCs w:val="1"/>
          <w:color w:val="auto"/>
        </w:rPr>
        <w:t>Claims of noteholders will be structurally subordinated to claims of creditors of our subsidiaries.</w:t>
      </w:r>
    </w:p>
    <w:p>
      <w:pPr>
        <w:spacing w:after="0" w:line="56" w:lineRule="exact"/>
        <w:rPr>
          <w:sz w:val="20"/>
          <w:szCs w:val="20"/>
          <w:color w:val="auto"/>
        </w:rPr>
      </w:pPr>
    </w:p>
    <w:p>
      <w:pPr>
        <w:ind w:left="1140" w:right="1159"/>
        <w:spacing w:after="0" w:line="277" w:lineRule="auto"/>
        <w:rPr>
          <w:sz w:val="20"/>
          <w:szCs w:val="20"/>
          <w:color w:val="auto"/>
        </w:rPr>
      </w:pPr>
      <w:r>
        <w:rPr>
          <w:rFonts w:ascii="Arial" w:cs="Arial" w:eastAsia="Arial" w:hAnsi="Arial"/>
          <w:sz w:val="14"/>
          <w:szCs w:val="14"/>
          <w:color w:val="auto"/>
        </w:rPr>
        <w:t>The notes are not required to be guaranteed by any of our subsidiaries. Accordingly, claims of holders of the notes generally will be structurally subordinated to the claims of creditors of our subsidiaries, including trade creditors. The indenture governing the notes does not restrict the ability of our subsidiaries to incur additional unsecured indebtedness, and does not contain any limitations on the amount of other liabilities (such as trade payables) that may be incurred by our subsidiaries. All obligations of our subsidiaries will have to be satisfied before any of the assets of these subsidiaries would be available for distribution, upon a liquidation or otherwise, to us. In the event of the liquidation, dissolution, reorganization, bankruptcy or similar proceeding of the business of a subsidiary, creditors of that subsidiary would generally have the right to be paid in full before any distribution is made to us or the holders of the notes. In any of these events, the assets of that subsidiary that are available to us may not be sufficient to pay amounts due on the notes. As of November 28, 2024, our subsidiaries had outstanding liabilities (including trade payables and indebtedness to third parties at the full stated amount thereof but excluding intercompany indebtedness and other obligations and liabilities of a type not required to be reflected on a balance sheet of such subsidiaries in accordance with GAAP) of approximately $10.7 billion, all of which will be structurally senior to the notes with respect to claims on the assets and cash flows of our subsidiaries.</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 w:name="page12"/>
    <w:bookmarkEnd w:id="1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140" w:right="1339"/>
        <w:spacing w:after="0" w:line="264" w:lineRule="auto"/>
        <w:rPr>
          <w:sz w:val="20"/>
          <w:szCs w:val="20"/>
          <w:color w:val="auto"/>
        </w:rPr>
      </w:pPr>
      <w:r>
        <w:rPr>
          <w:rFonts w:ascii="Arial" w:cs="Arial" w:eastAsia="Arial" w:hAnsi="Arial"/>
          <w:sz w:val="15"/>
          <w:szCs w:val="15"/>
          <w:b w:val="1"/>
          <w:bCs w:val="1"/>
          <w:i w:val="1"/>
          <w:iCs w:val="1"/>
          <w:color w:val="auto"/>
        </w:rPr>
        <w:t>The notes will be unsecured and effectively subordinated to our existing and future secured indebtedness to the extent of the collateral securing such indebtedness (unless the notes are equally and ratably secured with such indebtedness).</w:t>
      </w:r>
    </w:p>
    <w:p>
      <w:pPr>
        <w:spacing w:after="0" w:line="80" w:lineRule="exact"/>
        <w:rPr>
          <w:sz w:val="20"/>
          <w:szCs w:val="20"/>
          <w:color w:val="auto"/>
        </w:rPr>
      </w:pPr>
    </w:p>
    <w:p>
      <w:pPr>
        <w:ind w:left="1140" w:right="1199"/>
        <w:spacing w:after="0" w:line="248" w:lineRule="auto"/>
        <w:rPr>
          <w:sz w:val="20"/>
          <w:szCs w:val="20"/>
          <w:color w:val="auto"/>
        </w:rPr>
      </w:pPr>
      <w:r>
        <w:rPr>
          <w:rFonts w:ascii="Arial" w:cs="Arial" w:eastAsia="Arial" w:hAnsi="Arial"/>
          <w:sz w:val="15"/>
          <w:szCs w:val="15"/>
          <w:color w:val="auto"/>
        </w:rPr>
        <w:t>The notes will be general unsecured obligations ranking effectively junior in right of payment to all of our existing and future secured indebtedness to the extent of the collateral securing such indebtedness (unless the notes are equally and ratably secured with such indebtedness). Additionally, the indenture governing the notes does not restrict our foreign subsidiaries, joint ventures or certain domestic subsidiaries from incurring secured indebtedness in the future. Additionally, the indenture permits us and our restricted subsidiaries to incur certain kinds of additional secured indebtedness without equally and ratably securing the notes. In the event that we are declared bankrupt, become insolvent or are liquidated or reorganized, any secured indebtedness that is effectively senior to the notes will be entitled to be paid in full from our assets securing such indebtedness before any payment may be made with respect to the notes. Holders of the notes will participate ratably with all holders of our unsecured indebtedness that is deemed to be of the same class as the notes, and potentially with all of our other general creditors, based upon the respective amounts owed to each holder or creditor, in our remaining assets.</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5"/>
          <w:szCs w:val="15"/>
          <w:b w:val="1"/>
          <w:bCs w:val="1"/>
          <w:i w:val="1"/>
          <w:iCs w:val="1"/>
          <w:color w:val="auto"/>
        </w:rPr>
        <w:t>Changes in our credit rating may adversely affect your investment in the notes.</w:t>
      </w:r>
    </w:p>
    <w:p>
      <w:pPr>
        <w:spacing w:after="0" w:line="124" w:lineRule="exact"/>
        <w:rPr>
          <w:sz w:val="20"/>
          <w:szCs w:val="20"/>
          <w:color w:val="auto"/>
        </w:rPr>
      </w:pPr>
    </w:p>
    <w:p>
      <w:pPr>
        <w:ind w:left="1140" w:right="1219"/>
        <w:spacing w:after="0" w:line="249" w:lineRule="auto"/>
        <w:rPr>
          <w:sz w:val="20"/>
          <w:szCs w:val="20"/>
          <w:color w:val="auto"/>
        </w:rPr>
      </w:pPr>
      <w:r>
        <w:rPr>
          <w:rFonts w:ascii="Arial" w:cs="Arial" w:eastAsia="Arial" w:hAnsi="Arial"/>
          <w:sz w:val="15"/>
          <w:szCs w:val="15"/>
          <w:color w:val="auto"/>
        </w:rPr>
        <w:t>Our credit rating, any rating that may be assigned to the notes, and the credit ratings assigned to our outstanding debt, including our outstanding senior notes, reflect the rating agencies’ assessments of our ability to make payments on our debt when due. Actual or anticipated changes or downgrades in our credit ratings or those of the notes if issued, including any announcement that our ratings are under further review for a downgrade, with respect to the issuance of the notes or our other outstanding debt could increase our corporate borrowing costs and affect the market value of your notes. Also, our credit ratings may not reflect the potential impact of risks related to structure, market or other factors related to the value of the notes.</w:t>
      </w:r>
    </w:p>
    <w:p>
      <w:pPr>
        <w:spacing w:after="0" w:line="92" w:lineRule="exact"/>
        <w:rPr>
          <w:sz w:val="20"/>
          <w:szCs w:val="20"/>
          <w:color w:val="auto"/>
        </w:rPr>
      </w:pPr>
    </w:p>
    <w:p>
      <w:pPr>
        <w:ind w:left="1140" w:right="1199"/>
        <w:spacing w:after="0" w:line="252" w:lineRule="auto"/>
        <w:rPr>
          <w:sz w:val="20"/>
          <w:szCs w:val="20"/>
          <w:color w:val="auto"/>
        </w:rPr>
      </w:pPr>
      <w:r>
        <w:rPr>
          <w:rFonts w:ascii="Arial" w:cs="Arial" w:eastAsia="Arial" w:hAnsi="Arial"/>
          <w:sz w:val="15"/>
          <w:szCs w:val="15"/>
          <w:color w:val="auto"/>
        </w:rPr>
        <w:t>A rating is not a recommendation to buy, sell or hold the notes, and there is no assurance that any rating will apply for any given period of time or that a rating may not be adjusted or withdrawn. We cannot be sure that rating agencies will rate the notes or maintain their ratings once issued. Neither we nor any underwriter undertakes any obligation to obtain a rating, maintain the ratings once issued or to advise holders of the notes of any change in ratings.</w:t>
      </w:r>
    </w:p>
    <w:p>
      <w:pPr>
        <w:spacing w:after="0" w:line="156" w:lineRule="exact"/>
        <w:rPr>
          <w:sz w:val="20"/>
          <w:szCs w:val="20"/>
          <w:color w:val="auto"/>
        </w:rPr>
      </w:pPr>
    </w:p>
    <w:p>
      <w:pPr>
        <w:ind w:left="1140" w:right="1179"/>
        <w:spacing w:after="0" w:line="282" w:lineRule="auto"/>
        <w:rPr>
          <w:sz w:val="20"/>
          <w:szCs w:val="20"/>
          <w:color w:val="auto"/>
        </w:rPr>
      </w:pPr>
      <w:r>
        <w:rPr>
          <w:rFonts w:ascii="Arial" w:cs="Arial" w:eastAsia="Arial" w:hAnsi="Arial"/>
          <w:sz w:val="15"/>
          <w:szCs w:val="15"/>
          <w:b w:val="1"/>
          <w:bCs w:val="1"/>
          <w:i w:val="1"/>
          <w:iCs w:val="1"/>
          <w:color w:val="auto"/>
        </w:rPr>
        <w:t>Your ability to transfer the notes may be limited by the absence of an active trading market, and an active trading market may not develop for the notes.</w:t>
      </w:r>
    </w:p>
    <w:p>
      <w:pPr>
        <w:spacing w:after="0" w:line="67" w:lineRule="exact"/>
        <w:rPr>
          <w:sz w:val="20"/>
          <w:szCs w:val="20"/>
          <w:color w:val="auto"/>
        </w:rPr>
      </w:pPr>
    </w:p>
    <w:p>
      <w:pPr>
        <w:ind w:left="1140" w:right="1179"/>
        <w:spacing w:after="0" w:line="248" w:lineRule="auto"/>
        <w:rPr>
          <w:sz w:val="20"/>
          <w:szCs w:val="20"/>
          <w:color w:val="auto"/>
        </w:rPr>
      </w:pPr>
      <w:r>
        <w:rPr>
          <w:rFonts w:ascii="Arial" w:cs="Arial" w:eastAsia="Arial" w:hAnsi="Arial"/>
          <w:sz w:val="15"/>
          <w:szCs w:val="15"/>
          <w:color w:val="auto"/>
        </w:rPr>
        <w:t>The notes are a new issue of securities for which there is no established trading market. We do not intend to have the notes listed on a national securities exchange or to arrange for quotation on any automated dealer quotation systems. The underwriters have advised us that they intend to make a market in the notes, as permitted by applicable laws and regulations; however, the underwriters are not obligated to make a market in the notes, and they may discontinue their market-making activities with respect to the notes at any time, for any reason or for no reason, and without notice. If the underwriters cease to act as market makers for the notes, we cannot assure you that another firm or person will make a market in the notes. Therefore, we cannot assure you as to the development or liquidity of any trading market for the notes. The liquidity of any market for the notes will depend on a number of factors, including:</w:t>
      </w:r>
    </w:p>
    <w:p>
      <w:pPr>
        <w:spacing w:after="0" w:line="83" w:lineRule="exact"/>
        <w:rPr>
          <w:sz w:val="20"/>
          <w:szCs w:val="20"/>
          <w:color w:val="auto"/>
        </w:rPr>
      </w:pPr>
    </w:p>
    <w:p>
      <w:pPr>
        <w:ind w:left="1580" w:hanging="138"/>
        <w:spacing w:after="0"/>
        <w:tabs>
          <w:tab w:leader="none" w:pos="1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number of holders of notes;</w:t>
      </w:r>
    </w:p>
    <w:p>
      <w:pPr>
        <w:spacing w:after="0" w:line="114" w:lineRule="exact"/>
        <w:rPr>
          <w:rFonts w:ascii="Arial" w:cs="Arial" w:eastAsia="Arial" w:hAnsi="Arial"/>
          <w:sz w:val="15"/>
          <w:szCs w:val="15"/>
          <w:color w:val="auto"/>
        </w:rPr>
      </w:pPr>
    </w:p>
    <w:p>
      <w:pPr>
        <w:ind w:left="1580" w:hanging="138"/>
        <w:spacing w:after="0"/>
        <w:tabs>
          <w:tab w:leader="none" w:pos="1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operating performance and financial condition;</w:t>
      </w:r>
    </w:p>
    <w:p>
      <w:pPr>
        <w:spacing w:after="0" w:line="103" w:lineRule="exact"/>
        <w:rPr>
          <w:rFonts w:ascii="Arial" w:cs="Arial" w:eastAsia="Arial" w:hAnsi="Arial"/>
          <w:sz w:val="15"/>
          <w:szCs w:val="15"/>
          <w:color w:val="auto"/>
        </w:rPr>
      </w:pPr>
    </w:p>
    <w:p>
      <w:pPr>
        <w:ind w:left="1580" w:hanging="138"/>
        <w:spacing w:after="0"/>
        <w:tabs>
          <w:tab w:leader="none" w:pos="1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market for similar securities;</w:t>
      </w:r>
    </w:p>
    <w:p>
      <w:pPr>
        <w:spacing w:after="0" w:line="103" w:lineRule="exact"/>
        <w:rPr>
          <w:rFonts w:ascii="Arial" w:cs="Arial" w:eastAsia="Arial" w:hAnsi="Arial"/>
          <w:sz w:val="15"/>
          <w:szCs w:val="15"/>
          <w:color w:val="auto"/>
        </w:rPr>
      </w:pPr>
    </w:p>
    <w:p>
      <w:pPr>
        <w:ind w:left="1580" w:hanging="138"/>
        <w:spacing w:after="0"/>
        <w:tabs>
          <w:tab w:leader="none" w:pos="1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interest of securities dealers in making a market in the notes; and</w:t>
      </w:r>
    </w:p>
    <w:p>
      <w:pPr>
        <w:spacing w:after="0" w:line="114" w:lineRule="exact"/>
        <w:rPr>
          <w:rFonts w:ascii="Arial" w:cs="Arial" w:eastAsia="Arial" w:hAnsi="Arial"/>
          <w:sz w:val="15"/>
          <w:szCs w:val="15"/>
          <w:color w:val="auto"/>
        </w:rPr>
      </w:pPr>
    </w:p>
    <w:p>
      <w:pPr>
        <w:ind w:left="1580" w:hanging="138"/>
        <w:spacing w:after="0"/>
        <w:tabs>
          <w:tab w:leader="none" w:pos="1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prevailing interest rates.</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 w:name="page13"/>
    <w:bookmarkEnd w:id="1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39"/>
        <w:spacing w:after="0" w:line="272" w:lineRule="auto"/>
        <w:rPr>
          <w:sz w:val="20"/>
          <w:szCs w:val="20"/>
          <w:color w:val="auto"/>
        </w:rPr>
      </w:pPr>
      <w:r>
        <w:rPr>
          <w:rFonts w:ascii="Arial" w:cs="Arial" w:eastAsia="Arial" w:hAnsi="Arial"/>
          <w:sz w:val="14"/>
          <w:szCs w:val="14"/>
          <w:color w:val="auto"/>
        </w:rPr>
        <w:t>Historically, the market for investment grade debt has been subject to disruptions that have caused volatility in the prices of securities similar to the notes. The market, if any, for the notes may face similar disruptions that may adversely affect the prices at which you may sell your notes. For instance, an increase in market interest rates may lead potential purchasers of our securities to demand a higher annual yield, which could adversely affect the market price of the notes. Therefore, you may not be able to sell your notes at a particular time and the price that you receive when you sell may not be favorable.</w:t>
      </w:r>
    </w:p>
    <w:p>
      <w:pPr>
        <w:spacing w:after="0" w:line="144" w:lineRule="exact"/>
        <w:rPr>
          <w:sz w:val="20"/>
          <w:szCs w:val="20"/>
          <w:color w:val="auto"/>
        </w:rPr>
      </w:pPr>
    </w:p>
    <w:p>
      <w:pPr>
        <w:ind w:left="1140" w:right="1279"/>
        <w:spacing w:after="0" w:line="264" w:lineRule="auto"/>
        <w:rPr>
          <w:sz w:val="20"/>
          <w:szCs w:val="20"/>
          <w:color w:val="auto"/>
        </w:rPr>
      </w:pPr>
      <w:r>
        <w:rPr>
          <w:rFonts w:ascii="Arial" w:cs="Arial" w:eastAsia="Arial" w:hAnsi="Arial"/>
          <w:sz w:val="15"/>
          <w:szCs w:val="15"/>
          <w:b w:val="1"/>
          <w:bCs w:val="1"/>
          <w:i w:val="1"/>
          <w:iCs w:val="1"/>
          <w:color w:val="auto"/>
        </w:rPr>
        <w:t>Upon a Change of Control Triggering Event, we may not have the funds necessary to finance the change of control offer required by the indenture governing the notes, which would violate the terms of such indenture.</w:t>
      </w:r>
    </w:p>
    <w:p>
      <w:pPr>
        <w:spacing w:after="0" w:line="80" w:lineRule="exact"/>
        <w:rPr>
          <w:sz w:val="20"/>
          <w:szCs w:val="20"/>
          <w:color w:val="auto"/>
        </w:rPr>
      </w:pPr>
    </w:p>
    <w:p>
      <w:pPr>
        <w:ind w:left="1140" w:right="1159"/>
        <w:spacing w:after="0" w:line="248" w:lineRule="auto"/>
        <w:rPr>
          <w:sz w:val="20"/>
          <w:szCs w:val="20"/>
          <w:color w:val="auto"/>
        </w:rPr>
      </w:pPr>
      <w:r>
        <w:rPr>
          <w:rFonts w:ascii="Arial" w:cs="Arial" w:eastAsia="Arial" w:hAnsi="Arial"/>
          <w:sz w:val="15"/>
          <w:szCs w:val="15"/>
          <w:color w:val="auto"/>
        </w:rPr>
        <w:t>Upon the occurrence of a Change of Control Triggering Event (as defined in the indenture governing the notes), holders of the notes will have the right to require us to purchase such notes at a price equal to 101% of the principal amount, plus accrued and unpaid interest, if any, to but excluding the date of purchase as described in “Description of the Notes — Repurchase of Notes upon a Change of Control Triggering Event.” The indenture governing our existing senior notes and certain other agreements governing our other indebtedness contain a similar provision and agreements governing indebtedness that we may incur in the future may contain similar provisions or provide that a change of control will be a default that permits the lenders to accelerate the maturity of the borrowings thereunder. We may not have sufficient financial resources available to satisfy all of our obligations under the notes in the event of a change of control. Our failure to purchase the notes as required under the indenture would result in a default under such indenture, which could have material adverse consequences for us and the holders of the notes. See “Description of the Notes — Repurchase of Notes upon a Change of Control Triggering Event.”</w:t>
      </w:r>
    </w:p>
    <w:p>
      <w:pPr>
        <w:spacing w:after="0" w:line="158" w:lineRule="exact"/>
        <w:rPr>
          <w:sz w:val="20"/>
          <w:szCs w:val="20"/>
          <w:color w:val="auto"/>
        </w:rPr>
      </w:pPr>
    </w:p>
    <w:p>
      <w:pPr>
        <w:ind w:left="1140" w:right="1679"/>
        <w:spacing w:after="0" w:line="282" w:lineRule="auto"/>
        <w:rPr>
          <w:sz w:val="20"/>
          <w:szCs w:val="20"/>
          <w:color w:val="auto"/>
        </w:rPr>
      </w:pPr>
      <w:r>
        <w:rPr>
          <w:rFonts w:ascii="Arial" w:cs="Arial" w:eastAsia="Arial" w:hAnsi="Arial"/>
          <w:sz w:val="15"/>
          <w:szCs w:val="15"/>
          <w:b w:val="1"/>
          <w:bCs w:val="1"/>
          <w:i w:val="1"/>
          <w:iCs w:val="1"/>
          <w:color w:val="auto"/>
        </w:rPr>
        <w:t>The provisions of the notes will not necessarily protect you in the event of certain highly leveraged transactions.</w:t>
      </w:r>
    </w:p>
    <w:p>
      <w:pPr>
        <w:spacing w:after="0" w:line="67" w:lineRule="exact"/>
        <w:rPr>
          <w:sz w:val="20"/>
          <w:szCs w:val="20"/>
          <w:color w:val="auto"/>
        </w:rPr>
      </w:pPr>
    </w:p>
    <w:p>
      <w:pPr>
        <w:ind w:left="1140" w:right="1179"/>
        <w:spacing w:after="0" w:line="267" w:lineRule="auto"/>
        <w:rPr>
          <w:sz w:val="20"/>
          <w:szCs w:val="20"/>
          <w:color w:val="auto"/>
        </w:rPr>
      </w:pPr>
      <w:r>
        <w:rPr>
          <w:rFonts w:ascii="Arial" w:cs="Arial" w:eastAsia="Arial" w:hAnsi="Arial"/>
          <w:sz w:val="14"/>
          <w:szCs w:val="14"/>
          <w:color w:val="auto"/>
        </w:rPr>
        <w:t>Upon the occurrence of a Change of Control Triggering Event, you will have the right to require us to purchase the notes as provided in the indenture governing the notes, and on the terms set forth in the notes. However, the Change of Control Triggering Event provisions will not afford you protection in the event of certain highly leveraged transactions that may adversely affect you. For example, any leveraged recapitalization, refinancing, restructuring or acquisition initiated by us generally will not constitute a Change of Control that would potentially lead to a Change of Control Triggering Event. As a result, we could enter into any such transaction even though the transaction could increase the total amount of our outstanding indebtedness, adversely affect our capital structure or credit ratings or otherwise adversely affect the holders of the notes.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If any such transaction were to occur, the value of your notes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 w:name="page14"/>
    <w:bookmarkEnd w:id="13"/>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USE OF PROCEEDS</w:t>
      </w:r>
    </w:p>
    <w:p>
      <w:pPr>
        <w:spacing w:after="0" w:line="130" w:lineRule="exact"/>
        <w:rPr>
          <w:sz w:val="20"/>
          <w:szCs w:val="20"/>
          <w:color w:val="auto"/>
        </w:rPr>
      </w:pPr>
    </w:p>
    <w:p>
      <w:pPr>
        <w:ind w:left="1140" w:right="1419"/>
        <w:spacing w:after="0" w:line="274" w:lineRule="auto"/>
        <w:rPr>
          <w:sz w:val="20"/>
          <w:szCs w:val="20"/>
          <w:color w:val="auto"/>
        </w:rPr>
      </w:pPr>
      <w:r>
        <w:rPr>
          <w:rFonts w:ascii="Arial" w:cs="Arial" w:eastAsia="Arial" w:hAnsi="Arial"/>
          <w:sz w:val="15"/>
          <w:szCs w:val="15"/>
          <w:color w:val="auto"/>
        </w:rPr>
        <w:t>We estimate net proceeds from the sale of the notes, after deducting underwriter discounts and other estimated offering expenses, will be approximately $            .</w:t>
      </w:r>
    </w:p>
    <w:p>
      <w:pPr>
        <w:spacing w:after="0" w:line="81" w:lineRule="exact"/>
        <w:rPr>
          <w:sz w:val="20"/>
          <w:szCs w:val="20"/>
          <w:color w:val="auto"/>
        </w:rPr>
      </w:pPr>
    </w:p>
    <w:p>
      <w:pPr>
        <w:ind w:left="1140" w:right="1259"/>
        <w:spacing w:after="0" w:line="287" w:lineRule="auto"/>
        <w:rPr>
          <w:sz w:val="20"/>
          <w:szCs w:val="20"/>
          <w:color w:val="auto"/>
        </w:rPr>
      </w:pPr>
      <w:r>
        <w:rPr>
          <w:rFonts w:ascii="Arial" w:cs="Arial" w:eastAsia="Arial" w:hAnsi="Arial"/>
          <w:sz w:val="14"/>
          <w:szCs w:val="14"/>
          <w:color w:val="auto"/>
        </w:rPr>
        <w:t>We intend to use the net proceeds from the sale of the notes to pay the redemption price of the 2026 notes Redemption. Our 2026 notes bear interest at a rate of 4.975% per annum, mature on February 6, 2026, and as of November 28, 2024, $500 million in aggregate principal amount was outstanding.</w:t>
      </w:r>
    </w:p>
    <w:p>
      <w:pPr>
        <w:spacing w:after="0" w:line="63" w:lineRule="exact"/>
        <w:rPr>
          <w:sz w:val="20"/>
          <w:szCs w:val="20"/>
          <w:color w:val="auto"/>
        </w:rPr>
      </w:pPr>
    </w:p>
    <w:p>
      <w:pPr>
        <w:ind w:left="1140" w:right="1479"/>
        <w:spacing w:after="0" w:line="274" w:lineRule="auto"/>
        <w:rPr>
          <w:sz w:val="20"/>
          <w:szCs w:val="20"/>
          <w:color w:val="auto"/>
        </w:rPr>
      </w:pPr>
      <w:r>
        <w:rPr>
          <w:rFonts w:ascii="Arial" w:cs="Arial" w:eastAsia="Arial" w:hAnsi="Arial"/>
          <w:sz w:val="15"/>
          <w:szCs w:val="15"/>
          <w:color w:val="auto"/>
        </w:rPr>
        <w:t>We intend to use any remainder of the net proceeds from the sale of the notes for general corporate purposes, which may include the repayment of other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 w:name="page15"/>
    <w:bookmarkEnd w:id="14"/>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CASH AND CAPITALIZATION</w:t>
      </w:r>
    </w:p>
    <w:p>
      <w:pPr>
        <w:spacing w:after="0" w:line="130" w:lineRule="exact"/>
        <w:rPr>
          <w:sz w:val="20"/>
          <w:szCs w:val="20"/>
          <w:color w:val="auto"/>
        </w:rPr>
      </w:pPr>
    </w:p>
    <w:p>
      <w:pPr>
        <w:jc w:val="both"/>
        <w:ind w:left="1140" w:right="1739"/>
        <w:spacing w:after="0" w:line="294" w:lineRule="auto"/>
        <w:rPr>
          <w:sz w:val="20"/>
          <w:szCs w:val="20"/>
          <w:color w:val="auto"/>
        </w:rPr>
      </w:pPr>
      <w:r>
        <w:rPr>
          <w:rFonts w:ascii="Arial" w:cs="Arial" w:eastAsia="Arial" w:hAnsi="Arial"/>
          <w:sz w:val="14"/>
          <w:szCs w:val="14"/>
          <w:color w:val="auto"/>
        </w:rPr>
        <w:t>The following table sets forth a summary of our consolidated cash, cash equivalents, short-term investments and long-term marketable investments and capitalization as of November 28, 2024:</w:t>
      </w:r>
    </w:p>
    <w:p>
      <w:pPr>
        <w:spacing w:after="0" w:line="25" w:lineRule="exact"/>
        <w:rPr>
          <w:sz w:val="20"/>
          <w:szCs w:val="20"/>
          <w:color w:val="auto"/>
        </w:rPr>
      </w:pPr>
    </w:p>
    <w:p>
      <w:pPr>
        <w:ind w:left="1580" w:hanging="138"/>
        <w:spacing w:after="0"/>
        <w:tabs>
          <w:tab w:leader="none" w:pos="1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on an actual basis; and</w:t>
      </w:r>
    </w:p>
    <w:p>
      <w:pPr>
        <w:spacing w:after="0" w:line="92" w:lineRule="exact"/>
        <w:rPr>
          <w:rFonts w:ascii="Arial" w:cs="Arial" w:eastAsia="Arial" w:hAnsi="Arial"/>
          <w:sz w:val="15"/>
          <w:szCs w:val="15"/>
          <w:color w:val="auto"/>
        </w:rPr>
      </w:pPr>
    </w:p>
    <w:p>
      <w:pPr>
        <w:ind w:left="1580" w:right="1379" w:hanging="138"/>
        <w:spacing w:after="0" w:line="255" w:lineRule="auto"/>
        <w:tabs>
          <w:tab w:leader="none" w:pos="1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on an as adjusted basis to give effect to (i) the issuance of the notes offered by this prospectus supplement as if the offering had occurred on November 28, 2024, and (ii) the application of a portion of the net proceeds therefrom as described in “Use of Proceeds” to pay the redemption price for the 2026 notes Redemption.</w:t>
      </w:r>
    </w:p>
    <w:p>
      <w:pPr>
        <w:spacing w:after="0" w:line="95" w:lineRule="exact"/>
        <w:rPr>
          <w:sz w:val="20"/>
          <w:szCs w:val="20"/>
          <w:color w:val="auto"/>
        </w:rPr>
      </w:pPr>
    </w:p>
    <w:p>
      <w:pPr>
        <w:ind w:left="1140" w:right="1559"/>
        <w:spacing w:after="0" w:line="257" w:lineRule="auto"/>
        <w:rPr>
          <w:sz w:val="20"/>
          <w:szCs w:val="20"/>
          <w:color w:val="auto"/>
        </w:rPr>
      </w:pPr>
      <w:r>
        <w:rPr>
          <w:rFonts w:ascii="Arial" w:cs="Arial" w:eastAsia="Arial" w:hAnsi="Arial"/>
          <w:sz w:val="15"/>
          <w:szCs w:val="15"/>
          <w:color w:val="auto"/>
        </w:rPr>
        <w:t>This table should be read in conjunction with our consolidated financial statements incorporated by reference in this prospectus supplement.</w:t>
      </w:r>
    </w:p>
    <w:tbl>
      <w:tblPr>
        <w:tblLayout w:type="fixed"/>
        <w:tblInd w:w="1140" w:type="dxa"/>
        <w:tblCellMar>
          <w:top w:w="0" w:type="dxa"/>
          <w:left w:w="0" w:type="dxa"/>
          <w:bottom w:w="0" w:type="dxa"/>
          <w:right w:w="0" w:type="dxa"/>
        </w:tblCellMar>
      </w:tblPr>
      <w:tr>
        <w:trPr>
          <w:trHeight w:val="285"/>
        </w:trPr>
        <w:tc>
          <w:tcPr>
            <w:tcW w:w="4940" w:type="dxa"/>
            <w:vAlign w:val="bottom"/>
            <w:gridSpan w:val="3"/>
          </w:tcPr>
          <w:p>
            <w:pPr>
              <w:spacing w:after="0"/>
              <w:rPr>
                <w:sz w:val="20"/>
                <w:szCs w:val="20"/>
                <w:color w:val="auto"/>
              </w:rPr>
            </w:pPr>
            <w:r>
              <w:rPr>
                <w:rFonts w:ascii="Arial" w:cs="Arial" w:eastAsia="Arial" w:hAnsi="Arial"/>
                <w:sz w:val="12"/>
                <w:szCs w:val="12"/>
                <w:b w:val="1"/>
                <w:bCs w:val="1"/>
                <w:color w:val="auto"/>
              </w:rPr>
              <w:t>​</w:t>
            </w:r>
          </w:p>
        </w:tc>
        <w:tc>
          <w:tcPr>
            <w:tcW w:w="280" w:type="dxa"/>
            <w:vAlign w:val="bottom"/>
            <w:gridSpan w:val="2"/>
          </w:tcPr>
          <w:p>
            <w:pPr>
              <w:ind w:left="160"/>
              <w:spacing w:after="0"/>
              <w:rPr>
                <w:sz w:val="20"/>
                <w:szCs w:val="20"/>
                <w:color w:val="auto"/>
              </w:rPr>
            </w:pPr>
            <w:r>
              <w:rPr>
                <w:rFonts w:ascii="Arial" w:cs="Arial" w:eastAsia="Arial" w:hAnsi="Arial"/>
                <w:sz w:val="12"/>
                <w:szCs w:val="12"/>
                <w:b w:val="1"/>
                <w:bCs w:val="1"/>
                <w:color w:val="auto"/>
              </w:rPr>
              <w:t>​ ​</w:t>
            </w:r>
          </w:p>
        </w:tc>
        <w:tc>
          <w:tcPr>
            <w:tcW w:w="80" w:type="dxa"/>
            <w:vAlign w:val="bottom"/>
          </w:tcPr>
          <w:p>
            <w:pPr>
              <w:spacing w:after="0"/>
              <w:rPr>
                <w:sz w:val="24"/>
                <w:szCs w:val="24"/>
                <w:color w:val="auto"/>
              </w:rPr>
            </w:pPr>
          </w:p>
        </w:tc>
        <w:tc>
          <w:tcPr>
            <w:tcW w:w="1460" w:type="dxa"/>
            <w:vAlign w:val="bottom"/>
            <w:gridSpan w:val="8"/>
          </w:tcPr>
          <w:p>
            <w:pPr>
              <w:jc w:val="right"/>
              <w:spacing w:after="0"/>
              <w:rPr>
                <w:sz w:val="20"/>
                <w:szCs w:val="20"/>
                <w:color w:val="auto"/>
              </w:rPr>
            </w:pPr>
            <w:r>
              <w:rPr>
                <w:rFonts w:ascii="Arial" w:cs="Arial" w:eastAsia="Arial" w:hAnsi="Arial"/>
                <w:sz w:val="12"/>
                <w:szCs w:val="12"/>
                <w:b w:val="1"/>
                <w:bCs w:val="1"/>
                <w:color w:val="auto"/>
                <w:w w:val="99"/>
              </w:rPr>
              <w:t xml:space="preserve">As of November 28, 2024 </w:t>
            </w:r>
            <w:r>
              <w:rPr>
                <w:rFonts w:ascii="Arial" w:cs="Arial" w:eastAsia="Arial" w:hAnsi="Arial"/>
                <w:sz w:val="23"/>
                <w:szCs w:val="23"/>
                <w:b w:val="1"/>
                <w:bCs w:val="1"/>
                <w:color w:val="auto"/>
                <w:w w:val="99"/>
                <w:vertAlign w:val="subscript"/>
              </w:rPr>
              <w:t>​</w:t>
            </w:r>
          </w:p>
        </w:tc>
        <w:tc>
          <w:tcPr>
            <w:tcW w:w="0" w:type="dxa"/>
            <w:vAlign w:val="bottom"/>
          </w:tcPr>
          <w:p>
            <w:pPr>
              <w:spacing w:after="0"/>
              <w:rPr>
                <w:sz w:val="1"/>
                <w:szCs w:val="1"/>
                <w:color w:val="auto"/>
              </w:rPr>
            </w:pPr>
          </w:p>
        </w:tc>
      </w:tr>
      <w:tr>
        <w:trPr>
          <w:trHeight w:val="20"/>
        </w:trPr>
        <w:tc>
          <w:tcPr>
            <w:tcW w:w="160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420" w:type="dxa"/>
            <w:vAlign w:val="bottom"/>
            <w:gridSpan w:val="6"/>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940" w:type="dxa"/>
            <w:vAlign w:val="bottom"/>
            <w:gridSpan w:val="3"/>
          </w:tcPr>
          <w:p>
            <w:pPr>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20"/>
                <w:szCs w:val="20"/>
                <w:color w:val="auto"/>
              </w:rPr>
            </w:pPr>
            <w:r>
              <w:rPr>
                <w:rFonts w:ascii="Arial" w:cs="Arial" w:eastAsia="Arial" w:hAnsi="Arial"/>
                <w:sz w:val="12"/>
                <w:szCs w:val="12"/>
                <w:b w:val="1"/>
                <w:bCs w:val="1"/>
                <w:color w:val="auto"/>
              </w:rPr>
              <w:t>​</w:t>
            </w:r>
          </w:p>
        </w:tc>
        <w:tc>
          <w:tcPr>
            <w:tcW w:w="1460" w:type="dxa"/>
            <w:vAlign w:val="bottom"/>
            <w:gridSpan w:val="8"/>
          </w:tcPr>
          <w:p>
            <w:pPr>
              <w:jc w:val="right"/>
              <w:spacing w:after="0" w:line="168" w:lineRule="exact"/>
              <w:rPr>
                <w:sz w:val="20"/>
                <w:szCs w:val="20"/>
                <w:color w:val="auto"/>
              </w:rPr>
            </w:pPr>
            <w:r>
              <w:rPr>
                <w:rFonts w:ascii="Arial" w:cs="Arial" w:eastAsia="Arial" w:hAnsi="Arial"/>
                <w:sz w:val="10"/>
                <w:szCs w:val="10"/>
                <w:b w:val="1"/>
                <w:bCs w:val="1"/>
                <w:color w:val="auto"/>
              </w:rPr>
              <w:t xml:space="preserve">Actual   </w:t>
            </w:r>
            <w:r>
              <w:rPr>
                <w:rFonts w:ascii="Arial" w:cs="Arial" w:eastAsia="Arial" w:hAnsi="Arial"/>
                <w:sz w:val="19"/>
                <w:szCs w:val="19"/>
                <w:b w:val="1"/>
                <w:bCs w:val="1"/>
                <w:color w:val="auto"/>
                <w:vertAlign w:val="subscript"/>
              </w:rPr>
              <w:t>​ ​</w:t>
            </w:r>
            <w:r>
              <w:rPr>
                <w:rFonts w:ascii="Arial" w:cs="Arial" w:eastAsia="Arial" w:hAnsi="Arial"/>
                <w:sz w:val="10"/>
                <w:szCs w:val="10"/>
                <w:b w:val="1"/>
                <w:bCs w:val="1"/>
                <w:color w:val="auto"/>
              </w:rPr>
              <w:t xml:space="preserve"> As Adjusted</w:t>
            </w:r>
            <w:r>
              <w:rPr>
                <w:rFonts w:ascii="Arial" w:cs="Arial" w:eastAsia="Arial" w:hAnsi="Arial"/>
                <w:sz w:val="19"/>
                <w:szCs w:val="19"/>
                <w:b w:val="1"/>
                <w:bCs w:val="1"/>
                <w:color w:val="auto"/>
                <w:vertAlign w:val="subscript"/>
              </w:rPr>
              <w:t>​</w:t>
            </w:r>
          </w:p>
        </w:tc>
        <w:tc>
          <w:tcPr>
            <w:tcW w:w="0" w:type="dxa"/>
            <w:vAlign w:val="bottom"/>
          </w:tcPr>
          <w:p>
            <w:pPr>
              <w:spacing w:after="0"/>
              <w:rPr>
                <w:sz w:val="1"/>
                <w:szCs w:val="1"/>
                <w:color w:val="auto"/>
              </w:rPr>
            </w:pPr>
          </w:p>
        </w:tc>
      </w:tr>
      <w:tr>
        <w:trPr>
          <w:trHeight w:val="168"/>
        </w:trPr>
        <w:tc>
          <w:tcPr>
            <w:tcW w:w="4940" w:type="dxa"/>
            <w:vAlign w:val="bottom"/>
            <w:gridSpan w:val="3"/>
          </w:tcPr>
          <w:p>
            <w:pPr>
              <w:spacing w:after="0"/>
              <w:rPr>
                <w:sz w:val="20"/>
                <w:szCs w:val="20"/>
                <w:color w:val="auto"/>
              </w:rPr>
            </w:pPr>
            <w:r>
              <w:rPr>
                <w:rFonts w:ascii="Arial" w:cs="Arial" w:eastAsia="Arial" w:hAnsi="Arial"/>
                <w:sz w:val="12"/>
                <w:szCs w:val="12"/>
                <w:b w:val="1"/>
                <w:bCs w:val="1"/>
                <w:color w:val="auto"/>
              </w:rPr>
              <w:t>​</w:t>
            </w:r>
          </w:p>
        </w:tc>
        <w:tc>
          <w:tcPr>
            <w:tcW w:w="280" w:type="dxa"/>
            <w:vAlign w:val="bottom"/>
            <w:gridSpan w:val="2"/>
          </w:tcPr>
          <w:p>
            <w:pPr>
              <w:ind w:left="160"/>
              <w:spacing w:after="0"/>
              <w:rPr>
                <w:sz w:val="20"/>
                <w:szCs w:val="20"/>
                <w:color w:val="auto"/>
              </w:rPr>
            </w:pPr>
            <w:r>
              <w:rPr>
                <w:rFonts w:ascii="Arial" w:cs="Arial" w:eastAsia="Arial" w:hAnsi="Arial"/>
                <w:sz w:val="12"/>
                <w:szCs w:val="12"/>
                <w:b w:val="1"/>
                <w:bCs w:val="1"/>
                <w:color w:val="auto"/>
              </w:rPr>
              <w:t>​ ​</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4"/>
          </w:tcPr>
          <w:p>
            <w:pPr>
              <w:jc w:val="right"/>
              <w:ind w:right="6"/>
              <w:spacing w:after="0"/>
              <w:rPr>
                <w:sz w:val="20"/>
                <w:szCs w:val="20"/>
                <w:color w:val="auto"/>
              </w:rPr>
            </w:pPr>
            <w:r>
              <w:rPr>
                <w:rFonts w:ascii="Arial" w:cs="Arial" w:eastAsia="Arial" w:hAnsi="Arial"/>
                <w:sz w:val="12"/>
                <w:szCs w:val="12"/>
                <w:b w:val="1"/>
                <w:bCs w:val="1"/>
                <w:color w:val="auto"/>
                <w:w w:val="98"/>
              </w:rPr>
              <w:t>(dollars in millions)</w:t>
            </w:r>
          </w:p>
        </w:tc>
        <w:tc>
          <w:tcPr>
            <w:tcW w:w="100" w:type="dxa"/>
            <w:vAlign w:val="bottom"/>
            <w:tcBorders>
              <w:top w:val="single" w:sz="8" w:color="auto"/>
            </w:tcBorders>
          </w:tcPr>
          <w:p>
            <w:pPr>
              <w:spacing w:after="0"/>
              <w:rPr>
                <w:sz w:val="14"/>
                <w:szCs w:val="14"/>
                <w:color w:val="auto"/>
              </w:rPr>
            </w:pPr>
          </w:p>
        </w:tc>
        <w:tc>
          <w:tcPr>
            <w:tcW w:w="4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and equivalents</w:t>
            </w:r>
          </w:p>
        </w:tc>
        <w:tc>
          <w:tcPr>
            <w:tcW w:w="160" w:type="dxa"/>
            <w:vAlign w:val="bottom"/>
            <w:shd w:val="clear" w:color="auto" w:fill="CCEEFF"/>
          </w:tcPr>
          <w:p>
            <w:pPr>
              <w:spacing w:after="0"/>
              <w:rPr>
                <w:sz w:val="15"/>
                <w:szCs w:val="15"/>
                <w:color w:val="auto"/>
              </w:rPr>
            </w:pPr>
          </w:p>
        </w:tc>
        <w:tc>
          <w:tcPr>
            <w:tcW w:w="34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w:t>
            </w:r>
          </w:p>
        </w:tc>
        <w:tc>
          <w:tcPr>
            <w:tcW w:w="680" w:type="dxa"/>
            <w:vAlign w:val="bottom"/>
            <w:tcBorders>
              <w:right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5"/>
                <w:szCs w:val="15"/>
                <w:color w:val="auto"/>
              </w:rPr>
              <w:t>6,693​​ ​</w:t>
            </w:r>
          </w:p>
        </w:tc>
        <w:tc>
          <w:tcPr>
            <w:tcW w:w="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xml:space="preserve">​$         </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77"/>
        </w:trPr>
        <w:tc>
          <w:tcPr>
            <w:tcW w:w="4940" w:type="dxa"/>
            <w:vAlign w:val="bottom"/>
            <w:gridSpan w:val="3"/>
          </w:tcPr>
          <w:p>
            <w:pPr>
              <w:spacing w:after="0"/>
              <w:rPr>
                <w:sz w:val="20"/>
                <w:szCs w:val="20"/>
                <w:color w:val="auto"/>
              </w:rPr>
            </w:pPr>
            <w:r>
              <w:rPr>
                <w:rFonts w:ascii="Arial" w:cs="Arial" w:eastAsia="Arial" w:hAnsi="Arial"/>
                <w:sz w:val="15"/>
                <w:szCs w:val="15"/>
                <w:color w:val="auto"/>
              </w:rPr>
              <w:t>Short-term investments</w:t>
            </w:r>
          </w:p>
        </w:tc>
        <w:tc>
          <w:tcPr>
            <w:tcW w:w="160" w:type="dxa"/>
            <w:vAlign w:val="bottom"/>
          </w:tcPr>
          <w:p>
            <w:pPr>
              <w:spacing w:after="0"/>
              <w:rPr>
                <w:sz w:val="15"/>
                <w:szCs w:val="15"/>
                <w:color w:val="auto"/>
              </w:rPr>
            </w:pPr>
          </w:p>
        </w:tc>
        <w:tc>
          <w:tcPr>
            <w:tcW w:w="34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80" w:type="dxa"/>
            <w:vAlign w:val="bottom"/>
            <w:gridSpan w:val="2"/>
          </w:tcPr>
          <w:p>
            <w:pPr>
              <w:jc w:val="right"/>
              <w:ind w:right="29"/>
              <w:spacing w:after="0"/>
              <w:rPr>
                <w:sz w:val="20"/>
                <w:szCs w:val="20"/>
                <w:color w:val="auto"/>
              </w:rPr>
            </w:pPr>
            <w:r>
              <w:rPr>
                <w:rFonts w:ascii="Arial" w:cs="Arial" w:eastAsia="Arial" w:hAnsi="Arial"/>
                <w:sz w:val="15"/>
                <w:szCs w:val="15"/>
                <w:color w:val="auto"/>
              </w:rPr>
              <w:t>895​​ ​</w:t>
            </w:r>
          </w:p>
        </w:tc>
        <w:tc>
          <w:tcPr>
            <w:tcW w:w="180" w:type="dxa"/>
            <w:vAlign w:val="bottom"/>
          </w:tcPr>
          <w:p>
            <w:pPr>
              <w:spacing w:after="0"/>
              <w:rPr>
                <w:sz w:val="20"/>
                <w:szCs w:val="20"/>
                <w:color w:val="auto"/>
              </w:rPr>
            </w:pPr>
            <w:r>
              <w:rPr>
                <w:rFonts w:ascii="Arial" w:cs="Arial" w:eastAsia="Arial" w:hAnsi="Arial"/>
                <w:sz w:val="15"/>
                <w:szCs w:val="15"/>
                <w:color w:val="auto"/>
              </w:rPr>
              <w:t>​ ​</w:t>
            </w:r>
          </w:p>
        </w:tc>
        <w:tc>
          <w:tcPr>
            <w:tcW w:w="320" w:type="dxa"/>
            <w:vAlign w:val="bottom"/>
          </w:tcPr>
          <w:p>
            <w:pPr>
              <w:jc w:val="right"/>
              <w:spacing w:after="0"/>
              <w:rPr>
                <w:sz w:val="20"/>
                <w:szCs w:val="20"/>
                <w:color w:val="auto"/>
              </w:rPr>
            </w:pPr>
            <w:r>
              <w:rPr>
                <w:rFonts w:ascii="Arial" w:cs="Arial" w:eastAsia="Arial" w:hAnsi="Arial"/>
                <w:sz w:val="15"/>
                <w:szCs w:val="15"/>
                <w:color w:val="auto"/>
              </w:rPr>
              <w:t>895</w:t>
            </w:r>
          </w:p>
        </w:tc>
        <w:tc>
          <w:tcPr>
            <w:tcW w:w="14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Long-term marketable investments</w:t>
            </w:r>
          </w:p>
        </w:tc>
        <w:tc>
          <w:tcPr>
            <w:tcW w:w="16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5"/>
            <w:shd w:val="clear" w:color="auto" w:fill="CCEEFF"/>
          </w:tcPr>
          <w:p>
            <w:pPr>
              <w:ind w:left="40"/>
              <w:spacing w:after="0"/>
              <w:rPr>
                <w:sz w:val="20"/>
                <w:szCs w:val="20"/>
                <w:color w:val="auto"/>
              </w:rPr>
            </w:pPr>
            <w:r>
              <w:rPr>
                <w:rFonts w:ascii="Arial" w:cs="Arial" w:eastAsia="Arial" w:hAnsi="Arial"/>
                <w:sz w:val="15"/>
                <w:szCs w:val="15"/>
                <w:color w:val="auto"/>
              </w:rPr>
              <w:t>​ ​​ ​ 1,156​​ ​</w:t>
            </w:r>
          </w:p>
        </w:tc>
        <w:tc>
          <w:tcPr>
            <w:tcW w:w="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​1,156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4920" w:type="dxa"/>
            <w:vAlign w:val="bottom"/>
            <w:gridSpan w:val="2"/>
          </w:tcPr>
          <w:p>
            <w:pPr>
              <w:ind w:left="140"/>
              <w:spacing w:after="0" w:line="164" w:lineRule="exact"/>
              <w:rPr>
                <w:sz w:val="20"/>
                <w:szCs w:val="20"/>
                <w:color w:val="auto"/>
              </w:rPr>
            </w:pPr>
            <w:r>
              <w:rPr>
                <w:rFonts w:ascii="Arial" w:cs="Arial" w:eastAsia="Arial" w:hAnsi="Arial"/>
                <w:sz w:val="15"/>
                <w:szCs w:val="15"/>
                <w:color w:val="auto"/>
                <w:w w:val="99"/>
              </w:rPr>
              <w:t>Cash and equivalents, short-term investments and long-term marketable</w:t>
            </w:r>
          </w:p>
        </w:tc>
        <w:tc>
          <w:tcPr>
            <w:tcW w:w="160" w:type="dxa"/>
            <w:vAlign w:val="bottom"/>
          </w:tcPr>
          <w:p>
            <w:pPr>
              <w:spacing w:after="0"/>
              <w:rPr>
                <w:sz w:val="14"/>
                <w:szCs w:val="14"/>
                <w:color w:val="auto"/>
              </w:rPr>
            </w:pPr>
          </w:p>
        </w:tc>
        <w:tc>
          <w:tcPr>
            <w:tcW w:w="340" w:type="dxa"/>
            <w:vAlign w:val="bottom"/>
            <w:gridSpan w:val="3"/>
            <w:vMerge w:val="restart"/>
          </w:tcPr>
          <w:p>
            <w:pPr>
              <w:ind w:left="40"/>
              <w:spacing w:after="0"/>
              <w:rPr>
                <w:sz w:val="20"/>
                <w:szCs w:val="20"/>
                <w:color w:val="auto"/>
              </w:rPr>
            </w:pPr>
            <w:r>
              <w:rPr>
                <w:rFonts w:ascii="Arial" w:cs="Arial" w:eastAsia="Arial" w:hAnsi="Arial"/>
                <w:sz w:val="15"/>
                <w:szCs w:val="15"/>
                <w:color w:val="auto"/>
              </w:rPr>
              <w:t>​ ​​$</w:t>
            </w:r>
          </w:p>
        </w:tc>
        <w:tc>
          <w:tcPr>
            <w:tcW w:w="680" w:type="dxa"/>
            <w:vAlign w:val="bottom"/>
            <w:gridSpan w:val="2"/>
            <w:vMerge w:val="restart"/>
          </w:tcPr>
          <w:p>
            <w:pPr>
              <w:jc w:val="right"/>
              <w:ind w:right="29"/>
              <w:spacing w:after="0"/>
              <w:rPr>
                <w:sz w:val="20"/>
                <w:szCs w:val="20"/>
                <w:color w:val="auto"/>
              </w:rPr>
            </w:pPr>
            <w:r>
              <w:rPr>
                <w:rFonts w:ascii="Arial" w:cs="Arial" w:eastAsia="Arial" w:hAnsi="Arial"/>
                <w:sz w:val="15"/>
                <w:szCs w:val="15"/>
                <w:color w:val="auto"/>
              </w:rPr>
              <w:t>8,744​​ ​</w:t>
            </w:r>
          </w:p>
        </w:tc>
        <w:tc>
          <w:tcPr>
            <w:tcW w:w="180" w:type="dxa"/>
            <w:vAlign w:val="bottom"/>
            <w:vMerge w:val="restart"/>
          </w:tcPr>
          <w:p>
            <w:pPr>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gridSpan w:val="2"/>
          </w:tcPr>
          <w:p>
            <w:pPr>
              <w:ind w:left="280"/>
              <w:spacing w:after="0"/>
              <w:rPr>
                <w:sz w:val="20"/>
                <w:szCs w:val="20"/>
                <w:color w:val="auto"/>
              </w:rPr>
            </w:pPr>
            <w:r>
              <w:rPr>
                <w:rFonts w:ascii="Arial" w:cs="Arial" w:eastAsia="Arial" w:hAnsi="Arial"/>
                <w:sz w:val="15"/>
                <w:szCs w:val="15"/>
                <w:color w:val="auto"/>
              </w:rPr>
              <w:t>investments</w:t>
            </w:r>
          </w:p>
        </w:tc>
        <w:tc>
          <w:tcPr>
            <w:tcW w:w="160" w:type="dxa"/>
            <w:vAlign w:val="bottom"/>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4920" w:type="dxa"/>
            <w:vAlign w:val="bottom"/>
            <w:gridSpan w:val="2"/>
            <w:shd w:val="clear" w:color="auto" w:fill="CCEEFF"/>
          </w:tcPr>
          <w:p>
            <w:pPr>
              <w:spacing w:after="0" w:line="128" w:lineRule="exact"/>
              <w:rPr>
                <w:sz w:val="20"/>
                <w:szCs w:val="20"/>
                <w:color w:val="auto"/>
              </w:rPr>
            </w:pPr>
            <w:r>
              <w:rPr>
                <w:rFonts w:ascii="Arial" w:cs="Arial" w:eastAsia="Arial" w:hAnsi="Arial"/>
                <w:sz w:val="14"/>
                <w:szCs w:val="14"/>
                <w:color w:val="auto"/>
              </w:rPr>
              <w:t>Current debt:</w:t>
            </w:r>
          </w:p>
        </w:tc>
        <w:tc>
          <w:tcPr>
            <w:tcW w:w="160" w:type="dxa"/>
            <w:vAlign w:val="bottom"/>
            <w:shd w:val="clear" w:color="auto" w:fill="CCEEFF"/>
          </w:tcPr>
          <w:p>
            <w:pPr>
              <w:spacing w:after="0"/>
              <w:rPr>
                <w:sz w:val="11"/>
                <w:szCs w:val="11"/>
                <w:color w:val="auto"/>
              </w:rPr>
            </w:pPr>
          </w:p>
        </w:tc>
        <w:tc>
          <w:tcPr>
            <w:tcW w:w="340" w:type="dxa"/>
            <w:vAlign w:val="bottom"/>
            <w:gridSpan w:val="3"/>
            <w:shd w:val="clear" w:color="auto" w:fill="CCEEFF"/>
          </w:tcPr>
          <w:p>
            <w:pPr>
              <w:ind w:left="40"/>
              <w:spacing w:after="0" w:line="128" w:lineRule="exact"/>
              <w:rPr>
                <w:sz w:val="20"/>
                <w:szCs w:val="20"/>
                <w:color w:val="auto"/>
              </w:rPr>
            </w:pPr>
            <w:r>
              <w:rPr>
                <w:rFonts w:ascii="Arial" w:cs="Arial" w:eastAsia="Arial" w:hAnsi="Arial"/>
                <w:sz w:val="14"/>
                <w:szCs w:val="14"/>
                <w:color w:val="auto"/>
              </w:rPr>
              <w:t>​ ​​ ​</w:t>
            </w:r>
          </w:p>
        </w:tc>
        <w:tc>
          <w:tcPr>
            <w:tcW w:w="40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jc w:val="right"/>
              <w:ind w:right="29"/>
              <w:spacing w:after="0" w:line="12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 ​</w:t>
            </w:r>
          </w:p>
        </w:tc>
        <w:tc>
          <w:tcPr>
            <w:tcW w:w="18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 ​</w:t>
            </w:r>
          </w:p>
        </w:tc>
        <w:tc>
          <w:tcPr>
            <w:tcW w:w="320" w:type="dxa"/>
            <w:vAlign w:val="bottom"/>
            <w:shd w:val="clear" w:color="auto" w:fill="CCEEFF"/>
          </w:tcPr>
          <w:p>
            <w:pPr>
              <w:spacing w:after="0"/>
              <w:rPr>
                <w:sz w:val="11"/>
                <w:szCs w:val="11"/>
                <w:color w:val="auto"/>
              </w:rPr>
            </w:pPr>
          </w:p>
        </w:tc>
        <w:tc>
          <w:tcPr>
            <w:tcW w:w="120" w:type="dxa"/>
            <w:vAlign w:val="bottom"/>
            <w:gridSpan w:val="2"/>
            <w:shd w:val="clear" w:color="auto" w:fill="CCEEFF"/>
          </w:tcPr>
          <w:p>
            <w:pPr>
              <w:spacing w:after="0" w:line="128"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920" w:type="dxa"/>
            <w:vAlign w:val="bottom"/>
            <w:gridSpan w:val="2"/>
          </w:tcPr>
          <w:p>
            <w:pPr>
              <w:ind w:left="140"/>
              <w:spacing w:after="0"/>
              <w:rPr>
                <w:sz w:val="20"/>
                <w:szCs w:val="20"/>
                <w:color w:val="auto"/>
              </w:rPr>
            </w:pPr>
            <w:r>
              <w:rPr>
                <w:rFonts w:ascii="Arial" w:cs="Arial" w:eastAsia="Arial" w:hAnsi="Arial"/>
                <w:sz w:val="15"/>
                <w:szCs w:val="15"/>
                <w:color w:val="auto"/>
              </w:rPr>
              <w:t>2026 Term Loan A</w:t>
            </w:r>
          </w:p>
        </w:tc>
        <w:tc>
          <w:tcPr>
            <w:tcW w:w="160" w:type="dxa"/>
            <w:vAlign w:val="bottom"/>
          </w:tcPr>
          <w:p>
            <w:pPr>
              <w:spacing w:after="0"/>
              <w:rPr>
                <w:sz w:val="15"/>
                <w:szCs w:val="15"/>
                <w:color w:val="auto"/>
              </w:rPr>
            </w:pPr>
          </w:p>
        </w:tc>
        <w:tc>
          <w:tcPr>
            <w:tcW w:w="34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80" w:type="dxa"/>
            <w:vAlign w:val="bottom"/>
            <w:gridSpan w:val="2"/>
          </w:tcPr>
          <w:p>
            <w:pPr>
              <w:jc w:val="right"/>
              <w:ind w:right="29"/>
              <w:spacing w:after="0"/>
              <w:rPr>
                <w:sz w:val="20"/>
                <w:szCs w:val="20"/>
                <w:color w:val="auto"/>
              </w:rPr>
            </w:pPr>
            <w:r>
              <w:rPr>
                <w:rFonts w:ascii="Arial" w:cs="Arial" w:eastAsia="Arial" w:hAnsi="Arial"/>
                <w:sz w:val="15"/>
                <w:szCs w:val="15"/>
                <w:color w:val="auto"/>
              </w:rPr>
              <w:t>49​​ ​</w:t>
            </w:r>
          </w:p>
        </w:tc>
        <w:tc>
          <w:tcPr>
            <w:tcW w:w="180" w:type="dxa"/>
            <w:vAlign w:val="bottom"/>
          </w:tcPr>
          <w:p>
            <w:pPr>
              <w:spacing w:after="0"/>
              <w:rPr>
                <w:sz w:val="20"/>
                <w:szCs w:val="20"/>
                <w:color w:val="auto"/>
              </w:rPr>
            </w:pPr>
            <w:r>
              <w:rPr>
                <w:rFonts w:ascii="Arial" w:cs="Arial" w:eastAsia="Arial" w:hAnsi="Arial"/>
                <w:sz w:val="15"/>
                <w:szCs w:val="15"/>
                <w:color w:val="auto"/>
              </w:rPr>
              <w:t>​ ​</w:t>
            </w:r>
          </w:p>
        </w:tc>
        <w:tc>
          <w:tcPr>
            <w:tcW w:w="320" w:type="dxa"/>
            <w:vAlign w:val="bottom"/>
          </w:tcPr>
          <w:p>
            <w:pPr>
              <w:jc w:val="right"/>
              <w:spacing w:after="0"/>
              <w:rPr>
                <w:sz w:val="20"/>
                <w:szCs w:val="20"/>
                <w:color w:val="auto"/>
              </w:rPr>
            </w:pPr>
            <w:r>
              <w:rPr>
                <w:rFonts w:ascii="Arial" w:cs="Arial" w:eastAsia="Arial" w:hAnsi="Arial"/>
                <w:sz w:val="15"/>
                <w:szCs w:val="15"/>
                <w:color w:val="auto"/>
              </w:rPr>
              <w:t>49</w:t>
            </w:r>
          </w:p>
        </w:tc>
        <w:tc>
          <w:tcPr>
            <w:tcW w:w="14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9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2027 Term Loan A</w:t>
            </w:r>
          </w:p>
        </w:tc>
        <w:tc>
          <w:tcPr>
            <w:tcW w:w="160" w:type="dxa"/>
            <w:vAlign w:val="bottom"/>
            <w:shd w:val="clear" w:color="auto" w:fill="CCEEFF"/>
          </w:tcPr>
          <w:p>
            <w:pPr>
              <w:spacing w:after="0"/>
              <w:rPr>
                <w:sz w:val="15"/>
                <w:szCs w:val="15"/>
                <w:color w:val="auto"/>
              </w:rPr>
            </w:pPr>
          </w:p>
        </w:tc>
        <w:tc>
          <w:tcPr>
            <w:tcW w:w="34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 ​</w:t>
            </w:r>
          </w:p>
        </w:tc>
        <w:tc>
          <w:tcPr>
            <w:tcW w:w="680" w:type="dxa"/>
            <w:vAlign w:val="bottom"/>
            <w:tcBorders>
              <w:right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5"/>
                <w:szCs w:val="15"/>
                <w:color w:val="auto"/>
              </w:rPr>
              <w:t>57​​ ​</w:t>
            </w: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20" w:type="dxa"/>
            <w:vAlign w:val="bottom"/>
            <w:gridSpan w:val="2"/>
          </w:tcPr>
          <w:p>
            <w:pPr>
              <w:ind w:left="140"/>
              <w:spacing w:after="0"/>
              <w:rPr>
                <w:sz w:val="20"/>
                <w:szCs w:val="20"/>
                <w:color w:val="auto"/>
              </w:rPr>
            </w:pPr>
            <w:r>
              <w:rPr>
                <w:rFonts w:ascii="Arial" w:cs="Arial" w:eastAsia="Arial" w:hAnsi="Arial"/>
                <w:sz w:val="15"/>
                <w:szCs w:val="15"/>
                <w:color w:val="auto"/>
              </w:rPr>
              <w:t>Finance lease obligations</w:t>
            </w:r>
          </w:p>
        </w:tc>
        <w:tc>
          <w:tcPr>
            <w:tcW w:w="160" w:type="dxa"/>
            <w:vAlign w:val="bottom"/>
          </w:tcPr>
          <w:p>
            <w:pPr>
              <w:spacing w:after="0"/>
              <w:rPr>
                <w:sz w:val="17"/>
                <w:szCs w:val="17"/>
                <w:color w:val="auto"/>
              </w:rPr>
            </w:pPr>
          </w:p>
        </w:tc>
        <w:tc>
          <w:tcPr>
            <w:tcW w:w="34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80" w:type="dxa"/>
            <w:vAlign w:val="bottom"/>
            <w:gridSpan w:val="2"/>
          </w:tcPr>
          <w:p>
            <w:pPr>
              <w:jc w:val="right"/>
              <w:ind w:right="29"/>
              <w:spacing w:after="0"/>
              <w:rPr>
                <w:sz w:val="20"/>
                <w:szCs w:val="20"/>
                <w:color w:val="auto"/>
              </w:rPr>
            </w:pPr>
            <w:r>
              <w:rPr>
                <w:rFonts w:ascii="Arial" w:cs="Arial" w:eastAsia="Arial" w:hAnsi="Arial"/>
                <w:sz w:val="15"/>
                <w:szCs w:val="15"/>
                <w:color w:val="auto"/>
              </w:rPr>
              <w:t>427​​ ​</w:t>
            </w:r>
          </w:p>
        </w:tc>
        <w:tc>
          <w:tcPr>
            <w:tcW w:w="180" w:type="dxa"/>
            <w:vAlign w:val="bottom"/>
          </w:tcPr>
          <w:p>
            <w:pPr>
              <w:spacing w:after="0"/>
              <w:rPr>
                <w:sz w:val="20"/>
                <w:szCs w:val="20"/>
                <w:color w:val="auto"/>
              </w:rPr>
            </w:pPr>
            <w:r>
              <w:rPr>
                <w:rFonts w:ascii="Arial" w:cs="Arial" w:eastAsia="Arial" w:hAnsi="Arial"/>
                <w:sz w:val="15"/>
                <w:szCs w:val="15"/>
                <w:color w:val="auto"/>
              </w:rPr>
              <w:t>​ ​</w:t>
            </w:r>
          </w:p>
        </w:tc>
        <w:tc>
          <w:tcPr>
            <w:tcW w:w="320" w:type="dxa"/>
            <w:vAlign w:val="bottom"/>
          </w:tcPr>
          <w:p>
            <w:pPr>
              <w:jc w:val="right"/>
              <w:spacing w:after="0"/>
              <w:rPr>
                <w:sz w:val="20"/>
                <w:szCs w:val="20"/>
                <w:color w:val="auto"/>
              </w:rPr>
            </w:pPr>
            <w:r>
              <w:rPr>
                <w:rFonts w:ascii="Arial" w:cs="Arial" w:eastAsia="Arial" w:hAnsi="Arial"/>
                <w:sz w:val="15"/>
                <w:szCs w:val="15"/>
                <w:color w:val="auto"/>
              </w:rPr>
              <w:t>427</w:t>
            </w:r>
          </w:p>
        </w:tc>
        <w:tc>
          <w:tcPr>
            <w:tcW w:w="14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Total current debt</w:t>
            </w:r>
          </w:p>
        </w:tc>
        <w:tc>
          <w:tcPr>
            <w:tcW w:w="1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40"/>
              <w:spacing w:after="0" w:line="179" w:lineRule="exact"/>
              <w:rPr>
                <w:sz w:val="20"/>
                <w:szCs w:val="20"/>
                <w:color w:val="auto"/>
              </w:rPr>
            </w:pPr>
            <w:r>
              <w:rPr>
                <w:rFonts w:ascii="Arial" w:cs="Arial" w:eastAsia="Arial" w:hAnsi="Arial"/>
                <w:sz w:val="12"/>
                <w:szCs w:val="12"/>
                <w:color w:val="auto"/>
              </w:rPr>
              <w:t>​ ​​</w:t>
            </w:r>
            <w:r>
              <w:rPr>
                <w:rFonts w:ascii="Arial" w:cs="Arial" w:eastAsia="Arial" w:hAnsi="Arial"/>
                <w:sz w:val="20"/>
                <w:szCs w:val="20"/>
                <w:color w:val="auto"/>
                <w:vertAlign w:val="superscript"/>
              </w:rPr>
              <w:t>$</w:t>
            </w:r>
          </w:p>
        </w:tc>
        <w:tc>
          <w:tcPr>
            <w:tcW w:w="680" w:type="dxa"/>
            <w:vAlign w:val="bottom"/>
            <w:tcBorders>
              <w:right w:val="single" w:sz="8" w:color="CCEEFF"/>
            </w:tcBorders>
            <w:gridSpan w:val="2"/>
            <w:shd w:val="clear" w:color="auto" w:fill="CCEEFF"/>
          </w:tcPr>
          <w:p>
            <w:pPr>
              <w:jc w:val="right"/>
              <w:ind w:right="29"/>
              <w:spacing w:after="0" w:line="179" w:lineRule="exact"/>
              <w:rPr>
                <w:sz w:val="20"/>
                <w:szCs w:val="20"/>
                <w:color w:val="auto"/>
              </w:rPr>
            </w:pPr>
            <w:r>
              <w:rPr>
                <w:rFonts w:ascii="Arial" w:cs="Arial" w:eastAsia="Arial" w:hAnsi="Arial"/>
                <w:sz w:val="12"/>
                <w:szCs w:val="12"/>
                <w:color w:val="auto"/>
              </w:rPr>
              <w:t>533</w:t>
            </w:r>
            <w:r>
              <w:rPr>
                <w:rFonts w:ascii="Arial" w:cs="Arial" w:eastAsia="Arial" w:hAnsi="Arial"/>
                <w:sz w:val="20"/>
                <w:szCs w:val="20"/>
                <w:color w:val="auto"/>
                <w:vertAlign w:val="subscript"/>
              </w:rPr>
              <w:t>​​ ​</w:t>
            </w:r>
          </w:p>
        </w:tc>
        <w:tc>
          <w:tcPr>
            <w:tcW w:w="180" w:type="dxa"/>
            <w:vAlign w:val="bottom"/>
            <w:shd w:val="clear" w:color="auto" w:fill="CCEEFF"/>
          </w:tcPr>
          <w:p>
            <w:pPr>
              <w:spacing w:after="0" w:line="179"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perscript"/>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FF"/>
              <w:bottom w:val="single" w:sz="8" w:color="CCEEFF"/>
            </w:tcBorders>
            <w:gridSpan w:val="2"/>
            <w:vMerge w:val="restart"/>
          </w:tcPr>
          <w:p>
            <w:pPr>
              <w:spacing w:after="0" w:line="148" w:lineRule="exact"/>
              <w:rPr>
                <w:sz w:val="20"/>
                <w:szCs w:val="20"/>
                <w:color w:val="auto"/>
              </w:rPr>
            </w:pPr>
            <w:r>
              <w:rPr>
                <w:rFonts w:ascii="Arial" w:cs="Arial" w:eastAsia="Arial" w:hAnsi="Arial"/>
                <w:sz w:val="15"/>
                <w:szCs w:val="15"/>
                <w:color w:val="auto"/>
              </w:rPr>
              <w:t>Long-term debt and finance lease obligations, excluding current portion:</w:t>
            </w:r>
          </w:p>
        </w:tc>
        <w:tc>
          <w:tcPr>
            <w:tcW w:w="360" w:type="dxa"/>
            <w:vAlign w:val="bottom"/>
            <w:tcBorders>
              <w:top w:val="single" w:sz="8" w:color="CCEEFF"/>
              <w:bottom w:val="single" w:sz="8" w:color="CCEEFF"/>
            </w:tcBorders>
            <w:gridSpan w:val="3"/>
            <w:vMerge w:val="restart"/>
          </w:tcPr>
          <w:p>
            <w:pPr>
              <w:ind w:left="160"/>
              <w:spacing w:after="0" w:line="148" w:lineRule="exact"/>
              <w:rPr>
                <w:sz w:val="20"/>
                <w:szCs w:val="20"/>
                <w:color w:val="auto"/>
              </w:rPr>
            </w:pPr>
            <w:r>
              <w:rPr>
                <w:rFonts w:ascii="Arial" w:cs="Arial" w:eastAsia="Arial" w:hAnsi="Arial"/>
                <w:sz w:val="15"/>
                <w:szCs w:val="15"/>
                <w:color w:val="auto"/>
              </w:rPr>
              <w:t>​ ​</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69"/>
              <w:spacing w:after="0" w:line="148"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gridSpan w:val="2"/>
            <w:vMerge w:val="continue"/>
          </w:tcPr>
          <w:p>
            <w:pPr>
              <w:spacing w:after="0"/>
              <w:rPr>
                <w:sz w:val="9"/>
                <w:szCs w:val="9"/>
                <w:color w:val="auto"/>
              </w:rPr>
            </w:pPr>
          </w:p>
        </w:tc>
        <w:tc>
          <w:tcPr>
            <w:tcW w:w="3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 senior notes due 20    offered hereby</w:t>
            </w:r>
          </w:p>
        </w:tc>
        <w:tc>
          <w:tcPr>
            <w:tcW w:w="160" w:type="dxa"/>
            <w:vAlign w:val="bottom"/>
            <w:shd w:val="clear" w:color="auto" w:fill="CCEEFF"/>
          </w:tcPr>
          <w:p>
            <w:pPr>
              <w:spacing w:after="0"/>
              <w:rPr>
                <w:sz w:val="15"/>
                <w:szCs w:val="15"/>
                <w:color w:val="auto"/>
              </w:rPr>
            </w:pPr>
          </w:p>
        </w:tc>
        <w:tc>
          <w:tcPr>
            <w:tcW w:w="34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w:t>
            </w:r>
          </w:p>
        </w:tc>
        <w:tc>
          <w:tcPr>
            <w:tcW w:w="680" w:type="dxa"/>
            <w:vAlign w:val="bottom"/>
            <w:tcBorders>
              <w:right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5"/>
                <w:szCs w:val="15"/>
                <w:color w:val="auto"/>
              </w:rPr>
              <w:t>—​​ ​</w:t>
            </w: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920" w:type="dxa"/>
            <w:vAlign w:val="bottom"/>
            <w:gridSpan w:val="2"/>
          </w:tcPr>
          <w:p>
            <w:pPr>
              <w:ind w:left="140"/>
              <w:spacing w:after="0"/>
              <w:rPr>
                <w:sz w:val="20"/>
                <w:szCs w:val="20"/>
                <w:color w:val="auto"/>
              </w:rPr>
            </w:pPr>
            <w:r>
              <w:rPr>
                <w:rFonts w:ascii="Arial" w:cs="Arial" w:eastAsia="Arial" w:hAnsi="Arial"/>
                <w:sz w:val="15"/>
                <w:szCs w:val="15"/>
                <w:color w:val="auto"/>
              </w:rPr>
              <w:t>2026 Term Loan A</w:t>
            </w:r>
          </w:p>
        </w:tc>
        <w:tc>
          <w:tcPr>
            <w:tcW w:w="160" w:type="dxa"/>
            <w:vAlign w:val="bottom"/>
          </w:tcPr>
          <w:p>
            <w:pPr>
              <w:spacing w:after="0"/>
              <w:rPr>
                <w:sz w:val="15"/>
                <w:szCs w:val="15"/>
                <w:color w:val="auto"/>
              </w:rPr>
            </w:pPr>
          </w:p>
        </w:tc>
        <w:tc>
          <w:tcPr>
            <w:tcW w:w="34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80" w:type="dxa"/>
            <w:vAlign w:val="bottom"/>
            <w:gridSpan w:val="2"/>
          </w:tcPr>
          <w:p>
            <w:pPr>
              <w:jc w:val="right"/>
              <w:ind w:right="29"/>
              <w:spacing w:after="0"/>
              <w:rPr>
                <w:sz w:val="20"/>
                <w:szCs w:val="20"/>
                <w:color w:val="auto"/>
              </w:rPr>
            </w:pPr>
            <w:r>
              <w:rPr>
                <w:rFonts w:ascii="Arial" w:cs="Arial" w:eastAsia="Arial" w:hAnsi="Arial"/>
                <w:sz w:val="15"/>
                <w:szCs w:val="15"/>
                <w:color w:val="auto"/>
              </w:rPr>
              <w:t>859​​ ​</w:t>
            </w:r>
          </w:p>
        </w:tc>
        <w:tc>
          <w:tcPr>
            <w:tcW w:w="180" w:type="dxa"/>
            <w:vAlign w:val="bottom"/>
          </w:tcPr>
          <w:p>
            <w:pPr>
              <w:spacing w:after="0"/>
              <w:rPr>
                <w:sz w:val="20"/>
                <w:szCs w:val="20"/>
                <w:color w:val="auto"/>
              </w:rPr>
            </w:pPr>
            <w:r>
              <w:rPr>
                <w:rFonts w:ascii="Arial" w:cs="Arial" w:eastAsia="Arial" w:hAnsi="Arial"/>
                <w:sz w:val="15"/>
                <w:szCs w:val="15"/>
                <w:color w:val="auto"/>
              </w:rPr>
              <w:t>​ ​</w:t>
            </w:r>
          </w:p>
        </w:tc>
        <w:tc>
          <w:tcPr>
            <w:tcW w:w="320" w:type="dxa"/>
            <w:vAlign w:val="bottom"/>
          </w:tcPr>
          <w:p>
            <w:pPr>
              <w:jc w:val="right"/>
              <w:spacing w:after="0"/>
              <w:rPr>
                <w:sz w:val="20"/>
                <w:szCs w:val="20"/>
                <w:color w:val="auto"/>
              </w:rPr>
            </w:pPr>
            <w:r>
              <w:rPr>
                <w:rFonts w:ascii="Arial" w:cs="Arial" w:eastAsia="Arial" w:hAnsi="Arial"/>
                <w:sz w:val="15"/>
                <w:szCs w:val="15"/>
                <w:color w:val="auto"/>
              </w:rPr>
              <w:t>859</w:t>
            </w:r>
          </w:p>
        </w:tc>
        <w:tc>
          <w:tcPr>
            <w:tcW w:w="14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9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2027 Term Loan A</w:t>
            </w:r>
          </w:p>
        </w:tc>
        <w:tc>
          <w:tcPr>
            <w:tcW w:w="160" w:type="dxa"/>
            <w:vAlign w:val="bottom"/>
            <w:shd w:val="clear" w:color="auto" w:fill="CCEEFF"/>
          </w:tcPr>
          <w:p>
            <w:pPr>
              <w:spacing w:after="0"/>
              <w:rPr>
                <w:sz w:val="15"/>
                <w:szCs w:val="15"/>
                <w:color w:val="auto"/>
              </w:rPr>
            </w:pPr>
          </w:p>
        </w:tc>
        <w:tc>
          <w:tcPr>
            <w:tcW w:w="34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 ​</w:t>
            </w:r>
          </w:p>
        </w:tc>
        <w:tc>
          <w:tcPr>
            <w:tcW w:w="680" w:type="dxa"/>
            <w:vAlign w:val="bottom"/>
            <w:tcBorders>
              <w:right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5"/>
                <w:szCs w:val="15"/>
                <w:color w:val="auto"/>
              </w:rPr>
              <w:t>992​​ ​</w:t>
            </w: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20" w:type="dxa"/>
            <w:vAlign w:val="bottom"/>
            <w:gridSpan w:val="2"/>
          </w:tcPr>
          <w:p>
            <w:pPr>
              <w:ind w:left="140"/>
              <w:spacing w:after="0"/>
              <w:rPr>
                <w:sz w:val="20"/>
                <w:szCs w:val="20"/>
                <w:color w:val="auto"/>
              </w:rPr>
            </w:pPr>
            <w:r>
              <w:rPr>
                <w:rFonts w:ascii="Arial" w:cs="Arial" w:eastAsia="Arial" w:hAnsi="Arial"/>
                <w:sz w:val="15"/>
                <w:szCs w:val="15"/>
                <w:color w:val="auto"/>
              </w:rPr>
              <w:t>4.975% senior notes due 2026</w:t>
            </w:r>
          </w:p>
        </w:tc>
        <w:tc>
          <w:tcPr>
            <w:tcW w:w="160" w:type="dxa"/>
            <w:vAlign w:val="bottom"/>
          </w:tcPr>
          <w:p>
            <w:pPr>
              <w:spacing w:after="0"/>
              <w:rPr>
                <w:sz w:val="16"/>
                <w:szCs w:val="16"/>
                <w:color w:val="auto"/>
              </w:rPr>
            </w:pPr>
          </w:p>
        </w:tc>
        <w:tc>
          <w:tcPr>
            <w:tcW w:w="34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80" w:type="dxa"/>
            <w:vAlign w:val="bottom"/>
            <w:gridSpan w:val="2"/>
          </w:tcPr>
          <w:p>
            <w:pPr>
              <w:jc w:val="right"/>
              <w:ind w:right="29"/>
              <w:spacing w:after="0"/>
              <w:rPr>
                <w:sz w:val="20"/>
                <w:szCs w:val="20"/>
                <w:color w:val="auto"/>
              </w:rPr>
            </w:pPr>
            <w:r>
              <w:rPr>
                <w:rFonts w:ascii="Arial" w:cs="Arial" w:eastAsia="Arial" w:hAnsi="Arial"/>
                <w:sz w:val="15"/>
                <w:szCs w:val="15"/>
                <w:color w:val="auto"/>
              </w:rPr>
              <w:t>499​​ ​</w:t>
            </w:r>
          </w:p>
        </w:tc>
        <w:tc>
          <w:tcPr>
            <w:tcW w:w="180" w:type="dxa"/>
            <w:vAlign w:val="bottom"/>
          </w:tcPr>
          <w:p>
            <w:pPr>
              <w:spacing w:after="0"/>
              <w:rPr>
                <w:sz w:val="20"/>
                <w:szCs w:val="20"/>
                <w:color w:val="auto"/>
              </w:rPr>
            </w:pPr>
            <w:r>
              <w:rPr>
                <w:rFonts w:ascii="Arial" w:cs="Arial" w:eastAsia="Arial" w:hAnsi="Arial"/>
                <w:sz w:val="15"/>
                <w:szCs w:val="15"/>
                <w:color w:val="auto"/>
              </w:rPr>
              <w:t>​ ​</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shd w:val="clear" w:color="auto" w:fill="CCEEFF"/>
          </w:tcPr>
          <w:p>
            <w:pPr>
              <w:ind w:left="140"/>
              <w:spacing w:after="0" w:line="210" w:lineRule="exact"/>
              <w:rPr>
                <w:sz w:val="20"/>
                <w:szCs w:val="20"/>
                <w:color w:val="auto"/>
              </w:rPr>
            </w:pPr>
            <w:r>
              <w:rPr>
                <w:rFonts w:ascii="Arial" w:cs="Arial" w:eastAsia="Arial" w:hAnsi="Arial"/>
                <w:sz w:val="15"/>
                <w:szCs w:val="15"/>
                <w:color w:val="auto"/>
              </w:rPr>
              <w:t>4.185% senior notes due 2027</w:t>
            </w:r>
            <w:r>
              <w:rPr>
                <w:rFonts w:ascii="Arial" w:cs="Arial" w:eastAsia="Arial" w:hAnsi="Arial"/>
                <w:sz w:val="19"/>
                <w:szCs w:val="19"/>
                <w:color w:val="auto"/>
                <w:vertAlign w:val="superscript"/>
              </w:rPr>
              <w:t>(1)</w:t>
            </w: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 ​</w:t>
            </w:r>
          </w:p>
        </w:tc>
        <w:tc>
          <w:tcPr>
            <w:tcW w:w="680" w:type="dxa"/>
            <w:vAlign w:val="bottom"/>
            <w:tcBorders>
              <w:right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5"/>
                <w:szCs w:val="15"/>
                <w:color w:val="auto"/>
              </w:rPr>
              <w:t>827​​ ​</w:t>
            </w: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20" w:type="dxa"/>
            <w:vAlign w:val="bottom"/>
            <w:gridSpan w:val="2"/>
          </w:tcPr>
          <w:p>
            <w:pPr>
              <w:ind w:left="140"/>
              <w:spacing w:after="0"/>
              <w:rPr>
                <w:sz w:val="20"/>
                <w:szCs w:val="20"/>
                <w:color w:val="auto"/>
              </w:rPr>
            </w:pPr>
            <w:r>
              <w:rPr>
                <w:rFonts w:ascii="Arial" w:cs="Arial" w:eastAsia="Arial" w:hAnsi="Arial"/>
                <w:sz w:val="15"/>
                <w:szCs w:val="15"/>
                <w:color w:val="auto"/>
              </w:rPr>
              <w:t>5.375% senior notes due 2028</w:t>
            </w:r>
          </w:p>
        </w:tc>
        <w:tc>
          <w:tcPr>
            <w:tcW w:w="160" w:type="dxa"/>
            <w:vAlign w:val="bottom"/>
          </w:tcPr>
          <w:p>
            <w:pPr>
              <w:spacing w:after="0"/>
              <w:rPr>
                <w:sz w:val="16"/>
                <w:szCs w:val="16"/>
                <w:color w:val="auto"/>
              </w:rPr>
            </w:pPr>
          </w:p>
        </w:tc>
        <w:tc>
          <w:tcPr>
            <w:tcW w:w="34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80" w:type="dxa"/>
            <w:vAlign w:val="bottom"/>
            <w:gridSpan w:val="2"/>
          </w:tcPr>
          <w:p>
            <w:pPr>
              <w:jc w:val="right"/>
              <w:ind w:right="29"/>
              <w:spacing w:after="0"/>
              <w:rPr>
                <w:sz w:val="20"/>
                <w:szCs w:val="20"/>
                <w:color w:val="auto"/>
              </w:rPr>
            </w:pPr>
            <w:r>
              <w:rPr>
                <w:rFonts w:ascii="Arial" w:cs="Arial" w:eastAsia="Arial" w:hAnsi="Arial"/>
                <w:sz w:val="15"/>
                <w:szCs w:val="15"/>
                <w:color w:val="auto"/>
              </w:rPr>
              <w:t>597​​ ​</w:t>
            </w:r>
          </w:p>
        </w:tc>
        <w:tc>
          <w:tcPr>
            <w:tcW w:w="180" w:type="dxa"/>
            <w:vAlign w:val="bottom"/>
          </w:tcPr>
          <w:p>
            <w:pPr>
              <w:spacing w:after="0"/>
              <w:rPr>
                <w:sz w:val="20"/>
                <w:szCs w:val="20"/>
                <w:color w:val="auto"/>
              </w:rPr>
            </w:pPr>
            <w:r>
              <w:rPr>
                <w:rFonts w:ascii="Arial" w:cs="Arial" w:eastAsia="Arial" w:hAnsi="Arial"/>
                <w:sz w:val="15"/>
                <w:szCs w:val="15"/>
                <w:color w:val="auto"/>
              </w:rPr>
              <w:t>​ ​</w:t>
            </w:r>
          </w:p>
        </w:tc>
        <w:tc>
          <w:tcPr>
            <w:tcW w:w="320" w:type="dxa"/>
            <w:vAlign w:val="bottom"/>
          </w:tcPr>
          <w:p>
            <w:pPr>
              <w:jc w:val="right"/>
              <w:spacing w:after="0"/>
              <w:rPr>
                <w:sz w:val="20"/>
                <w:szCs w:val="20"/>
                <w:color w:val="auto"/>
              </w:rPr>
            </w:pPr>
            <w:r>
              <w:rPr>
                <w:rFonts w:ascii="Arial" w:cs="Arial" w:eastAsia="Arial" w:hAnsi="Arial"/>
                <w:sz w:val="15"/>
                <w:szCs w:val="15"/>
                <w:color w:val="auto"/>
              </w:rPr>
              <w:t>597</w:t>
            </w:r>
          </w:p>
        </w:tc>
        <w:tc>
          <w:tcPr>
            <w:tcW w:w="14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5.327% senior notes due 2029</w:t>
            </w:r>
          </w:p>
        </w:tc>
        <w:tc>
          <w:tcPr>
            <w:tcW w:w="160" w:type="dxa"/>
            <w:vAlign w:val="bottom"/>
            <w:shd w:val="clear" w:color="auto" w:fill="CCEEFF"/>
          </w:tcPr>
          <w:p>
            <w:pPr>
              <w:spacing w:after="0"/>
              <w:rPr>
                <w:sz w:val="16"/>
                <w:szCs w:val="16"/>
                <w:color w:val="auto"/>
              </w:rPr>
            </w:pPr>
          </w:p>
        </w:tc>
        <w:tc>
          <w:tcPr>
            <w:tcW w:w="34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 ​</w:t>
            </w:r>
          </w:p>
        </w:tc>
        <w:tc>
          <w:tcPr>
            <w:tcW w:w="680" w:type="dxa"/>
            <w:vAlign w:val="bottom"/>
            <w:tcBorders>
              <w:right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5"/>
                <w:szCs w:val="15"/>
                <w:color w:val="auto"/>
              </w:rPr>
              <w:t>698​​ ​</w:t>
            </w: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20" w:type="dxa"/>
            <w:vAlign w:val="bottom"/>
            <w:gridSpan w:val="2"/>
          </w:tcPr>
          <w:p>
            <w:pPr>
              <w:ind w:left="140"/>
              <w:spacing w:after="0"/>
              <w:rPr>
                <w:sz w:val="20"/>
                <w:szCs w:val="20"/>
                <w:color w:val="auto"/>
              </w:rPr>
            </w:pPr>
            <w:r>
              <w:rPr>
                <w:rFonts w:ascii="Arial" w:cs="Arial" w:eastAsia="Arial" w:hAnsi="Arial"/>
                <w:sz w:val="15"/>
                <w:szCs w:val="15"/>
                <w:color w:val="auto"/>
              </w:rPr>
              <w:t>6.750% senior notes due 2029</w:t>
            </w:r>
          </w:p>
        </w:tc>
        <w:tc>
          <w:tcPr>
            <w:tcW w:w="160" w:type="dxa"/>
            <w:vAlign w:val="bottom"/>
          </w:tcPr>
          <w:p>
            <w:pPr>
              <w:spacing w:after="0"/>
              <w:rPr>
                <w:sz w:val="16"/>
                <w:szCs w:val="16"/>
                <w:color w:val="auto"/>
              </w:rPr>
            </w:pPr>
          </w:p>
        </w:tc>
        <w:tc>
          <w:tcPr>
            <w:tcW w:w="1020" w:type="dxa"/>
            <w:vAlign w:val="bottom"/>
            <w:gridSpan w:val="5"/>
          </w:tcPr>
          <w:p>
            <w:pPr>
              <w:ind w:left="40"/>
              <w:spacing w:after="0"/>
              <w:rPr>
                <w:sz w:val="20"/>
                <w:szCs w:val="20"/>
                <w:color w:val="auto"/>
              </w:rPr>
            </w:pPr>
            <w:r>
              <w:rPr>
                <w:rFonts w:ascii="Arial" w:cs="Arial" w:eastAsia="Arial" w:hAnsi="Arial"/>
                <w:sz w:val="15"/>
                <w:szCs w:val="15"/>
                <w:color w:val="auto"/>
              </w:rPr>
              <w:t>​ ​​ ​ 1,261​​ ​</w:t>
            </w:r>
          </w:p>
        </w:tc>
        <w:tc>
          <w:tcPr>
            <w:tcW w:w="500" w:type="dxa"/>
            <w:vAlign w:val="bottom"/>
            <w:gridSpan w:val="2"/>
          </w:tcPr>
          <w:p>
            <w:pPr>
              <w:spacing w:after="0"/>
              <w:rPr>
                <w:sz w:val="20"/>
                <w:szCs w:val="20"/>
                <w:color w:val="auto"/>
              </w:rPr>
            </w:pPr>
            <w:r>
              <w:rPr>
                <w:rFonts w:ascii="Arial" w:cs="Arial" w:eastAsia="Arial" w:hAnsi="Arial"/>
                <w:sz w:val="15"/>
                <w:szCs w:val="15"/>
                <w:color w:val="auto"/>
              </w:rPr>
              <w:t>​ ​1,261</w:t>
            </w:r>
          </w:p>
        </w:tc>
        <w:tc>
          <w:tcPr>
            <w:tcW w:w="14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4.663% senior notes due 2030</w:t>
            </w:r>
          </w:p>
        </w:tc>
        <w:tc>
          <w:tcPr>
            <w:tcW w:w="160" w:type="dxa"/>
            <w:vAlign w:val="bottom"/>
            <w:shd w:val="clear" w:color="auto" w:fill="CCEEFF"/>
          </w:tcPr>
          <w:p>
            <w:pPr>
              <w:spacing w:after="0"/>
              <w:rPr>
                <w:sz w:val="16"/>
                <w:szCs w:val="16"/>
                <w:color w:val="auto"/>
              </w:rPr>
            </w:pPr>
          </w:p>
        </w:tc>
        <w:tc>
          <w:tcPr>
            <w:tcW w:w="34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 ​</w:t>
            </w:r>
          </w:p>
        </w:tc>
        <w:tc>
          <w:tcPr>
            <w:tcW w:w="680" w:type="dxa"/>
            <w:vAlign w:val="bottom"/>
            <w:tcBorders>
              <w:right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5"/>
                <w:szCs w:val="15"/>
                <w:color w:val="auto"/>
              </w:rPr>
              <w:t>847​​ ​</w:t>
            </w: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20" w:type="dxa"/>
            <w:vAlign w:val="bottom"/>
            <w:gridSpan w:val="2"/>
          </w:tcPr>
          <w:p>
            <w:pPr>
              <w:ind w:left="140"/>
              <w:spacing w:after="0"/>
              <w:rPr>
                <w:sz w:val="20"/>
                <w:szCs w:val="20"/>
                <w:color w:val="auto"/>
              </w:rPr>
            </w:pPr>
            <w:r>
              <w:rPr>
                <w:rFonts w:ascii="Arial" w:cs="Arial" w:eastAsia="Arial" w:hAnsi="Arial"/>
                <w:sz w:val="15"/>
                <w:szCs w:val="15"/>
                <w:color w:val="auto"/>
              </w:rPr>
              <w:t>5.300% senior notes due 2031</w:t>
            </w:r>
          </w:p>
        </w:tc>
        <w:tc>
          <w:tcPr>
            <w:tcW w:w="160" w:type="dxa"/>
            <w:vAlign w:val="bottom"/>
          </w:tcPr>
          <w:p>
            <w:pPr>
              <w:spacing w:after="0"/>
              <w:rPr>
                <w:sz w:val="16"/>
                <w:szCs w:val="16"/>
                <w:color w:val="auto"/>
              </w:rPr>
            </w:pPr>
          </w:p>
        </w:tc>
        <w:tc>
          <w:tcPr>
            <w:tcW w:w="34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80" w:type="dxa"/>
            <w:vAlign w:val="bottom"/>
            <w:gridSpan w:val="2"/>
          </w:tcPr>
          <w:p>
            <w:pPr>
              <w:jc w:val="right"/>
              <w:ind w:right="29"/>
              <w:spacing w:after="0"/>
              <w:rPr>
                <w:sz w:val="20"/>
                <w:szCs w:val="20"/>
                <w:color w:val="auto"/>
              </w:rPr>
            </w:pPr>
            <w:r>
              <w:rPr>
                <w:rFonts w:ascii="Arial" w:cs="Arial" w:eastAsia="Arial" w:hAnsi="Arial"/>
                <w:sz w:val="15"/>
                <w:szCs w:val="15"/>
                <w:color w:val="auto"/>
              </w:rPr>
              <w:t>994​​ ​</w:t>
            </w:r>
          </w:p>
        </w:tc>
        <w:tc>
          <w:tcPr>
            <w:tcW w:w="180" w:type="dxa"/>
            <w:vAlign w:val="bottom"/>
          </w:tcPr>
          <w:p>
            <w:pPr>
              <w:spacing w:after="0"/>
              <w:rPr>
                <w:sz w:val="20"/>
                <w:szCs w:val="20"/>
                <w:color w:val="auto"/>
              </w:rPr>
            </w:pPr>
            <w:r>
              <w:rPr>
                <w:rFonts w:ascii="Arial" w:cs="Arial" w:eastAsia="Arial" w:hAnsi="Arial"/>
                <w:sz w:val="15"/>
                <w:szCs w:val="15"/>
                <w:color w:val="auto"/>
              </w:rPr>
              <w:t>​ ​</w:t>
            </w:r>
          </w:p>
        </w:tc>
        <w:tc>
          <w:tcPr>
            <w:tcW w:w="320" w:type="dxa"/>
            <w:vAlign w:val="bottom"/>
          </w:tcPr>
          <w:p>
            <w:pPr>
              <w:jc w:val="right"/>
              <w:spacing w:after="0"/>
              <w:rPr>
                <w:sz w:val="20"/>
                <w:szCs w:val="20"/>
                <w:color w:val="auto"/>
              </w:rPr>
            </w:pPr>
            <w:r>
              <w:rPr>
                <w:rFonts w:ascii="Arial" w:cs="Arial" w:eastAsia="Arial" w:hAnsi="Arial"/>
                <w:sz w:val="15"/>
                <w:szCs w:val="15"/>
                <w:color w:val="auto"/>
              </w:rPr>
              <w:t>994</w:t>
            </w:r>
          </w:p>
        </w:tc>
        <w:tc>
          <w:tcPr>
            <w:tcW w:w="14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2.703% senior notes due 2032</w:t>
            </w:r>
          </w:p>
        </w:tc>
        <w:tc>
          <w:tcPr>
            <w:tcW w:w="160" w:type="dxa"/>
            <w:vAlign w:val="bottom"/>
            <w:shd w:val="clear" w:color="auto" w:fill="CCEEFF"/>
          </w:tcPr>
          <w:p>
            <w:pPr>
              <w:spacing w:after="0"/>
              <w:rPr>
                <w:sz w:val="16"/>
                <w:szCs w:val="16"/>
                <w:color w:val="auto"/>
              </w:rPr>
            </w:pPr>
          </w:p>
        </w:tc>
        <w:tc>
          <w:tcPr>
            <w:tcW w:w="34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 ​</w:t>
            </w:r>
          </w:p>
        </w:tc>
        <w:tc>
          <w:tcPr>
            <w:tcW w:w="680" w:type="dxa"/>
            <w:vAlign w:val="bottom"/>
            <w:tcBorders>
              <w:right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5"/>
                <w:szCs w:val="15"/>
                <w:color w:val="auto"/>
              </w:rPr>
              <w:t>996​​ ​</w:t>
            </w: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20" w:type="dxa"/>
            <w:vAlign w:val="bottom"/>
            <w:gridSpan w:val="2"/>
          </w:tcPr>
          <w:p>
            <w:pPr>
              <w:ind w:left="140"/>
              <w:spacing w:after="0"/>
              <w:rPr>
                <w:sz w:val="20"/>
                <w:szCs w:val="20"/>
                <w:color w:val="auto"/>
              </w:rPr>
            </w:pPr>
            <w:r>
              <w:rPr>
                <w:rFonts w:ascii="Arial" w:cs="Arial" w:eastAsia="Arial" w:hAnsi="Arial"/>
                <w:sz w:val="15"/>
                <w:szCs w:val="15"/>
                <w:color w:val="auto"/>
              </w:rPr>
              <w:t>5.875% senior notes due 2033</w:t>
            </w:r>
          </w:p>
        </w:tc>
        <w:tc>
          <w:tcPr>
            <w:tcW w:w="160" w:type="dxa"/>
            <w:vAlign w:val="bottom"/>
          </w:tcPr>
          <w:p>
            <w:pPr>
              <w:spacing w:after="0"/>
              <w:rPr>
                <w:sz w:val="16"/>
                <w:szCs w:val="16"/>
                <w:color w:val="auto"/>
              </w:rPr>
            </w:pPr>
          </w:p>
        </w:tc>
        <w:tc>
          <w:tcPr>
            <w:tcW w:w="34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80" w:type="dxa"/>
            <w:vAlign w:val="bottom"/>
            <w:gridSpan w:val="2"/>
          </w:tcPr>
          <w:p>
            <w:pPr>
              <w:jc w:val="right"/>
              <w:ind w:right="29"/>
              <w:spacing w:after="0"/>
              <w:rPr>
                <w:sz w:val="20"/>
                <w:szCs w:val="20"/>
                <w:color w:val="auto"/>
              </w:rPr>
            </w:pPr>
            <w:r>
              <w:rPr>
                <w:rFonts w:ascii="Arial" w:cs="Arial" w:eastAsia="Arial" w:hAnsi="Arial"/>
                <w:sz w:val="15"/>
                <w:szCs w:val="15"/>
                <w:color w:val="auto"/>
              </w:rPr>
              <w:t>746​​ ​</w:t>
            </w:r>
          </w:p>
        </w:tc>
        <w:tc>
          <w:tcPr>
            <w:tcW w:w="180" w:type="dxa"/>
            <w:vAlign w:val="bottom"/>
          </w:tcPr>
          <w:p>
            <w:pPr>
              <w:spacing w:after="0"/>
              <w:rPr>
                <w:sz w:val="20"/>
                <w:szCs w:val="20"/>
                <w:color w:val="auto"/>
              </w:rPr>
            </w:pPr>
            <w:r>
              <w:rPr>
                <w:rFonts w:ascii="Arial" w:cs="Arial" w:eastAsia="Arial" w:hAnsi="Arial"/>
                <w:sz w:val="15"/>
                <w:szCs w:val="15"/>
                <w:color w:val="auto"/>
              </w:rPr>
              <w:t>​ ​</w:t>
            </w:r>
          </w:p>
        </w:tc>
        <w:tc>
          <w:tcPr>
            <w:tcW w:w="320" w:type="dxa"/>
            <w:vAlign w:val="bottom"/>
          </w:tcPr>
          <w:p>
            <w:pPr>
              <w:jc w:val="right"/>
              <w:spacing w:after="0"/>
              <w:rPr>
                <w:sz w:val="20"/>
                <w:szCs w:val="20"/>
                <w:color w:val="auto"/>
              </w:rPr>
            </w:pPr>
            <w:r>
              <w:rPr>
                <w:rFonts w:ascii="Arial" w:cs="Arial" w:eastAsia="Arial" w:hAnsi="Arial"/>
                <w:sz w:val="15"/>
                <w:szCs w:val="15"/>
                <w:color w:val="auto"/>
              </w:rPr>
              <w:t>746</w:t>
            </w:r>
          </w:p>
        </w:tc>
        <w:tc>
          <w:tcPr>
            <w:tcW w:w="14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5.875% senior notes due 2033</w:t>
            </w:r>
          </w:p>
        </w:tc>
        <w:tc>
          <w:tcPr>
            <w:tcW w:w="160" w:type="dxa"/>
            <w:vAlign w:val="bottom"/>
            <w:shd w:val="clear" w:color="auto" w:fill="CCEEFF"/>
          </w:tcPr>
          <w:p>
            <w:pPr>
              <w:spacing w:after="0"/>
              <w:rPr>
                <w:sz w:val="16"/>
                <w:szCs w:val="16"/>
                <w:color w:val="auto"/>
              </w:rPr>
            </w:pPr>
          </w:p>
        </w:tc>
        <w:tc>
          <w:tcPr>
            <w:tcW w:w="34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 ​</w:t>
            </w:r>
          </w:p>
        </w:tc>
        <w:tc>
          <w:tcPr>
            <w:tcW w:w="680" w:type="dxa"/>
            <w:vAlign w:val="bottom"/>
            <w:tcBorders>
              <w:right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5"/>
                <w:szCs w:val="15"/>
                <w:color w:val="auto"/>
              </w:rPr>
              <w:t>891​​ ​</w:t>
            </w: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20" w:type="dxa"/>
            <w:vAlign w:val="bottom"/>
            <w:gridSpan w:val="2"/>
          </w:tcPr>
          <w:p>
            <w:pPr>
              <w:ind w:left="140"/>
              <w:spacing w:after="0"/>
              <w:rPr>
                <w:sz w:val="20"/>
                <w:szCs w:val="20"/>
                <w:color w:val="auto"/>
              </w:rPr>
            </w:pPr>
            <w:r>
              <w:rPr>
                <w:rFonts w:ascii="Arial" w:cs="Arial" w:eastAsia="Arial" w:hAnsi="Arial"/>
                <w:sz w:val="15"/>
                <w:szCs w:val="15"/>
                <w:color w:val="auto"/>
              </w:rPr>
              <w:t>3.366% senior notes due 2041</w:t>
            </w:r>
          </w:p>
        </w:tc>
        <w:tc>
          <w:tcPr>
            <w:tcW w:w="160" w:type="dxa"/>
            <w:vAlign w:val="bottom"/>
          </w:tcPr>
          <w:p>
            <w:pPr>
              <w:spacing w:after="0"/>
              <w:rPr>
                <w:sz w:val="16"/>
                <w:szCs w:val="16"/>
                <w:color w:val="auto"/>
              </w:rPr>
            </w:pPr>
          </w:p>
        </w:tc>
        <w:tc>
          <w:tcPr>
            <w:tcW w:w="34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80" w:type="dxa"/>
            <w:vAlign w:val="bottom"/>
            <w:gridSpan w:val="2"/>
          </w:tcPr>
          <w:p>
            <w:pPr>
              <w:jc w:val="right"/>
              <w:ind w:right="29"/>
              <w:spacing w:after="0"/>
              <w:rPr>
                <w:sz w:val="20"/>
                <w:szCs w:val="20"/>
                <w:color w:val="auto"/>
              </w:rPr>
            </w:pPr>
            <w:r>
              <w:rPr>
                <w:rFonts w:ascii="Arial" w:cs="Arial" w:eastAsia="Arial" w:hAnsi="Arial"/>
                <w:sz w:val="15"/>
                <w:szCs w:val="15"/>
                <w:color w:val="auto"/>
              </w:rPr>
              <w:t>497​​ ​</w:t>
            </w:r>
          </w:p>
        </w:tc>
        <w:tc>
          <w:tcPr>
            <w:tcW w:w="180" w:type="dxa"/>
            <w:vAlign w:val="bottom"/>
          </w:tcPr>
          <w:p>
            <w:pPr>
              <w:spacing w:after="0"/>
              <w:rPr>
                <w:sz w:val="20"/>
                <w:szCs w:val="20"/>
                <w:color w:val="auto"/>
              </w:rPr>
            </w:pPr>
            <w:r>
              <w:rPr>
                <w:rFonts w:ascii="Arial" w:cs="Arial" w:eastAsia="Arial" w:hAnsi="Arial"/>
                <w:sz w:val="15"/>
                <w:szCs w:val="15"/>
                <w:color w:val="auto"/>
              </w:rPr>
              <w:t>​ ​</w:t>
            </w:r>
          </w:p>
        </w:tc>
        <w:tc>
          <w:tcPr>
            <w:tcW w:w="320" w:type="dxa"/>
            <w:vAlign w:val="bottom"/>
          </w:tcPr>
          <w:p>
            <w:pPr>
              <w:jc w:val="right"/>
              <w:spacing w:after="0"/>
              <w:rPr>
                <w:sz w:val="20"/>
                <w:szCs w:val="20"/>
                <w:color w:val="auto"/>
              </w:rPr>
            </w:pPr>
            <w:r>
              <w:rPr>
                <w:rFonts w:ascii="Arial" w:cs="Arial" w:eastAsia="Arial" w:hAnsi="Arial"/>
                <w:sz w:val="15"/>
                <w:szCs w:val="15"/>
                <w:color w:val="auto"/>
              </w:rPr>
              <w:t>497</w:t>
            </w:r>
          </w:p>
        </w:tc>
        <w:tc>
          <w:tcPr>
            <w:tcW w:w="14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3.477% senior notes due 2051</w:t>
            </w:r>
          </w:p>
        </w:tc>
        <w:tc>
          <w:tcPr>
            <w:tcW w:w="160" w:type="dxa"/>
            <w:vAlign w:val="bottom"/>
            <w:shd w:val="clear" w:color="auto" w:fill="CCEEFF"/>
          </w:tcPr>
          <w:p>
            <w:pPr>
              <w:spacing w:after="0"/>
              <w:rPr>
                <w:sz w:val="16"/>
                <w:szCs w:val="16"/>
                <w:color w:val="auto"/>
              </w:rPr>
            </w:pPr>
          </w:p>
        </w:tc>
        <w:tc>
          <w:tcPr>
            <w:tcW w:w="34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 ​</w:t>
            </w:r>
          </w:p>
        </w:tc>
        <w:tc>
          <w:tcPr>
            <w:tcW w:w="680" w:type="dxa"/>
            <w:vAlign w:val="bottom"/>
            <w:tcBorders>
              <w:right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5"/>
                <w:szCs w:val="15"/>
                <w:color w:val="auto"/>
              </w:rPr>
              <w:t>496​​ ​</w:t>
            </w: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140"/>
              <w:spacing w:after="0"/>
              <w:rPr>
                <w:sz w:val="20"/>
                <w:szCs w:val="20"/>
                <w:color w:val="auto"/>
              </w:rPr>
            </w:pPr>
            <w:r>
              <w:rPr>
                <w:rFonts w:ascii="Arial" w:cs="Arial" w:eastAsia="Arial" w:hAnsi="Arial"/>
                <w:sz w:val="15"/>
                <w:szCs w:val="15"/>
                <w:color w:val="auto"/>
              </w:rPr>
              <w:t>Finance lease obligations</w:t>
            </w:r>
          </w:p>
        </w:tc>
        <w:tc>
          <w:tcPr>
            <w:tcW w:w="160" w:type="dxa"/>
            <w:vAlign w:val="bottom"/>
          </w:tcPr>
          <w:p>
            <w:pPr>
              <w:spacing w:after="0"/>
              <w:rPr>
                <w:sz w:val="18"/>
                <w:szCs w:val="18"/>
                <w:color w:val="auto"/>
              </w:rPr>
            </w:pPr>
          </w:p>
        </w:tc>
        <w:tc>
          <w:tcPr>
            <w:tcW w:w="1020" w:type="dxa"/>
            <w:vAlign w:val="bottom"/>
            <w:gridSpan w:val="5"/>
          </w:tcPr>
          <w:p>
            <w:pPr>
              <w:ind w:left="40"/>
              <w:spacing w:after="0"/>
              <w:rPr>
                <w:sz w:val="20"/>
                <w:szCs w:val="20"/>
                <w:color w:val="auto"/>
              </w:rPr>
            </w:pPr>
            <w:r>
              <w:rPr>
                <w:rFonts w:ascii="Arial" w:cs="Arial" w:eastAsia="Arial" w:hAnsi="Arial"/>
                <w:sz w:val="15"/>
                <w:szCs w:val="15"/>
                <w:color w:val="auto"/>
              </w:rPr>
              <w:t>​ ​​ ​ 2,052​​ ​</w:t>
            </w:r>
          </w:p>
        </w:tc>
        <w:tc>
          <w:tcPr>
            <w:tcW w:w="500" w:type="dxa"/>
            <w:vAlign w:val="bottom"/>
            <w:gridSpan w:val="2"/>
          </w:tcPr>
          <w:p>
            <w:pPr>
              <w:spacing w:after="0"/>
              <w:rPr>
                <w:sz w:val="20"/>
                <w:szCs w:val="20"/>
                <w:color w:val="auto"/>
              </w:rPr>
            </w:pPr>
            <w:r>
              <w:rPr>
                <w:rFonts w:ascii="Arial" w:cs="Arial" w:eastAsia="Arial" w:hAnsi="Arial"/>
                <w:sz w:val="15"/>
                <w:szCs w:val="15"/>
                <w:color w:val="auto"/>
              </w:rPr>
              <w:t>​ ​2,052</w:t>
            </w:r>
          </w:p>
        </w:tc>
        <w:tc>
          <w:tcPr>
            <w:tcW w:w="14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2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5"/>
                <w:szCs w:val="15"/>
                <w:color w:val="auto"/>
              </w:rPr>
              <w:t>Total long-term debt and finance lease obligations, excluding current</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righ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2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portion</w:t>
            </w:r>
          </w:p>
        </w:tc>
        <w:tc>
          <w:tcPr>
            <w:tcW w:w="16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5"/>
            <w:shd w:val="clear" w:color="auto" w:fill="CCEEFF"/>
          </w:tcPr>
          <w:p>
            <w:pPr>
              <w:ind w:left="40"/>
              <w:spacing w:after="0"/>
              <w:rPr>
                <w:sz w:val="20"/>
                <w:szCs w:val="20"/>
                <w:color w:val="auto"/>
              </w:rPr>
            </w:pPr>
            <w:r>
              <w:rPr>
                <w:rFonts w:ascii="Arial" w:cs="Arial" w:eastAsia="Arial" w:hAnsi="Arial"/>
                <w:sz w:val="15"/>
                <w:szCs w:val="15"/>
                <w:color w:val="auto"/>
              </w:rPr>
              <w:t>​ ​​ ​13,252​​ ​</w:t>
            </w: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320" w:type="dxa"/>
            <w:vAlign w:val="bottom"/>
            <w:shd w:val="clear" w:color="auto" w:fill="CCEEFF"/>
          </w:tcPr>
          <w:p>
            <w:pPr>
              <w:spacing w:after="0"/>
              <w:rPr>
                <w:sz w:val="16"/>
                <w:szCs w:val="16"/>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10"/>
        </w:trPr>
        <w:tc>
          <w:tcPr>
            <w:tcW w:w="4940" w:type="dxa"/>
            <w:vAlign w:val="bottom"/>
            <w:gridSpan w:val="3"/>
          </w:tcPr>
          <w:p>
            <w:pPr>
              <w:spacing w:after="0"/>
              <w:rPr>
                <w:sz w:val="20"/>
                <w:szCs w:val="20"/>
                <w:color w:val="auto"/>
              </w:rPr>
            </w:pPr>
            <w:r>
              <w:rPr>
                <w:rFonts w:ascii="Arial" w:cs="Arial" w:eastAsia="Arial" w:hAnsi="Arial"/>
                <w:sz w:val="15"/>
                <w:szCs w:val="15"/>
                <w:color w:val="auto"/>
              </w:rPr>
              <w:t>Total shareholders’ equity</w:t>
            </w:r>
          </w:p>
        </w:tc>
        <w:tc>
          <w:tcPr>
            <w:tcW w:w="160" w:type="dxa"/>
            <w:vAlign w:val="bottom"/>
          </w:tcPr>
          <w:p>
            <w:pPr>
              <w:spacing w:after="0"/>
              <w:rPr>
                <w:sz w:val="18"/>
                <w:szCs w:val="18"/>
                <w:color w:val="auto"/>
              </w:rPr>
            </w:pPr>
          </w:p>
        </w:tc>
        <w:tc>
          <w:tcPr>
            <w:tcW w:w="1020" w:type="dxa"/>
            <w:vAlign w:val="bottom"/>
            <w:gridSpan w:val="5"/>
          </w:tcPr>
          <w:p>
            <w:pPr>
              <w:ind w:left="40"/>
              <w:spacing w:after="0"/>
              <w:rPr>
                <w:sz w:val="20"/>
                <w:szCs w:val="20"/>
                <w:color w:val="auto"/>
              </w:rPr>
            </w:pPr>
            <w:r>
              <w:rPr>
                <w:rFonts w:ascii="Arial" w:cs="Arial" w:eastAsia="Arial" w:hAnsi="Arial"/>
                <w:sz w:val="15"/>
                <w:szCs w:val="15"/>
                <w:color w:val="auto"/>
              </w:rPr>
              <w:t>​ ​​ ​46,797​​ ​</w:t>
            </w:r>
          </w:p>
        </w:tc>
        <w:tc>
          <w:tcPr>
            <w:tcW w:w="180" w:type="dxa"/>
            <w:vAlign w:val="bottom"/>
          </w:tcPr>
          <w:p>
            <w:pPr>
              <w:spacing w:after="0"/>
              <w:rPr>
                <w:sz w:val="20"/>
                <w:szCs w:val="20"/>
                <w:color w:val="auto"/>
              </w:rPr>
            </w:pPr>
            <w:r>
              <w:rPr>
                <w:rFonts w:ascii="Arial" w:cs="Arial" w:eastAsia="Arial" w:hAnsi="Arial"/>
                <w:sz w:val="15"/>
                <w:szCs w:val="15"/>
                <w:color w:val="auto"/>
              </w:rPr>
              <w:t>​ ​</w:t>
            </w:r>
          </w:p>
        </w:tc>
        <w:tc>
          <w:tcPr>
            <w:tcW w:w="320" w:type="dxa"/>
            <w:vAlign w:val="bottom"/>
          </w:tcPr>
          <w:p>
            <w:pPr>
              <w:spacing w:after="0"/>
              <w:rPr>
                <w:sz w:val="18"/>
                <w:szCs w:val="18"/>
                <w:color w:val="auto"/>
              </w:rPr>
            </w:pPr>
          </w:p>
        </w:tc>
        <w:tc>
          <w:tcPr>
            <w:tcW w:w="140" w:type="dxa"/>
            <w:vAlign w:val="bottom"/>
            <w:gridSpan w:val="3"/>
          </w:tcPr>
          <w:p>
            <w:pPr>
              <w:jc w:val="right"/>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capitalization</w:t>
            </w:r>
          </w:p>
        </w:tc>
        <w:tc>
          <w:tcPr>
            <w:tcW w:w="16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5"/>
            <w:shd w:val="clear" w:color="auto" w:fill="CCEEFF"/>
          </w:tcPr>
          <w:p>
            <w:pPr>
              <w:ind w:left="40"/>
              <w:spacing w:after="0" w:line="190" w:lineRule="exact"/>
              <w:rPr>
                <w:sz w:val="20"/>
                <w:szCs w:val="20"/>
                <w:color w:val="auto"/>
              </w:rPr>
            </w:pPr>
            <w:r>
              <w:rPr>
                <w:rFonts w:ascii="Arial" w:cs="Arial" w:eastAsia="Arial" w:hAnsi="Arial"/>
                <w:sz w:val="22"/>
                <w:szCs w:val="22"/>
                <w:color w:val="auto"/>
                <w:vertAlign w:val="subscript"/>
              </w:rPr>
              <w:t>​ ​​</w:t>
            </w:r>
            <w:r>
              <w:rPr>
                <w:rFonts w:ascii="Arial" w:cs="Arial" w:eastAsia="Arial" w:hAnsi="Arial"/>
                <w:sz w:val="12"/>
                <w:szCs w:val="12"/>
                <w:u w:val="single" w:color="auto"/>
                <w:color w:val="auto"/>
              </w:rPr>
              <w:t>$</w:t>
            </w:r>
            <w:r>
              <w:rPr>
                <w:rFonts w:ascii="Arial" w:cs="Arial" w:eastAsia="Arial" w:hAnsi="Arial"/>
                <w:sz w:val="12"/>
                <w:szCs w:val="12"/>
                <w:color w:val="auto"/>
              </w:rPr>
              <w:t>60,049</w:t>
            </w:r>
            <w:r>
              <w:rPr>
                <w:rFonts w:ascii="Arial" w:cs="Arial" w:eastAsia="Arial" w:hAnsi="Arial"/>
                <w:sz w:val="22"/>
                <w:szCs w:val="22"/>
                <w:color w:val="auto"/>
                <w:vertAlign w:val="subscript"/>
              </w:rPr>
              <w:t>​​ ​</w:t>
            </w:r>
          </w:p>
        </w:tc>
        <w:tc>
          <w:tcPr>
            <w:tcW w:w="180" w:type="dxa"/>
            <w:vAlign w:val="bottom"/>
            <w:shd w:val="clear" w:color="auto" w:fill="CCEEFF"/>
          </w:tcPr>
          <w:p>
            <w:pPr>
              <w:spacing w:after="0" w:line="190"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3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-230505</wp:posOffset>
            </wp:positionV>
            <wp:extent cx="426212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62120"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-608965</wp:posOffset>
            </wp:positionV>
            <wp:extent cx="426212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62120"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-2775585</wp:posOffset>
            </wp:positionV>
            <wp:extent cx="426212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262120" cy="6985"/>
                    </a:xfrm>
                    <a:prstGeom prst="rect">
                      <a:avLst/>
                    </a:prstGeom>
                    <a:noFill/>
                  </pic:spPr>
                </pic:pic>
              </a:graphicData>
            </a:graphic>
          </wp:anchor>
        </w:drawing>
        <w:drawing>
          <wp:anchor simplePos="0" relativeHeight="251657728" behindDoc="1" locked="0" layoutInCell="0" allowOverlap="1">
            <wp:simplePos x="0" y="0"/>
            <wp:positionH relativeFrom="column">
              <wp:posOffset>4433570</wp:posOffset>
            </wp:positionH>
            <wp:positionV relativeFrom="paragraph">
              <wp:posOffset>-3945890</wp:posOffset>
            </wp:positionV>
            <wp:extent cx="11239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2395" cy="6985"/>
                    </a:xfrm>
                    <a:prstGeom prst="rect">
                      <a:avLst/>
                    </a:prstGeom>
                    <a:noFill/>
                  </pic:spPr>
                </pic:pic>
              </a:graphicData>
            </a:graphic>
          </wp:anchor>
        </w:drawing>
      </w:r>
    </w:p>
    <w:p>
      <w:pPr>
        <w:spacing w:after="0" w:line="87" w:lineRule="exact"/>
        <w:rPr>
          <w:sz w:val="20"/>
          <w:szCs w:val="20"/>
          <w:color w:val="auto"/>
        </w:rPr>
      </w:pPr>
    </w:p>
    <w:p>
      <w:pPr>
        <w:jc w:val="both"/>
        <w:ind w:left="1440" w:right="1279" w:hanging="292"/>
        <w:spacing w:after="0" w:line="287" w:lineRule="auto"/>
        <w:tabs>
          <w:tab w:leader="none" w:pos="14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2021, we entered into fixed-to-floating interest rate swaps on the 4.185% senior notes due 2027 with an aggregate $900 million notional amount equal to the principal amount of the 4.185% senior notes due 2027. The resulting variable interest paid is at a rate equal to the Secured</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 w:name="page16"/>
    <w:bookmarkEnd w:id="1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40" w:right="1279"/>
        <w:spacing w:after="0" w:line="260" w:lineRule="auto"/>
        <w:rPr>
          <w:sz w:val="20"/>
          <w:szCs w:val="20"/>
          <w:color w:val="auto"/>
        </w:rPr>
      </w:pPr>
      <w:r>
        <w:rPr>
          <w:rFonts w:ascii="Arial" w:cs="Arial" w:eastAsia="Arial" w:hAnsi="Arial"/>
          <w:sz w:val="15"/>
          <w:szCs w:val="15"/>
          <w:color w:val="auto"/>
        </w:rPr>
        <w:t>Overnight Financing Rate plus approximately 3.33%. The fixed-to-floating interest rate swaps are accounted for as fair value hedges, and as a result, the carrying values of our 4.185% senior notes due 2027 reflect adjustments in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 w:name="page17"/>
    <w:bookmarkEnd w:id="16"/>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DESCRIPTION OF THE NOTES</w:t>
      </w:r>
    </w:p>
    <w:p>
      <w:pPr>
        <w:spacing w:after="0" w:line="132" w:lineRule="exact"/>
        <w:rPr>
          <w:sz w:val="20"/>
          <w:szCs w:val="20"/>
          <w:color w:val="auto"/>
        </w:rPr>
      </w:pPr>
    </w:p>
    <w:p>
      <w:pPr>
        <w:ind w:left="1140" w:right="1199"/>
        <w:spacing w:after="0"/>
        <w:rPr>
          <w:sz w:val="20"/>
          <w:szCs w:val="20"/>
          <w:color w:val="auto"/>
        </w:rPr>
      </w:pPr>
      <w:r>
        <w:rPr>
          <w:rFonts w:ascii="Arial" w:cs="Arial" w:eastAsia="Arial" w:hAnsi="Arial"/>
          <w:sz w:val="15"/>
          <w:szCs w:val="15"/>
          <w:i w:val="1"/>
          <w:iCs w:val="1"/>
          <w:color w:val="auto"/>
        </w:rPr>
        <w:t>The notes will be issued under a base indenture (the “Base Indenture”), dated as of February 6, 2019, between Micron Technology, Inc. and U.S. Bank Trust Company, National Association (as successor in interest to U.S. Bank National Association), as trustee (the “Trustee”), as supplemented by a supplemental indenture, to be dated                      , 2025, with respect to the notes (the “Supplemental Indenture” and, together with the Base Indenture, the “Indenture”).</w:t>
      </w:r>
    </w:p>
    <w:p>
      <w:pPr>
        <w:spacing w:after="0" w:line="98" w:lineRule="exact"/>
        <w:rPr>
          <w:sz w:val="20"/>
          <w:szCs w:val="20"/>
          <w:color w:val="auto"/>
        </w:rPr>
      </w:pPr>
    </w:p>
    <w:p>
      <w:pPr>
        <w:ind w:left="1140" w:right="1159"/>
        <w:spacing w:after="0" w:line="244" w:lineRule="auto"/>
        <w:rPr>
          <w:sz w:val="20"/>
          <w:szCs w:val="20"/>
          <w:color w:val="auto"/>
        </w:rPr>
      </w:pPr>
      <w:r>
        <w:rPr>
          <w:rFonts w:ascii="Arial" w:cs="Arial" w:eastAsia="Arial" w:hAnsi="Arial"/>
          <w:sz w:val="15"/>
          <w:szCs w:val="15"/>
          <w:i w:val="1"/>
          <w:iCs w:val="1"/>
          <w:color w:val="auto"/>
        </w:rPr>
        <w:t>The following description is a summary of the material provisions of the Indenture, and does not restate the terms of the Indenture in its entirety. We urge you to read the Indenture because it, and not this description, defines your rights as holders of the notes. Defined terms used but not defined in this description have the meanings assigned to them in the Indenture.</w:t>
      </w:r>
    </w:p>
    <w:p>
      <w:pPr>
        <w:spacing w:after="0" w:line="93" w:lineRule="exact"/>
        <w:rPr>
          <w:sz w:val="20"/>
          <w:szCs w:val="20"/>
          <w:color w:val="auto"/>
        </w:rPr>
      </w:pPr>
    </w:p>
    <w:p>
      <w:pPr>
        <w:ind w:left="1140" w:right="1759"/>
        <w:spacing w:after="0" w:line="271" w:lineRule="auto"/>
        <w:rPr>
          <w:sz w:val="20"/>
          <w:szCs w:val="20"/>
          <w:color w:val="auto"/>
        </w:rPr>
      </w:pPr>
      <w:r>
        <w:rPr>
          <w:rFonts w:ascii="Arial" w:cs="Arial" w:eastAsia="Arial" w:hAnsi="Arial"/>
          <w:sz w:val="15"/>
          <w:szCs w:val="15"/>
          <w:i w:val="1"/>
          <w:iCs w:val="1"/>
          <w:color w:val="auto"/>
        </w:rPr>
        <w:t>The registered holder of a note will be treated as the owner of such note for all purposes. Only registered holders will have rights under the Indenture.</w:t>
      </w:r>
    </w:p>
    <w:p>
      <w:pPr>
        <w:spacing w:after="0" w:line="74" w:lineRule="exact"/>
        <w:rPr>
          <w:sz w:val="20"/>
          <w:szCs w:val="20"/>
          <w:color w:val="auto"/>
        </w:rPr>
      </w:pPr>
    </w:p>
    <w:p>
      <w:pPr>
        <w:ind w:left="1140"/>
        <w:spacing w:after="0"/>
        <w:rPr>
          <w:sz w:val="20"/>
          <w:szCs w:val="20"/>
          <w:color w:val="auto"/>
        </w:rPr>
      </w:pPr>
      <w:r>
        <w:rPr>
          <w:rFonts w:ascii="Arial" w:cs="Arial" w:eastAsia="Arial" w:hAnsi="Arial"/>
          <w:sz w:val="15"/>
          <w:szCs w:val="15"/>
          <w:i w:val="1"/>
          <w:iCs w:val="1"/>
          <w:color w:val="auto"/>
        </w:rPr>
        <w:t>The definition of certain terms used in this description are summarized under the subheading</w:t>
      </w:r>
    </w:p>
    <w:p>
      <w:pPr>
        <w:spacing w:after="0" w:line="5" w:lineRule="exact"/>
        <w:rPr>
          <w:sz w:val="20"/>
          <w:szCs w:val="20"/>
          <w:color w:val="auto"/>
        </w:rPr>
      </w:pPr>
    </w:p>
    <w:p>
      <w:pPr>
        <w:ind w:left="1140" w:right="1359"/>
        <w:spacing w:after="0" w:line="239" w:lineRule="auto"/>
        <w:rPr>
          <w:sz w:val="20"/>
          <w:szCs w:val="20"/>
          <w:color w:val="auto"/>
        </w:rPr>
      </w:pPr>
      <w:r>
        <w:rPr>
          <w:rFonts w:ascii="Arial" w:cs="Arial" w:eastAsia="Arial" w:hAnsi="Arial"/>
          <w:sz w:val="15"/>
          <w:szCs w:val="15"/>
          <w:i w:val="1"/>
          <w:iCs w:val="1"/>
          <w:color w:val="auto"/>
        </w:rPr>
        <w:t>“— Certain Definitions.” In this description, references to “Micron,” “us,” “we,” “our” or the “Company” refer only to Micron Technology, Inc. and not to any of its subsidiaries.</w:t>
      </w:r>
    </w:p>
    <w:p>
      <w:pPr>
        <w:spacing w:after="0" w:line="15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General</w:t>
      </w:r>
    </w:p>
    <w:p>
      <w:pPr>
        <w:spacing w:after="0" w:line="122" w:lineRule="exact"/>
        <w:rPr>
          <w:sz w:val="20"/>
          <w:szCs w:val="20"/>
          <w:color w:val="auto"/>
        </w:rPr>
      </w:pPr>
    </w:p>
    <w:p>
      <w:pPr>
        <w:ind w:left="1140" w:right="1539"/>
        <w:spacing w:after="0" w:line="259" w:lineRule="auto"/>
        <w:rPr>
          <w:sz w:val="20"/>
          <w:szCs w:val="20"/>
          <w:color w:val="auto"/>
        </w:rPr>
      </w:pPr>
      <w:r>
        <w:rPr>
          <w:rFonts w:ascii="Arial" w:cs="Arial" w:eastAsia="Arial" w:hAnsi="Arial"/>
          <w:sz w:val="15"/>
          <w:szCs w:val="15"/>
          <w:color w:val="auto"/>
        </w:rPr>
        <w:t>We will issue $            aggregate principal amount of notes. The notes will mature on                      , 20    . Interest on the notes will accrue at the rate of        % per annum.</w:t>
      </w:r>
    </w:p>
    <w:p>
      <w:pPr>
        <w:spacing w:after="0" w:line="80" w:lineRule="exact"/>
        <w:rPr>
          <w:sz w:val="20"/>
          <w:szCs w:val="20"/>
          <w:color w:val="auto"/>
        </w:rPr>
      </w:pPr>
    </w:p>
    <w:p>
      <w:pPr>
        <w:ind w:left="1140" w:right="1219"/>
        <w:spacing w:after="0" w:line="238" w:lineRule="auto"/>
        <w:rPr>
          <w:sz w:val="20"/>
          <w:szCs w:val="20"/>
          <w:color w:val="auto"/>
        </w:rPr>
      </w:pPr>
      <w:r>
        <w:rPr>
          <w:rFonts w:ascii="Arial" w:cs="Arial" w:eastAsia="Arial" w:hAnsi="Arial"/>
          <w:sz w:val="15"/>
          <w:szCs w:val="15"/>
          <w:color w:val="auto"/>
        </w:rPr>
        <w:t>The notes will be senior unsecured obligations and will rank on the same basis with all of our other senior unsecured indebtedness from time to time outstanding. The Indenture does not limit the aggregate principal amount of securities that may be issued under the Indenture. Without the consent of the holders, we may increase the aggregate principal amount of the notes in the future on the same terms and conditions (except for issuance date, price and, in some cases, the initial interest payment date) as the notes being offered hereby. Securities may be issued under the Indenture from time to time as a single series or in two or more separate series up to the aggregate principal amount authorized by us from time to time for the notes of any series. Additional notes of a series may only bear the same CUSIP number if they would be fungible for United States federal tax purposes with the existing notes of that series.</w:t>
      </w:r>
    </w:p>
    <w:p>
      <w:pPr>
        <w:spacing w:after="0" w:line="100" w:lineRule="exact"/>
        <w:rPr>
          <w:sz w:val="20"/>
          <w:szCs w:val="20"/>
          <w:color w:val="auto"/>
        </w:rPr>
      </w:pPr>
    </w:p>
    <w:p>
      <w:pPr>
        <w:ind w:left="1140" w:right="1179"/>
        <w:spacing w:after="0" w:line="242" w:lineRule="auto"/>
        <w:rPr>
          <w:sz w:val="20"/>
          <w:szCs w:val="20"/>
          <w:color w:val="auto"/>
        </w:rPr>
      </w:pPr>
      <w:r>
        <w:rPr>
          <w:rFonts w:ascii="Arial" w:cs="Arial" w:eastAsia="Arial" w:hAnsi="Arial"/>
          <w:sz w:val="15"/>
          <w:szCs w:val="15"/>
          <w:color w:val="auto"/>
        </w:rPr>
        <w:t>If the maturity date of any notes falls on a day that is not a Business Day, payment of principal, premium, if any, and interest for such notes then due will be paid on the next Business Day. No interest on that payment will accrue from and after the maturity date. Payments of principal, premium, if any, and interest on the notes will be made by us through the Trustee to DTC. The notes will be issued in the form of one or more fully registered global securities in minimum denominations of $2,000 and integral multiples of $1,000 in excess thereof.</w:t>
      </w:r>
    </w:p>
    <w:p>
      <w:pPr>
        <w:spacing w:after="0" w:line="14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Interest</w:t>
      </w:r>
    </w:p>
    <w:p>
      <w:pPr>
        <w:spacing w:after="0" w:line="12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The notes will accrue interest at a rate of        % per annum. Interest on the notes will accrue from</w:t>
      </w:r>
    </w:p>
    <w:p>
      <w:pPr>
        <w:spacing w:after="0" w:line="18" w:lineRule="exact"/>
        <w:rPr>
          <w:sz w:val="20"/>
          <w:szCs w:val="20"/>
          <w:color w:val="auto"/>
        </w:rPr>
      </w:pPr>
    </w:p>
    <w:p>
      <w:pPr>
        <w:ind w:left="1140" w:right="1179" w:firstLine="8"/>
        <w:spacing w:after="0" w:line="282" w:lineRule="auto"/>
        <w:tabs>
          <w:tab w:leader="none" w:pos="1221" w:val="left"/>
        </w:tabs>
        <w:numPr>
          <w:ilvl w:val="0"/>
          <w:numId w:val="9"/>
        </w:numPr>
        <w:rPr>
          <w:rFonts w:ascii="Arial" w:cs="Arial" w:eastAsia="Arial" w:hAnsi="Arial"/>
          <w:sz w:val="13"/>
          <w:szCs w:val="13"/>
          <w:color w:val="auto"/>
        </w:rPr>
      </w:pPr>
      <w:r>
        <w:rPr>
          <w:rFonts w:ascii="Arial" w:cs="Arial" w:eastAsia="Arial" w:hAnsi="Arial"/>
          <w:sz w:val="13"/>
          <w:szCs w:val="13"/>
          <w:color w:val="auto"/>
        </w:rPr>
        <w:t>                   , 2025, or from the most recent interest payment date to which interest has been paid or provided for, to, but excluding, the relevant interest payment date. The Company will make interest payments on the notes semi-annually in arrears on                      and                      of each year, beginning on                      , 2025, to the Person in whose name such notes are registered at the close of business on the immediately preceding                      or                      , as applicable.</w:t>
      </w:r>
    </w:p>
    <w:p>
      <w:pPr>
        <w:spacing w:after="0" w:line="6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Interest on the notes will be computed on the basis of a 360-day year of twelve 30-day months.</w:t>
      </w:r>
    </w:p>
    <w:p>
      <w:pPr>
        <w:spacing w:after="0" w:line="126" w:lineRule="exact"/>
        <w:rPr>
          <w:sz w:val="20"/>
          <w:szCs w:val="20"/>
          <w:color w:val="auto"/>
        </w:rPr>
      </w:pPr>
    </w:p>
    <w:p>
      <w:pPr>
        <w:ind w:left="1140" w:right="1199"/>
        <w:spacing w:after="0" w:line="270" w:lineRule="auto"/>
        <w:rPr>
          <w:sz w:val="20"/>
          <w:szCs w:val="20"/>
          <w:color w:val="auto"/>
        </w:rPr>
      </w:pPr>
      <w:r>
        <w:rPr>
          <w:rFonts w:ascii="Arial" w:cs="Arial" w:eastAsia="Arial" w:hAnsi="Arial"/>
          <w:sz w:val="14"/>
          <w:szCs w:val="14"/>
          <w:color w:val="auto"/>
        </w:rPr>
        <w:t>If an interest payment date for the notes falls on a day that is not a Business Day, the interest payment shall be postponed to the next succeeding Business Day as if made on the date such payment was due, and no interest on such payment shall accrue for the period from and after such interest payment date.</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 w:name="page18"/>
    <w:bookmarkEnd w:id="1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Optional Redemption</w:t>
      </w:r>
    </w:p>
    <w:p>
      <w:pPr>
        <w:spacing w:after="0" w:line="133" w:lineRule="exact"/>
        <w:rPr>
          <w:sz w:val="20"/>
          <w:szCs w:val="20"/>
          <w:color w:val="auto"/>
        </w:rPr>
      </w:pPr>
    </w:p>
    <w:p>
      <w:pPr>
        <w:jc w:val="both"/>
        <w:ind w:left="1140" w:right="1359"/>
        <w:spacing w:after="0" w:line="260" w:lineRule="auto"/>
        <w:rPr>
          <w:sz w:val="20"/>
          <w:szCs w:val="20"/>
          <w:color w:val="auto"/>
        </w:rPr>
      </w:pPr>
      <w:r>
        <w:rPr>
          <w:rFonts w:ascii="Arial" w:cs="Arial" w:eastAsia="Arial" w:hAnsi="Arial"/>
          <w:sz w:val="15"/>
          <w:szCs w:val="15"/>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58" w:lineRule="exact"/>
        <w:rPr>
          <w:sz w:val="20"/>
          <w:szCs w:val="20"/>
          <w:color w:val="auto"/>
        </w:rPr>
      </w:pPr>
    </w:p>
    <w:p>
      <w:pPr>
        <w:ind w:left="1580" w:right="1199" w:hanging="138"/>
        <w:spacing w:after="0" w:line="252" w:lineRule="auto"/>
        <w:tabs>
          <w:tab w:leader="none" w:pos="1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basis points, less (ii) interest accrued to the date of redemption, and</w:t>
      </w:r>
    </w:p>
    <w:p>
      <w:pPr>
        <w:spacing w:after="0" w:line="65" w:lineRule="exact"/>
        <w:rPr>
          <w:rFonts w:ascii="Arial" w:cs="Arial" w:eastAsia="Arial" w:hAnsi="Arial"/>
          <w:sz w:val="15"/>
          <w:szCs w:val="15"/>
          <w:color w:val="auto"/>
        </w:rPr>
      </w:pPr>
    </w:p>
    <w:p>
      <w:pPr>
        <w:ind w:left="1580" w:hanging="138"/>
        <w:spacing w:after="0"/>
        <w:tabs>
          <w:tab w:leader="none" w:pos="1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100% of the principal amount of the notes to be redeemed,</w:t>
      </w:r>
    </w:p>
    <w:p>
      <w:pPr>
        <w:spacing w:after="0" w:line="126" w:lineRule="exact"/>
        <w:rPr>
          <w:sz w:val="20"/>
          <w:szCs w:val="20"/>
          <w:color w:val="auto"/>
        </w:rPr>
      </w:pPr>
    </w:p>
    <w:p>
      <w:pPr>
        <w:ind w:left="1140" w:right="1419"/>
        <w:spacing w:after="0" w:line="274" w:lineRule="auto"/>
        <w:rPr>
          <w:sz w:val="20"/>
          <w:szCs w:val="20"/>
          <w:color w:val="auto"/>
        </w:rPr>
      </w:pPr>
      <w:r>
        <w:rPr>
          <w:rFonts w:ascii="Arial" w:cs="Arial" w:eastAsia="Arial" w:hAnsi="Arial"/>
          <w:sz w:val="15"/>
          <w:szCs w:val="15"/>
          <w:color w:val="auto"/>
        </w:rPr>
        <w:t>plus accrued and unpaid interest, if any, on the amount being redeemed to, but excluding, the date of redemption. We will calculate the redemption price.</w:t>
      </w:r>
    </w:p>
    <w:p>
      <w:pPr>
        <w:spacing w:after="0" w:line="70" w:lineRule="exact"/>
        <w:rPr>
          <w:sz w:val="20"/>
          <w:szCs w:val="20"/>
          <w:color w:val="auto"/>
        </w:rPr>
      </w:pPr>
    </w:p>
    <w:p>
      <w:pPr>
        <w:ind w:left="1140" w:right="1219"/>
        <w:spacing w:after="0" w:line="287" w:lineRule="auto"/>
        <w:rPr>
          <w:sz w:val="20"/>
          <w:szCs w:val="20"/>
          <w:color w:val="auto"/>
        </w:rPr>
      </w:pPr>
      <w:r>
        <w:rPr>
          <w:rFonts w:ascii="Arial" w:cs="Arial" w:eastAsia="Arial" w:hAnsi="Arial"/>
          <w:sz w:val="14"/>
          <w:szCs w:val="14"/>
          <w:color w:val="auto"/>
        </w:rPr>
        <w:t>On or after the Par Call Date, the Company may, at its option, redeem the notes, in whole or in part, at any time and from time to time, at a redemption price equal to 100% of the principal amount of the notes redeemed, plus accrued and unpaid interest thereon, if any, to, but excluding, the date of redemption.</w:t>
      </w:r>
    </w:p>
    <w:p>
      <w:pPr>
        <w:spacing w:after="0" w:line="74"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“Par Call Date” means                      , 20    (      months prior to the maturity date of the notes).</w:t>
      </w:r>
    </w:p>
    <w:p>
      <w:pPr>
        <w:spacing w:after="0" w:line="126" w:lineRule="exact"/>
        <w:rPr>
          <w:sz w:val="20"/>
          <w:szCs w:val="20"/>
          <w:color w:val="auto"/>
        </w:rPr>
      </w:pPr>
    </w:p>
    <w:p>
      <w:pPr>
        <w:ind w:left="1140" w:right="1159"/>
        <w:spacing w:after="0" w:line="247" w:lineRule="auto"/>
        <w:rPr>
          <w:sz w:val="20"/>
          <w:szCs w:val="20"/>
          <w:color w:val="auto"/>
        </w:rPr>
      </w:pPr>
      <w:r>
        <w:rPr>
          <w:rFonts w:ascii="Arial" w:cs="Arial" w:eastAsia="Arial" w:hAnsi="Arial"/>
          <w:sz w:val="15"/>
          <w:szCs w:val="15"/>
          <w:color w:val="auto"/>
        </w:rPr>
        <w:t>Notice of any redemption will be mailed or electronically delivered (or otherwise transmitted in accordance with the depositary’s procedures) at least 10 days but not more than 60 days before the redemption date to each holder of notes to be redeemed (with a copy to the Trustee). Unless the Company defaults in payment of the redemption price, on and after the redemption date, interest will cease to accrue on the notes or portions thereof called for redemption. On or before a redemption date, the Company will deposit with a paying agent (or the Trustee) money sufficient to pay the redemption price of and accrued interest on the notes to be redeemed on that date. In the case of a partial redemption of the notes, selection of the notes for redemption will be made pro rata, by lot or by such other method as the Trustee deems fair and appropriate.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The Depository Trust Company (“DTC”), Euroclear or Clearstream (or another depositary), the redemption of the notes shall be done in accordance with the policies and procedures of the depositary. Any redemption or notice of redemption may, at the Company’s discretion, be subject to one or more conditions precedent.</w:t>
      </w:r>
    </w:p>
    <w:p>
      <w:pPr>
        <w:spacing w:after="0" w:line="15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Mandatory Redemption; Offers to Purchase; Open Market Purchases</w:t>
      </w:r>
    </w:p>
    <w:p>
      <w:pPr>
        <w:spacing w:after="0" w:line="122" w:lineRule="exact"/>
        <w:rPr>
          <w:sz w:val="20"/>
          <w:szCs w:val="20"/>
          <w:color w:val="auto"/>
        </w:rPr>
      </w:pPr>
    </w:p>
    <w:p>
      <w:pPr>
        <w:ind w:left="1140" w:right="1219"/>
        <w:spacing w:after="0" w:line="252" w:lineRule="auto"/>
        <w:rPr>
          <w:sz w:val="20"/>
          <w:szCs w:val="20"/>
          <w:color w:val="auto"/>
        </w:rPr>
      </w:pPr>
      <w:r>
        <w:rPr>
          <w:rFonts w:ascii="Arial" w:cs="Arial" w:eastAsia="Arial" w:hAnsi="Arial"/>
          <w:sz w:val="15"/>
          <w:szCs w:val="15"/>
          <w:color w:val="auto"/>
        </w:rPr>
        <w:t>The Company is not required to make any mandatory redemption or sinking fund payments with respect to the notes. However, under certain circumstances, the Company may be required to offer to purchase the notes as described under the caption “— Repurchase of Notes upon a Change of Control Triggering Event.” The Company may at any time, and from time to time, purchase notes in the open market or otherwise.</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Ranking</w:t>
      </w:r>
    </w:p>
    <w:p>
      <w:pPr>
        <w:spacing w:after="0" w:line="12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The notes are general unsecured obligations of the Company. As a result, the notes rank:</w:t>
      </w:r>
    </w:p>
    <w:p>
      <w:pPr>
        <w:spacing w:after="0" w:line="92" w:lineRule="exact"/>
        <w:rPr>
          <w:sz w:val="20"/>
          <w:szCs w:val="20"/>
          <w:color w:val="auto"/>
        </w:rPr>
      </w:pPr>
    </w:p>
    <w:p>
      <w:pPr>
        <w:ind w:left="1580" w:right="1159" w:hanging="138"/>
        <w:spacing w:after="0" w:line="274" w:lineRule="auto"/>
        <w:tabs>
          <w:tab w:leader="none" w:pos="158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 xml:space="preserve">pari passu </w:t>
      </w:r>
      <w:r>
        <w:rPr>
          <w:rFonts w:ascii="Arial" w:cs="Arial" w:eastAsia="Arial" w:hAnsi="Arial"/>
          <w:sz w:val="15"/>
          <w:szCs w:val="15"/>
          <w:color w:val="auto"/>
        </w:rPr>
        <w:t>in right of payment with all existing and future unsecured unsubordinated indebtedness</w:t>
      </w:r>
      <w:r>
        <w:rPr>
          <w:rFonts w:ascii="Arial" w:cs="Arial" w:eastAsia="Arial" w:hAnsi="Arial"/>
          <w:sz w:val="15"/>
          <w:szCs w:val="15"/>
          <w:i w:val="1"/>
          <w:iCs w:val="1"/>
          <w:color w:val="auto"/>
        </w:rPr>
        <w:t xml:space="preserve"> </w:t>
      </w:r>
      <w:r>
        <w:rPr>
          <w:rFonts w:ascii="Arial" w:cs="Arial" w:eastAsia="Arial" w:hAnsi="Arial"/>
          <w:sz w:val="15"/>
          <w:szCs w:val="15"/>
          <w:color w:val="auto"/>
        </w:rPr>
        <w:t>of the Company;</w:t>
      </w:r>
    </w:p>
    <w:p>
      <w:pPr>
        <w:spacing w:after="0" w:line="47" w:lineRule="exact"/>
        <w:rPr>
          <w:rFonts w:ascii="Arial" w:cs="Arial" w:eastAsia="Arial" w:hAnsi="Arial"/>
          <w:sz w:val="15"/>
          <w:szCs w:val="15"/>
          <w:color w:val="auto"/>
        </w:rPr>
      </w:pPr>
    </w:p>
    <w:p>
      <w:pPr>
        <w:ind w:left="1580" w:right="1179" w:hanging="138"/>
        <w:spacing w:after="0" w:line="260" w:lineRule="auto"/>
        <w:tabs>
          <w:tab w:leader="none" w:pos="1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effectively subordinated to secured indebtedness of the Company, to the extent of the value of the assets securing such indebtedness or other obligations (unless the notes are equally and ratably secured with such indebtedness); and</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 w:name="page19"/>
    <w:bookmarkEnd w:id="1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 structurally subordinated to any indebtedness and other liabilities of the Company’s Subsidiaries.</w:t>
      </w:r>
    </w:p>
    <w:p>
      <w:pPr>
        <w:spacing w:after="0" w:line="137" w:lineRule="exact"/>
        <w:rPr>
          <w:sz w:val="20"/>
          <w:szCs w:val="20"/>
          <w:color w:val="auto"/>
        </w:rPr>
      </w:pPr>
    </w:p>
    <w:p>
      <w:pPr>
        <w:ind w:left="1140" w:right="1199"/>
        <w:spacing w:after="0" w:line="249" w:lineRule="auto"/>
        <w:rPr>
          <w:sz w:val="20"/>
          <w:szCs w:val="20"/>
          <w:color w:val="auto"/>
        </w:rPr>
      </w:pPr>
      <w:r>
        <w:rPr>
          <w:rFonts w:ascii="Arial" w:cs="Arial" w:eastAsia="Arial" w:hAnsi="Arial"/>
          <w:sz w:val="15"/>
          <w:szCs w:val="15"/>
          <w:color w:val="auto"/>
        </w:rPr>
        <w:t>A substantial portion of our assets are owned by and a substantial portion of our operations are conducted through our Subsidiaries, particularly our Foreign Subsidiaries. The Company’s existing and future Subsidiaries will not guarantee the notes. Claims of creditors of such Subsidiaries, including trade creditors, and creditors holding debt and guarantees issued by those Subsidiaries, and claims of preferred stockholders (if any) of those Subsidiaries generally will have priority with respect to the assets and earnings of those Subsidiaries over the claims of creditors of the Company, including holders of the notes. Accordingly, the notes are effectively subordinated to the claims of such creditors and preferred stockholders, if any, of the Company’s Subsidiaries.</w:t>
      </w:r>
    </w:p>
    <w:p>
      <w:pPr>
        <w:spacing w:after="0" w:line="14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Repurchase of Notes upon a Change of Control Triggering Event</w:t>
      </w:r>
    </w:p>
    <w:p>
      <w:pPr>
        <w:spacing w:after="0" w:line="122" w:lineRule="exact"/>
        <w:rPr>
          <w:sz w:val="20"/>
          <w:szCs w:val="20"/>
          <w:color w:val="auto"/>
        </w:rPr>
      </w:pPr>
    </w:p>
    <w:p>
      <w:pPr>
        <w:ind w:left="1140" w:right="1179"/>
        <w:spacing w:after="0" w:line="279" w:lineRule="auto"/>
        <w:rPr>
          <w:sz w:val="20"/>
          <w:szCs w:val="20"/>
          <w:color w:val="auto"/>
        </w:rPr>
      </w:pPr>
      <w:r>
        <w:rPr>
          <w:rFonts w:ascii="Arial" w:cs="Arial" w:eastAsia="Arial" w:hAnsi="Arial"/>
          <w:sz w:val="14"/>
          <w:szCs w:val="14"/>
          <w:color w:val="auto"/>
        </w:rPr>
        <w:t>Not later than 60 days following a Change of Control Triggering Event, unless the Company has exercised its right to redeem all of the notes as described under “— Optional Redemption,” the Company will make an Offer to Purchase all of the outstanding notes at a purchase price equal to 101% of the principal amount thereof plus accrued and unpaid interest, if any, to, but excluding, the date of purchase.</w:t>
      </w:r>
    </w:p>
    <w:p>
      <w:pPr>
        <w:spacing w:after="0" w:line="79" w:lineRule="exact"/>
        <w:rPr>
          <w:sz w:val="20"/>
          <w:szCs w:val="20"/>
          <w:color w:val="auto"/>
        </w:rPr>
      </w:pPr>
    </w:p>
    <w:p>
      <w:pPr>
        <w:ind w:left="1140" w:right="1199"/>
        <w:spacing w:after="0" w:line="249" w:lineRule="auto"/>
        <w:rPr>
          <w:sz w:val="20"/>
          <w:szCs w:val="20"/>
          <w:color w:val="auto"/>
        </w:rPr>
      </w:pPr>
      <w:r>
        <w:rPr>
          <w:rFonts w:ascii="Arial" w:cs="Arial" w:eastAsia="Arial" w:hAnsi="Arial"/>
          <w:sz w:val="15"/>
          <w:szCs w:val="15"/>
          <w:color w:val="auto"/>
        </w:rPr>
        <w:t>An “Offer to Purchase” must be made by written offer, which will specify the principal amount of notes subject to the offer and the purchase price. The offer must specify an expiration date (the “expiration date”) not less than 30 days or more than 60 days after the date of the offer and a settlement date for purchase (the “purchase date”) not more than five Business Days after the expiration date. The offer will also contain instructions and materials necessary to enable holders to tender notes pursuant to the offer. The offer shall, if delivered prior to the date of consummation of the Change of Control, state that the Offer to Purchase is conditioned on the Change of Control Triggering Event occurring on or prior to the purchase date.</w:t>
      </w:r>
    </w:p>
    <w:p>
      <w:pPr>
        <w:spacing w:after="0" w:line="103" w:lineRule="exact"/>
        <w:rPr>
          <w:sz w:val="20"/>
          <w:szCs w:val="20"/>
          <w:color w:val="auto"/>
        </w:rPr>
      </w:pPr>
    </w:p>
    <w:p>
      <w:pPr>
        <w:ind w:left="1140" w:right="1259"/>
        <w:spacing w:after="0" w:line="250" w:lineRule="auto"/>
        <w:rPr>
          <w:sz w:val="20"/>
          <w:szCs w:val="20"/>
          <w:color w:val="auto"/>
        </w:rPr>
      </w:pPr>
      <w:r>
        <w:rPr>
          <w:rFonts w:ascii="Arial" w:cs="Arial" w:eastAsia="Arial" w:hAnsi="Arial"/>
          <w:sz w:val="15"/>
          <w:szCs w:val="15"/>
          <w:color w:val="auto"/>
        </w:rPr>
        <w:t>A holder may tender all or any portion of its notes pursuant to an Offer to Purchase, subject to the requirement that any portion of a note tendered must be in a minimum denomination of $2,000 and integral multiples of $1,000 in excess thereof. Holders are entitled to withdraw notes tendered up to the close of business on the expiration date. On the purchase date the purchase price will become due and payable on each note accepted for purchase pursuant to the Offer to Purchase, and, unless the Company defaults in the payment of the purchase price, interest on notes purchased will cease to accrue on and after the purchase date.</w:t>
      </w:r>
    </w:p>
    <w:p>
      <w:pPr>
        <w:spacing w:after="0" w:line="89" w:lineRule="exact"/>
        <w:rPr>
          <w:sz w:val="20"/>
          <w:szCs w:val="20"/>
          <w:color w:val="auto"/>
        </w:rPr>
      </w:pPr>
    </w:p>
    <w:p>
      <w:pPr>
        <w:jc w:val="both"/>
        <w:ind w:left="1140" w:right="1539"/>
        <w:spacing w:after="0" w:line="260" w:lineRule="auto"/>
        <w:rPr>
          <w:sz w:val="20"/>
          <w:szCs w:val="20"/>
          <w:color w:val="auto"/>
        </w:rPr>
      </w:pPr>
      <w:r>
        <w:rPr>
          <w:rFonts w:ascii="Arial" w:cs="Arial" w:eastAsia="Arial" w:hAnsi="Arial"/>
          <w:sz w:val="15"/>
          <w:szCs w:val="15"/>
          <w:color w:val="auto"/>
        </w:rPr>
        <w:t>The Company will comply with Rule 14e-1 under the Exchange Act and all other applicable laws in making any Offer to Purchase, and the above procedures will be deemed modified as necessary to permit such compliance.</w:t>
      </w:r>
    </w:p>
    <w:p>
      <w:pPr>
        <w:spacing w:after="0" w:line="91" w:lineRule="exact"/>
        <w:rPr>
          <w:sz w:val="20"/>
          <w:szCs w:val="20"/>
          <w:color w:val="auto"/>
        </w:rPr>
      </w:pPr>
    </w:p>
    <w:p>
      <w:pPr>
        <w:ind w:left="1140" w:right="1179"/>
        <w:spacing w:after="0" w:line="249" w:lineRule="auto"/>
        <w:rPr>
          <w:sz w:val="20"/>
          <w:szCs w:val="20"/>
          <w:color w:val="auto"/>
        </w:rPr>
      </w:pPr>
      <w:r>
        <w:rPr>
          <w:rFonts w:ascii="Arial" w:cs="Arial" w:eastAsia="Arial" w:hAnsi="Arial"/>
          <w:sz w:val="15"/>
          <w:szCs w:val="15"/>
          <w:color w:val="auto"/>
        </w:rPr>
        <w:t>The Company will not be required to make an Offer to Purchase following a Change of Control Triggering Event with respect to the notes if (1) a third party makes the Offer to Purchase in the manner, at the times and otherwise in compliance with the requirements set forth in the Indenture applicable to an Offer to Purchase made by the Company and purchases all such notes validly tendered and not withdrawn under such Offer to Purchase or (2) a notice of redemption has been given pursuant to the Indenture as described above under the caption “— Optional Redemption.” Notwithstanding anything to the contrary herein,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101" w:lineRule="exact"/>
        <w:rPr>
          <w:sz w:val="20"/>
          <w:szCs w:val="20"/>
          <w:color w:val="auto"/>
        </w:rPr>
      </w:pPr>
    </w:p>
    <w:p>
      <w:pPr>
        <w:ind w:left="1140" w:right="1219"/>
        <w:spacing w:after="0" w:line="270" w:lineRule="auto"/>
        <w:rPr>
          <w:sz w:val="20"/>
          <w:szCs w:val="20"/>
          <w:color w:val="auto"/>
        </w:rPr>
      </w:pPr>
      <w:r>
        <w:rPr>
          <w:rFonts w:ascii="Arial" w:cs="Arial" w:eastAsia="Arial" w:hAnsi="Arial"/>
          <w:sz w:val="14"/>
          <w:szCs w:val="14"/>
          <w:color w:val="auto"/>
        </w:rPr>
        <w:t>If holders of not less than 90% in aggregate principal amount of the outstanding notes validly tender and do not withdraw such notes in a change of control offer and the Company, or any third party approved in writing by the Company making a change of control offer in lieu of the Company as described above, purchases all of the notes validly tendered and not withdrawn by such holders, the Company or such third party will have the right, upon not less than 10 nor more than 60 days’ prior notice, given not more than 30 days following such purchase pursuant to the Offer to Purchase, to redeem (with respect to the Company) or purchase (with respect to a third party) all notes that remain outstanding following such purchase on a date (the “second change of control payment date”) at a purchase price</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 w:name="page20"/>
    <w:bookmarkEnd w:id="1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39"/>
        <w:spacing w:after="0" w:line="274" w:lineRule="auto"/>
        <w:rPr>
          <w:sz w:val="20"/>
          <w:szCs w:val="20"/>
          <w:color w:val="auto"/>
        </w:rPr>
      </w:pPr>
      <w:r>
        <w:rPr>
          <w:rFonts w:ascii="Arial" w:cs="Arial" w:eastAsia="Arial" w:hAnsi="Arial"/>
          <w:sz w:val="15"/>
          <w:szCs w:val="15"/>
          <w:color w:val="auto"/>
        </w:rPr>
        <w:t>equal to 101% of the principal amount thereof plus accrued and unpaid interest, if any, to, but excluding, the second change of control payment date.</w:t>
      </w:r>
    </w:p>
    <w:p>
      <w:pPr>
        <w:spacing w:after="0" w:line="70" w:lineRule="exact"/>
        <w:rPr>
          <w:sz w:val="20"/>
          <w:szCs w:val="20"/>
          <w:color w:val="auto"/>
        </w:rPr>
      </w:pPr>
    </w:p>
    <w:p>
      <w:pPr>
        <w:ind w:left="1140" w:right="1159"/>
        <w:spacing w:after="0" w:line="256" w:lineRule="auto"/>
        <w:rPr>
          <w:sz w:val="20"/>
          <w:szCs w:val="20"/>
          <w:color w:val="auto"/>
        </w:rPr>
      </w:pPr>
      <w:r>
        <w:rPr>
          <w:rFonts w:ascii="Arial" w:cs="Arial" w:eastAsia="Arial" w:hAnsi="Arial"/>
          <w:sz w:val="14"/>
          <w:szCs w:val="14"/>
          <w:color w:val="auto"/>
        </w:rPr>
        <w:t>Other indebtedness to which the Company or its Subsidiaries are or may in the future be subject to may have prohibitions on changes of control or provide that a change of control event is an event of default or the trigger of another right of repayment. If the exercise by the holders of their right to require the Company to repurchase the notes upon a Change of Control Triggering Event occurred at the same time as a change of control event under one or more of the Company’s other debt agreements, the Company’s ability to pay cash to the holders upon a repurchase may be further limited by the Company’s then-existing financial resources. See “Risk Factors — Risks Related to the Notes — Upon a Change of Control Triggering Event, we may not have the funds necessary to finance the change of control offer required by the indenture governing the notes, which would violate the terms of the indenture.”</w:t>
      </w:r>
    </w:p>
    <w:p>
      <w:pPr>
        <w:spacing w:after="0" w:line="88" w:lineRule="exact"/>
        <w:rPr>
          <w:sz w:val="20"/>
          <w:szCs w:val="20"/>
          <w:color w:val="auto"/>
        </w:rPr>
      </w:pPr>
    </w:p>
    <w:p>
      <w:pPr>
        <w:ind w:left="1140" w:right="1179"/>
        <w:spacing w:after="0" w:line="260" w:lineRule="auto"/>
        <w:rPr>
          <w:sz w:val="20"/>
          <w:szCs w:val="20"/>
          <w:color w:val="auto"/>
        </w:rPr>
      </w:pPr>
      <w:r>
        <w:rPr>
          <w:rFonts w:ascii="Arial" w:cs="Arial" w:eastAsia="Arial" w:hAnsi="Arial"/>
          <w:sz w:val="14"/>
          <w:szCs w:val="14"/>
          <w:color w:val="auto"/>
        </w:rPr>
        <w:t>The phrase “all or substantially all,” as used with respect to the assets of the Company in the definition of “Change of Control” and in the covenant summarized below under “— Certain Covenants —  Consolidation, Merger and Conveyance, Transfer and Lease of All or Substantially All Assets,” is subject to interpretation under applicable state law, and its applicability in a given instance would depend upon the facts and circumstances. As a result, there may be a degree of uncertainty in ascertaining whether a sale or transfer of “all or substantially all” the assets of the Company has occurred in a particular instance, in which case a holder’s ability to obtain the benefit of these provisions could be unclear.</w:t>
      </w:r>
    </w:p>
    <w:p>
      <w:pPr>
        <w:spacing w:after="0" w:line="82" w:lineRule="exact"/>
        <w:rPr>
          <w:sz w:val="20"/>
          <w:szCs w:val="20"/>
          <w:color w:val="auto"/>
        </w:rPr>
      </w:pPr>
    </w:p>
    <w:p>
      <w:pPr>
        <w:ind w:left="1140" w:right="1179"/>
        <w:spacing w:after="0" w:line="237" w:lineRule="auto"/>
        <w:rPr>
          <w:sz w:val="20"/>
          <w:szCs w:val="20"/>
          <w:color w:val="auto"/>
        </w:rPr>
      </w:pPr>
      <w:r>
        <w:rPr>
          <w:rFonts w:ascii="Arial" w:cs="Arial" w:eastAsia="Arial" w:hAnsi="Arial"/>
          <w:sz w:val="15"/>
          <w:szCs w:val="15"/>
          <w:color w:val="auto"/>
        </w:rPr>
        <w:t>The Change of Control purchase feature of the notes may in certain circumstances make more difficult or discourage a sale or takeover of the Company and, thus, the removal of incumbent management. The Change of Control purchase feature is a result of negotiations between the underwriters and the Company. Subject to the limitations discussed below, the Company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the Company’s capital structure or credit ratings. Restrictions on the Company’s ability to incur additional secured Indebtedness are contained in the covenants described under “— Certain Covenants — Limitation on Liens” and “— Certain Covenants — Limitation on Sale and Lease-Back Transactions.” Such restrictions in the Indenture can be waived with respect to the notes only with the consent of the holders of a majority in principal amount of the notes then outstanding. Except for the limitations contained in such covenants, however, the Indenture will not contain any covenants or provisions that may afford holders of the notes protection in the event of a highly leveraged transaction.</w:t>
      </w:r>
    </w:p>
    <w:p>
      <w:pPr>
        <w:spacing w:after="0" w:line="99" w:lineRule="exact"/>
        <w:rPr>
          <w:sz w:val="20"/>
          <w:szCs w:val="20"/>
          <w:color w:val="auto"/>
        </w:rPr>
      </w:pPr>
    </w:p>
    <w:p>
      <w:pPr>
        <w:jc w:val="both"/>
        <w:ind w:left="1140" w:right="1219"/>
        <w:spacing w:after="0" w:line="252" w:lineRule="auto"/>
        <w:rPr>
          <w:sz w:val="20"/>
          <w:szCs w:val="20"/>
          <w:color w:val="auto"/>
        </w:rPr>
      </w:pPr>
      <w:r>
        <w:rPr>
          <w:rFonts w:ascii="Arial" w:cs="Arial" w:eastAsia="Arial" w:hAnsi="Arial"/>
          <w:sz w:val="15"/>
          <w:szCs w:val="15"/>
          <w:color w:val="auto"/>
        </w:rPr>
        <w:t>The provisions under the Indenture relating to the Company’s obligation to make an offer to repurchase the notes as a result of a Change of Control Triggering Event may be waived or modified with the written consent of the holders of a majority in principal amount of the notes.</w:t>
      </w:r>
    </w:p>
    <w:p>
      <w:pPr>
        <w:spacing w:after="0" w:line="13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Exchange and Transfer</w:t>
      </w:r>
    </w:p>
    <w:p>
      <w:pPr>
        <w:spacing w:after="0" w:line="133" w:lineRule="exact"/>
        <w:rPr>
          <w:sz w:val="20"/>
          <w:szCs w:val="20"/>
          <w:color w:val="auto"/>
        </w:rPr>
      </w:pPr>
    </w:p>
    <w:p>
      <w:pPr>
        <w:ind w:left="1140" w:right="1439"/>
        <w:spacing w:after="0" w:line="259" w:lineRule="auto"/>
        <w:rPr>
          <w:sz w:val="20"/>
          <w:szCs w:val="20"/>
          <w:color w:val="auto"/>
        </w:rPr>
      </w:pPr>
      <w:r>
        <w:rPr>
          <w:rFonts w:ascii="Arial" w:cs="Arial" w:eastAsia="Arial" w:hAnsi="Arial"/>
          <w:sz w:val="15"/>
          <w:szCs w:val="15"/>
          <w:color w:val="auto"/>
        </w:rPr>
        <w:t>Holders of the notes generally will be able to exchange their notes for other notes with the same total principal amount and the same terms.</w:t>
      </w:r>
    </w:p>
    <w:p>
      <w:pPr>
        <w:spacing w:after="0" w:line="80" w:lineRule="exact"/>
        <w:rPr>
          <w:sz w:val="20"/>
          <w:szCs w:val="20"/>
          <w:color w:val="auto"/>
        </w:rPr>
      </w:pPr>
    </w:p>
    <w:p>
      <w:pPr>
        <w:ind w:left="1140" w:right="1199"/>
        <w:spacing w:after="0" w:line="260" w:lineRule="auto"/>
        <w:rPr>
          <w:sz w:val="20"/>
          <w:szCs w:val="20"/>
          <w:color w:val="auto"/>
        </w:rPr>
      </w:pPr>
      <w:r>
        <w:rPr>
          <w:rFonts w:ascii="Arial" w:cs="Arial" w:eastAsia="Arial" w:hAnsi="Arial"/>
          <w:sz w:val="14"/>
          <w:szCs w:val="14"/>
          <w:color w:val="auto"/>
        </w:rPr>
        <w:t>Holders may present notes for exchange or for registration of transfer at the office of the registrar or at the office of any transfer agent designated by the Company for that purpose. The registrar or designated transfer agent will exchange or transfer the notes if it is satisfied with the documents of title and identity of the Person making the request. The Company will not charge a service charge for any exchange or registration of transfer of notes. However, the Company and the registrar may require payment of a sum sufficient to cover any tax or other governmental charge payable for the registration of transfer or exchange. The Company has initially appointed the Trustee as registrar. At any time the Company may:</w:t>
      </w:r>
    </w:p>
    <w:p>
      <w:pPr>
        <w:spacing w:after="0" w:line="49" w:lineRule="exact"/>
        <w:rPr>
          <w:sz w:val="20"/>
          <w:szCs w:val="20"/>
          <w:color w:val="auto"/>
        </w:rPr>
      </w:pPr>
    </w:p>
    <w:p>
      <w:pPr>
        <w:ind w:left="1580" w:hanging="138"/>
        <w:spacing w:after="0"/>
        <w:tabs>
          <w:tab w:leader="none" w:pos="1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designate additional transfer agents;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rescind the designation of any transfer agent; or</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 w:name="page21"/>
    <w:bookmarkEnd w:id="2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approve a change in the office of any transfer agent.</w:t>
      </w:r>
    </w:p>
    <w:p>
      <w:pPr>
        <w:spacing w:after="0" w:line="126" w:lineRule="exact"/>
        <w:rPr>
          <w:sz w:val="20"/>
          <w:szCs w:val="20"/>
          <w:color w:val="auto"/>
        </w:rPr>
      </w:pPr>
    </w:p>
    <w:p>
      <w:pPr>
        <w:ind w:left="1140" w:right="1199"/>
        <w:spacing w:after="0" w:line="259" w:lineRule="auto"/>
        <w:rPr>
          <w:sz w:val="20"/>
          <w:szCs w:val="20"/>
          <w:color w:val="auto"/>
        </w:rPr>
      </w:pPr>
      <w:r>
        <w:rPr>
          <w:rFonts w:ascii="Arial" w:cs="Arial" w:eastAsia="Arial" w:hAnsi="Arial"/>
          <w:sz w:val="15"/>
          <w:szCs w:val="15"/>
          <w:color w:val="auto"/>
        </w:rPr>
        <w:t>However, the Company is required to maintain a transfer agent in each place of payment for the notes at all times.</w:t>
      </w:r>
    </w:p>
    <w:p>
      <w:pPr>
        <w:spacing w:after="0" w:line="80"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If the Company elects to redeem the notes or makes an Offer to Purchase, neither the Company nor the</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Trustee will be required to:</w:t>
      </w:r>
    </w:p>
    <w:p>
      <w:pPr>
        <w:spacing w:after="0" w:line="67" w:lineRule="exact"/>
        <w:rPr>
          <w:sz w:val="20"/>
          <w:szCs w:val="20"/>
          <w:color w:val="auto"/>
        </w:rPr>
      </w:pPr>
    </w:p>
    <w:p>
      <w:pPr>
        <w:ind w:left="1580" w:right="1179" w:hanging="138"/>
        <w:spacing w:after="0" w:line="255" w:lineRule="auto"/>
        <w:tabs>
          <w:tab w:leader="none" w:pos="1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issue, register the transfer of or exchange any notes during the period beginning at the opening of business 15 days before the day the Company sends the notice of redemption or makes the Offer to Purchase and ending at the close of business on the day the notice is sent or the Offer to Purchase is made;</w:t>
      </w:r>
    </w:p>
    <w:p>
      <w:pPr>
        <w:spacing w:after="0" w:line="61" w:lineRule="exact"/>
        <w:rPr>
          <w:rFonts w:ascii="Arial" w:cs="Arial" w:eastAsia="Arial" w:hAnsi="Arial"/>
          <w:sz w:val="15"/>
          <w:szCs w:val="15"/>
          <w:color w:val="auto"/>
        </w:rPr>
      </w:pPr>
    </w:p>
    <w:p>
      <w:pPr>
        <w:ind w:left="1580" w:right="1219" w:hanging="138"/>
        <w:spacing w:after="0" w:line="311" w:lineRule="auto"/>
        <w:tabs>
          <w:tab w:leader="none" w:pos="15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register the transfer or exchange of any note so selected for redemption or subject to purchase in such Offer to Purchase, except for any portion not to be redeemed or subject to purchase; or</w:t>
      </w:r>
    </w:p>
    <w:p>
      <w:pPr>
        <w:spacing w:after="0" w:line="24" w:lineRule="exact"/>
        <w:rPr>
          <w:rFonts w:ascii="Arial" w:cs="Arial" w:eastAsia="Arial" w:hAnsi="Arial"/>
          <w:sz w:val="14"/>
          <w:szCs w:val="14"/>
          <w:color w:val="auto"/>
        </w:rPr>
      </w:pPr>
    </w:p>
    <w:p>
      <w:pPr>
        <w:ind w:left="1580" w:right="1179" w:hanging="138"/>
        <w:spacing w:after="0" w:line="255" w:lineRule="auto"/>
        <w:tabs>
          <w:tab w:leader="none" w:pos="1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 the case of a redemption or a purchase date pursuant to an Offer to Purchase occurring after a regular record date but on or before the corresponding interest payment date, register the transfer or exchange of any note on or after the regular record date and before the date of redemption or purchase.</w:t>
      </w:r>
    </w:p>
    <w:p>
      <w:pPr>
        <w:spacing w:after="0" w:line="14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Payment and Paying Agents</w:t>
      </w:r>
    </w:p>
    <w:p>
      <w:pPr>
        <w:spacing w:after="0" w:line="122" w:lineRule="exact"/>
        <w:rPr>
          <w:sz w:val="20"/>
          <w:szCs w:val="20"/>
          <w:color w:val="auto"/>
        </w:rPr>
      </w:pPr>
    </w:p>
    <w:p>
      <w:pPr>
        <w:ind w:left="1140" w:right="1259"/>
        <w:spacing w:after="0" w:line="255" w:lineRule="auto"/>
        <w:rPr>
          <w:sz w:val="20"/>
          <w:szCs w:val="20"/>
          <w:color w:val="auto"/>
        </w:rPr>
      </w:pPr>
      <w:r>
        <w:rPr>
          <w:rFonts w:ascii="Arial" w:cs="Arial" w:eastAsia="Arial" w:hAnsi="Arial"/>
          <w:sz w:val="15"/>
          <w:szCs w:val="15"/>
          <w:color w:val="auto"/>
        </w:rPr>
        <w:t>Under the Indenture, the Company will pay interest on the notes to the Persons in whose names the notes are registered at the close of business on the regular record date for each interest payment. However, the Company will pay the interest payable on the notes at their stated maturity to the Persons to whom the Company pays the principal amount of the notes.</w:t>
      </w:r>
    </w:p>
    <w:p>
      <w:pPr>
        <w:spacing w:after="0" w:line="95" w:lineRule="exact"/>
        <w:rPr>
          <w:sz w:val="20"/>
          <w:szCs w:val="20"/>
          <w:color w:val="auto"/>
        </w:rPr>
      </w:pPr>
    </w:p>
    <w:p>
      <w:pPr>
        <w:ind w:left="1140" w:right="1639"/>
        <w:spacing w:after="0" w:line="260" w:lineRule="auto"/>
        <w:rPr>
          <w:sz w:val="20"/>
          <w:szCs w:val="20"/>
          <w:color w:val="auto"/>
        </w:rPr>
      </w:pPr>
      <w:r>
        <w:rPr>
          <w:rFonts w:ascii="Arial" w:cs="Arial" w:eastAsia="Arial" w:hAnsi="Arial"/>
          <w:sz w:val="15"/>
          <w:szCs w:val="15"/>
          <w:color w:val="auto"/>
        </w:rPr>
        <w:t>The Company will pay principal, premium, if any, and interest on the notes at the offices of the designated paying agents. However, except in the case of a global security, the Company will pay interest by:</w:t>
      </w:r>
    </w:p>
    <w:p>
      <w:pPr>
        <w:spacing w:after="0" w:line="58" w:lineRule="exact"/>
        <w:rPr>
          <w:sz w:val="20"/>
          <w:szCs w:val="20"/>
          <w:color w:val="auto"/>
        </w:rPr>
      </w:pPr>
    </w:p>
    <w:p>
      <w:pPr>
        <w:ind w:left="1580" w:right="1419" w:hanging="138"/>
        <w:spacing w:after="0" w:line="274" w:lineRule="auto"/>
        <w:tabs>
          <w:tab w:leader="none" w:pos="1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check mailed to the address of the Person entitled to the payment as it appears in the security register; or</w:t>
      </w:r>
    </w:p>
    <w:p>
      <w:pPr>
        <w:spacing w:after="0" w:line="47" w:lineRule="exact"/>
        <w:rPr>
          <w:rFonts w:ascii="Arial" w:cs="Arial" w:eastAsia="Arial" w:hAnsi="Arial"/>
          <w:sz w:val="15"/>
          <w:szCs w:val="15"/>
          <w:color w:val="auto"/>
        </w:rPr>
      </w:pPr>
    </w:p>
    <w:p>
      <w:pPr>
        <w:ind w:left="1580" w:right="1179" w:hanging="138"/>
        <w:spacing w:after="0" w:line="255" w:lineRule="auto"/>
        <w:tabs>
          <w:tab w:leader="none" w:pos="1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84" w:lineRule="exact"/>
        <w:rPr>
          <w:sz w:val="20"/>
          <w:szCs w:val="20"/>
          <w:color w:val="auto"/>
        </w:rPr>
      </w:pPr>
    </w:p>
    <w:p>
      <w:pPr>
        <w:ind w:left="1140" w:right="1259"/>
        <w:spacing w:after="0" w:line="255" w:lineRule="auto"/>
        <w:rPr>
          <w:sz w:val="20"/>
          <w:szCs w:val="20"/>
          <w:color w:val="auto"/>
        </w:rPr>
      </w:pPr>
      <w:r>
        <w:rPr>
          <w:rFonts w:ascii="Arial" w:cs="Arial" w:eastAsia="Arial" w:hAnsi="Arial"/>
          <w:sz w:val="15"/>
          <w:szCs w:val="15"/>
          <w:color w:val="auto"/>
        </w:rPr>
        <w:t>The Company will initially designate the Trustee as the sole paying agent for the notes. At any time, the Company may designate additional paying agents or rescind the designation of any paying agents. However, the Company is required to maintain a paying agent in each place of payment for the notes at all times.</w:t>
      </w:r>
    </w:p>
    <w:p>
      <w:pPr>
        <w:spacing w:after="0" w:line="95" w:lineRule="exact"/>
        <w:rPr>
          <w:sz w:val="20"/>
          <w:szCs w:val="20"/>
          <w:color w:val="auto"/>
        </w:rPr>
      </w:pPr>
    </w:p>
    <w:p>
      <w:pPr>
        <w:ind w:left="1140" w:right="1159"/>
        <w:spacing w:after="0" w:line="251" w:lineRule="auto"/>
        <w:rPr>
          <w:sz w:val="20"/>
          <w:szCs w:val="20"/>
          <w:color w:val="auto"/>
        </w:rPr>
      </w:pPr>
      <w:r>
        <w:rPr>
          <w:rFonts w:ascii="Arial" w:cs="Arial" w:eastAsia="Arial" w:hAnsi="Arial"/>
          <w:sz w:val="15"/>
          <w:szCs w:val="15"/>
          <w:color w:val="auto"/>
        </w:rPr>
        <w:t>Subject to applicable abandoned property law, any money deposited with the Trustee or any paying agent for the payment of principal, premium, if any, and interest on the notes that remains unclaimed for two years after the date the payments became due, may be repaid to the Company upon its request. After the Company has been repaid, holders entitled to those payments may only look to the Company for payment as its unsecured general creditors. Neither the Trustee nor any paying agent will be liable for those payments after the Company has been repaid.</w:t>
      </w:r>
    </w:p>
    <w:p>
      <w:pPr>
        <w:spacing w:after="0" w:line="14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Certain Covenants</w:t>
      </w:r>
    </w:p>
    <w:p>
      <w:pPr>
        <w:spacing w:after="0" w:line="190"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Limitation on Liens</w:t>
      </w:r>
    </w:p>
    <w:p>
      <w:pPr>
        <w:spacing w:after="0" w:line="113" w:lineRule="exact"/>
        <w:rPr>
          <w:sz w:val="20"/>
          <w:szCs w:val="20"/>
          <w:color w:val="auto"/>
        </w:rPr>
      </w:pPr>
    </w:p>
    <w:p>
      <w:pPr>
        <w:ind w:left="1140" w:right="1259"/>
        <w:spacing w:after="0" w:line="251" w:lineRule="auto"/>
        <w:rPr>
          <w:sz w:val="20"/>
          <w:szCs w:val="20"/>
          <w:color w:val="auto"/>
        </w:rPr>
      </w:pPr>
      <w:r>
        <w:rPr>
          <w:rFonts w:ascii="Arial" w:cs="Arial" w:eastAsia="Arial" w:hAnsi="Arial"/>
          <w:sz w:val="15"/>
          <w:szCs w:val="15"/>
          <w:color w:val="auto"/>
        </w:rPr>
        <w:t>The Company will not, and will not permit any of its Restricted Subsidiaries, to create or incur any Lien, except Permitted Liens, on any Principal Property owned by the Company or any Restricted Subsidiary or on any shares of Capital Stock of any Restricted Subsidiary, whether now owned or hereafter acquired, in order to secure any Indebtedness, without effectively providing that the notes then outstanding (together with, if the Company so determines, any other Indebtedness of the Company or a Subsidiary</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 w:name="page22"/>
    <w:bookmarkEnd w:id="2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59"/>
        <w:spacing w:after="0" w:line="252" w:lineRule="auto"/>
        <w:rPr>
          <w:sz w:val="20"/>
          <w:szCs w:val="20"/>
          <w:color w:val="auto"/>
        </w:rPr>
      </w:pPr>
      <w:r>
        <w:rPr>
          <w:rFonts w:ascii="Arial" w:cs="Arial" w:eastAsia="Arial" w:hAnsi="Arial"/>
          <w:sz w:val="15"/>
          <w:szCs w:val="15"/>
          <w:color w:val="auto"/>
        </w:rPr>
        <w:t>then existing or thereafter created ranking equally with the notes) shall be substantially concurrently equally and ratably secured (or, at the Company’s option, secured prior thereto), until such time as such Indebtedness is no longer secured by such Lien.</w:t>
      </w:r>
    </w:p>
    <w:p>
      <w:pPr>
        <w:spacing w:after="0" w:line="86" w:lineRule="exact"/>
        <w:rPr>
          <w:sz w:val="20"/>
          <w:szCs w:val="20"/>
          <w:color w:val="auto"/>
        </w:rPr>
      </w:pPr>
    </w:p>
    <w:p>
      <w:pPr>
        <w:ind w:left="1140" w:right="1199"/>
        <w:spacing w:after="0" w:line="256" w:lineRule="auto"/>
        <w:rPr>
          <w:sz w:val="20"/>
          <w:szCs w:val="20"/>
          <w:color w:val="auto"/>
        </w:rPr>
      </w:pPr>
      <w:r>
        <w:rPr>
          <w:rFonts w:ascii="Arial" w:cs="Arial" w:eastAsia="Arial" w:hAnsi="Arial"/>
          <w:sz w:val="14"/>
          <w:szCs w:val="14"/>
          <w:color w:val="auto"/>
        </w:rPr>
        <w:t>Notwithstanding the foregoing, the Company or any Restricted Subsidiary of the Company may, without equally and ratably securing the notes then outstanding, create or incur Liens which would otherwise be subject to the restrictions set forth in the preceding paragraph, if after giving effect thereto, Aggregate Debt does not exceed an amount equal to the greater of (a) $5.6 billion, and (b) 15% of Consolidated Net Tangible Assets of the Company immediately preceding the date of the creation or incurrence of the Lien. The Company or any Restricted Subsidiary of the Company also may, without equally and ratably securing the notes, create or incur Liens that extend, renew, substitute, reinstate or replace (including successive extensions, renewals, substitutions, reinstatements or replacements), in whole or in part, any Lien permitted pursuant to this or the preceding sentence and any Liens that secure any extension, renewal, replacement, reinstatement, refinancing or refunding (including any successive extensions, renewals, replacements, reinstatements,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permitted pursuant to this or the preceding sentence.</w:t>
      </w:r>
    </w:p>
    <w:p>
      <w:pPr>
        <w:spacing w:after="0" w:line="85" w:lineRule="exact"/>
        <w:rPr>
          <w:sz w:val="20"/>
          <w:szCs w:val="20"/>
          <w:color w:val="auto"/>
        </w:rPr>
      </w:pPr>
    </w:p>
    <w:p>
      <w:pPr>
        <w:ind w:left="1140" w:right="1159"/>
        <w:spacing w:after="0" w:line="254" w:lineRule="auto"/>
        <w:rPr>
          <w:sz w:val="20"/>
          <w:szCs w:val="20"/>
          <w:color w:val="auto"/>
        </w:rPr>
      </w:pPr>
      <w:r>
        <w:rPr>
          <w:rFonts w:ascii="Arial" w:cs="Arial" w:eastAsia="Arial" w:hAnsi="Arial"/>
          <w:sz w:val="14"/>
          <w:szCs w:val="14"/>
          <w:color w:val="auto"/>
        </w:rPr>
        <w:t>For purposes of the foregoing covenant, (i) the creation of a Lien to secure Indebtedness which existed prior to the creation of such Lien will be deemed to involve Indebtedness in an amount equal to the lesser of (x) the fair value (as determined in good faith by a Senior Officer of the Company) of the asset subjected to such Lien and (y) the principal amount secured by such Lien, and (ii) in the event that a Lien meets the criteria of more than one of the types of Permitted Liens or Liens permitted by the preceding paragraph, the Company, in its sole discretion, will classify, and may reclassify, such Lien and only be required to include the amount and type of such Lien as a Permitted Lien or a Lien permitted by the immediately preceding paragraph, and a Lien may be divided and classified and reclassified into more than one of such types of Liens. In addition, for purposes of calculating compliance with the foregoing covenant,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any Indebtedness, the amount of such Indebtedness secured shall only be included once for purposes of such calculations).</w:t>
      </w:r>
    </w:p>
    <w:p>
      <w:pPr>
        <w:spacing w:after="0" w:line="94" w:lineRule="exact"/>
        <w:rPr>
          <w:sz w:val="20"/>
          <w:szCs w:val="20"/>
          <w:color w:val="auto"/>
        </w:rPr>
      </w:pPr>
    </w:p>
    <w:p>
      <w:pPr>
        <w:ind w:left="1140" w:right="1259"/>
        <w:spacing w:after="0" w:line="245" w:lineRule="auto"/>
        <w:rPr>
          <w:sz w:val="20"/>
          <w:szCs w:val="20"/>
          <w:color w:val="auto"/>
        </w:rPr>
      </w:pPr>
      <w:r>
        <w:rPr>
          <w:rFonts w:ascii="Arial" w:cs="Arial" w:eastAsia="Arial" w:hAnsi="Arial"/>
          <w:sz w:val="15"/>
          <w:szCs w:val="15"/>
          <w:color w:val="auto"/>
        </w:rPr>
        <w:t>Any Lien created for the benefit of the holders of the notes pursuant to the first paragraph under this covenant may provide by its terms that such Lien shall be automatically and unconditionally released and discharged upon the release and discharge of the Lien that gave rise to the obligation to secure the notes.</w:t>
      </w:r>
    </w:p>
    <w:p>
      <w:pPr>
        <w:spacing w:after="0" w:line="148"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Limitation on Sale and Lease-Back Transactions</w:t>
      </w:r>
    </w:p>
    <w:p>
      <w:pPr>
        <w:spacing w:after="0" w:line="124" w:lineRule="exact"/>
        <w:rPr>
          <w:sz w:val="20"/>
          <w:szCs w:val="20"/>
          <w:color w:val="auto"/>
        </w:rPr>
      </w:pPr>
    </w:p>
    <w:p>
      <w:pPr>
        <w:ind w:left="1140" w:right="1199"/>
        <w:spacing w:after="0" w:line="252" w:lineRule="auto"/>
        <w:rPr>
          <w:sz w:val="20"/>
          <w:szCs w:val="20"/>
          <w:color w:val="auto"/>
        </w:rPr>
      </w:pPr>
      <w:r>
        <w:rPr>
          <w:rFonts w:ascii="Arial" w:cs="Arial" w:eastAsia="Arial" w:hAnsi="Arial"/>
          <w:sz w:val="15"/>
          <w:szCs w:val="15"/>
          <w:color w:val="auto"/>
        </w:rPr>
        <w:t>The Company will not, and will not permit any of its Restricted Subsidiaries, to enter into any Sale and Lease-Back Transaction with respect to any Principal Property owned by the Company or any Restricted Subsidiary, whether now owned or hereafter acquired, unless:</w:t>
      </w:r>
    </w:p>
    <w:p>
      <w:pPr>
        <w:spacing w:after="0" w:line="42" w:lineRule="exact"/>
        <w:rPr>
          <w:sz w:val="20"/>
          <w:szCs w:val="20"/>
          <w:color w:val="auto"/>
        </w:rPr>
      </w:pPr>
    </w:p>
    <w:p>
      <w:pPr>
        <w:ind w:left="1580" w:hanging="138"/>
        <w:spacing w:after="0"/>
        <w:tabs>
          <w:tab w:leader="none" w:pos="15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such transaction was entered into prior to the Issue Date;</w:t>
      </w:r>
    </w:p>
    <w:p>
      <w:pPr>
        <w:spacing w:after="0" w:line="81" w:lineRule="exact"/>
        <w:rPr>
          <w:rFonts w:ascii="Arial" w:cs="Arial" w:eastAsia="Arial" w:hAnsi="Arial"/>
          <w:sz w:val="15"/>
          <w:szCs w:val="15"/>
          <w:color w:val="auto"/>
        </w:rPr>
      </w:pPr>
    </w:p>
    <w:p>
      <w:pPr>
        <w:ind w:left="1580" w:right="1239" w:hanging="138"/>
        <w:spacing w:after="0" w:line="274" w:lineRule="auto"/>
        <w:tabs>
          <w:tab w:leader="none" w:pos="15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such transaction was for the sale and leasing back to the Company or a Restricted Subsidiary by the Company or any Subsidiary of any Principal Property;</w:t>
      </w:r>
    </w:p>
    <w:p>
      <w:pPr>
        <w:spacing w:after="0" w:line="36" w:lineRule="exact"/>
        <w:rPr>
          <w:rFonts w:ascii="Arial" w:cs="Arial" w:eastAsia="Arial" w:hAnsi="Arial"/>
          <w:sz w:val="15"/>
          <w:szCs w:val="15"/>
          <w:color w:val="auto"/>
        </w:rPr>
      </w:pPr>
    </w:p>
    <w:p>
      <w:pPr>
        <w:ind w:left="1580" w:hanging="138"/>
        <w:spacing w:after="0"/>
        <w:tabs>
          <w:tab w:leader="none" w:pos="15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such transaction involves a lease of a Principal Property executed by the time of or within</w:t>
      </w:r>
    </w:p>
    <w:p>
      <w:pPr>
        <w:spacing w:after="0" w:line="18" w:lineRule="exact"/>
        <w:rPr>
          <w:rFonts w:ascii="Arial" w:cs="Arial" w:eastAsia="Arial" w:hAnsi="Arial"/>
          <w:sz w:val="15"/>
          <w:szCs w:val="15"/>
          <w:color w:val="auto"/>
        </w:rPr>
      </w:pPr>
    </w:p>
    <w:p>
      <w:pPr>
        <w:ind w:left="1580" w:right="1179"/>
        <w:spacing w:after="0" w:line="272" w:lineRule="auto"/>
        <w:rPr>
          <w:rFonts w:ascii="Arial" w:cs="Arial" w:eastAsia="Arial" w:hAnsi="Arial"/>
          <w:sz w:val="15"/>
          <w:szCs w:val="15"/>
          <w:color w:val="auto"/>
        </w:rPr>
      </w:pPr>
      <w:r>
        <w:rPr>
          <w:rFonts w:ascii="Arial" w:cs="Arial" w:eastAsia="Arial" w:hAnsi="Arial"/>
          <w:sz w:val="14"/>
          <w:szCs w:val="14"/>
          <w:color w:val="auto"/>
        </w:rPr>
        <w:t>24 months after the later of (i) the acquisition or the completion of any such development, operation, construction, alteration, repair or improvement of such property, assets or equipment or (ii) the placing into commercial operation of such Principal Property after the acquisition or completion of any such development, operation, construction, alteration, repair or improvement;</w:t>
      </w:r>
    </w:p>
    <w:p>
      <w:pPr>
        <w:spacing w:after="0" w:line="39" w:lineRule="exact"/>
        <w:rPr>
          <w:rFonts w:ascii="Arial" w:cs="Arial" w:eastAsia="Arial" w:hAnsi="Arial"/>
          <w:sz w:val="15"/>
          <w:szCs w:val="15"/>
          <w:color w:val="auto"/>
        </w:rPr>
      </w:pPr>
    </w:p>
    <w:p>
      <w:pPr>
        <w:ind w:left="1580" w:right="1339" w:hanging="138"/>
        <w:spacing w:after="0" w:line="273" w:lineRule="auto"/>
        <w:tabs>
          <w:tab w:leader="none" w:pos="1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such transaction involves a lease for not more than three years (or which may be terminated by the Company or the applicable Restricted Subsidiary within a period of not more than</w:t>
      </w:r>
    </w:p>
    <w:p>
      <w:pPr>
        <w:spacing w:after="0" w:line="1" w:lineRule="exact"/>
        <w:rPr>
          <w:rFonts w:ascii="Arial" w:cs="Arial" w:eastAsia="Arial" w:hAnsi="Arial"/>
          <w:sz w:val="14"/>
          <w:szCs w:val="14"/>
          <w:color w:val="auto"/>
        </w:rPr>
      </w:pPr>
    </w:p>
    <w:p>
      <w:pPr>
        <w:ind w:left="1580"/>
        <w:spacing w:after="0"/>
        <w:rPr>
          <w:rFonts w:ascii="Arial" w:cs="Arial" w:eastAsia="Arial" w:hAnsi="Arial"/>
          <w:sz w:val="14"/>
          <w:szCs w:val="14"/>
          <w:color w:val="auto"/>
        </w:rPr>
      </w:pPr>
      <w:r>
        <w:rPr>
          <w:rFonts w:ascii="Arial" w:cs="Arial" w:eastAsia="Arial" w:hAnsi="Arial"/>
          <w:sz w:val="15"/>
          <w:szCs w:val="15"/>
          <w:color w:val="auto"/>
        </w:rPr>
        <w:t>three years);</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 w:name="page23"/>
    <w:bookmarkEnd w:id="2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259" w:hanging="138"/>
        <w:spacing w:after="0" w:line="255" w:lineRule="auto"/>
        <w:tabs>
          <w:tab w:leader="none" w:pos="1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Company or the applicable Restricted Subsidiary would be entitled to incur Indebtedness secured by a Lien on the property to be leased in an amount equal to Attributable Debt with respect to such Sale and Lease-Back Transaction without equally and ratably securing the notes pursuant to the first paragraph of “— Limitation on Liens” above; or</w:t>
      </w:r>
    </w:p>
    <w:p>
      <w:pPr>
        <w:spacing w:after="0" w:line="61" w:lineRule="exact"/>
        <w:rPr>
          <w:rFonts w:ascii="Arial" w:cs="Arial" w:eastAsia="Arial" w:hAnsi="Arial"/>
          <w:sz w:val="15"/>
          <w:szCs w:val="15"/>
          <w:color w:val="auto"/>
        </w:rPr>
      </w:pPr>
    </w:p>
    <w:p>
      <w:pPr>
        <w:ind w:left="1580" w:right="1159" w:hanging="138"/>
        <w:spacing w:after="0" w:line="271" w:lineRule="auto"/>
        <w:tabs>
          <w:tab w:leader="none" w:pos="15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Company or the applicable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Lease-Back Transaction; provided that in lieu of applying such amount to such retirement, repurchase, repayment or prepayment, the Company or any Restricted Subsidiary may deliver notes to the Trustee for cancellation, such notes to be credited at the cost thereof to the Company or such Restricted Subsidiary.</w:t>
      </w:r>
    </w:p>
    <w:p>
      <w:pPr>
        <w:spacing w:after="0" w:line="85" w:lineRule="exact"/>
        <w:rPr>
          <w:sz w:val="20"/>
          <w:szCs w:val="20"/>
          <w:color w:val="auto"/>
        </w:rPr>
      </w:pPr>
    </w:p>
    <w:p>
      <w:pPr>
        <w:ind w:left="1140" w:right="1179"/>
        <w:spacing w:after="0" w:line="252" w:lineRule="auto"/>
        <w:rPr>
          <w:sz w:val="20"/>
          <w:szCs w:val="20"/>
          <w:color w:val="auto"/>
        </w:rPr>
      </w:pPr>
      <w:r>
        <w:rPr>
          <w:rFonts w:ascii="Arial" w:cs="Arial" w:eastAsia="Arial" w:hAnsi="Arial"/>
          <w:sz w:val="15"/>
          <w:szCs w:val="15"/>
          <w:color w:val="auto"/>
        </w:rPr>
        <w:t>Notwithstanding the foregoing, the Company and its Restricted Subsidiaries may enter into any Sale and Lease-Back Transaction which would otherwise be subject to the foregoing restrictions if after giving effect thereto and at the time of determination, Aggregate Debt does not exceed an amount equal to the greater of (a) $5.6 billion, and (b) 15% of Consolidated Net Tangible Assets of the Company immediately preceding the closing date of the Sale and Lease-Back Transaction.</w:t>
      </w:r>
    </w:p>
    <w:p>
      <w:pPr>
        <w:spacing w:after="0" w:line="156" w:lineRule="exact"/>
        <w:rPr>
          <w:sz w:val="20"/>
          <w:szCs w:val="20"/>
          <w:color w:val="auto"/>
        </w:rPr>
      </w:pPr>
    </w:p>
    <w:p>
      <w:pPr>
        <w:ind w:left="1440" w:right="1599"/>
        <w:spacing w:after="0" w:line="282" w:lineRule="auto"/>
        <w:rPr>
          <w:sz w:val="20"/>
          <w:szCs w:val="20"/>
          <w:color w:val="auto"/>
        </w:rPr>
      </w:pPr>
      <w:r>
        <w:rPr>
          <w:rFonts w:ascii="Arial" w:cs="Arial" w:eastAsia="Arial" w:hAnsi="Arial"/>
          <w:sz w:val="15"/>
          <w:szCs w:val="15"/>
          <w:b w:val="1"/>
          <w:bCs w:val="1"/>
          <w:i w:val="1"/>
          <w:iCs w:val="1"/>
          <w:color w:val="auto"/>
        </w:rPr>
        <w:t>Consolidation, Merger and Conveyance, Transfer and Lease of All or Substantially All Assets</w:t>
      </w:r>
    </w:p>
    <w:p>
      <w:pPr>
        <w:spacing w:after="0" w:line="67" w:lineRule="exact"/>
        <w:rPr>
          <w:sz w:val="20"/>
          <w:szCs w:val="20"/>
          <w:color w:val="auto"/>
        </w:rPr>
      </w:pPr>
    </w:p>
    <w:p>
      <w:pPr>
        <w:ind w:left="1140" w:right="1799"/>
        <w:spacing w:after="0" w:line="311" w:lineRule="auto"/>
        <w:rPr>
          <w:sz w:val="20"/>
          <w:szCs w:val="20"/>
          <w:color w:val="auto"/>
        </w:rPr>
      </w:pPr>
      <w:r>
        <w:rPr>
          <w:rFonts w:ascii="Arial" w:cs="Arial" w:eastAsia="Arial" w:hAnsi="Arial"/>
          <w:sz w:val="14"/>
          <w:szCs w:val="14"/>
          <w:color w:val="auto"/>
        </w:rPr>
        <w:t>The Company may not consolidate with or merge with or into, or convey, transfer or lease all or substantially all of its properties and assets to, any person (a “successor person”) unless:</w:t>
      </w:r>
    </w:p>
    <w:p>
      <w:pPr>
        <w:spacing w:after="0" w:line="46" w:lineRule="exact"/>
        <w:rPr>
          <w:sz w:val="20"/>
          <w:szCs w:val="20"/>
          <w:color w:val="auto"/>
        </w:rPr>
      </w:pPr>
    </w:p>
    <w:p>
      <w:pPr>
        <w:ind w:left="1740" w:right="1259" w:hanging="298"/>
        <w:spacing w:after="0" w:line="255" w:lineRule="auto"/>
        <w:tabs>
          <w:tab w:leader="none" w:pos="17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it is the surviving corporation or the successor person (if other than the Company) is a corporation organized and validly existing under the laws of any U.S. domestic jurisdiction and expressly assumes by a supplemental indenture the Company’s obligations on the notes and under the Indenture;</w:t>
      </w:r>
    </w:p>
    <w:p>
      <w:pPr>
        <w:spacing w:after="0" w:line="94" w:lineRule="exact"/>
        <w:rPr>
          <w:rFonts w:ascii="Arial" w:cs="Arial" w:eastAsia="Arial" w:hAnsi="Arial"/>
          <w:sz w:val="15"/>
          <w:szCs w:val="15"/>
          <w:color w:val="auto"/>
        </w:rPr>
      </w:pPr>
    </w:p>
    <w:p>
      <w:pPr>
        <w:jc w:val="both"/>
        <w:ind w:left="1740" w:right="1259" w:hanging="298"/>
        <w:spacing w:after="0" w:line="260" w:lineRule="auto"/>
        <w:tabs>
          <w:tab w:leader="none" w:pos="17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90" w:lineRule="exact"/>
        <w:rPr>
          <w:rFonts w:ascii="Arial" w:cs="Arial" w:eastAsia="Arial" w:hAnsi="Arial"/>
          <w:sz w:val="15"/>
          <w:szCs w:val="15"/>
          <w:color w:val="auto"/>
        </w:rPr>
      </w:pPr>
    </w:p>
    <w:p>
      <w:pPr>
        <w:ind w:left="1740" w:hanging="298"/>
        <w:spacing w:after="0"/>
        <w:tabs>
          <w:tab w:leader="none" w:pos="17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certain other conditions are met.</w:t>
      </w:r>
    </w:p>
    <w:p>
      <w:pPr>
        <w:spacing w:after="0" w:line="115" w:lineRule="exact"/>
        <w:rPr>
          <w:sz w:val="20"/>
          <w:szCs w:val="20"/>
          <w:color w:val="auto"/>
        </w:rPr>
      </w:pPr>
    </w:p>
    <w:p>
      <w:pPr>
        <w:ind w:left="1140" w:right="1299"/>
        <w:spacing w:after="0" w:line="260" w:lineRule="auto"/>
        <w:rPr>
          <w:sz w:val="20"/>
          <w:szCs w:val="20"/>
          <w:color w:val="auto"/>
        </w:rPr>
      </w:pPr>
      <w:r>
        <w:rPr>
          <w:rFonts w:ascii="Arial" w:cs="Arial" w:eastAsia="Arial" w:hAnsi="Arial"/>
          <w:sz w:val="15"/>
          <w:szCs w:val="15"/>
          <w:color w:val="auto"/>
        </w:rPr>
        <w:t>Notwithstanding the above, any Subsidiary of the Company may consolidate with or merge into the Company if the Company is the surviving corporation and any Subsidiary of the Company may transfer all or part of its properties to the Company.</w:t>
      </w:r>
    </w:p>
    <w:p>
      <w:pPr>
        <w:spacing w:after="0" w:line="13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Provision of Financial Information</w:t>
      </w:r>
    </w:p>
    <w:p>
      <w:pPr>
        <w:spacing w:after="0" w:line="133" w:lineRule="exact"/>
        <w:rPr>
          <w:sz w:val="20"/>
          <w:szCs w:val="20"/>
          <w:color w:val="auto"/>
        </w:rPr>
      </w:pPr>
    </w:p>
    <w:p>
      <w:pPr>
        <w:ind w:left="1140" w:right="1159"/>
        <w:spacing w:after="0" w:line="268" w:lineRule="auto"/>
        <w:rPr>
          <w:sz w:val="20"/>
          <w:szCs w:val="20"/>
          <w:color w:val="auto"/>
        </w:rPr>
      </w:pPr>
      <w:r>
        <w:rPr>
          <w:rFonts w:ascii="Arial" w:cs="Arial" w:eastAsia="Arial" w:hAnsi="Arial"/>
          <w:sz w:val="14"/>
          <w:szCs w:val="14"/>
          <w:color w:val="auto"/>
        </w:rPr>
        <w:t>The Company will file with the Trustee, within 15 days after it has filed the same with the SEC, copies of the annual reports and of the information, documents and other reports (or copies of such portions of any of the foregoing as the SEC may prescribe) that it may be required to file with the SEC pursuant to Section 13 or Section 15(d) of the Exchange Act (other than confidential filings, documents subject to confidential treatment and correspondence with the SEC) and the Company shall comply with the provisions of Section 314(a) of the Trust Indenture Act of 1939, as amended (the “Trust Indenture Act”); provided that the delivery of materials to the Trustee by electronic means or filing of documents via the EDGAR system (or any successor electronic filing system) shall be deemed to be filed with the Trustee as of the time such documents are filed via EDGAR (or such successor system), it being understood that the Trustee shall have no responsibility whatsoever to determine if such filings have been made, and that the Trustee shall not be deemed to have knowledge of the information contained therein.</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 w:name="page24"/>
    <w:bookmarkEnd w:id="2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Certain Definitions</w:t>
      </w:r>
    </w:p>
    <w:p>
      <w:pPr>
        <w:spacing w:after="0" w:line="133"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As used in this section, the following terms have the meanings set forth below.</w:t>
      </w:r>
    </w:p>
    <w:p>
      <w:pPr>
        <w:spacing w:after="0" w:line="115" w:lineRule="exact"/>
        <w:rPr>
          <w:sz w:val="20"/>
          <w:szCs w:val="20"/>
          <w:color w:val="auto"/>
        </w:rPr>
      </w:pPr>
    </w:p>
    <w:p>
      <w:pPr>
        <w:ind w:left="1140" w:right="1219"/>
        <w:spacing w:after="0" w:line="265" w:lineRule="auto"/>
        <w:rPr>
          <w:sz w:val="20"/>
          <w:szCs w:val="20"/>
          <w:color w:val="auto"/>
        </w:rPr>
      </w:pPr>
      <w:r>
        <w:rPr>
          <w:rFonts w:ascii="Arial" w:cs="Arial" w:eastAsia="Arial" w:hAnsi="Arial"/>
          <w:sz w:val="14"/>
          <w:szCs w:val="14"/>
          <w:color w:val="auto"/>
        </w:rPr>
        <w:t>“Aggregate Debt” means the sum of the following as of the date of determination: (1) the then aggregate outstanding amount of the Indebtedness of the Company and its Restricted Subsidiaries, without duplication, incurred after the Issue Date and secured by Liens not otherwise permitted by the first paragraph under “— Certain Covenants — Limitation on Liens” above (determined in accordance with such covenant); and (2) the then existing Attributable Debt of the Company and its Restricted Subsidiaries in respect of Sale and Lease-Back Transactions, without duplication, entered into after the Issue Date pursuant to the second paragraph of “— Certain Covenants — Limitation on Sale and Lease-Back Transactions” above; provided that any such Attributable Debt will be excluded from this clause</w:t>
      </w:r>
    </w:p>
    <w:p>
      <w:pPr>
        <w:spacing w:after="0" w:line="5" w:lineRule="exact"/>
        <w:rPr>
          <w:sz w:val="20"/>
          <w:szCs w:val="20"/>
          <w:color w:val="auto"/>
        </w:rPr>
      </w:pPr>
    </w:p>
    <w:p>
      <w:pPr>
        <w:ind w:left="1360" w:hanging="212"/>
        <w:spacing w:after="0"/>
        <w:tabs>
          <w:tab w:leader="none" w:pos="13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to the extent that Indebtedness relating thereto is included in clause (1) of this definition, provided</w:t>
      </w:r>
    </w:p>
    <w:p>
      <w:pPr>
        <w:spacing w:after="0" w:line="4" w:lineRule="exact"/>
        <w:rPr>
          <w:rFonts w:ascii="Arial" w:cs="Arial" w:eastAsia="Arial" w:hAnsi="Arial"/>
          <w:sz w:val="15"/>
          <w:szCs w:val="15"/>
          <w:color w:val="auto"/>
        </w:rPr>
      </w:pPr>
    </w:p>
    <w:p>
      <w:pPr>
        <w:ind w:left="1140" w:right="1179"/>
        <w:spacing w:after="0" w:line="263" w:lineRule="auto"/>
        <w:rPr>
          <w:rFonts w:ascii="Arial" w:cs="Arial" w:eastAsia="Arial" w:hAnsi="Arial"/>
          <w:sz w:val="15"/>
          <w:szCs w:val="15"/>
          <w:color w:val="auto"/>
        </w:rPr>
      </w:pPr>
      <w:r>
        <w:rPr>
          <w:rFonts w:ascii="Arial" w:cs="Arial" w:eastAsia="Arial" w:hAnsi="Arial"/>
          <w:sz w:val="14"/>
          <w:szCs w:val="14"/>
          <w:color w:val="auto"/>
        </w:rPr>
        <w:t>further, that in no event will the amount of any Indebtedness be required to be included in the calculation of Aggregate Debt more than once despite the fact that more than one Person is liable with respect to such Indebtedness and despite the fact that such Indebtedness is secured by the assets of more than one Person (for example, and for avoidance of doubt, in the case where there are Liens on assets of one or more of the Company and its Restricted Subsidiaries securing such Indebtedness, the amount of Indebtedness so secured shall only be included once in the calculation of Aggregate Debt). Whenever a calculation is to be made with respect to creation or incurrence under revolving credit Indebtedness, such calculation may, at the Company’s election, be determined by treating the maximum committed amount of such revolving credit Indebtedness as having been incurred on the date of such calculation, whether or not such amount has actually been drawn upon, and, if such election has been made,</w:t>
      </w:r>
    </w:p>
    <w:p>
      <w:pPr>
        <w:spacing w:after="0" w:line="2" w:lineRule="exact"/>
        <w:rPr>
          <w:rFonts w:ascii="Arial" w:cs="Arial" w:eastAsia="Arial" w:hAnsi="Arial"/>
          <w:sz w:val="15"/>
          <w:szCs w:val="15"/>
          <w:color w:val="auto"/>
        </w:rPr>
      </w:pPr>
    </w:p>
    <w:p>
      <w:pPr>
        <w:ind w:left="1140" w:right="1179"/>
        <w:spacing w:after="0" w:line="246" w:lineRule="auto"/>
        <w:rPr>
          <w:rFonts w:ascii="Arial" w:cs="Arial" w:eastAsia="Arial" w:hAnsi="Arial"/>
          <w:sz w:val="15"/>
          <w:szCs w:val="15"/>
          <w:color w:val="auto"/>
        </w:rPr>
      </w:pPr>
      <w:r>
        <w:rPr>
          <w:rFonts w:ascii="Arial" w:cs="Arial" w:eastAsia="Arial" w:hAnsi="Arial"/>
          <w:sz w:val="15"/>
          <w:szCs w:val="15"/>
          <w:color w:val="auto"/>
        </w:rPr>
        <w:t>(i) subsequent borrowings and reborrowings of such revolving credit Indebtedness (and related Liens), up to the maximum committed amount, shall not be deemed additional incurrences of Indebtedness (and related Liens) requiring calculations of the amount of Aggregate Debt (but subsequent borrowings in connection with increases in such maximum committed amount shall require calculations under this definition, or shall otherwise comply with the covenant entitled “— Certain Covenants —  Limitation on Liens”), and (ii) for purposes of subsequent calculations under this definition, the maximum committed amount of such revolving credit Indebtedness on the date of any such calculation shall be deemed to be outstanding throughout such period, whether or not such amount is actually outstanding. The Company may revoke an election pursuant to this paragraph at any time, at which time the entire drawn outstanding amount of such revolving credit Indebtedness will be deemed to be incurred and secured by any relevant Liens at such time.</w:t>
      </w:r>
    </w:p>
    <w:p>
      <w:pPr>
        <w:spacing w:after="0" w:line="106" w:lineRule="exact"/>
        <w:rPr>
          <w:sz w:val="20"/>
          <w:szCs w:val="20"/>
          <w:color w:val="auto"/>
        </w:rPr>
      </w:pPr>
    </w:p>
    <w:p>
      <w:pPr>
        <w:ind w:left="1140" w:right="1219"/>
        <w:spacing w:after="0" w:line="251" w:lineRule="auto"/>
        <w:rPr>
          <w:sz w:val="20"/>
          <w:szCs w:val="20"/>
          <w:color w:val="auto"/>
        </w:rPr>
      </w:pPr>
      <w:r>
        <w:rPr>
          <w:rFonts w:ascii="Arial" w:cs="Arial" w:eastAsia="Arial" w:hAnsi="Arial"/>
          <w:sz w:val="15"/>
          <w:szCs w:val="15"/>
          <w:color w:val="auto"/>
        </w:rPr>
        <w:t>“Attributable Debt” means in connection with a Sale and Lease-Back Transaction the lesser of: (1) the fair value of the assets subject to such 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99" w:lineRule="exact"/>
        <w:rPr>
          <w:sz w:val="20"/>
          <w:szCs w:val="20"/>
          <w:color w:val="auto"/>
        </w:rPr>
      </w:pPr>
    </w:p>
    <w:p>
      <w:pPr>
        <w:ind w:left="1140" w:right="1159"/>
        <w:spacing w:after="0" w:line="267" w:lineRule="auto"/>
        <w:rPr>
          <w:sz w:val="20"/>
          <w:szCs w:val="20"/>
          <w:color w:val="auto"/>
        </w:rPr>
      </w:pPr>
      <w:r>
        <w:rPr>
          <w:rFonts w:ascii="Arial" w:cs="Arial" w:eastAsia="Arial" w:hAnsi="Arial"/>
          <w:sz w:val="14"/>
          <w:szCs w:val="14"/>
          <w:color w:val="auto"/>
        </w:rPr>
        <w:t>“Below Investment Grade Rating Event” means the rating on the notes is lowered by two or more of the Rating Agencies within 60 days from the earlier of (1) the date of the first public notice of an arrangement that could result in a Change of Control or (2) the occurrence of a Change of Control (which period shall be extended so long as the rating of the notes is under publicly announced consideration for possible downgrade by any of the Rating Agencies); provided, however, that a particular reduction in rating will not be deemed to have occurred in respect of a particular Change of Control (and thus will not be deemed a Below Investment Grade Rating Event for purposes of the definition of Change of Control Triggering Event) unless each of the Rating Agencies making the reduction in rating to which this definition would otherwise apply announces or publicly confirms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 provided, further, that notwithstanding the foregoing, a Below Investment Grade Rating Event shall not be deemed to have occurred so long as the notes are rated Investment Grade by two or more of the Rating Agencies.</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 w:name="page25"/>
    <w:bookmarkEnd w:id="2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719"/>
        <w:spacing w:after="0" w:line="274" w:lineRule="auto"/>
        <w:rPr>
          <w:sz w:val="20"/>
          <w:szCs w:val="20"/>
          <w:color w:val="auto"/>
        </w:rPr>
      </w:pPr>
      <w:r>
        <w:rPr>
          <w:rFonts w:ascii="Arial" w:cs="Arial" w:eastAsia="Arial" w:hAnsi="Arial"/>
          <w:sz w:val="15"/>
          <w:szCs w:val="15"/>
          <w:color w:val="auto"/>
        </w:rPr>
        <w:t>“Board of Directors” means the board of directors of the Company or any committee thereof duly authorized to act on behalf of such board.</w:t>
      </w:r>
    </w:p>
    <w:p>
      <w:pPr>
        <w:spacing w:after="0" w:line="81"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“Business Day” means each day that is not a Legal Holiday.</w:t>
      </w:r>
    </w:p>
    <w:p>
      <w:pPr>
        <w:spacing w:after="0" w:line="126" w:lineRule="exact"/>
        <w:rPr>
          <w:sz w:val="20"/>
          <w:szCs w:val="20"/>
          <w:color w:val="auto"/>
        </w:rPr>
      </w:pPr>
    </w:p>
    <w:p>
      <w:pPr>
        <w:ind w:left="1140" w:right="1199"/>
        <w:spacing w:after="0" w:line="255" w:lineRule="auto"/>
        <w:rPr>
          <w:sz w:val="20"/>
          <w:szCs w:val="20"/>
          <w:color w:val="auto"/>
        </w:rPr>
      </w:pPr>
      <w:r>
        <w:rPr>
          <w:rFonts w:ascii="Arial" w:cs="Arial" w:eastAsia="Arial" w:hAnsi="Arial"/>
          <w:sz w:val="15"/>
          <w:szCs w:val="15"/>
          <w:color w:val="auto"/>
        </w:rPr>
        <w:t>“Capital Stock”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84"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“Change of Control” means:</w:t>
      </w:r>
    </w:p>
    <w:p>
      <w:pPr>
        <w:spacing w:after="0" w:line="126" w:lineRule="exact"/>
        <w:rPr>
          <w:sz w:val="20"/>
          <w:szCs w:val="20"/>
          <w:color w:val="auto"/>
        </w:rPr>
      </w:pPr>
    </w:p>
    <w:p>
      <w:pPr>
        <w:ind w:left="1740" w:right="1219" w:hanging="298"/>
        <w:spacing w:after="0" w:line="266" w:lineRule="auto"/>
        <w:tabs>
          <w:tab w:leader="none" w:pos="1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any “person” or “group” (as​ such terms are used in Sections 13(d) and 14(d) of the Exchange Act),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w:t>
      </w:r>
    </w:p>
    <w:p>
      <w:pPr>
        <w:spacing w:after="0" w:line="3" w:lineRule="exact"/>
        <w:rPr>
          <w:rFonts w:ascii="Arial" w:cs="Arial" w:eastAsia="Arial" w:hAnsi="Arial"/>
          <w:sz w:val="14"/>
          <w:szCs w:val="14"/>
          <w:color w:val="auto"/>
        </w:rPr>
      </w:pPr>
    </w:p>
    <w:p>
      <w:pPr>
        <w:jc w:val="center"/>
        <w:ind w:left="1740" w:right="1219" w:hanging="3"/>
        <w:spacing w:after="0" w:line="263" w:lineRule="auto"/>
        <w:tabs>
          <w:tab w:leader="none" w:pos="1956" w:val="left"/>
        </w:tabs>
        <w:numPr>
          <w:ilvl w:val="1"/>
          <w:numId w:val="19"/>
        </w:numPr>
        <w:rPr>
          <w:rFonts w:ascii="Arial" w:cs="Arial" w:eastAsia="Arial" w:hAnsi="Arial"/>
          <w:sz w:val="14"/>
          <w:szCs w:val="14"/>
          <w:color w:val="auto"/>
        </w:rPr>
      </w:pPr>
      <w:r>
        <w:rPr>
          <w:rFonts w:ascii="Arial" w:cs="Arial" w:eastAsia="Arial" w:hAnsi="Arial"/>
          <w:sz w:val="14"/>
          <w:szCs w:val="14"/>
          <w:color w:val="auto"/>
        </w:rPr>
        <w:t>arises solely as a result of a revocable proxy delivered in response to a proxy or consent solicitation made pursuant to the applicable rules and regulations under the Exchange Act, and</w:t>
      </w:r>
    </w:p>
    <w:p>
      <w:pPr>
        <w:ind w:left="1740" w:right="1179" w:hanging="3"/>
        <w:spacing w:after="0" w:line="263" w:lineRule="auto"/>
        <w:tabs>
          <w:tab w:leader="none" w:pos="1956" w:val="left"/>
        </w:tabs>
        <w:numPr>
          <w:ilvl w:val="1"/>
          <w:numId w:val="19"/>
        </w:numPr>
        <w:rPr>
          <w:rFonts w:ascii="Arial" w:cs="Arial" w:eastAsia="Arial" w:hAnsi="Arial"/>
          <w:sz w:val="14"/>
          <w:szCs w:val="14"/>
          <w:color w:val="auto"/>
        </w:rPr>
      </w:pPr>
      <w:r>
        <w:rPr>
          <w:rFonts w:ascii="Arial" w:cs="Arial" w:eastAsia="Arial" w:hAnsi="Arial"/>
          <w:sz w:val="14"/>
          <w:szCs w:val="14"/>
          <w:color w:val="auto"/>
        </w:rPr>
        <w:t>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provided, however, that a transaction will not be deemed to involve a Change of Control under this clause</w:t>
      </w:r>
    </w:p>
    <w:p>
      <w:pPr>
        <w:spacing w:after="0" w:line="1" w:lineRule="exact"/>
        <w:rPr>
          <w:rFonts w:ascii="Arial" w:cs="Arial" w:eastAsia="Arial" w:hAnsi="Arial"/>
          <w:sz w:val="14"/>
          <w:szCs w:val="14"/>
          <w:color w:val="auto"/>
        </w:rPr>
      </w:pPr>
    </w:p>
    <w:p>
      <w:pPr>
        <w:ind w:left="1740" w:right="1239"/>
        <w:spacing w:after="0" w:line="247" w:lineRule="auto"/>
        <w:rPr>
          <w:rFonts w:ascii="Arial" w:cs="Arial" w:eastAsia="Arial" w:hAnsi="Arial"/>
          <w:sz w:val="14"/>
          <w:szCs w:val="14"/>
          <w:color w:val="auto"/>
        </w:rPr>
      </w:pPr>
      <w:r>
        <w:rPr>
          <w:rFonts w:ascii="Arial" w:cs="Arial" w:eastAsia="Arial" w:hAnsi="Arial"/>
          <w:sz w:val="15"/>
          <w:szCs w:val="15"/>
          <w:color w:val="auto"/>
        </w:rPr>
        <w:t>(1)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“group”(other than a holding company satisfying the requirements of this sentence) is the beneficial owner, directly or indirectly, of more than 50% of the Voting Stock of such holding company; or</w:t>
      </w:r>
    </w:p>
    <w:p>
      <w:pPr>
        <w:spacing w:after="0" w:line="101" w:lineRule="exact"/>
        <w:rPr>
          <w:rFonts w:ascii="Arial" w:cs="Arial" w:eastAsia="Arial" w:hAnsi="Arial"/>
          <w:sz w:val="14"/>
          <w:szCs w:val="14"/>
          <w:color w:val="auto"/>
        </w:rPr>
      </w:pPr>
    </w:p>
    <w:p>
      <w:pPr>
        <w:ind w:left="1740" w:right="1219" w:hanging="298"/>
        <w:spacing w:after="0" w:line="250" w:lineRule="auto"/>
        <w:tabs>
          <w:tab w:leader="none" w:pos="17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89" w:lineRule="exact"/>
        <w:rPr>
          <w:rFonts w:ascii="Arial" w:cs="Arial" w:eastAsia="Arial" w:hAnsi="Arial"/>
          <w:sz w:val="15"/>
          <w:szCs w:val="15"/>
          <w:color w:val="auto"/>
        </w:rPr>
      </w:pPr>
    </w:p>
    <w:p>
      <w:pPr>
        <w:ind w:left="1740" w:hanging="298"/>
        <w:spacing w:after="0"/>
        <w:tabs>
          <w:tab w:leader="none" w:pos="17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adoption of a plan relating to the Company’s liquidation or dissolution.</w:t>
      </w:r>
    </w:p>
    <w:p>
      <w:pPr>
        <w:spacing w:after="0" w:line="126" w:lineRule="exact"/>
        <w:rPr>
          <w:sz w:val="20"/>
          <w:szCs w:val="20"/>
          <w:color w:val="auto"/>
        </w:rPr>
      </w:pPr>
    </w:p>
    <w:p>
      <w:pPr>
        <w:ind w:left="1140" w:right="1379"/>
        <w:spacing w:after="0" w:line="274" w:lineRule="auto"/>
        <w:rPr>
          <w:sz w:val="20"/>
          <w:szCs w:val="20"/>
          <w:color w:val="auto"/>
        </w:rPr>
      </w:pPr>
      <w:r>
        <w:rPr>
          <w:rFonts w:ascii="Arial" w:cs="Arial" w:eastAsia="Arial" w:hAnsi="Arial"/>
          <w:sz w:val="15"/>
          <w:szCs w:val="15"/>
          <w:color w:val="auto"/>
        </w:rPr>
        <w:t>“Change of Control Triggering Event” means the occurrence of both a Change of Control and a Below Investment Grade Rating Event.</w:t>
      </w:r>
    </w:p>
    <w:p>
      <w:pPr>
        <w:spacing w:after="0" w:line="81" w:lineRule="exact"/>
        <w:rPr>
          <w:sz w:val="20"/>
          <w:szCs w:val="20"/>
          <w:color w:val="auto"/>
        </w:rPr>
      </w:pPr>
    </w:p>
    <w:p>
      <w:pPr>
        <w:ind w:left="1140" w:right="1179"/>
        <w:spacing w:after="0" w:line="267" w:lineRule="auto"/>
        <w:rPr>
          <w:sz w:val="20"/>
          <w:szCs w:val="20"/>
          <w:color w:val="auto"/>
        </w:rPr>
      </w:pPr>
      <w:r>
        <w:rPr>
          <w:rFonts w:ascii="Arial" w:cs="Arial" w:eastAsia="Arial" w:hAnsi="Arial"/>
          <w:sz w:val="14"/>
          <w:szCs w:val="14"/>
          <w:color w:val="auto"/>
        </w:rPr>
        <w:t>“Consolidated Net Tangible Assets” means, with respect to any Person, the total amount of assets of such Person and its Consolidated Subsidiaries after deducting therefrom (a) all current liabilities of such Person and its Consolidated Subsidiaries (excluding (i) any notes or loans payable within 12 months, the current portion of long-term debt, the current portion of deferred revenue and of obligations under operating and finance leases,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 w:name="page26"/>
    <w:bookmarkEnd w:id="2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140" w:right="1499"/>
        <w:spacing w:after="0" w:line="252" w:lineRule="auto"/>
        <w:rPr>
          <w:sz w:val="20"/>
          <w:szCs w:val="20"/>
          <w:color w:val="auto"/>
        </w:rPr>
      </w:pPr>
      <w:r>
        <w:rPr>
          <w:rFonts w:ascii="Arial" w:cs="Arial" w:eastAsia="Arial" w:hAnsi="Arial"/>
          <w:sz w:val="15"/>
          <w:szCs w:val="15"/>
          <w:color w:val="auto"/>
        </w:rPr>
        <w:t>“Consolidated Subsidiaries” means, as of any date of determination and with respect to any Person, those subsidiaries of that Person whose financial data is, in accordance with GAAP, reflected in that Person’s consolidated financial statements.</w:t>
      </w:r>
    </w:p>
    <w:p>
      <w:pPr>
        <w:spacing w:after="0" w:line="86" w:lineRule="exact"/>
        <w:rPr>
          <w:sz w:val="20"/>
          <w:szCs w:val="20"/>
          <w:color w:val="auto"/>
        </w:rPr>
      </w:pPr>
    </w:p>
    <w:p>
      <w:pPr>
        <w:ind w:left="1140" w:right="1379"/>
        <w:spacing w:after="0" w:line="294" w:lineRule="auto"/>
        <w:rPr>
          <w:sz w:val="20"/>
          <w:szCs w:val="20"/>
          <w:color w:val="auto"/>
        </w:rPr>
      </w:pPr>
      <w:r>
        <w:rPr>
          <w:rFonts w:ascii="Arial" w:cs="Arial" w:eastAsia="Arial" w:hAnsi="Arial"/>
          <w:sz w:val="14"/>
          <w:szCs w:val="14"/>
          <w:color w:val="auto"/>
        </w:rPr>
        <w:t>“Equity Interests” means all Capital Stock and all warrants or options with respect to, or other rights to purchase, Capital Stock, but excluding Indebtedness convertible into or exchangeable for equity.</w:t>
      </w:r>
    </w:p>
    <w:p>
      <w:pPr>
        <w:spacing w:after="0" w:line="5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“Fitch” means Fitch Ratings Inc. and any successor to its rating agency business.</w:t>
      </w:r>
    </w:p>
    <w:p>
      <w:pPr>
        <w:spacing w:after="0" w:line="126" w:lineRule="exact"/>
        <w:rPr>
          <w:sz w:val="20"/>
          <w:szCs w:val="20"/>
          <w:color w:val="auto"/>
        </w:rPr>
      </w:pPr>
    </w:p>
    <w:p>
      <w:pPr>
        <w:ind w:left="1140" w:right="1299"/>
        <w:spacing w:after="0" w:line="252" w:lineRule="auto"/>
        <w:rPr>
          <w:sz w:val="20"/>
          <w:szCs w:val="20"/>
          <w:color w:val="auto"/>
        </w:rPr>
      </w:pPr>
      <w:r>
        <w:rPr>
          <w:rFonts w:ascii="Arial" w:cs="Arial" w:eastAsia="Arial" w:hAnsi="Arial"/>
          <w:sz w:val="15"/>
          <w:szCs w:val="15"/>
          <w:color w:val="auto"/>
        </w:rPr>
        <w:t>“Foreign Subsidiary” means, with respect to any Person, any Subsidiary of such Person other than one that is organized or existing under the laws of the United States, any state thereof or the District of Columbia.</w:t>
      </w:r>
    </w:p>
    <w:p>
      <w:pPr>
        <w:spacing w:after="0" w:line="86" w:lineRule="exact"/>
        <w:rPr>
          <w:sz w:val="20"/>
          <w:szCs w:val="20"/>
          <w:color w:val="auto"/>
        </w:rPr>
      </w:pPr>
    </w:p>
    <w:p>
      <w:pPr>
        <w:jc w:val="both"/>
        <w:ind w:left="1140" w:right="1239"/>
        <w:spacing w:after="0" w:line="245" w:lineRule="auto"/>
        <w:rPr>
          <w:sz w:val="20"/>
          <w:szCs w:val="20"/>
          <w:color w:val="auto"/>
        </w:rPr>
      </w:pPr>
      <w:r>
        <w:rPr>
          <w:rFonts w:ascii="Arial" w:cs="Arial" w:eastAsia="Arial" w:hAnsi="Arial"/>
          <w:sz w:val="15"/>
          <w:szCs w:val="15"/>
          <w:color w:val="auto"/>
        </w:rPr>
        <w:t>“GAAP” means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91" w:lineRule="exact"/>
        <w:rPr>
          <w:sz w:val="20"/>
          <w:szCs w:val="20"/>
          <w:color w:val="auto"/>
        </w:rPr>
      </w:pPr>
    </w:p>
    <w:p>
      <w:pPr>
        <w:ind w:left="1140" w:right="1159"/>
        <w:spacing w:after="0"/>
        <w:rPr>
          <w:sz w:val="20"/>
          <w:szCs w:val="20"/>
          <w:color w:val="auto"/>
        </w:rPr>
      </w:pPr>
      <w:r>
        <w:rPr>
          <w:rFonts w:ascii="Arial" w:cs="Arial" w:eastAsia="Arial" w:hAnsi="Arial"/>
          <w:sz w:val="15"/>
          <w:szCs w:val="15"/>
          <w:color w:val="auto"/>
        </w:rPr>
        <w:t>“Indebtedness” means indebtedness for borrowed money. For the avoidance of doubt, Indebtedness with respect to any Person only includes indebtedness for the repayment of money borrowed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84"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The amount of any Indebtedness outstanding as of any date will be:</w:t>
      </w:r>
    </w:p>
    <w:p>
      <w:pPr>
        <w:spacing w:after="0" w:line="126" w:lineRule="exact"/>
        <w:rPr>
          <w:sz w:val="20"/>
          <w:szCs w:val="20"/>
          <w:color w:val="auto"/>
        </w:rPr>
      </w:pPr>
    </w:p>
    <w:p>
      <w:pPr>
        <w:ind w:left="1740" w:right="1299" w:hanging="298"/>
        <w:spacing w:after="0" w:line="274" w:lineRule="auto"/>
        <w:tabs>
          <w:tab w:leader="none" w:pos="17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accreted value of the Indebtedness, in the case of any Indebtedness that does not require the current payment of interest;</w:t>
      </w:r>
    </w:p>
    <w:p>
      <w:pPr>
        <w:spacing w:after="0" w:line="80" w:lineRule="exact"/>
        <w:rPr>
          <w:rFonts w:ascii="Arial" w:cs="Arial" w:eastAsia="Arial" w:hAnsi="Arial"/>
          <w:sz w:val="15"/>
          <w:szCs w:val="15"/>
          <w:color w:val="auto"/>
        </w:rPr>
      </w:pPr>
    </w:p>
    <w:p>
      <w:pPr>
        <w:ind w:left="1740" w:hanging="298"/>
        <w:spacing w:after="0"/>
        <w:tabs>
          <w:tab w:leader="none" w:pos="17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principal amount of the Indebtedness, in the case of any other Indebtedness; and</w:t>
      </w:r>
    </w:p>
    <w:p>
      <w:pPr>
        <w:spacing w:after="0" w:line="114" w:lineRule="exact"/>
        <w:rPr>
          <w:rFonts w:ascii="Arial" w:cs="Arial" w:eastAsia="Arial" w:hAnsi="Arial"/>
          <w:sz w:val="15"/>
          <w:szCs w:val="15"/>
          <w:color w:val="auto"/>
        </w:rPr>
      </w:pPr>
    </w:p>
    <w:p>
      <w:pPr>
        <w:ind w:left="1740" w:right="1299" w:hanging="298"/>
        <w:spacing w:after="0" w:line="255" w:lineRule="auto"/>
        <w:tabs>
          <w:tab w:leader="none" w:pos="17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 respect of Indebtedness of another Person secured by a Lien on the assets of the specified Person, the lesser of: (a) the fair value (as determined in good faith by a Senior Officer of the Company) of such assets at the date of determination; and (b) the principal amount of the Indebtedness secured by such Lien.</w:t>
      </w:r>
    </w:p>
    <w:p>
      <w:pPr>
        <w:spacing w:after="0" w:line="95" w:lineRule="exact"/>
        <w:rPr>
          <w:sz w:val="20"/>
          <w:szCs w:val="20"/>
          <w:color w:val="auto"/>
        </w:rPr>
      </w:pPr>
    </w:p>
    <w:p>
      <w:pPr>
        <w:ind w:left="1140" w:right="1199"/>
        <w:spacing w:after="0" w:line="259" w:lineRule="auto"/>
        <w:rPr>
          <w:sz w:val="20"/>
          <w:szCs w:val="20"/>
          <w:color w:val="auto"/>
        </w:rPr>
      </w:pPr>
      <w:r>
        <w:rPr>
          <w:rFonts w:ascii="Arial" w:cs="Arial" w:eastAsia="Arial" w:hAnsi="Arial"/>
          <w:sz w:val="15"/>
          <w:szCs w:val="15"/>
          <w:color w:val="auto"/>
        </w:rPr>
        <w:t>In addition, accrual of interest and accretion or amortization of original issue discount will not be deemed to be an incurrence of Indebtedness for any purpose under the Indenture.</w:t>
      </w:r>
    </w:p>
    <w:p>
      <w:pPr>
        <w:spacing w:after="0" w:line="80" w:lineRule="exact"/>
        <w:rPr>
          <w:sz w:val="20"/>
          <w:szCs w:val="20"/>
          <w:color w:val="auto"/>
        </w:rPr>
      </w:pPr>
    </w:p>
    <w:p>
      <w:pPr>
        <w:ind w:left="1140" w:right="1479"/>
        <w:spacing w:after="0" w:line="252" w:lineRule="auto"/>
        <w:rPr>
          <w:sz w:val="20"/>
          <w:szCs w:val="20"/>
          <w:color w:val="auto"/>
        </w:rPr>
      </w:pPr>
      <w:r>
        <w:rPr>
          <w:rFonts w:ascii="Arial" w:cs="Arial" w:eastAsia="Arial" w:hAnsi="Arial"/>
          <w:sz w:val="15"/>
          <w:szCs w:val="15"/>
          <w:color w:val="auto"/>
        </w:rPr>
        <w:t>“Investment Grade” means a rating of BBB- or better by Fitch (or its equivalent under any successor rating categories of Fitch), Baa3 or better by Moody’s (or its equivalent under any successor rating categories of Moody’s) and a rating of BBB- or better by S&amp;P (or its equivalent under any successor rating categories of S&amp;P) or the equivalent investment grade credit rating from any additional Rating Agency or Rating Agencies selected by us.</w:t>
      </w:r>
    </w:p>
    <w:p>
      <w:pPr>
        <w:spacing w:after="0" w:line="99"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“Issue Date” means the date of original issuance of the notes under the Indenture.</w:t>
      </w:r>
    </w:p>
    <w:p>
      <w:pPr>
        <w:spacing w:after="0" w:line="115" w:lineRule="exact"/>
        <w:rPr>
          <w:sz w:val="20"/>
          <w:szCs w:val="20"/>
          <w:color w:val="auto"/>
        </w:rPr>
      </w:pPr>
    </w:p>
    <w:p>
      <w:pPr>
        <w:ind w:left="1140" w:right="1159"/>
        <w:spacing w:after="0" w:line="260" w:lineRule="auto"/>
        <w:rPr>
          <w:sz w:val="20"/>
          <w:szCs w:val="20"/>
          <w:color w:val="auto"/>
        </w:rPr>
      </w:pPr>
      <w:r>
        <w:rPr>
          <w:rFonts w:ascii="Arial" w:cs="Arial" w:eastAsia="Arial" w:hAnsi="Arial"/>
          <w:sz w:val="15"/>
          <w:szCs w:val="15"/>
          <w:color w:val="auto"/>
        </w:rPr>
        <w:t>“Joint Venture” means, with respect to any Person, any partnership, corporation or other entity in which up to and including 50% of the Equity Interests is owned, directly or indirectly, by such Person and/or one or more of its Subsidiaries.</w:t>
      </w:r>
    </w:p>
    <w:p>
      <w:pPr>
        <w:spacing w:after="0" w:line="91" w:lineRule="exact"/>
        <w:rPr>
          <w:sz w:val="20"/>
          <w:szCs w:val="20"/>
          <w:color w:val="auto"/>
        </w:rPr>
      </w:pPr>
    </w:p>
    <w:p>
      <w:pPr>
        <w:ind w:left="1140" w:right="1359"/>
        <w:spacing w:after="0" w:line="311" w:lineRule="auto"/>
        <w:rPr>
          <w:sz w:val="20"/>
          <w:szCs w:val="20"/>
          <w:color w:val="auto"/>
        </w:rPr>
      </w:pPr>
      <w:r>
        <w:rPr>
          <w:rFonts w:ascii="Arial" w:cs="Arial" w:eastAsia="Arial" w:hAnsi="Arial"/>
          <w:sz w:val="14"/>
          <w:szCs w:val="14"/>
          <w:color w:val="auto"/>
        </w:rPr>
        <w:t>“Legal Holiday” means a Saturday, a Sunday or a day on which commercial banking institutions or the corporate trust office are not required to be open in the State of New York or the place of payment.</w:t>
      </w:r>
    </w:p>
    <w:p>
      <w:pPr>
        <w:spacing w:after="0" w:line="57" w:lineRule="exact"/>
        <w:rPr>
          <w:sz w:val="20"/>
          <w:szCs w:val="20"/>
          <w:color w:val="auto"/>
        </w:rPr>
      </w:pPr>
    </w:p>
    <w:p>
      <w:pPr>
        <w:ind w:left="1140" w:right="1339"/>
        <w:spacing w:after="0" w:line="287" w:lineRule="auto"/>
        <w:rPr>
          <w:sz w:val="20"/>
          <w:szCs w:val="20"/>
          <w:color w:val="auto"/>
        </w:rPr>
      </w:pPr>
      <w:r>
        <w:rPr>
          <w:rFonts w:ascii="Arial" w:cs="Arial" w:eastAsia="Arial" w:hAnsi="Arial"/>
          <w:sz w:val="14"/>
          <w:szCs w:val="14"/>
          <w:color w:val="auto"/>
        </w:rPr>
        <w:t>“Lien” means any lien, security interest, mortgage, charge or similar encumbrance, provided, however, that in no event shall either (i) any legal or equitable encumbrances deemed to exist by reason of a negative pledge or (ii) an operating lease or a non-exclusive license be deemed to constitute a Lien.</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“Moody’s” means Moody’s Investors Service, Inc. and any successor to its rating agency business.</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6" w:name="page27"/>
    <w:bookmarkEnd w:id="2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19"/>
        <w:spacing w:after="0"/>
        <w:rPr>
          <w:sz w:val="20"/>
          <w:szCs w:val="20"/>
          <w:color w:val="auto"/>
        </w:rPr>
      </w:pPr>
      <w:r>
        <w:rPr>
          <w:rFonts w:ascii="Arial" w:cs="Arial" w:eastAsia="Arial" w:hAnsi="Arial"/>
          <w:sz w:val="15"/>
          <w:szCs w:val="15"/>
          <w:color w:val="auto"/>
        </w:rPr>
        <w:t>“Nonrecourse Obligation” means Indebtedness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“Permitted Liens” means:</w:t>
      </w:r>
    </w:p>
    <w:p>
      <w:pPr>
        <w:spacing w:after="0" w:line="92" w:lineRule="exact"/>
        <w:rPr>
          <w:sz w:val="20"/>
          <w:szCs w:val="20"/>
          <w:color w:val="auto"/>
        </w:rPr>
      </w:pPr>
    </w:p>
    <w:p>
      <w:pPr>
        <w:ind w:left="1580" w:right="1159" w:hanging="138"/>
        <w:spacing w:after="0" w:line="274" w:lineRule="auto"/>
        <w:tabs>
          <w:tab w:leader="none" w:pos="1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Liens existing as of the Issue Date or arising thereafter pursuant to related agreements existing as of the Issue Date;</w:t>
      </w:r>
    </w:p>
    <w:p>
      <w:pPr>
        <w:spacing w:after="0" w:line="47" w:lineRule="exact"/>
        <w:rPr>
          <w:rFonts w:ascii="Arial" w:cs="Arial" w:eastAsia="Arial" w:hAnsi="Arial"/>
          <w:sz w:val="15"/>
          <w:szCs w:val="15"/>
          <w:color w:val="auto"/>
        </w:rPr>
      </w:pPr>
    </w:p>
    <w:p>
      <w:pPr>
        <w:ind w:left="1580" w:hanging="138"/>
        <w:spacing w:after="0"/>
        <w:tabs>
          <w:tab w:leader="none" w:pos="1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Liens granted after the Issue Date created in favor of the holders of the notes;</w:t>
      </w:r>
    </w:p>
    <w:p>
      <w:pPr>
        <w:spacing w:after="0" w:line="92" w:lineRule="exact"/>
        <w:rPr>
          <w:rFonts w:ascii="Arial" w:cs="Arial" w:eastAsia="Arial" w:hAnsi="Arial"/>
          <w:sz w:val="15"/>
          <w:szCs w:val="15"/>
          <w:color w:val="auto"/>
        </w:rPr>
      </w:pPr>
    </w:p>
    <w:p>
      <w:pPr>
        <w:ind w:left="1580" w:right="1239" w:hanging="138"/>
        <w:spacing w:after="0" w:line="248" w:lineRule="auto"/>
        <w:tabs>
          <w:tab w:leader="none" w:pos="1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Liens on Principal Property or Liens on the Capital Stock of any Person formed to acquire or hold such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by the time of or within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w:t>
      </w:r>
    </w:p>
    <w:p>
      <w:pPr>
        <w:spacing w:after="0" w:line="72" w:lineRule="exact"/>
        <w:rPr>
          <w:rFonts w:ascii="Arial" w:cs="Arial" w:eastAsia="Arial" w:hAnsi="Arial"/>
          <w:sz w:val="15"/>
          <w:szCs w:val="15"/>
          <w:color w:val="auto"/>
        </w:rPr>
      </w:pPr>
    </w:p>
    <w:p>
      <w:pPr>
        <w:ind w:left="1580" w:right="1179" w:hanging="138"/>
        <w:spacing w:after="0" w:line="248" w:lineRule="auto"/>
        <w:tabs>
          <w:tab w:leader="none" w:pos="1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Liens existing on any Principal Property at the time of acquisition of such Principal Property or Liens existing on shares of Capital Stock or assets of a Person and its Subsidiaries prior to the time such Person becomes a Restricted Subsidiary (or arising thereafter pursuant to contractual commitments entered into prior to acquiring such Principal Property or such shares of Capital Stock) (including acquisition through merger or consolidation) or at the time of such acquisition (or arising thereafter pursuant to contractual commitments entered into prior to such Person becoming a Restricted Subsidiary) by the Company or any Subsidiary of the Company; provided that such Liens do not extend to (i) any Principal Property owned by the Company or any Restricted Subsidiary or (ii) shares of Capital Stock of any Restricted Subsidiary that, in each case, were not previously encumbered by such Liens;</w:t>
      </w:r>
    </w:p>
    <w:p>
      <w:pPr>
        <w:spacing w:after="0" w:line="72" w:lineRule="exact"/>
        <w:rPr>
          <w:rFonts w:ascii="Arial" w:cs="Arial" w:eastAsia="Arial" w:hAnsi="Arial"/>
          <w:sz w:val="15"/>
          <w:szCs w:val="15"/>
          <w:color w:val="auto"/>
        </w:rPr>
      </w:pPr>
    </w:p>
    <w:p>
      <w:pPr>
        <w:ind w:left="1580" w:right="1199" w:hanging="138"/>
        <w:spacing w:after="0" w:line="265" w:lineRule="auto"/>
        <w:tabs>
          <w:tab w:leader="none" w:pos="1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 Liens on the Equity Interests of any Person, including any Joint Venture of the Company, and its Subsidiaries which, when such Liens arise, concurrently becomes a Restricted Subsidiary and Liens on Principal Property of such Person, including any Joint Venture of the Company, and its Subsidiaries arising in connection with the purchase or acquisition thereof or of an interest therein by the Company or any of its Subsidiaries, and (b) Liens on Equity Interests in any Joint Venture of the Company or any of its Subsidiaries, or in any Subsidiary of the Company that owns an Equity Interest in a Joint Venture of the Company to secure Indebtedness contributed or advanced solely to that Joint Venture; provided that, in the case of each of the preceding clauses</w:t>
      </w:r>
    </w:p>
    <w:p>
      <w:pPr>
        <w:spacing w:after="0" w:line="4" w:lineRule="exact"/>
        <w:rPr>
          <w:rFonts w:ascii="Arial" w:cs="Arial" w:eastAsia="Arial" w:hAnsi="Arial"/>
          <w:sz w:val="14"/>
          <w:szCs w:val="14"/>
          <w:color w:val="auto"/>
        </w:rPr>
      </w:pPr>
    </w:p>
    <w:p>
      <w:pPr>
        <w:ind w:left="1580" w:right="1339"/>
        <w:spacing w:after="0" w:line="250" w:lineRule="auto"/>
        <w:rPr>
          <w:rFonts w:ascii="Arial" w:cs="Arial" w:eastAsia="Arial" w:hAnsi="Arial"/>
          <w:sz w:val="14"/>
          <w:szCs w:val="14"/>
          <w:color w:val="auto"/>
        </w:rPr>
      </w:pPr>
      <w:r>
        <w:rPr>
          <w:rFonts w:ascii="Arial" w:cs="Arial" w:eastAsia="Arial" w:hAnsi="Arial"/>
          <w:sz w:val="15"/>
          <w:szCs w:val="15"/>
          <w:color w:val="auto"/>
        </w:rPr>
        <w:t>(a) and (b), such Liens do not extend to other Principal Property owned by the Company or any Restricted Subsidiary or shares of Capital Stock of a Restricted Subsidiary that, in each case, were not previously encumbered by such Liens;</w:t>
      </w:r>
    </w:p>
    <w:p>
      <w:pPr>
        <w:spacing w:after="0" w:line="65" w:lineRule="exact"/>
        <w:rPr>
          <w:rFonts w:ascii="Arial" w:cs="Arial" w:eastAsia="Arial" w:hAnsi="Arial"/>
          <w:sz w:val="14"/>
          <w:szCs w:val="14"/>
          <w:color w:val="auto"/>
        </w:rPr>
      </w:pPr>
    </w:p>
    <w:p>
      <w:pPr>
        <w:ind w:left="1580" w:right="1259" w:hanging="138"/>
        <w:spacing w:after="0" w:line="255" w:lineRule="auto"/>
        <w:tabs>
          <w:tab w:leader="none" w:pos="1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Liens securing Indebtedness of up to 5.0% of Consolidated Net Tangible Assets of the Company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61" w:lineRule="exact"/>
        <w:rPr>
          <w:rFonts w:ascii="Arial" w:cs="Arial" w:eastAsia="Arial" w:hAnsi="Arial"/>
          <w:sz w:val="15"/>
          <w:szCs w:val="15"/>
          <w:color w:val="auto"/>
        </w:rPr>
      </w:pPr>
    </w:p>
    <w:p>
      <w:pPr>
        <w:ind w:left="1580" w:hanging="138"/>
        <w:spacing w:after="0"/>
        <w:tabs>
          <w:tab w:leader="none" w:pos="1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Liens in favor of the Company or a Restricted Subsidiary of the Company;</w:t>
      </w:r>
    </w:p>
    <w:p>
      <w:pPr>
        <w:spacing w:after="0" w:line="92" w:lineRule="exact"/>
        <w:rPr>
          <w:rFonts w:ascii="Arial" w:cs="Arial" w:eastAsia="Arial" w:hAnsi="Arial"/>
          <w:sz w:val="15"/>
          <w:szCs w:val="15"/>
          <w:color w:val="auto"/>
        </w:rPr>
      </w:pPr>
    </w:p>
    <w:p>
      <w:pPr>
        <w:ind w:left="1580" w:right="1199" w:hanging="138"/>
        <w:spacing w:after="0" w:line="255" w:lineRule="auto"/>
        <w:tabs>
          <w:tab w:leader="none" w:pos="1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Liens imposed by law, such as carriers’, warehousemen’s and mechanic’s Liens and other similar Liens arising in the ordinary course of business (including Liens incident in the ordinary course of the construction or maintenance of Principal Property), and Liens in connection with legal proceedings;</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7" w:name="page28"/>
    <w:bookmarkEnd w:id="2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219" w:hanging="138"/>
        <w:spacing w:after="0" w:line="260" w:lineRule="auto"/>
        <w:tabs>
          <w:tab w:leader="none" w:pos="1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Liens for taxes, assessments or other governmental charges not yet overdue for a period of more than 30 days or subject to penalties for non-payment or which are being contested in good faith by appropriate proceedings;</w:t>
      </w:r>
    </w:p>
    <w:p>
      <w:pPr>
        <w:spacing w:after="0" w:line="57" w:lineRule="exact"/>
        <w:rPr>
          <w:rFonts w:ascii="Arial" w:cs="Arial" w:eastAsia="Arial" w:hAnsi="Arial"/>
          <w:sz w:val="15"/>
          <w:szCs w:val="15"/>
          <w:color w:val="auto"/>
        </w:rPr>
      </w:pPr>
    </w:p>
    <w:p>
      <w:pPr>
        <w:ind w:left="1580" w:right="1199" w:hanging="138"/>
        <w:spacing w:after="0" w:line="270" w:lineRule="auto"/>
        <w:tabs>
          <w:tab w:leader="none" w:pos="1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63" w:lineRule="exact"/>
        <w:rPr>
          <w:rFonts w:ascii="Arial" w:cs="Arial" w:eastAsia="Arial" w:hAnsi="Arial"/>
          <w:sz w:val="14"/>
          <w:szCs w:val="14"/>
          <w:color w:val="auto"/>
        </w:rPr>
      </w:pPr>
    </w:p>
    <w:p>
      <w:pPr>
        <w:ind w:left="1580" w:right="1179" w:hanging="138"/>
        <w:spacing w:after="0" w:line="251" w:lineRule="auto"/>
        <w:tabs>
          <w:tab w:leader="none" w:pos="1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65" w:lineRule="exact"/>
        <w:rPr>
          <w:rFonts w:ascii="Arial" w:cs="Arial" w:eastAsia="Arial" w:hAnsi="Arial"/>
          <w:sz w:val="15"/>
          <w:szCs w:val="15"/>
          <w:color w:val="auto"/>
        </w:rPr>
      </w:pPr>
    </w:p>
    <w:p>
      <w:pPr>
        <w:ind w:left="1580" w:right="1199" w:hanging="138"/>
        <w:spacing w:after="0" w:line="287" w:lineRule="auto"/>
        <w:tabs>
          <w:tab w:leader="none" w:pos="1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Liens created, incurred or assumed in connection with an industrial revenue bond, pollution control bond or similar financing between the Company or any of its Subsidiaries and any federal, state or municipal government or other government body or quasi-governmental agency;</w:t>
      </w:r>
    </w:p>
    <w:p>
      <w:pPr>
        <w:spacing w:after="0" w:line="40" w:lineRule="exact"/>
        <w:rPr>
          <w:rFonts w:ascii="Arial" w:cs="Arial" w:eastAsia="Arial" w:hAnsi="Arial"/>
          <w:sz w:val="14"/>
          <w:szCs w:val="14"/>
          <w:color w:val="auto"/>
        </w:rPr>
      </w:pPr>
    </w:p>
    <w:p>
      <w:pPr>
        <w:ind w:left="1580" w:right="1299" w:hanging="138"/>
        <w:spacing w:after="0" w:line="274" w:lineRule="auto"/>
        <w:tabs>
          <w:tab w:leader="none" w:pos="1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Liens created in connection with the acquisition of assets or a project financed with, and created to secure a Nonrecourse Obligation; and</w:t>
      </w:r>
    </w:p>
    <w:p>
      <w:pPr>
        <w:spacing w:after="0" w:line="47" w:lineRule="exact"/>
        <w:rPr>
          <w:rFonts w:ascii="Arial" w:cs="Arial" w:eastAsia="Arial" w:hAnsi="Arial"/>
          <w:sz w:val="15"/>
          <w:szCs w:val="15"/>
          <w:color w:val="auto"/>
        </w:rPr>
      </w:pPr>
    </w:p>
    <w:p>
      <w:pPr>
        <w:ind w:left="1580" w:right="1259" w:hanging="138"/>
        <w:spacing w:after="0" w:line="248" w:lineRule="auto"/>
        <w:tabs>
          <w:tab w:leader="none" w:pos="1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any extension, renewal, substitution, reinstatement or replacement (or successive extensions, renewals, substitutions, reinstatements or replacements), in whole or in part, of any Lien referred to in this or the preceding bullet points, and any Liens that secure an extension, renewal, reinstatement, replacement, refinancing or refunding (including any successive extensions, renewals, reinstatements, replacements,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or the preceding bullet points.</w:t>
      </w:r>
    </w:p>
    <w:p>
      <w:pPr>
        <w:spacing w:after="0" w:line="105" w:lineRule="exact"/>
        <w:rPr>
          <w:sz w:val="20"/>
          <w:szCs w:val="20"/>
          <w:color w:val="auto"/>
        </w:rPr>
      </w:pPr>
    </w:p>
    <w:p>
      <w:pPr>
        <w:ind w:left="1140" w:right="1399"/>
        <w:spacing w:after="0" w:line="274" w:lineRule="auto"/>
        <w:rPr>
          <w:sz w:val="20"/>
          <w:szCs w:val="20"/>
          <w:color w:val="auto"/>
        </w:rPr>
      </w:pPr>
      <w:r>
        <w:rPr>
          <w:rFonts w:ascii="Arial" w:cs="Arial" w:eastAsia="Arial" w:hAnsi="Arial"/>
          <w:sz w:val="15"/>
          <w:szCs w:val="15"/>
          <w:color w:val="auto"/>
        </w:rPr>
        <w:t>For the avoidance of doubt, the inclusion of specific Liens in the definition of Permitted Liens shall not create any implication that the obligations secured by such Liens constitute Indebtedness.</w:t>
      </w:r>
    </w:p>
    <w:p>
      <w:pPr>
        <w:spacing w:after="0" w:line="70" w:lineRule="exact"/>
        <w:rPr>
          <w:sz w:val="20"/>
          <w:szCs w:val="20"/>
          <w:color w:val="auto"/>
        </w:rPr>
      </w:pPr>
    </w:p>
    <w:p>
      <w:pPr>
        <w:jc w:val="both"/>
        <w:ind w:left="1140" w:right="1619"/>
        <w:spacing w:after="0" w:line="260" w:lineRule="auto"/>
        <w:rPr>
          <w:sz w:val="20"/>
          <w:szCs w:val="20"/>
          <w:color w:val="auto"/>
        </w:rPr>
      </w:pPr>
      <w:r>
        <w:rPr>
          <w:rFonts w:ascii="Arial" w:cs="Arial" w:eastAsia="Arial" w:hAnsi="Arial"/>
          <w:sz w:val="15"/>
          <w:szCs w:val="15"/>
          <w:color w:val="auto"/>
        </w:rPr>
        <w:t>“Person” means any individual, corporation, partnership, joint venture, association, limited liability company, joint-stock company, trust, unincorporated organization or government or any agency or political subdivision thereof.</w:t>
      </w:r>
    </w:p>
    <w:p>
      <w:pPr>
        <w:spacing w:after="0" w:line="91" w:lineRule="exact"/>
        <w:rPr>
          <w:sz w:val="20"/>
          <w:szCs w:val="20"/>
          <w:color w:val="auto"/>
        </w:rPr>
      </w:pPr>
    </w:p>
    <w:p>
      <w:pPr>
        <w:ind w:left="1140" w:right="1339"/>
        <w:spacing w:after="0" w:line="268" w:lineRule="auto"/>
        <w:rPr>
          <w:sz w:val="20"/>
          <w:szCs w:val="20"/>
          <w:color w:val="auto"/>
        </w:rPr>
      </w:pPr>
      <w:r>
        <w:rPr>
          <w:rFonts w:ascii="Arial" w:cs="Arial" w:eastAsia="Arial" w:hAnsi="Arial"/>
          <w:sz w:val="14"/>
          <w:szCs w:val="14"/>
          <w:color w:val="auto"/>
        </w:rPr>
        <w:t>“Principal Property” means any single parcel (or group of contiguous parcels that comprise the same facility, office or plant) of real property or any permanent improvement thereon (1) owned by the Company or any of its Subsidiaries located in the United States, including its principal corporate office, any manufacturing facility or plant, any research and development facility or any portion thereof and</w:t>
      </w:r>
    </w:p>
    <w:p>
      <w:pPr>
        <w:spacing w:after="0" w:line="1" w:lineRule="exact"/>
        <w:rPr>
          <w:sz w:val="20"/>
          <w:szCs w:val="20"/>
          <w:color w:val="auto"/>
        </w:rPr>
      </w:pPr>
    </w:p>
    <w:p>
      <w:pPr>
        <w:ind w:left="1140" w:right="1159" w:firstLine="8"/>
        <w:spacing w:after="0" w:line="247" w:lineRule="auto"/>
        <w:tabs>
          <w:tab w:leader="none" w:pos="1356" w:val="left"/>
        </w:tabs>
        <w:numPr>
          <w:ilvl w:val="0"/>
          <w:numId w:val="23"/>
        </w:numPr>
        <w:rPr>
          <w:rFonts w:ascii="Arial" w:cs="Arial" w:eastAsia="Arial" w:hAnsi="Arial"/>
          <w:sz w:val="15"/>
          <w:szCs w:val="15"/>
          <w:color w:val="auto"/>
        </w:rPr>
      </w:pPr>
      <w:r>
        <w:rPr>
          <w:rFonts w:ascii="Arial" w:cs="Arial" w:eastAsia="Arial" w:hAnsi="Arial"/>
          <w:sz w:val="15"/>
          <w:szCs w:val="15"/>
          <w:color w:val="auto"/>
        </w:rPr>
        <w:t>having a net book value, as of the date of determination, in excess of 1% of Consolidated Net Tangible Assets of the Company. Notwithstanding the foregoing, (i) Principal Property does not include any property that the Board of Directors has determined not to be of material importance to the business conducted by the Company and its Subsidiaries, taken as a whole and (ii) Principal Property only includes personal property to the extent it becomes, and continues to be, a “fixture” within the meaning of Article 9 of the Uniform Commercial Code of the applicable real property.</w:t>
      </w:r>
    </w:p>
    <w:p>
      <w:pPr>
        <w:spacing w:after="0" w:line="102" w:lineRule="exact"/>
        <w:rPr>
          <w:sz w:val="20"/>
          <w:szCs w:val="20"/>
          <w:color w:val="auto"/>
        </w:rPr>
      </w:pPr>
    </w:p>
    <w:p>
      <w:pPr>
        <w:ind w:left="1140" w:right="1179"/>
        <w:spacing w:after="0" w:line="260" w:lineRule="auto"/>
        <w:rPr>
          <w:sz w:val="20"/>
          <w:szCs w:val="20"/>
          <w:color w:val="auto"/>
        </w:rPr>
      </w:pPr>
      <w:r>
        <w:rPr>
          <w:rFonts w:ascii="Arial" w:cs="Arial" w:eastAsia="Arial" w:hAnsi="Arial"/>
          <w:sz w:val="15"/>
          <w:szCs w:val="15"/>
          <w:color w:val="auto"/>
        </w:rPr>
        <w:t>“Rating Agency” means (1) each of Fitch, Moody’s and S&amp;P; and (2) if any of Fitch, Moody’s or S&amp;P ceases to rate the notes or fails to make a rating of the notes publicly available for reasons outside of the Company’s control, a “nationally recognized statistical rating organization” within the meaning of</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8" w:name="page29"/>
    <w:bookmarkEnd w:id="2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519"/>
        <w:spacing w:after="0" w:line="274" w:lineRule="auto"/>
        <w:rPr>
          <w:sz w:val="20"/>
          <w:szCs w:val="20"/>
          <w:color w:val="auto"/>
        </w:rPr>
      </w:pPr>
      <w:r>
        <w:rPr>
          <w:rFonts w:ascii="Arial" w:cs="Arial" w:eastAsia="Arial" w:hAnsi="Arial"/>
          <w:sz w:val="15"/>
          <w:szCs w:val="15"/>
          <w:color w:val="auto"/>
        </w:rPr>
        <w:t>Section 3(a)(62) of the Exchange Act, selected by the Company as a replacement agency for Fitch, Moody’s or S&amp;P, or all of them, as the case may be.</w:t>
      </w:r>
    </w:p>
    <w:p>
      <w:pPr>
        <w:spacing w:after="0" w:line="70" w:lineRule="exact"/>
        <w:rPr>
          <w:sz w:val="20"/>
          <w:szCs w:val="20"/>
          <w:color w:val="auto"/>
        </w:rPr>
      </w:pPr>
    </w:p>
    <w:p>
      <w:pPr>
        <w:ind w:left="1140" w:right="1439"/>
        <w:spacing w:after="0" w:line="259" w:lineRule="auto"/>
        <w:rPr>
          <w:sz w:val="20"/>
          <w:szCs w:val="20"/>
          <w:color w:val="auto"/>
        </w:rPr>
      </w:pPr>
      <w:r>
        <w:rPr>
          <w:rFonts w:ascii="Arial" w:cs="Arial" w:eastAsia="Arial" w:hAnsi="Arial"/>
          <w:sz w:val="14"/>
          <w:szCs w:val="14"/>
          <w:color w:val="auto"/>
        </w:rPr>
        <w:t>“Restricted Subsidiary” shall mean each Subsidiary of the Company (1) that is organized or existing under the laws of the United States, any state thereof or the District of Columbia other than any such Subsidiary that is a direct or indirect Subsidiary of one or more Foreign Subsidiaries of the Company,</w:t>
      </w:r>
    </w:p>
    <w:p>
      <w:pPr>
        <w:spacing w:after="0" w:line="1" w:lineRule="exact"/>
        <w:rPr>
          <w:sz w:val="20"/>
          <w:szCs w:val="20"/>
          <w:color w:val="auto"/>
        </w:rPr>
      </w:pPr>
    </w:p>
    <w:p>
      <w:pPr>
        <w:ind w:left="1140" w:right="1199" w:firstLine="8"/>
        <w:spacing w:after="0" w:line="237" w:lineRule="auto"/>
        <w:tabs>
          <w:tab w:leader="none" w:pos="1356"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that owns a Principal Property, and (3) at least 80% of the Voting Stock of which is owned by the Company or one or more Subsidiaries of which at least 80% of the Voting Stock is owned directly or indirectly by the Company, provided that, for purposes of the foregoing, any Voting Stock owned by a Subsidiary of the Company that is not a Restricted Subsidiary based on the foregoing clause (3) shall be excluded.</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“S&amp;P” means S&amp;P Global Ratings, and any successor to its rating agency business.</w:t>
      </w:r>
    </w:p>
    <w:p>
      <w:pPr>
        <w:spacing w:after="0" w:line="126" w:lineRule="exact"/>
        <w:rPr>
          <w:sz w:val="20"/>
          <w:szCs w:val="20"/>
          <w:color w:val="auto"/>
        </w:rPr>
      </w:pPr>
    </w:p>
    <w:p>
      <w:pPr>
        <w:ind w:left="1140" w:right="1159"/>
        <w:spacing w:after="0" w:line="239" w:lineRule="auto"/>
        <w:rPr>
          <w:sz w:val="20"/>
          <w:szCs w:val="20"/>
          <w:color w:val="auto"/>
        </w:rPr>
      </w:pPr>
      <w:r>
        <w:rPr>
          <w:rFonts w:ascii="Arial" w:cs="Arial" w:eastAsia="Arial" w:hAnsi="Arial"/>
          <w:sz w:val="15"/>
          <w:szCs w:val="15"/>
          <w:color w:val="auto"/>
        </w:rPr>
        <w:t>“Sale and Lease-Back Transaction” means an arrangement with any lender or investor or to which such lender or investor is a party providing for the leasing by us or any of our Subsidiaries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us or our Subsidiary to such lender or investor or to any person to whom funds have been or are to be advanced by such lender on the security of such Principal Property.</w:t>
      </w:r>
    </w:p>
    <w:p>
      <w:pPr>
        <w:spacing w:after="0" w:line="94" w:lineRule="exact"/>
        <w:rPr>
          <w:sz w:val="20"/>
          <w:szCs w:val="20"/>
          <w:color w:val="auto"/>
        </w:rPr>
      </w:pPr>
    </w:p>
    <w:p>
      <w:pPr>
        <w:ind w:left="1140" w:right="1259"/>
        <w:spacing w:after="0" w:line="252" w:lineRule="auto"/>
        <w:rPr>
          <w:sz w:val="20"/>
          <w:szCs w:val="20"/>
          <w:color w:val="auto"/>
        </w:rPr>
      </w:pPr>
      <w:r>
        <w:rPr>
          <w:rFonts w:ascii="Arial" w:cs="Arial" w:eastAsia="Arial" w:hAnsi="Arial"/>
          <w:sz w:val="15"/>
          <w:szCs w:val="15"/>
          <w:color w:val="auto"/>
        </w:rPr>
        <w:t>“Senior Officer” of any specified Person means the chief executive officer, any president, any vice president, the chief financial officer, the treasurer, any assistant treasurer, the secretary or any assistant secretary.</w:t>
      </w:r>
    </w:p>
    <w:p>
      <w:pPr>
        <w:spacing w:after="0" w:line="75" w:lineRule="exact"/>
        <w:rPr>
          <w:sz w:val="20"/>
          <w:szCs w:val="20"/>
          <w:color w:val="auto"/>
        </w:rPr>
      </w:pPr>
    </w:p>
    <w:p>
      <w:pPr>
        <w:ind w:left="1140" w:right="1179"/>
        <w:spacing w:after="0" w:line="245" w:lineRule="auto"/>
        <w:rPr>
          <w:sz w:val="20"/>
          <w:szCs w:val="20"/>
          <w:color w:val="auto"/>
        </w:rPr>
      </w:pPr>
      <w:r>
        <w:rPr>
          <w:rFonts w:ascii="Arial" w:cs="Arial" w:eastAsia="Arial" w:hAnsi="Arial"/>
          <w:sz w:val="15"/>
          <w:szCs w:val="15"/>
          <w:color w:val="auto"/>
        </w:rPr>
        <w:t>“Subsidiary”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91" w:lineRule="exact"/>
        <w:rPr>
          <w:sz w:val="20"/>
          <w:szCs w:val="20"/>
          <w:color w:val="auto"/>
        </w:rPr>
      </w:pPr>
    </w:p>
    <w:p>
      <w:pPr>
        <w:ind w:left="1140" w:right="1379"/>
        <w:spacing w:after="0" w:line="274" w:lineRule="auto"/>
        <w:rPr>
          <w:sz w:val="20"/>
          <w:szCs w:val="20"/>
          <w:color w:val="auto"/>
        </w:rPr>
      </w:pPr>
      <w:r>
        <w:rPr>
          <w:rFonts w:ascii="Arial" w:cs="Arial" w:eastAsia="Arial" w:hAnsi="Arial"/>
          <w:sz w:val="15"/>
          <w:szCs w:val="15"/>
          <w:color w:val="auto"/>
        </w:rPr>
        <w:t>“Treasury Rate” means, with respect to any redemption date, the yield determined by the Company in the manner set forth below:</w:t>
      </w:r>
    </w:p>
    <w:p>
      <w:pPr>
        <w:spacing w:after="0" w:line="70" w:lineRule="exact"/>
        <w:rPr>
          <w:sz w:val="20"/>
          <w:szCs w:val="20"/>
          <w:color w:val="auto"/>
        </w:rPr>
      </w:pPr>
    </w:p>
    <w:p>
      <w:pPr>
        <w:ind w:left="1140" w:right="1199"/>
        <w:spacing w:after="0" w:line="253" w:lineRule="auto"/>
        <w:rPr>
          <w:sz w:val="20"/>
          <w:szCs w:val="20"/>
          <w:color w:val="auto"/>
        </w:rPr>
      </w:pPr>
      <w:r>
        <w:rPr>
          <w:rFonts w:ascii="Arial" w:cs="Arial" w:eastAsia="Arial" w:hAnsi="Arial"/>
          <w:sz w:val="14"/>
          <w:szCs w:val="14"/>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w:t>
      </w:r>
    </w:p>
    <w:p>
      <w:pPr>
        <w:spacing w:after="0" w:line="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of months or years, as applicable, of such Treasury constant maturity from the redemption date.</w:t>
      </w:r>
    </w:p>
    <w:p>
      <w:pPr>
        <w:spacing w:after="0" w:line="101" w:lineRule="exact"/>
        <w:rPr>
          <w:sz w:val="20"/>
          <w:szCs w:val="20"/>
          <w:color w:val="auto"/>
        </w:rPr>
      </w:pPr>
    </w:p>
    <w:p>
      <w:pPr>
        <w:ind w:left="1140" w:right="1399"/>
        <w:spacing w:after="0" w:line="268" w:lineRule="auto"/>
        <w:rPr>
          <w:sz w:val="20"/>
          <w:szCs w:val="20"/>
          <w:color w:val="auto"/>
        </w:rPr>
      </w:pPr>
      <w:r>
        <w:rPr>
          <w:rFonts w:ascii="Arial" w:cs="Arial" w:eastAsia="Arial" w:hAnsi="Arial"/>
          <w:sz w:val="14"/>
          <w:szCs w:val="14"/>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9" w:name="page30"/>
    <w:bookmarkEnd w:id="2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56" w:lineRule="auto"/>
        <w:rPr>
          <w:sz w:val="20"/>
          <w:szCs w:val="20"/>
          <w:color w:val="auto"/>
        </w:rPr>
      </w:pPr>
      <w:r>
        <w:rPr>
          <w:rFonts w:ascii="Arial" w:cs="Arial" w:eastAsia="Arial" w:hAnsi="Arial"/>
          <w:sz w:val="14"/>
          <w:szCs w:val="14"/>
          <w:color w:val="auto"/>
        </w:rPr>
        <w:t>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86" w:lineRule="exact"/>
        <w:rPr>
          <w:sz w:val="20"/>
          <w:szCs w:val="20"/>
          <w:color w:val="auto"/>
        </w:rPr>
      </w:pPr>
    </w:p>
    <w:p>
      <w:pPr>
        <w:ind w:left="1140" w:right="1179"/>
        <w:spacing w:after="0" w:line="252" w:lineRule="auto"/>
        <w:rPr>
          <w:sz w:val="20"/>
          <w:szCs w:val="20"/>
          <w:color w:val="auto"/>
        </w:rPr>
      </w:pPr>
      <w:r>
        <w:rPr>
          <w:rFonts w:ascii="Arial" w:cs="Arial" w:eastAsia="Arial" w:hAnsi="Arial"/>
          <w:sz w:val="15"/>
          <w:szCs w:val="15"/>
          <w:color w:val="auto"/>
        </w:rPr>
        <w:t>“Voting Stock”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13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Events of Default</w:t>
      </w:r>
    </w:p>
    <w:p>
      <w:pPr>
        <w:spacing w:after="0" w:line="133"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Each of the following will be an event of default under the Indenture for the notes:</w:t>
      </w:r>
    </w:p>
    <w:p>
      <w:pPr>
        <w:spacing w:after="0" w:line="81" w:lineRule="exact"/>
        <w:rPr>
          <w:sz w:val="20"/>
          <w:szCs w:val="20"/>
          <w:color w:val="auto"/>
        </w:rPr>
      </w:pPr>
    </w:p>
    <w:p>
      <w:pPr>
        <w:ind w:left="1580" w:right="1539" w:hanging="138"/>
        <w:spacing w:after="0" w:line="274" w:lineRule="auto"/>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default in the payment of any interest upon any note when it becomes due and payable, and continuance of that default for a period of 30 days;</w:t>
      </w:r>
    </w:p>
    <w:p>
      <w:pPr>
        <w:spacing w:after="0" w:line="47" w:lineRule="exact"/>
        <w:rPr>
          <w:rFonts w:ascii="Arial" w:cs="Arial" w:eastAsia="Arial" w:hAnsi="Arial"/>
          <w:sz w:val="15"/>
          <w:szCs w:val="15"/>
          <w:color w:val="auto"/>
        </w:rPr>
      </w:pPr>
    </w:p>
    <w:p>
      <w:pPr>
        <w:ind w:left="1580" w:hanging="138"/>
        <w:spacing w:after="0"/>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default in the payment of principal of or premium on any note when due and payable;</w:t>
      </w:r>
    </w:p>
    <w:p>
      <w:pPr>
        <w:spacing w:after="0" w:line="92" w:lineRule="exact"/>
        <w:rPr>
          <w:rFonts w:ascii="Arial" w:cs="Arial" w:eastAsia="Arial" w:hAnsi="Arial"/>
          <w:sz w:val="15"/>
          <w:szCs w:val="15"/>
          <w:color w:val="auto"/>
        </w:rPr>
      </w:pPr>
    </w:p>
    <w:p>
      <w:pPr>
        <w:ind w:left="1580" w:right="1839" w:hanging="138"/>
        <w:spacing w:after="0" w:line="311" w:lineRule="auto"/>
        <w:tabs>
          <w:tab w:leader="none" w:pos="1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failure by the Company to comply with the requirement to make an Offer to Purchase in connection with a Change of Control Triggering Event for 30 calendar days;</w:t>
      </w:r>
    </w:p>
    <w:p>
      <w:pPr>
        <w:spacing w:after="0" w:line="13" w:lineRule="exact"/>
        <w:rPr>
          <w:rFonts w:ascii="Arial" w:cs="Arial" w:eastAsia="Arial" w:hAnsi="Arial"/>
          <w:sz w:val="14"/>
          <w:szCs w:val="14"/>
          <w:color w:val="auto"/>
        </w:rPr>
      </w:pPr>
    </w:p>
    <w:p>
      <w:pPr>
        <w:ind w:left="1580" w:right="1379" w:hanging="138"/>
        <w:spacing w:after="0" w:line="252" w:lineRule="auto"/>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default in the performance or breach of any other covenant or warranty of the Company in the Indenture, which default continues uncured for a period of 90 days after the Company receives written notice from the Trustee or the Company and the Trustee receive written notice from the holders of not less than 25% in principal amount of the outstanding notes as provided in the Indenture; and</w:t>
      </w:r>
    </w:p>
    <w:p>
      <w:pPr>
        <w:spacing w:after="0" w:line="65" w:lineRule="exact"/>
        <w:rPr>
          <w:rFonts w:ascii="Arial" w:cs="Arial" w:eastAsia="Arial" w:hAnsi="Arial"/>
          <w:sz w:val="15"/>
          <w:szCs w:val="15"/>
          <w:color w:val="auto"/>
        </w:rPr>
      </w:pPr>
    </w:p>
    <w:p>
      <w:pPr>
        <w:ind w:left="1580" w:right="1699" w:hanging="138"/>
        <w:spacing w:after="0" w:line="274" w:lineRule="auto"/>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certain voluntary and involuntary events of bankruptcy, insolvency or reorganization of the Company.</w:t>
      </w:r>
    </w:p>
    <w:p>
      <w:pPr>
        <w:spacing w:after="0" w:line="81" w:lineRule="exact"/>
        <w:rPr>
          <w:sz w:val="20"/>
          <w:szCs w:val="20"/>
          <w:color w:val="auto"/>
        </w:rPr>
      </w:pPr>
    </w:p>
    <w:p>
      <w:pPr>
        <w:ind w:left="1140" w:right="1459"/>
        <w:spacing w:after="0" w:line="294" w:lineRule="auto"/>
        <w:rPr>
          <w:sz w:val="20"/>
          <w:szCs w:val="20"/>
          <w:color w:val="auto"/>
        </w:rPr>
      </w:pPr>
      <w:r>
        <w:rPr>
          <w:rFonts w:ascii="Arial" w:cs="Arial" w:eastAsia="Arial" w:hAnsi="Arial"/>
          <w:sz w:val="14"/>
          <w:szCs w:val="14"/>
          <w:color w:val="auto"/>
        </w:rPr>
        <w:t>The occurrence of certain events of default or an acceleration under the Indenture may constitute an event of default under certain of our other indebtedness outstanding from time to time.</w:t>
      </w:r>
    </w:p>
    <w:p>
      <w:pPr>
        <w:spacing w:after="0" w:line="58" w:lineRule="exact"/>
        <w:rPr>
          <w:sz w:val="20"/>
          <w:szCs w:val="20"/>
          <w:color w:val="auto"/>
        </w:rPr>
      </w:pPr>
    </w:p>
    <w:p>
      <w:pPr>
        <w:ind w:left="1140" w:right="1179"/>
        <w:spacing w:after="0" w:line="256" w:lineRule="auto"/>
        <w:rPr>
          <w:sz w:val="20"/>
          <w:szCs w:val="20"/>
          <w:color w:val="auto"/>
        </w:rPr>
      </w:pPr>
      <w:r>
        <w:rPr>
          <w:rFonts w:ascii="Arial" w:cs="Arial" w:eastAsia="Arial" w:hAnsi="Arial"/>
          <w:sz w:val="14"/>
          <w:szCs w:val="14"/>
          <w:color w:val="auto"/>
        </w:rPr>
        <w:t>If an event of default with respect to the notes at the time outstanding occurs and is continuing, then the Trustee or the holders of not less than 25% in principal amount of the outstanding notes may, by a notice in writing to the Company (and to the Trustee if given by the holders), declare to be due and payable immediately the principal of and accrued and unpaid interest, if any, on all notes. In the case of an event of default resulting from certain events of bankruptcy, insolvency or reorganization, the principal of and accrued and unpaid interest, if any, on all outstanding notes will become and be immediately due and payable without any declaration or other act on the part of the Trustee or any holder of the outstanding notes. At any time after a declaration of acceleration with respect to the notes has been made, but before a judgment or decree for payment of the money due has been obtained by the Trustee, the holders of a majority in principal amount of the outstanding notes may rescind and annul the acceleration if all events of default, other than the nonpayment of the principal and interest with respect to the notes which have become due solely by such declaration of acceleration, have been cured or waived as provided in the Indenture and the Trustee’s fees and expenses have been paid in full.</w:t>
      </w:r>
    </w:p>
    <w:p>
      <w:pPr>
        <w:spacing w:after="0" w:line="86" w:lineRule="exact"/>
        <w:rPr>
          <w:sz w:val="20"/>
          <w:szCs w:val="20"/>
          <w:color w:val="auto"/>
        </w:rPr>
      </w:pPr>
    </w:p>
    <w:p>
      <w:pPr>
        <w:ind w:left="1140" w:right="1199"/>
        <w:spacing w:after="0" w:line="268" w:lineRule="auto"/>
        <w:rPr>
          <w:sz w:val="20"/>
          <w:szCs w:val="20"/>
          <w:color w:val="auto"/>
        </w:rPr>
      </w:pPr>
      <w:r>
        <w:rPr>
          <w:rFonts w:ascii="Arial" w:cs="Arial" w:eastAsia="Arial" w:hAnsi="Arial"/>
          <w:sz w:val="14"/>
          <w:szCs w:val="14"/>
          <w:color w:val="auto"/>
        </w:rPr>
        <w:t>The Indenture provides that the Trustee will be under no obligation to exercise any of its rights or powers under the Indenture unless the Trustee receives security or indemnity satisfactory to it against any loss, cost, liability or expense. Subject to certain rights of the Trustee, the holders of a majority in principal amount of the outstanding notes will have the right to direct the time, method and place of conducting</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0" w:name="page31"/>
    <w:bookmarkEnd w:id="3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74" w:lineRule="auto"/>
        <w:rPr>
          <w:sz w:val="20"/>
          <w:szCs w:val="20"/>
          <w:color w:val="auto"/>
        </w:rPr>
      </w:pPr>
      <w:r>
        <w:rPr>
          <w:rFonts w:ascii="Arial" w:cs="Arial" w:eastAsia="Arial" w:hAnsi="Arial"/>
          <w:sz w:val="15"/>
          <w:szCs w:val="15"/>
          <w:color w:val="auto"/>
        </w:rPr>
        <w:t>any proceeding for any remedy available to the Trustee or exercising any trust or power conferred on the Trustee with respect to the notes.</w:t>
      </w:r>
    </w:p>
    <w:p>
      <w:pPr>
        <w:spacing w:after="0" w:line="81" w:lineRule="exact"/>
        <w:rPr>
          <w:sz w:val="20"/>
          <w:szCs w:val="20"/>
          <w:color w:val="auto"/>
        </w:rPr>
      </w:pPr>
    </w:p>
    <w:p>
      <w:pPr>
        <w:ind w:left="1140" w:right="1219"/>
        <w:spacing w:after="0" w:line="260" w:lineRule="auto"/>
        <w:rPr>
          <w:sz w:val="20"/>
          <w:szCs w:val="20"/>
          <w:color w:val="auto"/>
        </w:rPr>
      </w:pPr>
      <w:r>
        <w:rPr>
          <w:rFonts w:ascii="Arial" w:cs="Arial" w:eastAsia="Arial" w:hAnsi="Arial"/>
          <w:sz w:val="15"/>
          <w:szCs w:val="15"/>
          <w:color w:val="auto"/>
        </w:rPr>
        <w:t>No holder of any note will have any right to institute any proceeding, judicial or otherwise, with respect to the Indenture or for the appointment of a receiver or trustee, or for any remedy under the Indenture, unless:</w:t>
      </w:r>
    </w:p>
    <w:p>
      <w:pPr>
        <w:spacing w:after="0" w:line="91" w:lineRule="exact"/>
        <w:rPr>
          <w:sz w:val="20"/>
          <w:szCs w:val="20"/>
          <w:color w:val="auto"/>
        </w:rPr>
      </w:pPr>
    </w:p>
    <w:p>
      <w:pPr>
        <w:ind w:left="1740" w:right="1419" w:hanging="298"/>
        <w:spacing w:after="0" w:line="274" w:lineRule="auto"/>
        <w:tabs>
          <w:tab w:leader="none" w:pos="17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that holder has previously given to the Trustee written notice of a continuing event of default with respect to the notes; and</w:t>
      </w:r>
    </w:p>
    <w:p>
      <w:pPr>
        <w:spacing w:after="0" w:line="80" w:lineRule="exact"/>
        <w:rPr>
          <w:rFonts w:ascii="Arial" w:cs="Arial" w:eastAsia="Arial" w:hAnsi="Arial"/>
          <w:sz w:val="15"/>
          <w:szCs w:val="15"/>
          <w:color w:val="auto"/>
        </w:rPr>
      </w:pPr>
    </w:p>
    <w:p>
      <w:pPr>
        <w:ind w:left="1740" w:right="1259" w:hanging="298"/>
        <w:spacing w:after="0" w:line="252" w:lineRule="auto"/>
        <w:tabs>
          <w:tab w:leader="none" w:pos="17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holders of not less than 25% in principal amount of the outstanding notes have made written request, and offered reasonable indemnity, to the Trustee to institute the proceeding as Trustee, and after receipt of such request the Trustee has not received from the holders of a majority in principal amount of the outstanding notes a direction inconsistent with that request and has failed to institute the proceeding within 60 days.</w:t>
      </w:r>
    </w:p>
    <w:p>
      <w:pPr>
        <w:spacing w:after="0" w:line="88" w:lineRule="exact"/>
        <w:rPr>
          <w:sz w:val="20"/>
          <w:szCs w:val="20"/>
          <w:color w:val="auto"/>
        </w:rPr>
      </w:pPr>
    </w:p>
    <w:p>
      <w:pPr>
        <w:ind w:left="1140" w:right="1219"/>
        <w:spacing w:after="0" w:line="252" w:lineRule="auto"/>
        <w:rPr>
          <w:sz w:val="20"/>
          <w:szCs w:val="20"/>
          <w:color w:val="auto"/>
        </w:rPr>
      </w:pPr>
      <w:r>
        <w:rPr>
          <w:rFonts w:ascii="Arial" w:cs="Arial" w:eastAsia="Arial" w:hAnsi="Arial"/>
          <w:sz w:val="15"/>
          <w:szCs w:val="15"/>
          <w:color w:val="auto"/>
        </w:rPr>
        <w:t>Notwithstanding the foregoing, the holder of any note will have an absolute and unconditional right to receive payment of the principal of, any premium and any interest on that note on or after the due date expressed in that note (or, in the case of redemption, on the redemption date) and to institute suit for the enforcement of any such payment, and such rights shall not be impaired without the consent of such holder.</w:t>
      </w:r>
    </w:p>
    <w:p>
      <w:pPr>
        <w:spacing w:after="0" w:line="99" w:lineRule="exact"/>
        <w:rPr>
          <w:sz w:val="20"/>
          <w:szCs w:val="20"/>
          <w:color w:val="auto"/>
        </w:rPr>
      </w:pPr>
    </w:p>
    <w:p>
      <w:pPr>
        <w:ind w:left="1140" w:right="1199"/>
        <w:spacing w:after="0" w:line="269" w:lineRule="auto"/>
        <w:rPr>
          <w:sz w:val="20"/>
          <w:szCs w:val="20"/>
          <w:color w:val="auto"/>
        </w:rPr>
      </w:pPr>
      <w:r>
        <w:rPr>
          <w:rFonts w:ascii="Arial" w:cs="Arial" w:eastAsia="Arial" w:hAnsi="Arial"/>
          <w:sz w:val="14"/>
          <w:szCs w:val="14"/>
          <w:color w:val="auto"/>
        </w:rPr>
        <w:t>The Indenture requires us, within 120 days after the end of our fiscal year, to furnish to the Trustee a statement as to compliance with the Indenture. The Indenture provides that the Trustee may withhold notice to the holders of the notes of any default or event of default (except in payment on any notes) with respect to the notes if it in good faith determines that withholding notice is in the interest of the holders of those notes. Additionally, 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 provided that the Company is not required to deliver such notice if such default or event of default has been cured.</w:t>
      </w:r>
    </w:p>
    <w:p>
      <w:pPr>
        <w:spacing w:after="0" w:line="13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Modification and Waiver</w:t>
      </w:r>
    </w:p>
    <w:p>
      <w:pPr>
        <w:spacing w:after="0" w:line="122" w:lineRule="exact"/>
        <w:rPr>
          <w:sz w:val="20"/>
          <w:szCs w:val="20"/>
          <w:color w:val="auto"/>
        </w:rPr>
      </w:pPr>
    </w:p>
    <w:p>
      <w:pPr>
        <w:ind w:left="1140" w:right="1279"/>
        <w:spacing w:after="0" w:line="274" w:lineRule="auto"/>
        <w:rPr>
          <w:sz w:val="20"/>
          <w:szCs w:val="20"/>
          <w:color w:val="auto"/>
        </w:rPr>
      </w:pPr>
      <w:r>
        <w:rPr>
          <w:rFonts w:ascii="Arial" w:cs="Arial" w:eastAsia="Arial" w:hAnsi="Arial"/>
          <w:sz w:val="15"/>
          <w:szCs w:val="15"/>
          <w:color w:val="auto"/>
        </w:rPr>
        <w:t>The Company or the Trustee may amend or supplement the Indenture or the notes without the consent of the holders of the outstanding notes under the Indenture:</w:t>
      </w:r>
    </w:p>
    <w:p>
      <w:pPr>
        <w:spacing w:after="0" w:line="48" w:lineRule="exact"/>
        <w:rPr>
          <w:sz w:val="20"/>
          <w:szCs w:val="20"/>
          <w:color w:val="auto"/>
        </w:rPr>
      </w:pPr>
    </w:p>
    <w:p>
      <w:pPr>
        <w:ind w:left="1580" w:hanging="138"/>
        <w:spacing w:after="0"/>
        <w:tabs>
          <w:tab w:leader="none" w:pos="1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to cure any ambiguity, defect or inconsistency under the Indenture or the notes;</w:t>
      </w:r>
    </w:p>
    <w:p>
      <w:pPr>
        <w:spacing w:after="0" w:line="92" w:lineRule="exact"/>
        <w:rPr>
          <w:rFonts w:ascii="Arial" w:cs="Arial" w:eastAsia="Arial" w:hAnsi="Arial"/>
          <w:sz w:val="15"/>
          <w:szCs w:val="15"/>
          <w:color w:val="auto"/>
        </w:rPr>
      </w:pPr>
    </w:p>
    <w:p>
      <w:pPr>
        <w:ind w:left="1580" w:right="1419" w:hanging="138"/>
        <w:spacing w:after="0" w:line="260" w:lineRule="auto"/>
        <w:tabs>
          <w:tab w:leader="none" w:pos="1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to evidence the succession of another corporation to the Company or successive successions and the assumption of the covenants, agreements and obligations of the Company by a successor;</w:t>
      </w:r>
    </w:p>
    <w:p>
      <w:pPr>
        <w:spacing w:after="0" w:line="57" w:lineRule="exact"/>
        <w:rPr>
          <w:rFonts w:ascii="Arial" w:cs="Arial" w:eastAsia="Arial" w:hAnsi="Arial"/>
          <w:sz w:val="15"/>
          <w:szCs w:val="15"/>
          <w:color w:val="auto"/>
        </w:rPr>
      </w:pPr>
    </w:p>
    <w:p>
      <w:pPr>
        <w:ind w:left="1580" w:hanging="138"/>
        <w:spacing w:after="0"/>
        <w:tabs>
          <w:tab w:leader="none" w:pos="1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to provide for uncertificated notes in addition to or in place of certificated notes;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to add guarantees with respect to the notes or secure the notes;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to surrender any of the Company’s rights or powers under the Indenture;</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to add covenants or events of default for the benefit of the holders of the notes;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to make any change that does not adversely affect the rights of any holder of the notes;</w:t>
      </w:r>
    </w:p>
    <w:p>
      <w:pPr>
        <w:spacing w:after="0" w:line="92" w:lineRule="exact"/>
        <w:rPr>
          <w:rFonts w:ascii="Arial" w:cs="Arial" w:eastAsia="Arial" w:hAnsi="Arial"/>
          <w:sz w:val="15"/>
          <w:szCs w:val="15"/>
          <w:color w:val="auto"/>
        </w:rPr>
      </w:pPr>
    </w:p>
    <w:p>
      <w:pPr>
        <w:ind w:left="1580" w:right="1459" w:hanging="138"/>
        <w:spacing w:after="0" w:line="274" w:lineRule="auto"/>
        <w:tabs>
          <w:tab w:leader="none" w:pos="1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to provide for the issuance of and establish the form and terms and conditions of the notes as permitted by the Indenture;</w:t>
      </w:r>
    </w:p>
    <w:p>
      <w:pPr>
        <w:spacing w:after="0" w:line="47" w:lineRule="exact"/>
        <w:rPr>
          <w:rFonts w:ascii="Arial" w:cs="Arial" w:eastAsia="Arial" w:hAnsi="Arial"/>
          <w:sz w:val="15"/>
          <w:szCs w:val="15"/>
          <w:color w:val="auto"/>
        </w:rPr>
      </w:pPr>
    </w:p>
    <w:p>
      <w:pPr>
        <w:ind w:left="1580" w:right="1279" w:hanging="138"/>
        <w:spacing w:after="0" w:line="255" w:lineRule="auto"/>
        <w:tabs>
          <w:tab w:leader="none" w:pos="1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to evidence and provide for the acceptance of an appointment hereunder by a successor trustee with respect to the notes and to add to or change any of the provisions of the Indenture as shall be necessary to provide for or facilitate the administration of the trusts under the Indenture by more than one trustee;</w:t>
      </w:r>
    </w:p>
    <w:p>
      <w:pPr>
        <w:spacing w:after="0" w:line="61" w:lineRule="exact"/>
        <w:rPr>
          <w:rFonts w:ascii="Arial" w:cs="Arial" w:eastAsia="Arial" w:hAnsi="Arial"/>
          <w:sz w:val="15"/>
          <w:szCs w:val="15"/>
          <w:color w:val="auto"/>
        </w:rPr>
      </w:pPr>
    </w:p>
    <w:p>
      <w:pPr>
        <w:ind w:left="1580" w:right="1179" w:hanging="138"/>
        <w:spacing w:after="0" w:line="274" w:lineRule="auto"/>
        <w:tabs>
          <w:tab w:leader="none" w:pos="1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add to, change or eliminate any provisions of the Indenture in accordance with the Trust Indenture Act, or to comply with the provisions of the DTC, Euroclear or Clearstream or the</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1" w:name="page32"/>
    <w:bookmarkEnd w:id="3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239"/>
        <w:spacing w:after="0" w:line="274" w:lineRule="auto"/>
        <w:rPr>
          <w:sz w:val="20"/>
          <w:szCs w:val="20"/>
          <w:color w:val="auto"/>
        </w:rPr>
      </w:pPr>
      <w:r>
        <w:rPr>
          <w:rFonts w:ascii="Arial" w:cs="Arial" w:eastAsia="Arial" w:hAnsi="Arial"/>
          <w:sz w:val="15"/>
          <w:szCs w:val="15"/>
          <w:color w:val="auto"/>
        </w:rPr>
        <w:t>Trustee with respect to provisions of the Indenture or the notes relating to transfers or exchanges of notes or beneficial interests in the notes; or</w:t>
      </w:r>
    </w:p>
    <w:p>
      <w:pPr>
        <w:spacing w:after="0" w:line="37" w:lineRule="exact"/>
        <w:rPr>
          <w:sz w:val="20"/>
          <w:szCs w:val="20"/>
          <w:color w:val="auto"/>
        </w:rPr>
      </w:pPr>
    </w:p>
    <w:p>
      <w:pPr>
        <w:ind w:left="1580" w:right="1379" w:hanging="138"/>
        <w:spacing w:after="0" w:line="274" w:lineRule="auto"/>
        <w:tabs>
          <w:tab w:leader="none" w:pos="15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to conform any provision of the Indenture, insofar as it relates to the notes, to the description of the notes in this “Description of the Notes.”</w:t>
      </w:r>
    </w:p>
    <w:p>
      <w:pPr>
        <w:spacing w:after="0" w:line="70" w:lineRule="exact"/>
        <w:rPr>
          <w:sz w:val="20"/>
          <w:szCs w:val="20"/>
          <w:color w:val="auto"/>
        </w:rPr>
      </w:pPr>
    </w:p>
    <w:p>
      <w:pPr>
        <w:ind w:left="1140" w:right="1159"/>
        <w:spacing w:after="0" w:line="268" w:lineRule="auto"/>
        <w:rPr>
          <w:sz w:val="20"/>
          <w:szCs w:val="20"/>
          <w:color w:val="auto"/>
        </w:rPr>
      </w:pPr>
      <w:r>
        <w:rPr>
          <w:rFonts w:ascii="Arial" w:cs="Arial" w:eastAsia="Arial" w:hAnsi="Arial"/>
          <w:sz w:val="14"/>
          <w:szCs w:val="14"/>
          <w:color w:val="auto"/>
        </w:rPr>
        <w:t>In addition, the Company may modify and amend the Indenture as to all other matters with the consent of the holders of at least a majority in principal amount of the outstanding notes affected by the modifications or amendments, provided however that the Company may not make any modification or amendment without the consent of the holders of each affected note then outstanding if that amendment:</w:t>
      </w:r>
    </w:p>
    <w:p>
      <w:pPr>
        <w:spacing w:after="0" w:line="54" w:lineRule="exact"/>
        <w:rPr>
          <w:sz w:val="20"/>
          <w:szCs w:val="20"/>
          <w:color w:val="auto"/>
        </w:rPr>
      </w:pPr>
    </w:p>
    <w:p>
      <w:pPr>
        <w:ind w:left="1580" w:hanging="138"/>
        <w:spacing w:after="0"/>
        <w:tabs>
          <w:tab w:leader="none" w:pos="1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reduces the rates of or extends the time for payment of interest on any notes;</w:t>
      </w:r>
    </w:p>
    <w:p>
      <w:pPr>
        <w:spacing w:after="0" w:line="81" w:lineRule="exact"/>
        <w:rPr>
          <w:rFonts w:ascii="Arial" w:cs="Arial" w:eastAsia="Arial" w:hAnsi="Arial"/>
          <w:sz w:val="15"/>
          <w:szCs w:val="15"/>
          <w:color w:val="auto"/>
        </w:rPr>
      </w:pPr>
    </w:p>
    <w:p>
      <w:pPr>
        <w:ind w:left="1580" w:hanging="138"/>
        <w:spacing w:after="0"/>
        <w:tabs>
          <w:tab w:leader="none" w:pos="1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reduces the principal amount of, or changes the stated maturity of, any notes;</w:t>
      </w:r>
    </w:p>
    <w:p>
      <w:pPr>
        <w:spacing w:after="0" w:line="92" w:lineRule="exact"/>
        <w:rPr>
          <w:rFonts w:ascii="Arial" w:cs="Arial" w:eastAsia="Arial" w:hAnsi="Arial"/>
          <w:sz w:val="15"/>
          <w:szCs w:val="15"/>
          <w:color w:val="auto"/>
        </w:rPr>
      </w:pPr>
    </w:p>
    <w:p>
      <w:pPr>
        <w:jc w:val="both"/>
        <w:ind w:left="1580" w:right="1239" w:hanging="138"/>
        <w:spacing w:after="0" w:line="260" w:lineRule="auto"/>
        <w:tabs>
          <w:tab w:leader="none" w:pos="1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reduces the redemption price, including upon a Change of Control Triggering Event, of any notes or amends or modifies in any manner adverse to the holders thereof the Company’s obligation to make such payments;</w:t>
      </w:r>
    </w:p>
    <w:p>
      <w:pPr>
        <w:spacing w:after="0" w:line="57" w:lineRule="exact"/>
        <w:rPr>
          <w:rFonts w:ascii="Arial" w:cs="Arial" w:eastAsia="Arial" w:hAnsi="Arial"/>
          <w:sz w:val="15"/>
          <w:szCs w:val="15"/>
          <w:color w:val="auto"/>
        </w:rPr>
      </w:pPr>
    </w:p>
    <w:p>
      <w:pPr>
        <w:ind w:left="1580" w:hanging="138"/>
        <w:spacing w:after="0"/>
        <w:tabs>
          <w:tab w:leader="none" w:pos="1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changes the currency of payment of principal, premium, if any, or interest;</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reduces the quorum requirements under the Indenture;</w:t>
      </w:r>
    </w:p>
    <w:p>
      <w:pPr>
        <w:spacing w:after="0" w:line="92" w:lineRule="exact"/>
        <w:rPr>
          <w:rFonts w:ascii="Arial" w:cs="Arial" w:eastAsia="Arial" w:hAnsi="Arial"/>
          <w:sz w:val="15"/>
          <w:szCs w:val="15"/>
          <w:color w:val="auto"/>
        </w:rPr>
      </w:pPr>
    </w:p>
    <w:p>
      <w:pPr>
        <w:ind w:left="1580" w:right="1939" w:hanging="138"/>
        <w:spacing w:after="0" w:line="274" w:lineRule="auto"/>
        <w:tabs>
          <w:tab w:leader="none" w:pos="1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reduces the principal amount of notes whose holders must consent to an amendment, supplement or waiver;</w:t>
      </w:r>
    </w:p>
    <w:p>
      <w:pPr>
        <w:spacing w:after="0" w:line="47" w:lineRule="exact"/>
        <w:rPr>
          <w:rFonts w:ascii="Arial" w:cs="Arial" w:eastAsia="Arial" w:hAnsi="Arial"/>
          <w:sz w:val="15"/>
          <w:szCs w:val="15"/>
          <w:color w:val="auto"/>
        </w:rPr>
      </w:pPr>
    </w:p>
    <w:p>
      <w:pPr>
        <w:ind w:left="1580" w:hanging="138"/>
        <w:spacing w:after="0"/>
        <w:tabs>
          <w:tab w:leader="none" w:pos="1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adversely affects the ranking of the notes;</w:t>
      </w:r>
    </w:p>
    <w:p>
      <w:pPr>
        <w:spacing w:after="0" w:line="92" w:lineRule="exact"/>
        <w:rPr>
          <w:rFonts w:ascii="Arial" w:cs="Arial" w:eastAsia="Arial" w:hAnsi="Arial"/>
          <w:sz w:val="15"/>
          <w:szCs w:val="15"/>
          <w:color w:val="auto"/>
        </w:rPr>
      </w:pPr>
    </w:p>
    <w:p>
      <w:pPr>
        <w:ind w:left="1580" w:right="1359" w:hanging="138"/>
        <w:spacing w:after="0" w:line="255" w:lineRule="auto"/>
        <w:tabs>
          <w:tab w:leader="none" w:pos="1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waives any default or event of default in the payment of principal, premium, if any, or interest (except a rescission of acceleration of the notes by the holders of at least a majority in principal amount of the outstanding notes and a waiver of the payment default that resulted from such acceleration); or</w:t>
      </w:r>
    </w:p>
    <w:p>
      <w:pPr>
        <w:spacing w:after="0" w:line="50" w:lineRule="exact"/>
        <w:rPr>
          <w:rFonts w:ascii="Arial" w:cs="Arial" w:eastAsia="Arial" w:hAnsi="Arial"/>
          <w:sz w:val="15"/>
          <w:szCs w:val="15"/>
          <w:color w:val="auto"/>
        </w:rPr>
      </w:pPr>
    </w:p>
    <w:p>
      <w:pPr>
        <w:ind w:left="1580" w:hanging="138"/>
        <w:spacing w:after="0"/>
        <w:tabs>
          <w:tab w:leader="none" w:pos="1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impairs the right to institute suit for the enforcement of any payment on the notes.</w:t>
      </w:r>
    </w:p>
    <w:p>
      <w:pPr>
        <w:spacing w:after="0" w:line="126" w:lineRule="exact"/>
        <w:rPr>
          <w:sz w:val="20"/>
          <w:szCs w:val="20"/>
          <w:color w:val="auto"/>
        </w:rPr>
      </w:pPr>
    </w:p>
    <w:p>
      <w:pPr>
        <w:ind w:left="1140" w:right="1339"/>
        <w:spacing w:after="0" w:line="239" w:lineRule="auto"/>
        <w:rPr>
          <w:sz w:val="20"/>
          <w:szCs w:val="20"/>
          <w:color w:val="auto"/>
        </w:rPr>
      </w:pPr>
      <w:r>
        <w:rPr>
          <w:rFonts w:ascii="Arial" w:cs="Arial" w:eastAsia="Arial" w:hAnsi="Arial"/>
          <w:sz w:val="15"/>
          <w:szCs w:val="15"/>
          <w:color w:val="auto"/>
        </w:rPr>
        <w:t>Except for certain specified provisions, the holders of at least a majority in principal amount of the outstanding notes may on behalf of the holders of all notes waive the Company’s compliance with provisions of the Indenture. The holders of a majority in principal amount of the outstanding notes may on behalf of the holders of all the notes waive any past default under the Indenture with respect to the notes and its consequences, except a default in the payment of the principal of, any premium or any interest on any note; provided, however, that the holders of a majority in principal amount of the outstanding notes may rescind an acceleration and its consequences, including any related payment default that resulted from the acceleration.</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Defeasance of Notes and Certain Covenants in Certain Circumstances</w:t>
      </w:r>
    </w:p>
    <w:p>
      <w:pPr>
        <w:spacing w:after="0" w:line="122" w:lineRule="exact"/>
        <w:rPr>
          <w:sz w:val="20"/>
          <w:szCs w:val="20"/>
          <w:color w:val="auto"/>
        </w:rPr>
      </w:pPr>
    </w:p>
    <w:p>
      <w:pPr>
        <w:ind w:left="1140" w:right="1239"/>
        <w:spacing w:after="0" w:line="259" w:lineRule="auto"/>
        <w:rPr>
          <w:sz w:val="20"/>
          <w:szCs w:val="20"/>
          <w:color w:val="auto"/>
        </w:rPr>
      </w:pPr>
      <w:r>
        <w:rPr>
          <w:rFonts w:ascii="Arial" w:cs="Arial" w:eastAsia="Arial" w:hAnsi="Arial"/>
          <w:sz w:val="14"/>
          <w:szCs w:val="14"/>
          <w:i w:val="1"/>
          <w:iCs w:val="1"/>
          <w:color w:val="auto"/>
        </w:rPr>
        <w:t>Legal Defeasance</w:t>
      </w:r>
      <w:r>
        <w:rPr>
          <w:rFonts w:ascii="Arial" w:cs="Arial" w:eastAsia="Arial" w:hAnsi="Arial"/>
          <w:sz w:val="14"/>
          <w:szCs w:val="14"/>
          <w:color w:val="auto"/>
        </w:rPr>
        <w:t>. The Indenture provides that the Company may be discharged from any and all</w:t>
      </w:r>
      <w:r>
        <w:rPr>
          <w:rFonts w:ascii="Arial" w:cs="Arial" w:eastAsia="Arial" w:hAnsi="Arial"/>
          <w:sz w:val="14"/>
          <w:szCs w:val="14"/>
          <w:i w:val="1"/>
          <w:iCs w:val="1"/>
          <w:color w:val="auto"/>
        </w:rPr>
        <w:t xml:space="preserve"> </w:t>
      </w:r>
      <w:r>
        <w:rPr>
          <w:rFonts w:ascii="Arial" w:cs="Arial" w:eastAsia="Arial" w:hAnsi="Arial"/>
          <w:sz w:val="14"/>
          <w:szCs w:val="14"/>
          <w:color w:val="auto"/>
        </w:rPr>
        <w:t>obligations in respect of the notes (except for certain obligations, including to register the transfer or exchange of notes, to replace stolen, lost or mutilated notes, and to maintain paying agencies and certain provisions relating to the treatment of funds held by paying agents). The Company will be so discharged upon the deposit with the Trustee, in trust, of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and interest on the notes on the stated maturity of those payments in accordance with the terms of the Indenture and those notes.</w:t>
      </w:r>
    </w:p>
    <w:p>
      <w:pPr>
        <w:spacing w:after="0" w:line="81" w:lineRule="exact"/>
        <w:rPr>
          <w:sz w:val="20"/>
          <w:szCs w:val="20"/>
          <w:color w:val="auto"/>
        </w:rPr>
      </w:pPr>
    </w:p>
    <w:p>
      <w:pPr>
        <w:ind w:left="1140" w:right="1159"/>
        <w:spacing w:after="0" w:line="239" w:lineRule="auto"/>
        <w:rPr>
          <w:sz w:val="20"/>
          <w:szCs w:val="20"/>
          <w:color w:val="auto"/>
        </w:rPr>
      </w:pPr>
      <w:r>
        <w:rPr>
          <w:rFonts w:ascii="Arial" w:cs="Arial" w:eastAsia="Arial" w:hAnsi="Arial"/>
          <w:sz w:val="15"/>
          <w:szCs w:val="15"/>
          <w:color w:val="auto"/>
        </w:rPr>
        <w:t>This discharge may occur only if, among other things, the Company has delivered to the Trustee an opinion of counsel stating that it has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notes will not recognize income, gain or loss for United States federal income tax purposes as a result of the deposit, defeasance and</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2" w:name="page33"/>
    <w:bookmarkEnd w:id="3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19"/>
        <w:spacing w:after="0" w:line="252" w:lineRule="auto"/>
        <w:rPr>
          <w:sz w:val="20"/>
          <w:szCs w:val="20"/>
          <w:color w:val="auto"/>
        </w:rPr>
      </w:pPr>
      <w:r>
        <w:rPr>
          <w:rFonts w:ascii="Arial" w:cs="Arial" w:eastAsia="Arial" w:hAnsi="Arial"/>
          <w:sz w:val="15"/>
          <w:szCs w:val="15"/>
          <w:color w:val="auto"/>
        </w:rPr>
        <w:t>discharge and will be subject to United States federal income tax on the same amounts and in the same manner and at the same times as would have been the case if the deposit, defeasance and discharge had not occurred.</w:t>
      </w:r>
    </w:p>
    <w:p>
      <w:pPr>
        <w:spacing w:after="0" w:line="86" w:lineRule="exact"/>
        <w:rPr>
          <w:sz w:val="20"/>
          <w:szCs w:val="20"/>
          <w:color w:val="auto"/>
        </w:rPr>
      </w:pPr>
    </w:p>
    <w:p>
      <w:pPr>
        <w:ind w:left="1140" w:right="1799"/>
        <w:spacing w:after="0" w:line="259" w:lineRule="auto"/>
        <w:rPr>
          <w:sz w:val="20"/>
          <w:szCs w:val="20"/>
          <w:color w:val="auto"/>
        </w:rPr>
      </w:pPr>
      <w:r>
        <w:rPr>
          <w:rFonts w:ascii="Arial" w:cs="Arial" w:eastAsia="Arial" w:hAnsi="Arial"/>
          <w:sz w:val="15"/>
          <w:szCs w:val="15"/>
          <w:i w:val="1"/>
          <w:iCs w:val="1"/>
          <w:color w:val="auto"/>
        </w:rPr>
        <w:t>Defeasance of Certain Covenants</w:t>
      </w:r>
      <w:r>
        <w:rPr>
          <w:rFonts w:ascii="Arial" w:cs="Arial" w:eastAsia="Arial" w:hAnsi="Arial"/>
          <w:sz w:val="15"/>
          <w:szCs w:val="15"/>
          <w:color w:val="auto"/>
        </w:rPr>
        <w:t>. The Indenture provides that, upon compliance with certain</w:t>
      </w:r>
      <w:r>
        <w:rPr>
          <w:rFonts w:ascii="Arial" w:cs="Arial" w:eastAsia="Arial" w:hAnsi="Arial"/>
          <w:sz w:val="15"/>
          <w:szCs w:val="15"/>
          <w:i w:val="1"/>
          <w:iCs w:val="1"/>
          <w:color w:val="auto"/>
        </w:rPr>
        <w:t xml:space="preserve"> </w:t>
      </w:r>
      <w:r>
        <w:rPr>
          <w:rFonts w:ascii="Arial" w:cs="Arial" w:eastAsia="Arial" w:hAnsi="Arial"/>
          <w:sz w:val="15"/>
          <w:szCs w:val="15"/>
          <w:color w:val="auto"/>
        </w:rPr>
        <w:t>conditions:</w:t>
      </w:r>
    </w:p>
    <w:p>
      <w:pPr>
        <w:spacing w:after="0" w:line="69" w:lineRule="exact"/>
        <w:rPr>
          <w:sz w:val="20"/>
          <w:szCs w:val="20"/>
          <w:color w:val="auto"/>
        </w:rPr>
      </w:pPr>
    </w:p>
    <w:p>
      <w:pPr>
        <w:ind w:left="1740" w:right="1279" w:hanging="298"/>
        <w:spacing w:after="0" w:line="260" w:lineRule="auto"/>
        <w:tabs>
          <w:tab w:leader="none" w:pos="17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Company may omit to comply with the covenants described under the heading “— Certain Covenants” and “— Repurchase of Notes upon a Change of Control Triggering Event” and certain other covenants set forth in the Indenture; and</w:t>
      </w:r>
    </w:p>
    <w:p>
      <w:pPr>
        <w:spacing w:after="0" w:line="79" w:lineRule="exact"/>
        <w:rPr>
          <w:rFonts w:ascii="Arial" w:cs="Arial" w:eastAsia="Arial" w:hAnsi="Arial"/>
          <w:sz w:val="15"/>
          <w:szCs w:val="15"/>
          <w:color w:val="auto"/>
        </w:rPr>
      </w:pPr>
    </w:p>
    <w:p>
      <w:pPr>
        <w:ind w:left="1740" w:right="1259" w:hanging="298"/>
        <w:spacing w:after="0" w:line="274" w:lineRule="auto"/>
        <w:tabs>
          <w:tab w:leader="none" w:pos="17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any omission to comply with those covenants will not constitute a default or an event of default with respect to the notes (“covenant defeasance”).</w:t>
      </w:r>
    </w:p>
    <w:p>
      <w:pPr>
        <w:spacing w:after="0" w:line="7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The conditions include:</w:t>
      </w:r>
    </w:p>
    <w:p>
      <w:pPr>
        <w:spacing w:after="0" w:line="115" w:lineRule="exact"/>
        <w:rPr>
          <w:sz w:val="20"/>
          <w:szCs w:val="20"/>
          <w:color w:val="auto"/>
        </w:rPr>
      </w:pPr>
    </w:p>
    <w:p>
      <w:pPr>
        <w:ind w:left="1740" w:right="1259" w:hanging="298"/>
        <w:spacing w:after="0" w:line="251" w:lineRule="auto"/>
        <w:tabs>
          <w:tab w:leader="none" w:pos="17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depositing with the Trustee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the notes on the stated maturity of those payments in accordance with the terms of the Indenture and those notes; and</w:t>
      </w:r>
    </w:p>
    <w:p>
      <w:pPr>
        <w:spacing w:after="0" w:line="76" w:lineRule="exact"/>
        <w:rPr>
          <w:rFonts w:ascii="Arial" w:cs="Arial" w:eastAsia="Arial" w:hAnsi="Arial"/>
          <w:sz w:val="15"/>
          <w:szCs w:val="15"/>
          <w:color w:val="auto"/>
        </w:rPr>
      </w:pPr>
    </w:p>
    <w:p>
      <w:pPr>
        <w:ind w:left="1740" w:right="1239" w:hanging="298"/>
        <w:spacing w:after="0" w:line="252" w:lineRule="auto"/>
        <w:tabs>
          <w:tab w:leader="none" w:pos="17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delivering to the Trustee an opinion of counsel stating that the holders of the notes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99" w:lineRule="exact"/>
        <w:rPr>
          <w:sz w:val="20"/>
          <w:szCs w:val="20"/>
          <w:color w:val="auto"/>
        </w:rPr>
      </w:pPr>
    </w:p>
    <w:p>
      <w:pPr>
        <w:ind w:left="1140" w:right="1259"/>
        <w:spacing w:after="0" w:line="259" w:lineRule="auto"/>
        <w:rPr>
          <w:sz w:val="20"/>
          <w:szCs w:val="20"/>
          <w:color w:val="auto"/>
        </w:rPr>
      </w:pPr>
      <w:r>
        <w:rPr>
          <w:rFonts w:ascii="Arial" w:cs="Arial" w:eastAsia="Arial" w:hAnsi="Arial"/>
          <w:sz w:val="14"/>
          <w:szCs w:val="14"/>
          <w:i w:val="1"/>
          <w:iCs w:val="1"/>
          <w:color w:val="auto"/>
        </w:rPr>
        <w:t>Covenant Defeasance and Events of Default</w:t>
      </w:r>
      <w:r>
        <w:rPr>
          <w:rFonts w:ascii="Arial" w:cs="Arial" w:eastAsia="Arial" w:hAnsi="Arial"/>
          <w:sz w:val="14"/>
          <w:szCs w:val="14"/>
          <w:color w:val="auto"/>
        </w:rPr>
        <w:t>. In the event the Company exercises its option to effect</w:t>
      </w:r>
      <w:r>
        <w:rPr>
          <w:rFonts w:ascii="Arial" w:cs="Arial" w:eastAsia="Arial" w:hAnsi="Arial"/>
          <w:sz w:val="14"/>
          <w:szCs w:val="14"/>
          <w:i w:val="1"/>
          <w:iCs w:val="1"/>
          <w:color w:val="auto"/>
        </w:rPr>
        <w:t xml:space="preserve"> </w:t>
      </w:r>
      <w:r>
        <w:rPr>
          <w:rFonts w:ascii="Arial" w:cs="Arial" w:eastAsia="Arial" w:hAnsi="Arial"/>
          <w:sz w:val="14"/>
          <w:szCs w:val="14"/>
          <w:color w:val="auto"/>
        </w:rPr>
        <w:t>covenant defeasance with respect to the notes and the notes are declared due and payable because of the occurrence of any event of default, the amount of money and/or U.S. Government Obligations on deposit with the Trustee should be sufficient to pay amounts due on the notes at the time of their stated maturity but may not be sufficient to pay amounts due on the notes at the time of the acceleration resulting from the event of default. However, the Company shall remain liable for those payments.</w:t>
      </w:r>
    </w:p>
    <w:p>
      <w:pPr>
        <w:spacing w:after="0" w:line="84" w:lineRule="exact"/>
        <w:rPr>
          <w:sz w:val="20"/>
          <w:szCs w:val="20"/>
          <w:color w:val="auto"/>
        </w:rPr>
      </w:pPr>
    </w:p>
    <w:p>
      <w:pPr>
        <w:ind w:left="1140" w:right="1339"/>
        <w:spacing w:after="0" w:line="23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Government Obligations</w:t>
      </w:r>
      <w:r>
        <w:rPr>
          <w:rFonts w:ascii="Arial" w:cs="Arial" w:eastAsia="Arial" w:hAnsi="Arial"/>
          <w:sz w:val="15"/>
          <w:szCs w:val="15"/>
          <w:color w:val="auto"/>
        </w:rPr>
        <w:t>” means securities that are direct obligations of, or guaranteed by, the United States for the payment of which its full faith and credit is pledged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Satisfaction and Discharge</w:t>
      </w:r>
    </w:p>
    <w:p>
      <w:pPr>
        <w:spacing w:after="0" w:line="133" w:lineRule="exact"/>
        <w:rPr>
          <w:sz w:val="20"/>
          <w:szCs w:val="20"/>
          <w:color w:val="auto"/>
        </w:rPr>
      </w:pPr>
    </w:p>
    <w:p>
      <w:pPr>
        <w:ind w:left="1140" w:right="1239"/>
        <w:spacing w:after="0" w:line="238" w:lineRule="auto"/>
        <w:rPr>
          <w:sz w:val="20"/>
          <w:szCs w:val="20"/>
          <w:color w:val="auto"/>
        </w:rPr>
      </w:pPr>
      <w:r>
        <w:rPr>
          <w:rFonts w:ascii="Arial" w:cs="Arial" w:eastAsia="Arial" w:hAnsi="Arial"/>
          <w:sz w:val="15"/>
          <w:szCs w:val="15"/>
          <w:color w:val="auto"/>
        </w:rPr>
        <w:t>The Company has the right at any time to satisfy and discharge its obligations, other than certain specified obligations, under all notes under the Indenture by depositing in trust with the Trustee money and/or U.S. Government Obligations. The Company’s exercise of this right is subject to certain conditions including that either (1) all notes under the Indenture (subject to certain exceptions) have been delivered to the Trustee for cancellation or (2) all notes under the Indenture not previously delivered to the Trustee for cancellation have become due and payable by reason of a notice of redemption or otherwise or will become due and payable at their stated maturity within one year or have been called for redemption or are to be called for redemption within one year or have been paid and discharged under the Company’s right of legal defeasance described above.</w:t>
      </w:r>
    </w:p>
    <w:p>
      <w:pPr>
        <w:spacing w:after="0" w:line="94" w:lineRule="exact"/>
        <w:rPr>
          <w:sz w:val="20"/>
          <w:szCs w:val="20"/>
          <w:color w:val="auto"/>
        </w:rPr>
      </w:pPr>
    </w:p>
    <w:p>
      <w:pPr>
        <w:ind w:left="1140" w:right="1299"/>
        <w:spacing w:after="0" w:line="311" w:lineRule="auto"/>
        <w:rPr>
          <w:sz w:val="20"/>
          <w:szCs w:val="20"/>
          <w:color w:val="auto"/>
        </w:rPr>
      </w:pPr>
      <w:r>
        <w:rPr>
          <w:rFonts w:ascii="Arial" w:cs="Arial" w:eastAsia="Arial" w:hAnsi="Arial"/>
          <w:sz w:val="14"/>
          <w:szCs w:val="14"/>
          <w:color w:val="auto"/>
        </w:rPr>
        <w:t>If such deposit is sufficient (as determined by the Company), for the purpose of paying and discharging each installment of principal of and interest on all the notes on the dates such installments of principal</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3" w:name="page34"/>
    <w:bookmarkEnd w:id="3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74" w:lineRule="auto"/>
        <w:rPr>
          <w:sz w:val="20"/>
          <w:szCs w:val="20"/>
          <w:color w:val="auto"/>
        </w:rPr>
      </w:pPr>
      <w:r>
        <w:rPr>
          <w:rFonts w:ascii="Arial" w:cs="Arial" w:eastAsia="Arial" w:hAnsi="Arial"/>
          <w:sz w:val="15"/>
          <w:szCs w:val="15"/>
          <w:color w:val="auto"/>
        </w:rPr>
        <w:t>or interest are due, all the obligations of the Company under the Indenture with respect to such notes will be discharged and terminated except as otherwise provided in the Indenture.</w:t>
      </w:r>
    </w:p>
    <w:p>
      <w:pPr>
        <w:spacing w:after="0" w:line="116"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Book-Entry, Form, Denomination and Delivery of Notes</w:t>
      </w:r>
    </w:p>
    <w:p>
      <w:pPr>
        <w:spacing w:after="0" w:line="122" w:lineRule="exact"/>
        <w:rPr>
          <w:sz w:val="20"/>
          <w:szCs w:val="20"/>
          <w:color w:val="auto"/>
        </w:rPr>
      </w:pPr>
    </w:p>
    <w:p>
      <w:pPr>
        <w:ind w:left="1140" w:right="1239"/>
        <w:spacing w:after="0" w:line="279" w:lineRule="auto"/>
        <w:rPr>
          <w:sz w:val="20"/>
          <w:szCs w:val="20"/>
          <w:color w:val="auto"/>
        </w:rPr>
      </w:pPr>
      <w:r>
        <w:rPr>
          <w:rFonts w:ascii="Arial" w:cs="Arial" w:eastAsia="Arial" w:hAnsi="Arial"/>
          <w:sz w:val="14"/>
          <w:szCs w:val="14"/>
          <w:color w:val="auto"/>
        </w:rPr>
        <w:t>The notes will be initially issued in registered form, without interest coupons, in minimum denominations of $2,000 and integral multiples of $1,000 in excess thereof, in the form of global notes and, in certain circumstances after the initial issuance, certificated notes, as further provided below.</w:t>
      </w:r>
    </w:p>
    <w:p>
      <w:pPr>
        <w:spacing w:after="0" w:line="68" w:lineRule="exact"/>
        <w:rPr>
          <w:sz w:val="20"/>
          <w:szCs w:val="20"/>
          <w:color w:val="auto"/>
        </w:rPr>
      </w:pPr>
    </w:p>
    <w:p>
      <w:pPr>
        <w:ind w:left="1140" w:right="1219"/>
        <w:spacing w:after="0" w:line="257" w:lineRule="auto"/>
        <w:rPr>
          <w:sz w:val="20"/>
          <w:szCs w:val="20"/>
          <w:color w:val="auto"/>
        </w:rPr>
      </w:pPr>
      <w:r>
        <w:rPr>
          <w:rFonts w:ascii="Arial" w:cs="Arial" w:eastAsia="Arial" w:hAnsi="Arial"/>
          <w:sz w:val="14"/>
          <w:szCs w:val="14"/>
          <w:color w:val="auto"/>
        </w:rPr>
        <w:t>Neither the Trustee nor the Company is required (i) to issue, register the transfer of or exchange any note for a period of 15 days before the sending of a notice of redemption of notes to be redeemed or the making of an Offer to Purchase, (ii) to register the transfer of or exchange any note so selected for redemption or subject to purchase in an Offer to Purchase in whole or in part, except, in the case of a partial redemption or purchase, that portion of any of the notes not being redeemed or purchased, or</w:t>
      </w:r>
    </w:p>
    <w:p>
      <w:pPr>
        <w:spacing w:after="0" w:line="2" w:lineRule="exact"/>
        <w:rPr>
          <w:sz w:val="20"/>
          <w:szCs w:val="20"/>
          <w:color w:val="auto"/>
        </w:rPr>
      </w:pPr>
    </w:p>
    <w:p>
      <w:pPr>
        <w:ind w:left="1140" w:right="1259" w:firstLine="8"/>
        <w:spacing w:after="0" w:line="238" w:lineRule="auto"/>
        <w:tabs>
          <w:tab w:leader="none" w:pos="137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if a redemption or a purchase pursuant to an Offer to Purchase with respect to the notes is to occur after a regular record date but on or before the corresponding interest payment date applicable to the notes, to register the transfer or exchange of any note on or after the regular record date and before the date of such redemption or purchase.</w:t>
      </w:r>
    </w:p>
    <w:p>
      <w:pPr>
        <w:spacing w:after="0" w:line="97" w:lineRule="exact"/>
        <w:rPr>
          <w:sz w:val="20"/>
          <w:szCs w:val="20"/>
          <w:color w:val="auto"/>
        </w:rPr>
      </w:pPr>
    </w:p>
    <w:p>
      <w:pPr>
        <w:ind w:left="1140" w:right="1559"/>
        <w:spacing w:after="0" w:line="244" w:lineRule="auto"/>
        <w:rPr>
          <w:sz w:val="20"/>
          <w:szCs w:val="20"/>
          <w:color w:val="auto"/>
        </w:rPr>
      </w:pPr>
      <w:r>
        <w:rPr>
          <w:rFonts w:ascii="Arial" w:cs="Arial" w:eastAsia="Arial" w:hAnsi="Arial"/>
          <w:sz w:val="15"/>
          <w:szCs w:val="15"/>
          <w:color w:val="auto"/>
        </w:rPr>
        <w:t>No service charge will be imposed in connection with any transfer or exchange of any note, but the Company may in general require payment of a sum sufficient to cover any transfer tax or similar governmental charge payable in connection therewith.</w:t>
      </w:r>
    </w:p>
    <w:p>
      <w:pPr>
        <w:spacing w:after="0" w:line="160"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Depository Procedures</w:t>
      </w:r>
    </w:p>
    <w:p>
      <w:pPr>
        <w:spacing w:after="0" w:line="113" w:lineRule="exact"/>
        <w:rPr>
          <w:sz w:val="20"/>
          <w:szCs w:val="20"/>
          <w:color w:val="auto"/>
        </w:rPr>
      </w:pPr>
    </w:p>
    <w:p>
      <w:pPr>
        <w:ind w:left="1140" w:right="1199"/>
        <w:spacing w:after="0" w:line="241" w:lineRule="auto"/>
        <w:rPr>
          <w:sz w:val="20"/>
          <w:szCs w:val="20"/>
          <w:color w:val="auto"/>
        </w:rPr>
      </w:pPr>
      <w:r>
        <w:rPr>
          <w:rFonts w:ascii="Arial" w:cs="Arial" w:eastAsia="Arial" w:hAnsi="Arial"/>
          <w:sz w:val="15"/>
          <w:szCs w:val="15"/>
          <w:color w:val="auto"/>
        </w:rPr>
        <w:t>The following description of the operations and procedures of DTC, Euroclear and Clearstream is provided solely as a matter of convenience. These operations and procedures are solely within the control of the respective settlement systems and are subject to changes by them. The Company and the Trustee take no responsibility for these operations and procedures and urge investors to contact the system or their participants directly to discuss these matters.</w:t>
      </w:r>
    </w:p>
    <w:p>
      <w:pPr>
        <w:spacing w:after="0" w:line="94" w:lineRule="exact"/>
        <w:rPr>
          <w:sz w:val="20"/>
          <w:szCs w:val="20"/>
          <w:color w:val="auto"/>
        </w:rPr>
      </w:pPr>
    </w:p>
    <w:p>
      <w:pPr>
        <w:ind w:left="1140" w:right="1179"/>
        <w:spacing w:after="0" w:line="238" w:lineRule="auto"/>
        <w:rPr>
          <w:sz w:val="20"/>
          <w:szCs w:val="20"/>
          <w:color w:val="auto"/>
        </w:rPr>
      </w:pPr>
      <w:r>
        <w:rPr>
          <w:rFonts w:ascii="Arial" w:cs="Arial" w:eastAsia="Arial" w:hAnsi="Arial"/>
          <w:sz w:val="15"/>
          <w:szCs w:val="15"/>
          <w:color w:val="auto"/>
        </w:rPr>
        <w:t>DTC has advised the Company that DTC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(including the underwriters),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DTC has also advised the Company that, pursuant to procedures established by it:</w:t>
      </w:r>
    </w:p>
    <w:p>
      <w:pPr>
        <w:spacing w:after="0" w:line="92" w:lineRule="exact"/>
        <w:rPr>
          <w:sz w:val="20"/>
          <w:szCs w:val="20"/>
          <w:color w:val="auto"/>
        </w:rPr>
      </w:pPr>
    </w:p>
    <w:p>
      <w:pPr>
        <w:ind w:left="1580" w:right="1359" w:hanging="138"/>
        <w:spacing w:after="0" w:line="311" w:lineRule="auto"/>
        <w:tabs>
          <w:tab w:leader="none" w:pos="1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upon deposit of the global notes, DTC will credit the accounts of the Participants designated by the underwriters with portions of the principal amount of the global notes; and</w:t>
      </w:r>
    </w:p>
    <w:p>
      <w:pPr>
        <w:spacing w:after="0" w:line="24" w:lineRule="exact"/>
        <w:rPr>
          <w:rFonts w:ascii="Arial" w:cs="Arial" w:eastAsia="Arial" w:hAnsi="Arial"/>
          <w:sz w:val="14"/>
          <w:szCs w:val="14"/>
          <w:color w:val="auto"/>
        </w:rPr>
      </w:pPr>
    </w:p>
    <w:p>
      <w:pPr>
        <w:ind w:left="1580" w:right="1199" w:hanging="138"/>
        <w:spacing w:after="0" w:line="255" w:lineRule="auto"/>
        <w:tabs>
          <w:tab w:leader="none" w:pos="1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84"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Investors in global notes who are Participants may hold their interests therein directly through DTC.</w:t>
      </w:r>
    </w:p>
    <w:p>
      <w:pPr>
        <w:spacing w:after="0" w:line="1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Investors in global notes who are not Participants may hold their interests therein indirectly through</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4" w:name="page35"/>
    <w:bookmarkEnd w:id="3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19"/>
        <w:spacing w:after="0" w:line="256" w:lineRule="auto"/>
        <w:rPr>
          <w:sz w:val="20"/>
          <w:szCs w:val="20"/>
          <w:color w:val="auto"/>
        </w:rPr>
      </w:pPr>
      <w:r>
        <w:rPr>
          <w:rFonts w:ascii="Arial" w:cs="Arial" w:eastAsia="Arial" w:hAnsi="Arial"/>
          <w:sz w:val="14"/>
          <w:szCs w:val="14"/>
          <w:color w:val="auto"/>
        </w:rPr>
        <w:t>organizations (including Euroclear and Clearstream) that are Participants. Euroclear and Clearstream will hold interests in global notes on behalf of their participants through customers’ securities accounts in their respective names on the books of their respective depositories, which in turn hold such interests in customers’ securities accounts in the depositaries’ names on the books of DTC. Citibank, N.A. acts as depositary for Clearstream, and JPMorgan Chase Bank, N.A. acts as depositary for Euroclear.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91" w:lineRule="exact"/>
        <w:rPr>
          <w:sz w:val="20"/>
          <w:szCs w:val="20"/>
          <w:color w:val="auto"/>
        </w:rPr>
      </w:pPr>
    </w:p>
    <w:p>
      <w:pPr>
        <w:ind w:left="1140" w:right="1239"/>
        <w:spacing w:after="0" w:line="248" w:lineRule="auto"/>
        <w:rPr>
          <w:sz w:val="20"/>
          <w:szCs w:val="20"/>
          <w:color w:val="auto"/>
        </w:rPr>
      </w:pPr>
      <w:r>
        <w:rPr>
          <w:rFonts w:ascii="Arial" w:cs="Arial" w:eastAsia="Arial" w:hAnsi="Arial"/>
          <w:sz w:val="15"/>
          <w:szCs w:val="15"/>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82" w:lineRule="exact"/>
        <w:rPr>
          <w:sz w:val="20"/>
          <w:szCs w:val="20"/>
          <w:color w:val="auto"/>
        </w:rPr>
      </w:pPr>
    </w:p>
    <w:p>
      <w:pPr>
        <w:ind w:left="1140" w:right="1219"/>
        <w:spacing w:after="0" w:line="244" w:lineRule="auto"/>
        <w:rPr>
          <w:sz w:val="20"/>
          <w:szCs w:val="20"/>
          <w:color w:val="auto"/>
        </w:rPr>
      </w:pPr>
      <w:r>
        <w:rPr>
          <w:rFonts w:ascii="Arial" w:cs="Arial" w:eastAsia="Arial" w:hAnsi="Arial"/>
          <w:sz w:val="15"/>
          <w:szCs w:val="15"/>
          <w:color w:val="auto"/>
        </w:rPr>
        <w:t>Payments in respect of the principal of, and interest and premium, if any, on a global note registered in the name of DTC or its nominee will be payable to DTC in its capacity as the registered holder under the Indenture.</w:t>
      </w:r>
    </w:p>
    <w:p>
      <w:pPr>
        <w:spacing w:after="0" w:line="92" w:lineRule="exact"/>
        <w:rPr>
          <w:sz w:val="20"/>
          <w:szCs w:val="20"/>
          <w:color w:val="auto"/>
        </w:rPr>
      </w:pPr>
    </w:p>
    <w:p>
      <w:pPr>
        <w:ind w:left="1140" w:right="1199"/>
        <w:spacing w:after="0" w:line="241" w:lineRule="auto"/>
        <w:rPr>
          <w:sz w:val="20"/>
          <w:szCs w:val="20"/>
          <w:color w:val="auto"/>
        </w:rPr>
      </w:pPr>
      <w:r>
        <w:rPr>
          <w:rFonts w:ascii="Arial" w:cs="Arial" w:eastAsia="Arial" w:hAnsi="Arial"/>
          <w:sz w:val="15"/>
          <w:szCs w:val="15"/>
          <w:color w:val="auto"/>
        </w:rPr>
        <w:t>Under the terms of the Indenture, the Company and the Trustee will treat the persons in whose names the notes, including the global notes, are registered as the owners of the notes for the purpose of receiving payments and for all other purposes. Consequently, neither the Company, the Trustee, the registrar, nor any agent of the Company, the Trustee or the registrar has or will have any responsibility or liability for:</w:t>
      </w:r>
    </w:p>
    <w:p>
      <w:pPr>
        <w:spacing w:after="0" w:line="72" w:lineRule="exact"/>
        <w:rPr>
          <w:sz w:val="20"/>
          <w:szCs w:val="20"/>
          <w:color w:val="auto"/>
        </w:rPr>
      </w:pPr>
    </w:p>
    <w:p>
      <w:pPr>
        <w:ind w:left="1580" w:right="1179" w:hanging="138"/>
        <w:spacing w:after="0" w:line="260" w:lineRule="auto"/>
        <w:tabs>
          <w:tab w:leader="none" w:pos="15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any aspect of DTC’s records or any Participant’s or Indirect Participant’s records relating to, or supervising or reviewing any of DTC’s records or any Participant’s or Indirect Participant’s records relating to the beneficial ownership interests in the global notes; or</w:t>
      </w:r>
    </w:p>
    <w:p>
      <w:pPr>
        <w:spacing w:after="0" w:line="57" w:lineRule="exact"/>
        <w:rPr>
          <w:rFonts w:ascii="Arial" w:cs="Arial" w:eastAsia="Arial" w:hAnsi="Arial"/>
          <w:sz w:val="15"/>
          <w:szCs w:val="15"/>
          <w:color w:val="auto"/>
        </w:rPr>
      </w:pPr>
    </w:p>
    <w:p>
      <w:pPr>
        <w:ind w:left="1580" w:right="1299" w:hanging="138"/>
        <w:spacing w:after="0" w:line="274" w:lineRule="auto"/>
        <w:tabs>
          <w:tab w:leader="none" w:pos="15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any other matter relating to the actions and practices of DTC or any of its Participants or Indirect Participants.</w:t>
      </w:r>
    </w:p>
    <w:p>
      <w:pPr>
        <w:spacing w:after="0" w:line="70" w:lineRule="exact"/>
        <w:rPr>
          <w:sz w:val="20"/>
          <w:szCs w:val="20"/>
          <w:color w:val="auto"/>
        </w:rPr>
      </w:pPr>
    </w:p>
    <w:p>
      <w:pPr>
        <w:ind w:left="1140" w:right="1219"/>
        <w:spacing w:after="0" w:line="238" w:lineRule="auto"/>
        <w:rPr>
          <w:sz w:val="20"/>
          <w:szCs w:val="20"/>
          <w:color w:val="auto"/>
        </w:rPr>
      </w:pPr>
      <w:r>
        <w:rPr>
          <w:rFonts w:ascii="Arial" w:cs="Arial" w:eastAsia="Arial" w:hAnsi="Arial"/>
          <w:sz w:val="15"/>
          <w:szCs w:val="15"/>
          <w:color w:val="auto"/>
        </w:rPr>
        <w:t>DTC has advised the Company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Company’s responsibility or the responsibility of DTC or the Trustee. Neither the Company nor the Trustee will be liable for any delay by DTC or any of the Participants or the Indirect Participants in identifying the beneficial owners of the notes, and the Company and the Trustee may conclusively rely on and will be protected in relying on instructions from DTC or its nominee for all purposes.</w:t>
      </w:r>
    </w:p>
    <w:p>
      <w:pPr>
        <w:spacing w:after="0" w:line="100" w:lineRule="exact"/>
        <w:rPr>
          <w:sz w:val="20"/>
          <w:szCs w:val="20"/>
          <w:color w:val="auto"/>
        </w:rPr>
      </w:pPr>
    </w:p>
    <w:p>
      <w:pPr>
        <w:ind w:left="1140" w:right="1479"/>
        <w:spacing w:after="0" w:line="244" w:lineRule="auto"/>
        <w:rPr>
          <w:sz w:val="20"/>
          <w:szCs w:val="20"/>
          <w:color w:val="auto"/>
        </w:rPr>
      </w:pPr>
      <w:r>
        <w:rPr>
          <w:rFonts w:ascii="Arial" w:cs="Arial" w:eastAsia="Arial" w:hAnsi="Arial"/>
          <w:sz w:val="15"/>
          <w:szCs w:val="15"/>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92" w:lineRule="exact"/>
        <w:rPr>
          <w:sz w:val="20"/>
          <w:szCs w:val="20"/>
          <w:color w:val="auto"/>
        </w:rPr>
      </w:pPr>
    </w:p>
    <w:p>
      <w:pPr>
        <w:ind w:left="1140" w:right="1179"/>
        <w:spacing w:after="0" w:line="263" w:lineRule="auto"/>
        <w:rPr>
          <w:sz w:val="20"/>
          <w:szCs w:val="20"/>
          <w:color w:val="auto"/>
        </w:rPr>
      </w:pPr>
      <w:r>
        <w:rPr>
          <w:rFonts w:ascii="Arial" w:cs="Arial" w:eastAsia="Arial" w:hAnsi="Arial"/>
          <w:sz w:val="14"/>
          <w:szCs w:val="14"/>
          <w:color w:val="auto"/>
        </w:rPr>
        <w:t>Cross-market transfers between the Participants,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such system in accordance with the rules and procedures and within the established deadlines of such system. Euroclear or Clearstream, as the case may be, will, if the</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5" w:name="page36"/>
    <w:bookmarkEnd w:id="3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64" w:lineRule="auto"/>
        <w:rPr>
          <w:sz w:val="20"/>
          <w:szCs w:val="20"/>
          <w:color w:val="auto"/>
        </w:rPr>
      </w:pPr>
      <w:r>
        <w:rPr>
          <w:rFonts w:ascii="Arial" w:cs="Arial" w:eastAsia="Arial" w:hAnsi="Arial"/>
          <w:sz w:val="15"/>
          <w:szCs w:val="15"/>
          <w:color w:val="auto"/>
        </w:rPr>
        <w:t>transaction meets its settlement requirements, deliver instructions to its respective depositary to take action to effect final settlement on its behalf by delivering or receiving interests in the relevant global note from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89" w:lineRule="exact"/>
        <w:rPr>
          <w:sz w:val="20"/>
          <w:szCs w:val="20"/>
          <w:color w:val="auto"/>
        </w:rPr>
      </w:pPr>
    </w:p>
    <w:p>
      <w:pPr>
        <w:ind w:left="1140" w:right="1159"/>
        <w:spacing w:after="0" w:line="263" w:lineRule="auto"/>
        <w:rPr>
          <w:sz w:val="20"/>
          <w:szCs w:val="20"/>
          <w:color w:val="auto"/>
        </w:rPr>
      </w:pPr>
      <w:r>
        <w:rPr>
          <w:rFonts w:ascii="Arial" w:cs="Arial" w:eastAsia="Arial" w:hAnsi="Arial"/>
          <w:sz w:val="15"/>
          <w:szCs w:val="15"/>
          <w:color w:val="auto"/>
        </w:rPr>
        <w:t>DTC has advised the Company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91" w:lineRule="exact"/>
        <w:rPr>
          <w:sz w:val="20"/>
          <w:szCs w:val="20"/>
          <w:color w:val="auto"/>
        </w:rPr>
      </w:pPr>
    </w:p>
    <w:p>
      <w:pPr>
        <w:ind w:left="1140" w:right="1159"/>
        <w:spacing w:after="0" w:line="260" w:lineRule="auto"/>
        <w:rPr>
          <w:sz w:val="20"/>
          <w:szCs w:val="20"/>
          <w:color w:val="auto"/>
        </w:rPr>
      </w:pPr>
      <w:r>
        <w:rPr>
          <w:rFonts w:ascii="Arial" w:cs="Arial" w:eastAsia="Arial" w:hAnsi="Arial"/>
          <w:sz w:val="15"/>
          <w:szCs w:val="15"/>
          <w:color w:val="auto"/>
        </w:rPr>
        <w:t>Although DTC, Euroclear and Clearstream have agreed to the foregoing procedures to facilitate transfers of interests in global notes among participants in DTC, Euroclear and Clearstream they are under no obligation to perform or to continue to perform such procedures, and may discontinue such procedures at any time. Neither the Company nor the Trustee nor any of the Company or its agents will have any responsibility for the performance by DTC, Euroclear or Clearstream or their respective participants or indirect participants of their respective obligations under the rules and procedures governing their operations.</w:t>
      </w: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Global Notes</w:t>
      </w:r>
    </w:p>
    <w:p>
      <w:pPr>
        <w:spacing w:after="0" w:line="124" w:lineRule="exact"/>
        <w:rPr>
          <w:sz w:val="20"/>
          <w:szCs w:val="20"/>
          <w:color w:val="auto"/>
        </w:rPr>
      </w:pPr>
    </w:p>
    <w:p>
      <w:pPr>
        <w:ind w:left="1140" w:right="1479"/>
        <w:spacing w:after="0" w:line="289" w:lineRule="auto"/>
        <w:rPr>
          <w:sz w:val="20"/>
          <w:szCs w:val="20"/>
          <w:color w:val="auto"/>
        </w:rPr>
      </w:pPr>
      <w:r>
        <w:rPr>
          <w:rFonts w:ascii="Arial" w:cs="Arial" w:eastAsia="Arial" w:hAnsi="Arial"/>
          <w:sz w:val="15"/>
          <w:szCs w:val="15"/>
          <w:color w:val="auto"/>
        </w:rPr>
        <w:t>Global notes will be deposited with a custodian for DTC, and registered in the name of a nominee of DTC.</w:t>
      </w:r>
    </w:p>
    <w:p>
      <w:pPr>
        <w:spacing w:after="0" w:line="70" w:lineRule="exact"/>
        <w:rPr>
          <w:sz w:val="20"/>
          <w:szCs w:val="20"/>
          <w:color w:val="auto"/>
        </w:rPr>
      </w:pPr>
    </w:p>
    <w:p>
      <w:pPr>
        <w:ind w:left="1140" w:right="1259"/>
        <w:spacing w:after="0" w:line="260" w:lineRule="auto"/>
        <w:rPr>
          <w:sz w:val="20"/>
          <w:szCs w:val="20"/>
          <w:color w:val="auto"/>
        </w:rPr>
      </w:pPr>
      <w:r>
        <w:rPr>
          <w:rFonts w:ascii="Arial" w:cs="Arial" w:eastAsia="Arial" w:hAnsi="Arial"/>
          <w:sz w:val="15"/>
          <w:szCs w:val="15"/>
          <w:color w:val="auto"/>
        </w:rPr>
        <w:t>Beneficial interests in the global notes will be shown on records maintained by DTC and its direct and indirect participants. So long as DTC or its nominee is the registered owner or holder of a global note, DTC or such nominee will be considered the sole owner or holder of the notes represented by such global note for all purposes under the Indenture and the notes. No owner of a beneficial interest in a global note will be able to transfer such interest except in accordance with DTC’s applicable procedures and the applicable procedures of its direct and indirect participants.</w:t>
      </w:r>
    </w:p>
    <w:p>
      <w:pPr>
        <w:spacing w:after="0" w:line="104" w:lineRule="exact"/>
        <w:rPr>
          <w:sz w:val="20"/>
          <w:szCs w:val="20"/>
          <w:color w:val="auto"/>
        </w:rPr>
      </w:pPr>
    </w:p>
    <w:p>
      <w:pPr>
        <w:ind w:left="1140" w:right="1319"/>
        <w:spacing w:after="0" w:line="267" w:lineRule="auto"/>
        <w:rPr>
          <w:sz w:val="20"/>
          <w:szCs w:val="20"/>
          <w:color w:val="auto"/>
        </w:rPr>
      </w:pPr>
      <w:r>
        <w:rPr>
          <w:rFonts w:ascii="Arial" w:cs="Arial" w:eastAsia="Arial" w:hAnsi="Arial"/>
          <w:sz w:val="15"/>
          <w:szCs w:val="15"/>
          <w:color w:val="auto"/>
        </w:rPr>
        <w:t>The Company will apply to DTC for acceptance of the global notes in its book-entry settlement system. Investors may hold their beneficial interests in the global notes directly through DTC if they are Participants in DTC, or indirectly through organizations which are Participants in DTC.</w:t>
      </w:r>
    </w:p>
    <w:p>
      <w:pPr>
        <w:spacing w:after="0" w:line="87" w:lineRule="exact"/>
        <w:rPr>
          <w:sz w:val="20"/>
          <w:szCs w:val="20"/>
          <w:color w:val="auto"/>
        </w:rPr>
      </w:pPr>
    </w:p>
    <w:p>
      <w:pPr>
        <w:ind w:left="1140" w:right="1159"/>
        <w:spacing w:after="0" w:line="259" w:lineRule="auto"/>
        <w:rPr>
          <w:sz w:val="20"/>
          <w:szCs w:val="20"/>
          <w:color w:val="auto"/>
        </w:rPr>
      </w:pPr>
      <w:r>
        <w:rPr>
          <w:rFonts w:ascii="Arial" w:cs="Arial" w:eastAsia="Arial" w:hAnsi="Arial"/>
          <w:sz w:val="15"/>
          <w:szCs w:val="15"/>
          <w:color w:val="auto"/>
        </w:rPr>
        <w:t>Payments of principal and interest under each global note will be made to DTC’s nominee as the registered owner of such global note. The Company expects that the nominee, upon receipt of any such payment, will immediately credit DTC Participants’ accounts with payments proportional to their respective beneficial interests in the principal amount of the relevant global note as shown on the records of DTC. The Company also expects that payments by DTC Participants to owners of beneficial interests will be governed by standing instructions and customary practices, as is now the case with securities held for the accounts of customers registered in the names of nominees for such customers. Such payments will be the responsibility of such Participants, and none of the Company, the Trustee, the custodian or any paying agent or registrar will have any responsibility or liability for any aspect of the records relating to or payments made on account of beneficial interests in any global note or for maintaining or reviewing any records relating to such beneficial interests.</w:t>
      </w:r>
    </w:p>
    <w:p>
      <w:pPr>
        <w:spacing w:after="0" w:line="162"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Certificated Notes</w:t>
      </w:r>
    </w:p>
    <w:p>
      <w:pPr>
        <w:spacing w:after="0" w:line="113" w:lineRule="exact"/>
        <w:rPr>
          <w:sz w:val="20"/>
          <w:szCs w:val="20"/>
          <w:color w:val="auto"/>
        </w:rPr>
      </w:pPr>
    </w:p>
    <w:p>
      <w:pPr>
        <w:ind w:left="1140" w:right="1259"/>
        <w:spacing w:after="0" w:line="252" w:lineRule="auto"/>
        <w:rPr>
          <w:sz w:val="20"/>
          <w:szCs w:val="20"/>
          <w:color w:val="auto"/>
        </w:rPr>
      </w:pPr>
      <w:r>
        <w:rPr>
          <w:rFonts w:ascii="Arial" w:cs="Arial" w:eastAsia="Arial" w:hAnsi="Arial"/>
          <w:sz w:val="15"/>
          <w:szCs w:val="15"/>
          <w:color w:val="auto"/>
        </w:rPr>
        <w:t>If DTC notifies the Company that it is unwilling or unable to continue as depositary for a global note and a successor depositary is not appointed by the Company within 90 days of such notice, or an event of default has occurred and the Trustee has received a request from DTC, the Trustee will exchange each beneficial interest in that global note for one or more certificated notes registered in the name of the owner of such beneficial interest, as identified by DTC.</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6" w:name="page37"/>
    <w:bookmarkEnd w:id="3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Same Day Settlement and Payment</w:t>
      </w:r>
    </w:p>
    <w:p>
      <w:pPr>
        <w:spacing w:after="0" w:line="124" w:lineRule="exact"/>
        <w:rPr>
          <w:sz w:val="20"/>
          <w:szCs w:val="20"/>
          <w:color w:val="auto"/>
        </w:rPr>
      </w:pPr>
    </w:p>
    <w:p>
      <w:pPr>
        <w:ind w:left="1140" w:right="1339"/>
        <w:spacing w:after="0" w:line="279" w:lineRule="auto"/>
        <w:rPr>
          <w:sz w:val="20"/>
          <w:szCs w:val="20"/>
          <w:color w:val="auto"/>
        </w:rPr>
      </w:pPr>
      <w:r>
        <w:rPr>
          <w:rFonts w:ascii="Arial" w:cs="Arial" w:eastAsia="Arial" w:hAnsi="Arial"/>
          <w:sz w:val="14"/>
          <w:szCs w:val="14"/>
          <w:color w:val="auto"/>
        </w:rPr>
        <w:t>The Indenture will require that payments in respect of the notes represented by the global notes be made by wire transfer of immediately available funds to the accounts specified by holders of the global notes. With respect to notes in certificated form, the Company will make all payments by:</w:t>
      </w:r>
    </w:p>
    <w:p>
      <w:pPr>
        <w:spacing w:after="0" w:line="35" w:lineRule="exact"/>
        <w:rPr>
          <w:sz w:val="20"/>
          <w:szCs w:val="20"/>
          <w:color w:val="auto"/>
        </w:rPr>
      </w:pPr>
    </w:p>
    <w:p>
      <w:pPr>
        <w:ind w:left="1580" w:right="1419" w:hanging="138"/>
        <w:spacing w:after="0" w:line="274" w:lineRule="auto"/>
        <w:tabs>
          <w:tab w:leader="none" w:pos="15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check mailed to the address of the Person entitled to the payment as it appears in the security register; or</w:t>
      </w:r>
    </w:p>
    <w:p>
      <w:pPr>
        <w:spacing w:after="0" w:line="47" w:lineRule="exact"/>
        <w:rPr>
          <w:rFonts w:ascii="Arial" w:cs="Arial" w:eastAsia="Arial" w:hAnsi="Arial"/>
          <w:sz w:val="15"/>
          <w:szCs w:val="15"/>
          <w:color w:val="auto"/>
        </w:rPr>
      </w:pPr>
    </w:p>
    <w:p>
      <w:pPr>
        <w:ind w:left="1580" w:right="1179" w:hanging="138"/>
        <w:spacing w:after="0" w:line="255" w:lineRule="auto"/>
        <w:tabs>
          <w:tab w:leader="none" w:pos="15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84" w:lineRule="exact"/>
        <w:rPr>
          <w:sz w:val="20"/>
          <w:szCs w:val="20"/>
          <w:color w:val="auto"/>
        </w:rPr>
      </w:pPr>
    </w:p>
    <w:p>
      <w:pPr>
        <w:ind w:left="1140" w:right="1199"/>
        <w:spacing w:after="0" w:line="245" w:lineRule="auto"/>
        <w:rPr>
          <w:sz w:val="20"/>
          <w:szCs w:val="20"/>
          <w:color w:val="auto"/>
        </w:rPr>
      </w:pPr>
      <w:r>
        <w:rPr>
          <w:rFonts w:ascii="Arial" w:cs="Arial" w:eastAsia="Arial" w:hAnsi="Arial"/>
          <w:sz w:val="15"/>
          <w:szCs w:val="15"/>
          <w:color w:val="auto"/>
        </w:rPr>
        <w:t>The notes represented by the global notes are expected to trade in DTC’s Same-Day Funds Settlement System, and any permitted secondary market trading activity in such notes will, therefore, be required by DTC to be settled in immediately available funds. The Company expects that secondary trading in any certificated notes will also be settled in immediately available funds.</w:t>
      </w:r>
    </w:p>
    <w:p>
      <w:pPr>
        <w:spacing w:after="0" w:line="91" w:lineRule="exact"/>
        <w:rPr>
          <w:sz w:val="20"/>
          <w:szCs w:val="20"/>
          <w:color w:val="auto"/>
        </w:rPr>
      </w:pPr>
    </w:p>
    <w:p>
      <w:pPr>
        <w:ind w:left="1140" w:right="1199"/>
        <w:spacing w:after="0" w:line="239" w:lineRule="auto"/>
        <w:rPr>
          <w:sz w:val="20"/>
          <w:szCs w:val="20"/>
          <w:color w:val="auto"/>
        </w:rPr>
      </w:pPr>
      <w:r>
        <w:rPr>
          <w:rFonts w:ascii="Arial" w:cs="Arial" w:eastAsia="Arial" w:hAnsi="Arial"/>
          <w:sz w:val="15"/>
          <w:szCs w:val="15"/>
          <w:color w:val="auto"/>
        </w:rPr>
        <w:t>Because of time-zone differences, credits of interests in the global notes received in Clearstream or Euroclear as a result of a transaction with a DTC Participant will be made during subsequent securities settlement processing and dated the Business Day following the DTC settlement date. Such credits or any transactions involving interests in such global notes settled during such processing will be reported to the relevant Clearstream or Euroclear participants on such Business Day. Cash received in Clearstream or Euroclear as a result of sales of interests in the global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Notices</w:t>
      </w:r>
    </w:p>
    <w:p>
      <w:pPr>
        <w:spacing w:after="0" w:line="133" w:lineRule="exact"/>
        <w:rPr>
          <w:sz w:val="20"/>
          <w:szCs w:val="20"/>
          <w:color w:val="auto"/>
        </w:rPr>
      </w:pPr>
    </w:p>
    <w:p>
      <w:pPr>
        <w:ind w:left="1140" w:right="1379"/>
        <w:spacing w:after="0" w:line="259" w:lineRule="auto"/>
        <w:rPr>
          <w:sz w:val="20"/>
          <w:szCs w:val="20"/>
          <w:color w:val="auto"/>
        </w:rPr>
      </w:pPr>
      <w:r>
        <w:rPr>
          <w:rFonts w:ascii="Arial" w:cs="Arial" w:eastAsia="Arial" w:hAnsi="Arial"/>
          <w:sz w:val="15"/>
          <w:szCs w:val="15"/>
          <w:color w:val="auto"/>
        </w:rPr>
        <w:t>Holders will receive notices at their addresses as they appear in the security register or in accordance with DTC’s applicable procedures.</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Title</w:t>
      </w:r>
    </w:p>
    <w:p>
      <w:pPr>
        <w:spacing w:after="0" w:line="133" w:lineRule="exact"/>
        <w:rPr>
          <w:sz w:val="20"/>
          <w:szCs w:val="20"/>
          <w:color w:val="auto"/>
        </w:rPr>
      </w:pPr>
    </w:p>
    <w:p>
      <w:pPr>
        <w:ind w:left="1140" w:right="1199"/>
        <w:spacing w:after="0" w:line="259" w:lineRule="auto"/>
        <w:rPr>
          <w:sz w:val="20"/>
          <w:szCs w:val="20"/>
          <w:color w:val="auto"/>
        </w:rPr>
      </w:pPr>
      <w:r>
        <w:rPr>
          <w:rFonts w:ascii="Arial" w:cs="Arial" w:eastAsia="Arial" w:hAnsi="Arial"/>
          <w:sz w:val="15"/>
          <w:szCs w:val="15"/>
          <w:color w:val="auto"/>
        </w:rPr>
        <w:t>The Company may treat the Person in whose name a note is registered on the applicable record date as the owner of the note for all purposes, whether or not it is overdue.</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 Personal Liability of Directors, Officers, Employees or Stockholders</w:t>
      </w:r>
    </w:p>
    <w:p>
      <w:pPr>
        <w:spacing w:after="0" w:line="133" w:lineRule="exact"/>
        <w:rPr>
          <w:sz w:val="20"/>
          <w:szCs w:val="20"/>
          <w:color w:val="auto"/>
        </w:rPr>
      </w:pPr>
    </w:p>
    <w:p>
      <w:pPr>
        <w:ind w:left="1140" w:right="1219"/>
        <w:spacing w:after="0" w:line="259" w:lineRule="auto"/>
        <w:rPr>
          <w:sz w:val="20"/>
          <w:szCs w:val="20"/>
          <w:color w:val="auto"/>
        </w:rPr>
      </w:pPr>
      <w:r>
        <w:rPr>
          <w:rFonts w:ascii="Arial" w:cs="Arial" w:eastAsia="Arial" w:hAnsi="Arial"/>
          <w:sz w:val="14"/>
          <w:szCs w:val="14"/>
          <w:color w:val="auto"/>
        </w:rPr>
        <w:t>None of the Company’s past, present or future directors, officers, employees or stockholders, as such, will have any liability for any of the Company’s obligations under the notes or the Indenture or for any claim based on, or in respect or by reason of, such obligations or their creation. By accepting a note, each holder waives and releases all such liability. This waiver and release is part of the consideration for the issue of the notes. However, this waiver and release may not be effective to waive liabilities under U.S. federal securities laws, and it is the view of the SEC that such a waiver is against public policy.</w:t>
      </w:r>
    </w:p>
    <w:p>
      <w:pPr>
        <w:spacing w:after="0" w:line="13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Governing Law</w:t>
      </w:r>
    </w:p>
    <w:p>
      <w:pPr>
        <w:spacing w:after="0" w:line="133"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New York law will govern the Indenture and the notes.</w:t>
      </w:r>
    </w:p>
    <w:p>
      <w:pPr>
        <w:spacing w:after="0" w:line="115" w:lineRule="exact"/>
        <w:rPr>
          <w:sz w:val="20"/>
          <w:szCs w:val="20"/>
          <w:color w:val="auto"/>
        </w:rPr>
      </w:pPr>
    </w:p>
    <w:p>
      <w:pPr>
        <w:ind w:left="1140" w:right="1219"/>
        <w:spacing w:after="0" w:line="255" w:lineRule="auto"/>
        <w:rPr>
          <w:sz w:val="20"/>
          <w:szCs w:val="20"/>
          <w:color w:val="auto"/>
        </w:rPr>
      </w:pPr>
      <w:r>
        <w:rPr>
          <w:rFonts w:ascii="Arial" w:cs="Arial" w:eastAsia="Arial" w:hAnsi="Arial"/>
          <w:sz w:val="15"/>
          <w:szCs w:val="15"/>
          <w:color w:val="auto"/>
        </w:rPr>
        <w:t>The Indenture provides that the Company, the Trustee and the holders of the notes (by their acceptance of the notes) irrevocably waive, to the fullest extent permitted by applicable law, any and all right to trial by jury in any legal proceeding arising out of or relating to the Indenture, the notes or the transactions contemplated thereby.</w:t>
      </w:r>
    </w:p>
    <w:p>
      <w:pPr>
        <w:spacing w:after="0" w:line="95" w:lineRule="exact"/>
        <w:rPr>
          <w:sz w:val="20"/>
          <w:szCs w:val="20"/>
          <w:color w:val="auto"/>
        </w:rPr>
      </w:pPr>
    </w:p>
    <w:p>
      <w:pPr>
        <w:ind w:left="1140" w:right="1299"/>
        <w:spacing w:after="0" w:line="311" w:lineRule="auto"/>
        <w:rPr>
          <w:sz w:val="20"/>
          <w:szCs w:val="20"/>
          <w:color w:val="auto"/>
        </w:rPr>
      </w:pPr>
      <w:r>
        <w:rPr>
          <w:rFonts w:ascii="Arial" w:cs="Arial" w:eastAsia="Arial" w:hAnsi="Arial"/>
          <w:sz w:val="14"/>
          <w:szCs w:val="14"/>
          <w:color w:val="auto"/>
        </w:rPr>
        <w:t>The Indenture provides that any legal suit, action or proceeding arising out of or based upon the Indenture or the transactions contemplated thereby may be instituted in the federal courts of the United</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7" w:name="page38"/>
    <w:bookmarkEnd w:id="3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99"/>
        <w:spacing w:after="0" w:line="248" w:lineRule="auto"/>
        <w:rPr>
          <w:sz w:val="20"/>
          <w:szCs w:val="20"/>
          <w:color w:val="auto"/>
        </w:rPr>
      </w:pPr>
      <w:r>
        <w:rPr>
          <w:rFonts w:ascii="Arial" w:cs="Arial" w:eastAsia="Arial" w:hAnsi="Arial"/>
          <w:sz w:val="15"/>
          <w:szCs w:val="15"/>
          <w:color w:val="auto"/>
        </w:rPr>
        <w:t>States of America located in The City of New York or the courts of the State of New York in each case located in The City of New York, and the Company, the Trustee and the holder of the notes (by their acceptance of the notes) irrevocably submit to the non-exclusive jurisdiction of such courts in any such suit, action or proceeding. The Indenture further provides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further provides that the Company, the Trustee and the holders of the notes (by their acceptance of the notes)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5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Regarding the Trustee</w:t>
      </w:r>
    </w:p>
    <w:p>
      <w:pPr>
        <w:spacing w:after="0" w:line="133" w:lineRule="exact"/>
        <w:rPr>
          <w:sz w:val="20"/>
          <w:szCs w:val="20"/>
          <w:color w:val="auto"/>
        </w:rPr>
      </w:pPr>
    </w:p>
    <w:p>
      <w:pPr>
        <w:ind w:left="1140" w:right="1279"/>
        <w:spacing w:after="0" w:line="255" w:lineRule="auto"/>
        <w:rPr>
          <w:sz w:val="20"/>
          <w:szCs w:val="20"/>
          <w:color w:val="auto"/>
        </w:rPr>
      </w:pPr>
      <w:r>
        <w:rPr>
          <w:rFonts w:ascii="Arial" w:cs="Arial" w:eastAsia="Arial" w:hAnsi="Arial"/>
          <w:sz w:val="15"/>
          <w:szCs w:val="15"/>
          <w:color w:val="auto"/>
        </w:rPr>
        <w:t>U.S. Bank Trust Company, National Association will act as Trustee under the Indenture. The Company maintains various commercial and service relationships with the Trustee and its affiliates in the ordinary course of business. In particular, affiliates of the Trustee provide services to the Company and its affiliates.</w:t>
      </w:r>
    </w:p>
    <w:p>
      <w:pPr>
        <w:spacing w:after="0" w:line="84" w:lineRule="exact"/>
        <w:rPr>
          <w:sz w:val="20"/>
          <w:szCs w:val="20"/>
          <w:color w:val="auto"/>
        </w:rPr>
      </w:pPr>
    </w:p>
    <w:p>
      <w:pPr>
        <w:ind w:left="1140" w:right="1259"/>
        <w:spacing w:after="0" w:line="252" w:lineRule="auto"/>
        <w:rPr>
          <w:sz w:val="20"/>
          <w:szCs w:val="20"/>
          <w:color w:val="auto"/>
        </w:rPr>
      </w:pPr>
      <w:r>
        <w:rPr>
          <w:rFonts w:ascii="Arial" w:cs="Arial" w:eastAsia="Arial" w:hAnsi="Arial"/>
          <w:sz w:val="15"/>
          <w:szCs w:val="15"/>
          <w:color w:val="auto"/>
        </w:rPr>
        <w:t>If an event of default occurs under the Indenture with respect to the notes and is continuing, the Trustee will be required to use the degree of care and skill of a prudent Person in the conduct of that Person’s own affairs. The Trustee will become obligated to exercise any of its powers under the Indenture at the request of any of the holders of the notes only after those holders have offered (and, if requested, provided) the Trustee indemnity or security satisfactory to it.</w:t>
      </w:r>
    </w:p>
    <w:p>
      <w:pPr>
        <w:spacing w:after="0" w:line="99" w:lineRule="exact"/>
        <w:rPr>
          <w:sz w:val="20"/>
          <w:szCs w:val="20"/>
          <w:color w:val="auto"/>
        </w:rPr>
      </w:pPr>
    </w:p>
    <w:p>
      <w:pPr>
        <w:ind w:left="1140" w:right="1279"/>
        <w:spacing w:after="0" w:line="275" w:lineRule="auto"/>
        <w:rPr>
          <w:sz w:val="20"/>
          <w:szCs w:val="20"/>
          <w:color w:val="auto"/>
        </w:rPr>
      </w:pPr>
      <w:r>
        <w:rPr>
          <w:rFonts w:ascii="Arial" w:cs="Arial" w:eastAsia="Arial" w:hAnsi="Arial"/>
          <w:sz w:val="14"/>
          <w:szCs w:val="14"/>
          <w:color w:val="auto"/>
        </w:rPr>
        <w:t>If the Trustee becomes a creditor of the Company, the Trustee’s rights to obtain payment of claims in specified circumstances, or to realize for its own account on certain property received in respect of any such claim as security or otherwise will be limited under the terms of the Indenture. The Trustee may engage in certain other transactions; however, if the Trustee acquires any conflicting interest (within the meaning specified under the Trust Indenture Act), it will be required to eliminate the conflict or resign.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8" w:name="page39"/>
    <w:bookmarkEnd w:id="38"/>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right="2019"/>
        <w:spacing w:after="0" w:line="280" w:lineRule="auto"/>
        <w:rPr>
          <w:sz w:val="20"/>
          <w:szCs w:val="20"/>
          <w:color w:val="auto"/>
        </w:rPr>
      </w:pPr>
      <w:r>
        <w:rPr>
          <w:rFonts w:ascii="Arial" w:cs="Arial" w:eastAsia="Arial" w:hAnsi="Arial"/>
          <w:sz w:val="32"/>
          <w:szCs w:val="32"/>
          <w:b w:val="1"/>
          <w:bCs w:val="1"/>
          <w:color w:val="auto"/>
        </w:rPr>
        <w:t>MATERIAL U.S. FEDERAL INCOME TAX CONSEQUENCES</w:t>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In General</w:t>
      </w:r>
    </w:p>
    <w:p>
      <w:pPr>
        <w:spacing w:after="0" w:line="190"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Nature and Scope of Discussion</w:t>
      </w:r>
    </w:p>
    <w:p>
      <w:pPr>
        <w:spacing w:after="0" w:line="113" w:lineRule="exact"/>
        <w:rPr>
          <w:sz w:val="20"/>
          <w:szCs w:val="20"/>
          <w:color w:val="auto"/>
        </w:rPr>
      </w:pPr>
    </w:p>
    <w:p>
      <w:pPr>
        <w:ind w:left="1140" w:right="1259"/>
        <w:spacing w:after="0" w:line="239" w:lineRule="auto"/>
        <w:rPr>
          <w:sz w:val="20"/>
          <w:szCs w:val="20"/>
          <w:color w:val="auto"/>
        </w:rPr>
      </w:pPr>
      <w:r>
        <w:rPr>
          <w:rFonts w:ascii="Arial" w:cs="Arial" w:eastAsia="Arial" w:hAnsi="Arial"/>
          <w:sz w:val="15"/>
          <w:szCs w:val="15"/>
          <w:color w:val="auto"/>
        </w:rPr>
        <w:t>This section provides a summary of certain material U.S. federal income tax consequences relating to the purchase, ownership, and disposition of the notes. This summary does not provide a complete analysis of all potential tax considerations. The information provided below is based on the Internal Revenue Code of 1986, as amended (the “Code”), and Treasury regulations, rulings and judicial decisions as of the date hereof, all of which are subject to change or differing interpretations, possibly with retroactive effect. There can be no assurance that the Internal Revenue Service (“IRS”) will not challenge one or more of the tax consequences described herein, and we have not obtained, nor do we intend to obtain, a ruling from the IRS with respect to the U.S. federal income tax consequences of purchasing, owning or disposing of the notes.</w:t>
      </w:r>
    </w:p>
    <w:p>
      <w:pPr>
        <w:spacing w:after="0" w:line="99" w:lineRule="exact"/>
        <w:rPr>
          <w:sz w:val="20"/>
          <w:szCs w:val="20"/>
          <w:color w:val="auto"/>
        </w:rPr>
      </w:pPr>
    </w:p>
    <w:p>
      <w:pPr>
        <w:ind w:left="1140" w:right="1159"/>
        <w:spacing w:after="0" w:line="236" w:lineRule="auto"/>
        <w:rPr>
          <w:sz w:val="20"/>
          <w:szCs w:val="20"/>
          <w:color w:val="auto"/>
        </w:rPr>
      </w:pPr>
      <w:r>
        <w:rPr>
          <w:rFonts w:ascii="Arial" w:cs="Arial" w:eastAsia="Arial" w:hAnsi="Arial"/>
          <w:sz w:val="15"/>
          <w:szCs w:val="15"/>
          <w:color w:val="auto"/>
        </w:rPr>
        <w:t>The following summary generally applies only to beneficial owners of the notes that purchase their notes in this offering for an amount equal to their issue price, which is the first price at which a substantial amount of the notes is sold for money to investors (not including sales to bond houses, brokers or similar persons or organizations acting in the capacity of underwriters, placement agents or wholesalers), and that hold the notes as “capital assets” within the meaning of Section 1221 of the Code (generally, for investment). This discussion does not purport to deal with all aspects of U.S. federal income taxation that may be relevant to a particular beneficial owner in light of the beneficial owner’s circumstances (for example, persons subject to the alternative minimum tax provisions of the Code, or a U.S. holder (as defined below) whose “functional currency” is not the U.S. dollar). Also, it is not intended to address all categories of investors, some of which may be subject to special rules (such as partnerships or other pass-through entities (or investors in such entities), dealers in securities or currencies, traders in securities that elect to use a mark-to-market method of accounting, banks, thrifts, regulated investment companies, real estate investment trusts, insurance companies, tax-exempt entities, tax-deferred or other retirement accounts, former citizens or long-term residents of the United States, controlled foreign corporations, passive foreign investment companies, persons holding the notes as part of a hedging, conversion or integrated transaction for U.S. tax purposes or a straddle, persons deemed to sell the notes under the constructive sale provisions of the Code, or persons required under Section 451(b) of the Code to conform the timing of income accruals with respect to the notes to their financial statements). The summary does not address any potential U.S. federal income or other tax considerations that may be relevant to holders of 2026 notes that are redeemed pursuant to the 2026 notes Redemption that is contingent on the issuance of the notes contemplated hereby. Finally, the following summary does not describe the effects of any other U.S. federal tax laws, such as the Medicare contribution tax on net investment income or estate and gift tax laws, or the effects of any applicable non-U.S., state or local laws.</w:t>
      </w:r>
    </w:p>
    <w:p>
      <w:pPr>
        <w:spacing w:after="0" w:line="102" w:lineRule="exact"/>
        <w:rPr>
          <w:sz w:val="20"/>
          <w:szCs w:val="20"/>
          <w:color w:val="auto"/>
        </w:rPr>
      </w:pPr>
    </w:p>
    <w:p>
      <w:pPr>
        <w:ind w:left="1140" w:right="1339"/>
        <w:spacing w:after="0" w:line="245" w:lineRule="auto"/>
        <w:rPr>
          <w:sz w:val="20"/>
          <w:szCs w:val="20"/>
          <w:color w:val="auto"/>
        </w:rPr>
      </w:pPr>
      <w:r>
        <w:rPr>
          <w:rFonts w:ascii="Arial" w:cs="Arial" w:eastAsia="Arial" w:hAnsi="Arial"/>
          <w:sz w:val="15"/>
          <w:szCs w:val="15"/>
          <w:color w:val="auto"/>
        </w:rPr>
        <w:t>INVESTORS CONSIDERING THE PURCHASE OF THE NOTES SHOULD CONSULT THEIR OWN TAX ADVISORS REGARDING THE APPLICATION OF THE U.S. FEDERAL INCOME TAX LAWS TO THEIR PARTICULAR SITUATIONS AND THE CONSEQUENCES OF OTHER U.S. FEDERAL TAX LAWS, NON-U.S., STATE AND LOCAL TAX LAWS, AND TAX TREATIES.</w:t>
      </w:r>
    </w:p>
    <w:p>
      <w:pPr>
        <w:spacing w:after="0" w:line="91" w:lineRule="exact"/>
        <w:rPr>
          <w:sz w:val="20"/>
          <w:szCs w:val="20"/>
          <w:color w:val="auto"/>
        </w:rPr>
      </w:pPr>
    </w:p>
    <w:p>
      <w:pPr>
        <w:ind w:left="1140" w:right="1199"/>
        <w:spacing w:after="0" w:line="241" w:lineRule="auto"/>
        <w:rPr>
          <w:sz w:val="20"/>
          <w:szCs w:val="20"/>
          <w:color w:val="auto"/>
        </w:rPr>
      </w:pPr>
      <w:r>
        <w:rPr>
          <w:rFonts w:ascii="Arial" w:cs="Arial" w:eastAsia="Arial" w:hAnsi="Arial"/>
          <w:sz w:val="15"/>
          <w:szCs w:val="15"/>
          <w:color w:val="auto"/>
        </w:rPr>
        <w:t>As used herein, the term “U.S. holder” means a beneficial owner of a note that, for U.S. federal income tax purposes, is (1) an individual who is a citizen or resident of the United States, (2) a corporation, or an entity treated as a corporation for U.S. federal income tax purposes, created or organized in or under the laws of the United States, any state thereof or the District of Columbia, (3) an estate the income of which is subject to U.S. federal income taxation regardless of its source, or (4) a trust if it (x) is subject to the primary supervision of a U.S. court and one or more U.S. persons has the authority to control all substantial decisions of the trust or (y) has a valid election in effect under applicable U.S. Treasury regulations to be treated as a U.S. person.</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9" w:name="page40"/>
    <w:bookmarkEnd w:id="3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140" w:right="1259"/>
        <w:spacing w:after="0" w:line="252" w:lineRule="auto"/>
        <w:rPr>
          <w:sz w:val="20"/>
          <w:szCs w:val="20"/>
          <w:color w:val="auto"/>
        </w:rPr>
      </w:pPr>
      <w:r>
        <w:rPr>
          <w:rFonts w:ascii="Arial" w:cs="Arial" w:eastAsia="Arial" w:hAnsi="Arial"/>
          <w:sz w:val="15"/>
          <w:szCs w:val="15"/>
          <w:color w:val="auto"/>
        </w:rPr>
        <w:t>A “non-U.S. holder” is a beneficial owner of a note (other than a partnership or an entity or arrangement (domestic or foreign) that is treated as a partnership for U.S. federal income tax purposes) that is not a U.S. holder.</w:t>
      </w:r>
    </w:p>
    <w:p>
      <w:pPr>
        <w:spacing w:after="0" w:line="86" w:lineRule="exact"/>
        <w:rPr>
          <w:sz w:val="20"/>
          <w:szCs w:val="20"/>
          <w:color w:val="auto"/>
        </w:rPr>
      </w:pPr>
    </w:p>
    <w:p>
      <w:pPr>
        <w:ind w:left="1140" w:right="1179"/>
        <w:spacing w:after="0" w:line="242" w:lineRule="auto"/>
        <w:rPr>
          <w:sz w:val="20"/>
          <w:szCs w:val="20"/>
          <w:color w:val="auto"/>
        </w:rPr>
      </w:pPr>
      <w:r>
        <w:rPr>
          <w:rFonts w:ascii="Arial" w:cs="Arial" w:eastAsia="Arial" w:hAnsi="Arial"/>
          <w:sz w:val="15"/>
          <w:szCs w:val="15"/>
          <w:color w:val="auto"/>
        </w:rPr>
        <w:t>If a partnership (including any entity or arrangement (domestic or foreign) that is treated as a partnership for U.S. federal income tax purposes) is a beneficial owner of a note, the tax treatment of a partner in the partnership will depend upon the status of the partner and the activities of the partnership. A beneficial owner of a note that is a partnership, and partners in such partnership, should consult their own tax advisors about the U.S. federal income tax consequences of purchasing, owning and disposing of the notes.</w:t>
      </w: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Additional Payments</w:t>
      </w:r>
    </w:p>
    <w:p>
      <w:pPr>
        <w:spacing w:after="0" w:line="124" w:lineRule="exact"/>
        <w:rPr>
          <w:sz w:val="20"/>
          <w:szCs w:val="20"/>
          <w:color w:val="auto"/>
        </w:rPr>
      </w:pPr>
    </w:p>
    <w:p>
      <w:pPr>
        <w:ind w:left="1140" w:right="1179"/>
        <w:spacing w:after="0" w:line="238" w:lineRule="auto"/>
        <w:rPr>
          <w:sz w:val="20"/>
          <w:szCs w:val="20"/>
          <w:color w:val="auto"/>
        </w:rPr>
      </w:pPr>
      <w:r>
        <w:rPr>
          <w:rFonts w:ascii="Arial" w:cs="Arial" w:eastAsia="Arial" w:hAnsi="Arial"/>
          <w:sz w:val="15"/>
          <w:szCs w:val="15"/>
          <w:color w:val="auto"/>
        </w:rPr>
        <w:t>We may be required in certain circumstances to make payments on the notes that are in excess of payments of principal and stated interest. We believe there is only a remote possibility that we would be required to make any of these additional payments, that any such additional payments, if made, would be an incidental amount, or that the possibility of such payments is otherwise disregarded for purposes of the rules governing contingent payment debt instruments. Therefore, we do not intend to treat the notes as subject to the special rules governing contingent payment debt instruments. Our determination in this regard, while not binding on the IRS, is binding on holders unless they disclose their contrary position. If the IRS successfully asserted that the notes are subject to the rules governing contingent payment debt instruments, the timing, amount and character of income with respect to a note realized by a holder could be materially and adversely different from those described below. The discussion below generally assumes that the notes are not treated as contingent payment debt instruments. In the event we pay additional amounts on the notes, holders should consult their tax advisors regarding the treatment of such amounts.</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U.S. Holders</w:t>
      </w:r>
    </w:p>
    <w:p>
      <w:pPr>
        <w:spacing w:after="0" w:line="190"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Taxation of Interest</w:t>
      </w:r>
    </w:p>
    <w:p>
      <w:pPr>
        <w:spacing w:after="0" w:line="113" w:lineRule="exact"/>
        <w:rPr>
          <w:sz w:val="20"/>
          <w:szCs w:val="20"/>
          <w:color w:val="auto"/>
        </w:rPr>
      </w:pPr>
    </w:p>
    <w:p>
      <w:pPr>
        <w:ind w:left="1140" w:right="1199"/>
        <w:spacing w:after="0" w:line="259" w:lineRule="auto"/>
        <w:rPr>
          <w:sz w:val="20"/>
          <w:szCs w:val="20"/>
          <w:color w:val="auto"/>
        </w:rPr>
      </w:pPr>
      <w:r>
        <w:rPr>
          <w:rFonts w:ascii="Arial" w:cs="Arial" w:eastAsia="Arial" w:hAnsi="Arial"/>
          <w:sz w:val="15"/>
          <w:szCs w:val="15"/>
          <w:color w:val="auto"/>
        </w:rPr>
        <w:t>A U.S. holder will be required to recognize as ordinary income any stated interest paid or accrued on the notes, in accordance with such holder’s regular method of tax accounting.</w:t>
      </w:r>
    </w:p>
    <w:p>
      <w:pPr>
        <w:spacing w:after="0" w:line="80" w:lineRule="exact"/>
        <w:rPr>
          <w:sz w:val="20"/>
          <w:szCs w:val="20"/>
          <w:color w:val="auto"/>
        </w:rPr>
      </w:pPr>
    </w:p>
    <w:p>
      <w:pPr>
        <w:ind w:left="1140" w:right="1159"/>
        <w:spacing w:after="0" w:line="263" w:lineRule="auto"/>
        <w:rPr>
          <w:sz w:val="20"/>
          <w:szCs w:val="20"/>
          <w:color w:val="auto"/>
        </w:rPr>
      </w:pPr>
      <w:r>
        <w:rPr>
          <w:rFonts w:ascii="Arial" w:cs="Arial" w:eastAsia="Arial" w:hAnsi="Arial"/>
          <w:sz w:val="14"/>
          <w:szCs w:val="14"/>
          <w:color w:val="auto"/>
        </w:rPr>
        <w:t>In general, if the terms of a debt instrument entitle a holder to receive payments (other than fixed periodic interest) that exceed the issue price of the instrument by an amount that equals or exceeds a statutorily defined de minimis amount, a holder subject to U.S. federal income tax will be required to include such excess in income as “original issue discount” over the term of the instrument, irrespective of the holder’s regular method of tax accounting. We expect, and the discussion below assumes, that the notes will not be issued with original issue discount for U.S. federal income tax purposes.</w:t>
      </w:r>
    </w:p>
    <w:p>
      <w:pPr>
        <w:spacing w:after="0" w:line="136"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Sale, Exchange, Redemption, Retirement or Other Taxable Disposition of the Notes</w:t>
      </w:r>
    </w:p>
    <w:p>
      <w:pPr>
        <w:spacing w:after="0" w:line="124" w:lineRule="exact"/>
        <w:rPr>
          <w:sz w:val="20"/>
          <w:szCs w:val="20"/>
          <w:color w:val="auto"/>
        </w:rPr>
      </w:pPr>
    </w:p>
    <w:p>
      <w:pPr>
        <w:ind w:left="1140" w:right="1219"/>
        <w:spacing w:after="0" w:line="256" w:lineRule="auto"/>
        <w:rPr>
          <w:sz w:val="20"/>
          <w:szCs w:val="20"/>
          <w:color w:val="auto"/>
        </w:rPr>
      </w:pPr>
      <w:r>
        <w:rPr>
          <w:rFonts w:ascii="Arial" w:cs="Arial" w:eastAsia="Arial" w:hAnsi="Arial"/>
          <w:sz w:val="14"/>
          <w:szCs w:val="14"/>
          <w:color w:val="auto"/>
        </w:rPr>
        <w:t>A U.S. holder generally will recognize taxable gain or loss if the holder disposes of a note in a sale, exchange, redemption, retirement or other taxable disposition, including discharges of the notes within one year of maturity or redemption, as described under “Description of the Notes — Satisfaction and Discharge.” The U.S. holder’s gain or loss generally will equal the difference between the proceeds received by the holder (other than amounts attributable to accrued but unpaid interest, which will be taxed as described below) and the holder’s tax basis in the note. The U.S. holder’s tax basis in a note generally will equal the amount the holder paid for the note. The portion of any proceeds that is attributable to accrued interest will not be taken into account in computing the U.S. holder’s taxable gain or loss. Instead, that portion will be recognized as ordinary interest income to the extent that the U.S. holder has not previously included the accrued interest in income. Any gain or loss recognized by a U.S. holder on a disposition of the note will generally be capital gain or loss and will be long-term capital gain or loss if the holder has held the note for more than one year, or short-term capital gain or loss if the holder has held the note for one year or less, at the time of the disposition. Long-term capital gains of non-corporate U.S. holders generally are eligible for reduced rates of taxation. Short-term capital gains are taxed at ordinary income rates. The deductibility of capital losses is subject to limitation.</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0" w:name="page41"/>
    <w:bookmarkEnd w:id="4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Non-U.S. Holders</w:t>
      </w:r>
    </w:p>
    <w:p>
      <w:pPr>
        <w:spacing w:after="0" w:line="190"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Taxation of Interest</w:t>
      </w:r>
    </w:p>
    <w:p>
      <w:pPr>
        <w:spacing w:after="0" w:line="124" w:lineRule="exact"/>
        <w:rPr>
          <w:sz w:val="20"/>
          <w:szCs w:val="20"/>
          <w:color w:val="auto"/>
        </w:rPr>
      </w:pPr>
    </w:p>
    <w:p>
      <w:pPr>
        <w:ind w:left="1140" w:right="1179"/>
        <w:spacing w:after="0" w:line="248" w:lineRule="auto"/>
        <w:rPr>
          <w:sz w:val="20"/>
          <w:szCs w:val="20"/>
          <w:color w:val="auto"/>
        </w:rPr>
      </w:pPr>
      <w:r>
        <w:rPr>
          <w:rFonts w:ascii="Arial" w:cs="Arial" w:eastAsia="Arial" w:hAnsi="Arial"/>
          <w:sz w:val="15"/>
          <w:szCs w:val="15"/>
          <w:color w:val="auto"/>
        </w:rPr>
        <w:t>Subject to the discussion below under “— Income or Gains Effectively Connected With a U.S. Trade or Business,” payments of interest to non-U.S. holders are generally subject to U.S. federal income tax at a flat rate of 30% (or a reduced or zero rate under the terms of an applicable income tax treaty between the United States and the non-U.S. holder’s country of residence), collected by means of withholding by the payer. Payments of interest on the notes to non-U.S. holders, however, are generally expected to qualify as “portfolio interest,” and thus be exempt from U.S. federal income tax, including withholding of such tax, if non-U.S. holders satisfy certain requirements and certify their nonresident status as described below, subject to the discussions below under “— Legislation and Guidance Relating to Foreign Accounts” and “Backup Withholding and Information Reporting”. The portfolio interest exemption will not apply to payments of interest to a non-U.S. holder that:</w:t>
      </w:r>
    </w:p>
    <w:p>
      <w:pPr>
        <w:spacing w:after="0" w:line="72" w:lineRule="exact"/>
        <w:rPr>
          <w:sz w:val="20"/>
          <w:szCs w:val="20"/>
          <w:color w:val="auto"/>
        </w:rPr>
      </w:pPr>
    </w:p>
    <w:p>
      <w:pPr>
        <w:ind w:left="1580" w:right="1219" w:hanging="138"/>
        <w:spacing w:after="0" w:line="260" w:lineRule="auto"/>
        <w:tabs>
          <w:tab w:leader="none" w:pos="15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owns, actually or constructively (applying certain attribution rules), shares of our stock representing at least 10% of the total combined voting power of all classes of our stock entitled to vote;</w:t>
      </w:r>
    </w:p>
    <w:p>
      <w:pPr>
        <w:spacing w:after="0" w:line="57" w:lineRule="exact"/>
        <w:rPr>
          <w:rFonts w:ascii="Arial" w:cs="Arial" w:eastAsia="Arial" w:hAnsi="Arial"/>
          <w:sz w:val="15"/>
          <w:szCs w:val="15"/>
          <w:color w:val="auto"/>
        </w:rPr>
      </w:pPr>
    </w:p>
    <w:p>
      <w:pPr>
        <w:ind w:left="1580" w:right="1599" w:hanging="138"/>
        <w:spacing w:after="0" w:line="274" w:lineRule="auto"/>
        <w:tabs>
          <w:tab w:leader="none" w:pos="15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is a “controlled foreign corporation” within the meaning of Section 957(a) of the Code that is related, directly or indirectly, to us through sufficient stock ownership; or</w:t>
      </w:r>
    </w:p>
    <w:p>
      <w:pPr>
        <w:spacing w:after="0" w:line="47" w:lineRule="exact"/>
        <w:rPr>
          <w:rFonts w:ascii="Arial" w:cs="Arial" w:eastAsia="Arial" w:hAnsi="Arial"/>
          <w:sz w:val="15"/>
          <w:szCs w:val="15"/>
          <w:color w:val="auto"/>
        </w:rPr>
      </w:pPr>
    </w:p>
    <w:p>
      <w:pPr>
        <w:ind w:left="1580" w:hanging="138"/>
        <w:spacing w:after="0"/>
        <w:tabs>
          <w:tab w:leader="none" w:pos="1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is a bank whose receipt of interest on the notes is described in Section 881(c)(3)(A) of the Code.</w:t>
      </w:r>
    </w:p>
    <w:p>
      <w:pPr>
        <w:spacing w:after="0" w:line="126" w:lineRule="exact"/>
        <w:rPr>
          <w:sz w:val="20"/>
          <w:szCs w:val="20"/>
          <w:color w:val="auto"/>
        </w:rPr>
      </w:pPr>
    </w:p>
    <w:p>
      <w:pPr>
        <w:ind w:left="1140" w:right="1239"/>
        <w:spacing w:after="0" w:line="260" w:lineRule="auto"/>
        <w:rPr>
          <w:sz w:val="20"/>
          <w:szCs w:val="20"/>
          <w:color w:val="auto"/>
        </w:rPr>
      </w:pPr>
      <w:r>
        <w:rPr>
          <w:rFonts w:ascii="Arial" w:cs="Arial" w:eastAsia="Arial" w:hAnsi="Arial"/>
          <w:sz w:val="15"/>
          <w:szCs w:val="15"/>
          <w:color w:val="auto"/>
        </w:rPr>
        <w:t>In general, a foreign corporation is a controlled foreign corporation if more than 50% of its stock (by vote or value) is owned, actually or constructively, by one or more U.S. persons that each owns, actually or constructively, at least 10% of the foreign corporation’s stock (by vote or value).</w:t>
      </w:r>
    </w:p>
    <w:p>
      <w:pPr>
        <w:spacing w:after="0" w:line="91" w:lineRule="exact"/>
        <w:rPr>
          <w:sz w:val="20"/>
          <w:szCs w:val="20"/>
          <w:color w:val="auto"/>
        </w:rPr>
      </w:pPr>
    </w:p>
    <w:p>
      <w:pPr>
        <w:ind w:left="1140" w:right="1199"/>
        <w:spacing w:after="0" w:line="249" w:lineRule="auto"/>
        <w:rPr>
          <w:sz w:val="20"/>
          <w:szCs w:val="20"/>
          <w:color w:val="auto"/>
        </w:rPr>
      </w:pPr>
      <w:r>
        <w:rPr>
          <w:rFonts w:ascii="Arial" w:cs="Arial" w:eastAsia="Arial" w:hAnsi="Arial"/>
          <w:sz w:val="15"/>
          <w:szCs w:val="15"/>
          <w:color w:val="auto"/>
        </w:rPr>
        <w:t>The portfolio interest exemption and any reduction of the withholding tax rate pursuant to the terms of an applicable income tax treaty require a non-U.S. holder to certify its nonresident status. A non-U.S. holder can meet this certification requirement by providing a properly executed IRS Form W-8BEN, IRS Form W-8BEN-E or other appropriate or successor form to the applicable withholding agent prior to the payment. If a non-U.S. holder holds a note through a financial institution or other agent acting on the holder’s behalf, the holder will be required to provide appropriate documentation to the agent. The non-U.S. holder’s agent may be required to provide certification to another withholding agent, either directly or through other intermediaries.</w:t>
      </w:r>
    </w:p>
    <w:p>
      <w:pPr>
        <w:spacing w:after="0" w:line="160"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Sale, Exchange, Redemption, Retirement or Other Taxable Disposition of the Notes</w:t>
      </w:r>
    </w:p>
    <w:p>
      <w:pPr>
        <w:spacing w:after="0" w:line="124" w:lineRule="exact"/>
        <w:rPr>
          <w:sz w:val="20"/>
          <w:szCs w:val="20"/>
          <w:color w:val="auto"/>
        </w:rPr>
      </w:pPr>
    </w:p>
    <w:p>
      <w:pPr>
        <w:ind w:left="1140" w:right="1179"/>
        <w:spacing w:after="0" w:line="251" w:lineRule="auto"/>
        <w:rPr>
          <w:sz w:val="20"/>
          <w:szCs w:val="20"/>
          <w:color w:val="auto"/>
        </w:rPr>
      </w:pPr>
      <w:r>
        <w:rPr>
          <w:rFonts w:ascii="Arial" w:cs="Arial" w:eastAsia="Arial" w:hAnsi="Arial"/>
          <w:sz w:val="15"/>
          <w:szCs w:val="15"/>
          <w:color w:val="auto"/>
        </w:rPr>
        <w:t>Subject to the discussion below under “Backup Withholding and Information Reporting,” non-U.S. holders generally will not be subject to U.S. federal income or withholding tax on any gain realized on the sale, exchange, redemption, retirement or other taxable disposition of notes (other than with respect to payments attributable to accrued but unpaid interest, which will generally be taxed as described under “— Taxation of Interest” above). This general rule, however, is subject to several exceptions. For example, the gain would be subject to U.S. federal income tax if:</w:t>
      </w:r>
    </w:p>
    <w:p>
      <w:pPr>
        <w:spacing w:after="0" w:line="66" w:lineRule="exact"/>
        <w:rPr>
          <w:sz w:val="20"/>
          <w:szCs w:val="20"/>
          <w:color w:val="auto"/>
        </w:rPr>
      </w:pPr>
    </w:p>
    <w:p>
      <w:pPr>
        <w:ind w:left="1580" w:right="1219" w:hanging="138"/>
        <w:spacing w:after="0" w:line="252" w:lineRule="auto"/>
        <w:tabs>
          <w:tab w:leader="none" w:pos="15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gain is effectively connected with the conduct by the non-U.S. holder of a U.S. trade or business (and, generally, if an income tax treaty applies, the gain is attributable to a U.S. permanent establishment or fixed base maintained by the non-U.S. holder in the United States), in which case it would be subject to tax as described below under “— Income or Gains Effectively Connected With a U.S. Trade or Business;” or</w:t>
      </w:r>
    </w:p>
    <w:p>
      <w:pPr>
        <w:spacing w:after="0" w:line="65" w:lineRule="exact"/>
        <w:rPr>
          <w:rFonts w:ascii="Arial" w:cs="Arial" w:eastAsia="Arial" w:hAnsi="Arial"/>
          <w:sz w:val="15"/>
          <w:szCs w:val="15"/>
          <w:color w:val="auto"/>
        </w:rPr>
      </w:pPr>
    </w:p>
    <w:p>
      <w:pPr>
        <w:ind w:left="1580" w:right="1159" w:hanging="138"/>
        <w:spacing w:after="0" w:line="251" w:lineRule="auto"/>
        <w:tabs>
          <w:tab w:leader="none" w:pos="15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non-U.S. holder is an individual who is present in the United States for a period or periods aggregating 183 days or more in the year of the disposition and certain other conditions apply, in which case, except as otherwise provided by an applicable income tax treaty, the gain, which may be offset by certain U.S. source capital losses (provided that such non-U.S. holder timely files tax returns with respect to such losses), would be subject to a flat 30% tax, even though the individual is not considered a resident of the United States.</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1" w:name="page42"/>
    <w:bookmarkEnd w:id="4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Income or Gains Effectively Connected With a U.S. Trade or Business</w:t>
      </w:r>
    </w:p>
    <w:p>
      <w:pPr>
        <w:spacing w:after="0" w:line="124" w:lineRule="exact"/>
        <w:rPr>
          <w:sz w:val="20"/>
          <w:szCs w:val="20"/>
          <w:color w:val="auto"/>
        </w:rPr>
      </w:pPr>
    </w:p>
    <w:p>
      <w:pPr>
        <w:ind w:left="1140" w:right="1159"/>
        <w:spacing w:after="0" w:line="237" w:lineRule="auto"/>
        <w:rPr>
          <w:sz w:val="20"/>
          <w:szCs w:val="20"/>
          <w:color w:val="auto"/>
        </w:rPr>
      </w:pPr>
      <w:r>
        <w:rPr>
          <w:rFonts w:ascii="Arial" w:cs="Arial" w:eastAsia="Arial" w:hAnsi="Arial"/>
          <w:sz w:val="15"/>
          <w:szCs w:val="15"/>
          <w:color w:val="auto"/>
        </w:rPr>
        <w:t>The preceding discussion of the U.S. federal income and withholding tax considerations of the purchase, ownership and disposition of notes by a non-U.S. holder assumes that the holder is not engaged in a U.S. trade or business. If any interest on the notes or gain from the sale, exchange, redemption, retirement or other taxable disposition of the notes is effectively connected with a U.S. trade or business conducted by the non-U.S. holder, then the income or gain will be subject to U.S. federal income tax on a net income basis at the regular U.S. rates and generally in the same manner applicable to U.S. holders. If the non-U.S. holder is eligible for the benefits of an income tax treaty between the United States and the holder’s country of residence, any “effectively connected” income or gain generally will be subject to U.S. federal income tax only if it is also attributable to a permanent establishment or fixed base maintained by the holder in the United States. If the non-U.S. holder is a corporation (including for this purpose any entity treated as a corporation for U.S. federal income tax purposes), some portion of its earnings and profits that is effectively connected with its U.S. trade or business also would be subject to a “branch profits tax.” The branch profits tax rate is generally 30%, although an applicable income tax treaty might provide for a lower rate. Payments of interest that are effectively connected with a U.S. trade or business generally will not be subject to the 30% gross withholding tax, provided that the holder claims exemption from withholding by timely filing a properly completed and executed IRS Form W-8ECI (or other appropriate form), or any successor form as the IRS designates, as applicable, prior to the payment.</w:t>
      </w:r>
    </w:p>
    <w:p>
      <w:pPr>
        <w:spacing w:after="0" w:line="160"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Legislation and Guidance Relating to Foreign Accounts</w:t>
      </w:r>
    </w:p>
    <w:p>
      <w:pPr>
        <w:spacing w:after="0" w:line="124" w:lineRule="exact"/>
        <w:rPr>
          <w:sz w:val="20"/>
          <w:szCs w:val="20"/>
          <w:color w:val="auto"/>
        </w:rPr>
      </w:pPr>
    </w:p>
    <w:p>
      <w:pPr>
        <w:ind w:left="1140" w:right="1219"/>
        <w:spacing w:after="0" w:line="254" w:lineRule="auto"/>
        <w:rPr>
          <w:sz w:val="20"/>
          <w:szCs w:val="20"/>
          <w:color w:val="auto"/>
        </w:rPr>
      </w:pPr>
      <w:r>
        <w:rPr>
          <w:rFonts w:ascii="Arial" w:cs="Arial" w:eastAsia="Arial" w:hAnsi="Arial"/>
          <w:sz w:val="14"/>
          <w:szCs w:val="14"/>
          <w:color w:val="auto"/>
        </w:rPr>
        <w:t>Legislation and administrative guidance incorporating provisions referred to as the Foreign Account Tax Compliance Act (“FATCA”) imposes a U.S. federal withholding tax on certain types of payments made to “foreign financial institutions” and certain other “non-financial foreign entities,” each as defined in the Code and applicable regulations. “Foreign financial institution” is defined to include, in addition to banks and traditional financial institutions, entities such as investment funds and certain holding companies. FATCA generally imposes a flat U.S. federal withholding tax of 30% on U.S. source interest income and (subject to the proposed Treasury regulations discussed below) the gross proceeds of a sale or other disposition of a debt instrument that produces U.S. source interest income, in each case if paid to a foreign financial institution or other non-financial foreign entity (whether as beneficial owner or intermediary), unless (i) the foreign financial institution undertakes certain diligence and reporting obligations, (ii) the non-financial foreign entity either certifies it does not have any substantial U.S. owners or furnishes identifying information regarding each substantial U.S. owner and such entity meets certain other specified requirements, (iii) an exemption otherwise applies, or (iv) an exemption is otherwise provided by the Treasury Secretary. If the payee is a foreign financial institution, it must enter into an agreement with the U.S. Treasury requiring, among other things, that it undertake to identify accounts held by certain U.S. persons or U.S.-owned foreign entities, annually report certain information about such accounts, and withhold 30% on certain payments to non-compliant foreign financial institutions and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Treasury, or otherwise modify the general FATCA rules. Under final regulations and published guidance, FATCA withholding generally applies to interest payments made on the notes. The Treasury Secretary has issued proposed regulations providing that the withholding provisions under FATCA do not apply with respect to payment of gross proceeds from a sale or other disposition of the notes, which may be relied upon by taxpayers until final regulations are issued. Prospective investors should consult their tax advisors regarding FATCA.</w:t>
      </w:r>
    </w:p>
    <w:p>
      <w:pPr>
        <w:spacing w:after="0" w:line="13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Backup Withholding and Information Reporting</w:t>
      </w:r>
    </w:p>
    <w:p>
      <w:pPr>
        <w:spacing w:after="0" w:line="122" w:lineRule="exact"/>
        <w:rPr>
          <w:sz w:val="20"/>
          <w:szCs w:val="20"/>
          <w:color w:val="auto"/>
        </w:rPr>
      </w:pPr>
    </w:p>
    <w:p>
      <w:pPr>
        <w:ind w:left="1140" w:right="1319"/>
        <w:spacing w:after="0" w:line="263" w:lineRule="auto"/>
        <w:rPr>
          <w:sz w:val="20"/>
          <w:szCs w:val="20"/>
          <w:color w:val="auto"/>
        </w:rPr>
      </w:pPr>
      <w:r>
        <w:rPr>
          <w:rFonts w:ascii="Arial" w:cs="Arial" w:eastAsia="Arial" w:hAnsi="Arial"/>
          <w:sz w:val="14"/>
          <w:szCs w:val="14"/>
          <w:color w:val="auto"/>
        </w:rPr>
        <w:t>The Code and the Treasury regulations require those who make specified payments to report the payments to the IRS. Among the specified payments are interest and proceeds from a sale or other disposition (including a retirement or redemption) of the notes paid by brokers to their customers. This reporting regime is reinforced by “backup withholding” rules, which require the payer to withhold from payments subject to information reporting if the recipient does not establish an exemption from backup withholding (as described below). The backup withholding rate is currently 24%.</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2" w:name="page43"/>
    <w:bookmarkEnd w:id="4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479"/>
        <w:spacing w:after="0" w:line="275" w:lineRule="auto"/>
        <w:rPr>
          <w:sz w:val="20"/>
          <w:szCs w:val="20"/>
          <w:color w:val="auto"/>
        </w:rPr>
      </w:pPr>
      <w:r>
        <w:rPr>
          <w:rFonts w:ascii="Arial" w:cs="Arial" w:eastAsia="Arial" w:hAnsi="Arial"/>
          <w:sz w:val="14"/>
          <w:szCs w:val="14"/>
          <w:color w:val="auto"/>
        </w:rPr>
        <w:t>Payments of interest to U.S. holders and payments made to U.S. holders by a broker upon a sale or other disposition (including a retirement or redemption) of the notes will generally be subject to information reporting and backup withholding unless (1) the holder is an exempt payee, such as a corporation, or (2) in the case of backup withholding, the holder provides the payer with a correct taxpayer identification number and complies with applicable certification requirements.</w:t>
      </w:r>
    </w:p>
    <w:p>
      <w:pPr>
        <w:spacing w:after="0" w:line="82" w:lineRule="exact"/>
        <w:rPr>
          <w:sz w:val="20"/>
          <w:szCs w:val="20"/>
          <w:color w:val="auto"/>
        </w:rPr>
      </w:pPr>
    </w:p>
    <w:p>
      <w:pPr>
        <w:ind w:left="1140" w:right="1179"/>
        <w:spacing w:after="0" w:line="269" w:lineRule="auto"/>
        <w:rPr>
          <w:sz w:val="20"/>
          <w:szCs w:val="20"/>
          <w:color w:val="auto"/>
        </w:rPr>
      </w:pPr>
      <w:r>
        <w:rPr>
          <w:rFonts w:ascii="Arial" w:cs="Arial" w:eastAsia="Arial" w:hAnsi="Arial"/>
          <w:sz w:val="14"/>
          <w:szCs w:val="14"/>
          <w:color w:val="auto"/>
        </w:rPr>
        <w:t>Payors must report annually to the IRS the interest paid to each non-U.S. holder and the tax withheld, if any, with respect to such interest, including any tax withheld pursuant to the rules described under “Non-U.S. Holders — Taxation of Interest” above. Copies of these reports may be made available to tax authorities in the country where the non-U.S. holder resides. Payments to non-U.S. holders of interest on the notes may be subject to backup withholding unless the non-U.S. holder certifies its non-U.S. status on a properly executed IRS Form W-8BEN, IRS Form W-8BEN-E or other appropriate or successor form. Payments made to non-U.S. holders by a broker upon a sale or disposition (including a retirement or redemption) of the notes will not be subject to information reporting or backup withholding as long as the non-U.S. holder certifies its non-U.S. status or otherwise establishes an exemption.</w:t>
      </w:r>
    </w:p>
    <w:p>
      <w:pPr>
        <w:spacing w:after="0" w:line="87" w:lineRule="exact"/>
        <w:rPr>
          <w:sz w:val="20"/>
          <w:szCs w:val="20"/>
          <w:color w:val="auto"/>
        </w:rPr>
      </w:pPr>
    </w:p>
    <w:p>
      <w:pPr>
        <w:ind w:left="1140" w:right="1219"/>
        <w:spacing w:after="0" w:line="255" w:lineRule="auto"/>
        <w:rPr>
          <w:sz w:val="20"/>
          <w:szCs w:val="20"/>
          <w:color w:val="auto"/>
        </w:rPr>
      </w:pPr>
      <w:r>
        <w:rPr>
          <w:rFonts w:ascii="Arial" w:cs="Arial" w:eastAsia="Arial" w:hAnsi="Arial"/>
          <w:sz w:val="15"/>
          <w:szCs w:val="15"/>
          <w:color w:val="auto"/>
        </w:rPr>
        <w:t>Backup withholding is not an additional tax. Any amounts withheld from a payment to a U.S. holder or non-U.S. holder of notes under the backup withholding rules generally may be credited against any U.S. federal income tax liability of the holder, which may entitle the holder to a refund, provided the required information is timely furnished to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3" w:name="page44"/>
    <w:bookmarkEnd w:id="43"/>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UNDERWRITING</w:t>
      </w:r>
    </w:p>
    <w:p>
      <w:pPr>
        <w:spacing w:after="0" w:line="130" w:lineRule="exact"/>
        <w:rPr>
          <w:sz w:val="20"/>
          <w:szCs w:val="20"/>
          <w:color w:val="auto"/>
        </w:rPr>
      </w:pPr>
    </w:p>
    <w:p>
      <w:pPr>
        <w:ind w:left="1140" w:right="1459"/>
        <w:spacing w:after="0" w:line="242" w:lineRule="auto"/>
        <w:rPr>
          <w:sz w:val="20"/>
          <w:szCs w:val="20"/>
          <w:color w:val="auto"/>
        </w:rPr>
      </w:pPr>
      <w:r>
        <w:rPr>
          <w:rFonts w:ascii="Arial" w:cs="Arial" w:eastAsia="Arial" w:hAnsi="Arial"/>
          <w:sz w:val="15"/>
          <w:szCs w:val="15"/>
          <w:color w:val="auto"/>
        </w:rPr>
        <w:t>Subject to the terms and conditions stated in the underwriting agreement dated the date of this prospectus supplement, each underwriter named below, for whom Morgan Stanley &amp; Co. LLC, BNP Paribas Securities Corp., J.P. Morgan Securities LLC and Wells Fargo Securities, LLC are acting as representatives, has severally and not jointly agreed to purchase, and we have agreed to sell to that underwriter, the aggregate principal amount of notes set forth opposite the underwriter’s name in the following table:</w:t>
      </w:r>
    </w:p>
    <w:p>
      <w:pPr>
        <w:spacing w:after="0" w:line="117"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8"/>
              </w:rPr>
              <w:t>Principal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840" w:type="dxa"/>
            <w:vAlign w:val="bottom"/>
            <w:gridSpan w:val="2"/>
          </w:tcPr>
          <w:p>
            <w:pPr>
              <w:spacing w:after="0"/>
              <w:rPr>
                <w:sz w:val="20"/>
                <w:szCs w:val="20"/>
                <w:color w:val="auto"/>
              </w:rPr>
            </w:pPr>
            <w:r>
              <w:rPr>
                <w:rFonts w:ascii="Arial" w:cs="Arial" w:eastAsia="Arial" w:hAnsi="Arial"/>
                <w:sz w:val="12"/>
                <w:szCs w:val="12"/>
                <w:b w:val="1"/>
                <w:bCs w:val="1"/>
                <w:color w:val="auto"/>
              </w:rPr>
              <w:t>Underwriter</w:t>
            </w:r>
          </w:p>
        </w:tc>
        <w:tc>
          <w:tcPr>
            <w:tcW w:w="2060" w:type="dxa"/>
            <w:vAlign w:val="bottom"/>
            <w:gridSpan w:val="2"/>
          </w:tcPr>
          <w:p>
            <w:pPr>
              <w:ind w:left="1940"/>
              <w:spacing w:after="0"/>
              <w:rPr>
                <w:sz w:val="20"/>
                <w:szCs w:val="20"/>
                <w:color w:val="auto"/>
              </w:rPr>
            </w:pPr>
            <w:r>
              <w:rPr>
                <w:rFonts w:ascii="Arial" w:cs="Arial" w:eastAsia="Arial" w:hAnsi="Arial"/>
                <w:sz w:val="12"/>
                <w:szCs w:val="12"/>
                <w:b w:val="1"/>
                <w:bCs w:val="1"/>
                <w:color w:val="auto"/>
              </w:rPr>
              <w:t>​ ​</w:t>
            </w:r>
          </w:p>
        </w:tc>
        <w:tc>
          <w:tcPr>
            <w:tcW w:w="80" w:type="dxa"/>
            <w:vAlign w:val="bottom"/>
          </w:tcPr>
          <w:p>
            <w:pPr>
              <w:spacing w:after="0"/>
              <w:rPr>
                <w:sz w:val="14"/>
                <w:szCs w:val="14"/>
                <w:color w:val="auto"/>
              </w:rPr>
            </w:pPr>
          </w:p>
        </w:tc>
        <w:tc>
          <w:tcPr>
            <w:tcW w:w="660" w:type="dxa"/>
            <w:vAlign w:val="bottom"/>
          </w:tcPr>
          <w:p>
            <w:pPr>
              <w:jc w:val="center"/>
              <w:ind w:left="1"/>
              <w:spacing w:after="0"/>
              <w:rPr>
                <w:sz w:val="20"/>
                <w:szCs w:val="20"/>
                <w:color w:val="auto"/>
              </w:rPr>
            </w:pPr>
            <w:r>
              <w:rPr>
                <w:rFonts w:ascii="Arial" w:cs="Arial" w:eastAsia="Arial" w:hAnsi="Arial"/>
                <w:sz w:val="12"/>
                <w:szCs w:val="12"/>
                <w:b w:val="1"/>
                <w:bCs w:val="1"/>
                <w:color w:val="auto"/>
                <w:w w:val="95"/>
              </w:rPr>
              <w:t>Notes</w:t>
            </w:r>
          </w:p>
        </w:tc>
        <w:tc>
          <w:tcPr>
            <w:tcW w:w="120" w:type="dxa"/>
            <w:vAlign w:val="bottom"/>
            <w:gridSpan w:val="2"/>
          </w:tcPr>
          <w:p>
            <w:pPr>
              <w:ind w:left="8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Morgan Stanley &amp; Co. LLC</w:t>
            </w:r>
          </w:p>
        </w:tc>
        <w:tc>
          <w:tcPr>
            <w:tcW w:w="1940" w:type="dxa"/>
            <w:vAlign w:val="bottom"/>
            <w:shd w:val="clear" w:color="auto" w:fill="CCEEFF"/>
          </w:tcPr>
          <w:p>
            <w:pPr>
              <w:spacing w:after="0"/>
              <w:rPr>
                <w:sz w:val="17"/>
                <w:szCs w:val="17"/>
                <w:color w:val="auto"/>
              </w:rPr>
            </w:pPr>
          </w:p>
        </w:tc>
        <w:tc>
          <w:tcPr>
            <w:tcW w:w="940" w:type="dxa"/>
            <w:vAlign w:val="bottom"/>
            <w:gridSpan w:val="4"/>
            <w:shd w:val="clear" w:color="auto" w:fill="CCEEFF"/>
          </w:tcPr>
          <w:p>
            <w:pPr>
              <w:ind w:left="40"/>
              <w:spacing w:after="0"/>
              <w:rPr>
                <w:sz w:val="20"/>
                <w:szCs w:val="20"/>
                <w:color w:val="auto"/>
              </w:rPr>
            </w:pPr>
            <w:r>
              <w:rPr>
                <w:rFonts w:ascii="Arial" w:cs="Arial" w:eastAsia="Arial" w:hAnsi="Arial"/>
                <w:sz w:val="15"/>
                <w:szCs w:val="15"/>
                <w:color w:val="auto"/>
              </w:rPr>
              <w:t xml:space="preserve">​ ​​$               </w:t>
            </w:r>
          </w:p>
        </w:tc>
        <w:tc>
          <w:tcPr>
            <w:tcW w:w="40" w:type="dxa"/>
            <w:vAlign w:val="bottom"/>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3840" w:type="dxa"/>
            <w:vAlign w:val="bottom"/>
            <w:gridSpan w:val="2"/>
          </w:tcPr>
          <w:p>
            <w:pPr>
              <w:spacing w:after="0"/>
              <w:rPr>
                <w:sz w:val="20"/>
                <w:szCs w:val="20"/>
                <w:color w:val="auto"/>
              </w:rPr>
            </w:pPr>
            <w:r>
              <w:rPr>
                <w:rFonts w:ascii="Arial" w:cs="Arial" w:eastAsia="Arial" w:hAnsi="Arial"/>
                <w:sz w:val="15"/>
                <w:szCs w:val="15"/>
                <w:color w:val="auto"/>
              </w:rPr>
              <w:t>BNP Paribas Securities Corp.</w:t>
            </w:r>
          </w:p>
        </w:tc>
        <w:tc>
          <w:tcPr>
            <w:tcW w:w="1940" w:type="dxa"/>
            <w:vAlign w:val="bottom"/>
          </w:tcPr>
          <w:p>
            <w:pPr>
              <w:spacing w:after="0"/>
              <w:rPr>
                <w:sz w:val="18"/>
                <w:szCs w:val="18"/>
                <w:color w:val="auto"/>
              </w:rPr>
            </w:pPr>
          </w:p>
        </w:tc>
        <w:tc>
          <w:tcPr>
            <w:tcW w:w="86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12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J.P. Morgan Securities LLC</w:t>
            </w:r>
          </w:p>
        </w:tc>
        <w:tc>
          <w:tcPr>
            <w:tcW w:w="19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 ​</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1"/>
        </w:trPr>
        <w:tc>
          <w:tcPr>
            <w:tcW w:w="3840" w:type="dxa"/>
            <w:vAlign w:val="bottom"/>
            <w:gridSpan w:val="2"/>
          </w:tcPr>
          <w:p>
            <w:pPr>
              <w:spacing w:after="0"/>
              <w:rPr>
                <w:sz w:val="20"/>
                <w:szCs w:val="20"/>
                <w:color w:val="auto"/>
              </w:rPr>
            </w:pPr>
            <w:r>
              <w:rPr>
                <w:rFonts w:ascii="Arial" w:cs="Arial" w:eastAsia="Arial" w:hAnsi="Arial"/>
                <w:sz w:val="15"/>
                <w:szCs w:val="15"/>
                <w:color w:val="auto"/>
              </w:rPr>
              <w:t>Wells Fargo Securities, LLC</w:t>
            </w:r>
          </w:p>
        </w:tc>
        <w:tc>
          <w:tcPr>
            <w:tcW w:w="1940" w:type="dxa"/>
            <w:vAlign w:val="bottom"/>
          </w:tcPr>
          <w:p>
            <w:pPr>
              <w:spacing w:after="0"/>
              <w:rPr>
                <w:sz w:val="19"/>
                <w:szCs w:val="19"/>
                <w:color w:val="auto"/>
              </w:rPr>
            </w:pPr>
          </w:p>
        </w:tc>
        <w:tc>
          <w:tcPr>
            <w:tcW w:w="860" w:type="dxa"/>
            <w:vAlign w:val="bottom"/>
            <w:gridSpan w:val="3"/>
          </w:tcPr>
          <w:p>
            <w:pPr>
              <w:ind w:left="40"/>
              <w:spacing w:after="0" w:line="221"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5"/>
                <w:szCs w:val="25"/>
                <w:color w:val="auto"/>
                <w:vertAlign w:val="superscript"/>
              </w:rPr>
              <w:t>​</w:t>
            </w:r>
          </w:p>
        </w:tc>
        <w:tc>
          <w:tcPr>
            <w:tcW w:w="12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3820" w:type="dxa"/>
            <w:vAlign w:val="bottom"/>
            <w:shd w:val="clear" w:color="auto" w:fill="CCEEFF"/>
          </w:tcPr>
          <w:p>
            <w:pPr>
              <w:ind w:left="140"/>
              <w:spacing w:after="0" w:line="168" w:lineRule="exact"/>
              <w:rPr>
                <w:sz w:val="20"/>
                <w:szCs w:val="20"/>
                <w:color w:val="auto"/>
              </w:rPr>
            </w:pPr>
            <w:r>
              <w:rPr>
                <w:rFonts w:ascii="Arial" w:cs="Arial" w:eastAsia="Arial" w:hAnsi="Arial"/>
                <w:sz w:val="15"/>
                <w:szCs w:val="15"/>
                <w:color w:val="auto"/>
              </w:rPr>
              <w:t>Total</w:t>
            </w:r>
          </w:p>
        </w:tc>
        <w:tc>
          <w:tcPr>
            <w:tcW w:w="194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521"/>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40" w:type="dxa"/>
            <w:vAlign w:val="bottom"/>
          </w:tcPr>
          <w:p>
            <w:pPr>
              <w:spacing w:after="0" w:line="168"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82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740" w:type="dxa"/>
            <w:vAlign w:val="bottom"/>
            <w:gridSpan w:val="2"/>
            <w:shd w:val="clear" w:color="auto" w:fill="CCEEFF"/>
          </w:tcPr>
          <w:p>
            <w:pPr>
              <w:jc w:val="right"/>
              <w:ind w:right="581"/>
              <w:spacing w:after="0"/>
              <w:rPr>
                <w:sz w:val="20"/>
                <w:szCs w:val="20"/>
                <w:color w:val="auto"/>
              </w:rPr>
            </w:pPr>
            <w:r>
              <w:rPr>
                <w:rFonts w:ascii="Arial" w:cs="Arial" w:eastAsia="Arial" w:hAnsi="Arial"/>
                <w:sz w:val="2"/>
                <w:szCs w:val="2"/>
                <w:color w:val="auto"/>
              </w:rPr>
              <w:t>​​</w:t>
            </w:r>
          </w:p>
        </w:tc>
        <w:tc>
          <w:tcPr>
            <w:tcW w:w="80" w:type="dxa"/>
            <w:vAlign w:val="bottom"/>
            <w:shd w:val="clear" w:color="auto" w:fill="CCEEFF"/>
          </w:tcPr>
          <w:p>
            <w:pPr>
              <w:spacing w:after="0"/>
              <w:rPr>
                <w:sz w:val="5"/>
                <w:szCs w:val="5"/>
                <w:color w:val="auto"/>
              </w:rPr>
            </w:pPr>
          </w:p>
        </w:tc>
        <w:tc>
          <w:tcPr>
            <w:tcW w:w="40" w:type="dxa"/>
            <w:vAlign w:val="bottom"/>
          </w:tcPr>
          <w:p>
            <w:pPr>
              <w:spacing w:after="0"/>
              <w:rPr>
                <w:sz w:val="20"/>
                <w:szCs w:val="20"/>
                <w:color w:val="auto"/>
              </w:rPr>
            </w:pPr>
            <w:r>
              <w:rPr>
                <w:rFonts w:ascii="Arial" w:cs="Arial" w:eastAsia="Arial" w:hAnsi="Arial"/>
                <w:sz w:val="2"/>
                <w:szCs w:val="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-174625</wp:posOffset>
            </wp:positionV>
            <wp:extent cx="378523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785235" cy="698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-721360</wp:posOffset>
            </wp:positionV>
            <wp:extent cx="11239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2395" cy="6985"/>
                    </a:xfrm>
                    <a:prstGeom prst="rect">
                      <a:avLst/>
                    </a:prstGeom>
                    <a:noFill/>
                  </pic:spPr>
                </pic:pic>
              </a:graphicData>
            </a:graphic>
          </wp:anchor>
        </w:drawing>
      </w:r>
    </w:p>
    <w:p>
      <w:pPr>
        <w:spacing w:after="0" w:line="153" w:lineRule="exact"/>
        <w:rPr>
          <w:sz w:val="20"/>
          <w:szCs w:val="20"/>
          <w:color w:val="auto"/>
        </w:rPr>
      </w:pPr>
    </w:p>
    <w:p>
      <w:pPr>
        <w:ind w:left="1140" w:right="1299"/>
        <w:spacing w:after="0"/>
        <w:rPr>
          <w:sz w:val="20"/>
          <w:szCs w:val="20"/>
          <w:color w:val="auto"/>
        </w:rPr>
      </w:pPr>
      <w:r>
        <w:rPr>
          <w:rFonts w:ascii="Arial" w:cs="Arial" w:eastAsia="Arial" w:hAnsi="Arial"/>
          <w:sz w:val="15"/>
          <w:szCs w:val="15"/>
          <w:color w:val="auto"/>
        </w:rPr>
        <w:t>The underwriting agreement provides that the obligations of the underwriters to purchase the notes included in this offering are subject to approval of legal matters by counsel and to other conditions. The underwriters reserve the right to withdraw, cancel or modify offers to the public and to reject orders in whole or in part. The underwriters are obligated to purchase all the notes if they purchase any of the notes. The underwriting agreement also provides that if an underwriter defaults, the purchase commitments of non-defaulting underwriters may be increased or the offering of notes may be terminated.</w:t>
      </w:r>
    </w:p>
    <w:p>
      <w:pPr>
        <w:spacing w:after="0" w:line="95" w:lineRule="exact"/>
        <w:rPr>
          <w:sz w:val="20"/>
          <w:szCs w:val="20"/>
          <w:color w:val="auto"/>
        </w:rPr>
      </w:pPr>
    </w:p>
    <w:p>
      <w:pPr>
        <w:jc w:val="both"/>
        <w:ind w:left="1140" w:right="1379"/>
        <w:spacing w:after="0" w:line="252" w:lineRule="auto"/>
        <w:rPr>
          <w:sz w:val="20"/>
          <w:szCs w:val="20"/>
          <w:color w:val="auto"/>
        </w:rPr>
      </w:pPr>
      <w:r>
        <w:rPr>
          <w:rFonts w:ascii="Arial" w:cs="Arial" w:eastAsia="Arial" w:hAnsi="Arial"/>
          <w:sz w:val="15"/>
          <w:szCs w:val="15"/>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3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Commissions and Discounts</w:t>
      </w:r>
    </w:p>
    <w:p>
      <w:pPr>
        <w:spacing w:after="0" w:line="133" w:lineRule="exact"/>
        <w:rPr>
          <w:sz w:val="20"/>
          <w:szCs w:val="20"/>
          <w:color w:val="auto"/>
        </w:rPr>
      </w:pPr>
    </w:p>
    <w:p>
      <w:pPr>
        <w:ind w:left="1140" w:right="1159"/>
        <w:spacing w:after="0" w:line="239" w:lineRule="auto"/>
        <w:rPr>
          <w:sz w:val="20"/>
          <w:szCs w:val="20"/>
          <w:color w:val="auto"/>
        </w:rPr>
      </w:pPr>
      <w:r>
        <w:rPr>
          <w:rFonts w:ascii="Arial" w:cs="Arial" w:eastAsia="Arial" w:hAnsi="Arial"/>
          <w:sz w:val="15"/>
          <w:szCs w:val="15"/>
          <w:color w:val="auto"/>
        </w:rPr>
        <w:t>The underwriters propose to offer the notes directly to the public at the public offering prices set forth on the cover page of this prospectus supplement and some of the notes to dealers at the public offering price less a concession not to exceed        % of the principal amount of the notes. The underwriters may allow, and any such dealer may reallow, a concession not to exceed        % of the principal amount of the notes. After the initial offering of the notes to the public, the representatives may change the public offering price and other selling terms.</w:t>
      </w:r>
    </w:p>
    <w:p>
      <w:pPr>
        <w:spacing w:after="0" w:line="95" w:lineRule="exact"/>
        <w:rPr>
          <w:sz w:val="20"/>
          <w:szCs w:val="20"/>
          <w:color w:val="auto"/>
        </w:rPr>
      </w:pPr>
    </w:p>
    <w:p>
      <w:pPr>
        <w:ind w:left="1140" w:right="1179"/>
        <w:spacing w:after="0" w:line="275" w:lineRule="auto"/>
        <w:rPr>
          <w:sz w:val="20"/>
          <w:szCs w:val="20"/>
          <w:color w:val="auto"/>
        </w:rPr>
      </w:pPr>
      <w:r>
        <w:rPr>
          <w:rFonts w:ascii="Arial" w:cs="Arial" w:eastAsia="Arial" w:hAnsi="Arial"/>
          <w:sz w:val="14"/>
          <w:szCs w:val="14"/>
          <w:color w:val="auto"/>
        </w:rPr>
        <w:t>The following table shows the underwriting discounts that we are to pay to the underwriters in connection with this offering (expressed as a percentage of the principal amount of the notes and in total).</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85"/>
        </w:trPr>
        <w:tc>
          <w:tcPr>
            <w:tcW w:w="2960" w:type="dxa"/>
            <w:vAlign w:val="bottom"/>
            <w:gridSpan w:val="2"/>
          </w:tcPr>
          <w:p>
            <w:pPr>
              <w:spacing w:after="0"/>
              <w:rPr>
                <w:sz w:val="20"/>
                <w:szCs w:val="20"/>
                <w:color w:val="auto"/>
              </w:rPr>
            </w:pPr>
            <w:r>
              <w:rPr>
                <w:rFonts w:ascii="Arial" w:cs="Arial" w:eastAsia="Arial" w:hAnsi="Arial"/>
                <w:sz w:val="12"/>
                <w:szCs w:val="12"/>
                <w:b w:val="1"/>
                <w:bCs w:val="1"/>
                <w:color w:val="auto"/>
              </w:rPr>
              <w:t>​</w:t>
            </w:r>
          </w:p>
        </w:tc>
        <w:tc>
          <w:tcPr>
            <w:tcW w:w="3760" w:type="dxa"/>
            <w:vAlign w:val="bottom"/>
            <w:gridSpan w:val="5"/>
          </w:tcPr>
          <w:p>
            <w:pPr>
              <w:ind w:left="2380"/>
              <w:spacing w:after="0"/>
              <w:rPr>
                <w:sz w:val="20"/>
                <w:szCs w:val="20"/>
                <w:color w:val="auto"/>
              </w:rPr>
            </w:pPr>
            <w:r>
              <w:rPr>
                <w:rFonts w:ascii="Arial" w:cs="Arial" w:eastAsia="Arial" w:hAnsi="Arial"/>
                <w:sz w:val="23"/>
                <w:szCs w:val="23"/>
                <w:b w:val="1"/>
                <w:bCs w:val="1"/>
                <w:color w:val="auto"/>
                <w:vertAlign w:val="subscript"/>
              </w:rPr>
              <w:t>​ ​</w:t>
            </w:r>
            <w:r>
              <w:rPr>
                <w:rFonts w:ascii="Arial" w:cs="Arial" w:eastAsia="Arial" w:hAnsi="Arial"/>
                <w:sz w:val="12"/>
                <w:szCs w:val="12"/>
                <w:b w:val="1"/>
                <w:bCs w:val="1"/>
                <w:color w:val="auto"/>
              </w:rPr>
              <w:t xml:space="preserve"> Percentage </w:t>
            </w:r>
            <w:r>
              <w:rPr>
                <w:rFonts w:ascii="Arial" w:cs="Arial" w:eastAsia="Arial" w:hAnsi="Arial"/>
                <w:sz w:val="23"/>
                <w:szCs w:val="23"/>
                <w:b w:val="1"/>
                <w:bCs w:val="1"/>
                <w:color w:val="auto"/>
                <w:vertAlign w:val="subscript"/>
              </w:rPr>
              <w:t>​ ​</w:t>
            </w:r>
            <w:r>
              <w:rPr>
                <w:rFonts w:ascii="Arial" w:cs="Arial" w:eastAsia="Arial" w:hAnsi="Arial"/>
                <w:sz w:val="12"/>
                <w:szCs w:val="12"/>
                <w:b w:val="1"/>
                <w:bCs w:val="1"/>
                <w:color w:val="auto"/>
              </w:rPr>
              <w:t xml:space="preserve">  Total</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4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Per Note</w:t>
            </w:r>
          </w:p>
        </w:tc>
        <w:tc>
          <w:tcPr>
            <w:tcW w:w="25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ind w:left="160"/>
              <w:spacing w:after="0" w:line="156" w:lineRule="exact"/>
              <w:rPr>
                <w:sz w:val="20"/>
                <w:szCs w:val="20"/>
                <w:color w:val="auto"/>
              </w:rPr>
            </w:pPr>
            <w:r>
              <w:rPr>
                <w:rFonts w:ascii="Arial" w:cs="Arial" w:eastAsia="Arial" w:hAnsi="Arial"/>
                <w:sz w:val="15"/>
                <w:szCs w:val="15"/>
                <w:color w:val="auto"/>
                <w:w w:val="86"/>
              </w:rPr>
              <w:t>        %</w:t>
            </w:r>
          </w:p>
        </w:tc>
        <w:tc>
          <w:tcPr>
            <w:tcW w:w="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right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 xml:space="preserve">$       </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940" w:type="dxa"/>
            <w:vAlign w:val="bottom"/>
            <w:shd w:val="clear" w:color="auto" w:fill="CCEEFF"/>
          </w:tcPr>
          <w:p>
            <w:pPr>
              <w:spacing w:after="0"/>
              <w:rPr>
                <w:sz w:val="4"/>
                <w:szCs w:val="4"/>
                <w:color w:val="auto"/>
              </w:rPr>
            </w:pPr>
          </w:p>
        </w:tc>
        <w:tc>
          <w:tcPr>
            <w:tcW w:w="3140" w:type="dxa"/>
            <w:vAlign w:val="bottom"/>
            <w:gridSpan w:val="2"/>
            <w:shd w:val="clear" w:color="auto" w:fill="CCEEFF"/>
          </w:tcPr>
          <w:p>
            <w:pPr>
              <w:ind w:left="2380"/>
              <w:spacing w:after="0" w:line="56" w:lineRule="exact"/>
              <w:rPr>
                <w:sz w:val="20"/>
                <w:szCs w:val="20"/>
                <w:color w:val="auto"/>
              </w:rPr>
            </w:pPr>
            <w:r>
              <w:rPr>
                <w:rFonts w:ascii="Arial" w:cs="Arial" w:eastAsia="Arial" w:hAnsi="Arial"/>
                <w:sz w:val="6"/>
                <w:szCs w:val="6"/>
                <w:color w:val="auto"/>
              </w:rPr>
              <w:t>​ ​  ​</w:t>
            </w:r>
          </w:p>
        </w:tc>
        <w:tc>
          <w:tcPr>
            <w:tcW w:w="620" w:type="dxa"/>
            <w:vAlign w:val="bottom"/>
            <w:tcBorders>
              <w:right w:val="single" w:sz="8" w:color="CCEEFF"/>
            </w:tcBorders>
            <w:gridSpan w:val="3"/>
            <w:shd w:val="clear" w:color="auto" w:fill="CCEEFF"/>
          </w:tcPr>
          <w:p>
            <w:pPr>
              <w:ind w:left="20"/>
              <w:spacing w:after="0" w:line="56" w:lineRule="exact"/>
              <w:rPr>
                <w:sz w:val="20"/>
                <w:szCs w:val="20"/>
                <w:color w:val="auto"/>
              </w:rPr>
            </w:pPr>
            <w:r>
              <w:rPr>
                <w:rFonts w:ascii="Arial" w:cs="Arial" w:eastAsia="Arial" w:hAnsi="Arial"/>
                <w:sz w:val="6"/>
                <w:szCs w:val="6"/>
                <w:color w:val="auto"/>
              </w:rPr>
              <w:t>​​ ​​</w:t>
            </w: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-146685</wp:posOffset>
            </wp:positionV>
            <wp:extent cx="398843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988435" cy="6985"/>
                    </a:xfrm>
                    <a:prstGeom prst="rect">
                      <a:avLst/>
                    </a:prstGeom>
                    <a:noFill/>
                  </pic:spPr>
                </pic:pic>
              </a:graphicData>
            </a:graphic>
          </wp:anchor>
        </w:drawing>
      </w:r>
    </w:p>
    <w:p>
      <w:pPr>
        <w:spacing w:after="0" w:line="87" w:lineRule="exact"/>
        <w:rPr>
          <w:sz w:val="20"/>
          <w:szCs w:val="20"/>
          <w:color w:val="auto"/>
        </w:rPr>
      </w:pPr>
    </w:p>
    <w:p>
      <w:pPr>
        <w:ind w:left="1140" w:right="1559"/>
        <w:spacing w:after="0" w:line="244" w:lineRule="auto"/>
        <w:rPr>
          <w:sz w:val="20"/>
          <w:szCs w:val="20"/>
          <w:color w:val="auto"/>
        </w:rPr>
      </w:pPr>
      <w:r>
        <w:rPr>
          <w:rFonts w:ascii="Arial" w:cs="Arial" w:eastAsia="Arial" w:hAnsi="Arial"/>
          <w:sz w:val="15"/>
          <w:szCs w:val="15"/>
          <w:color w:val="auto"/>
        </w:rPr>
        <w:t>We estimate that our total expenses for this offering, other than underwriting discounts, will be approximately $            million. The underwriters have agreed to reimburse us for certain expenses incurred in connection with this offering.</w:t>
      </w:r>
    </w:p>
    <w:p>
      <w:pPr>
        <w:spacing w:after="0" w:line="15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New Issue of Notes</w:t>
      </w:r>
    </w:p>
    <w:p>
      <w:pPr>
        <w:spacing w:after="0" w:line="122" w:lineRule="exact"/>
        <w:rPr>
          <w:sz w:val="20"/>
          <w:szCs w:val="20"/>
          <w:color w:val="auto"/>
        </w:rPr>
      </w:pPr>
    </w:p>
    <w:p>
      <w:pPr>
        <w:ind w:left="1140" w:right="1199"/>
        <w:spacing w:after="0" w:line="262" w:lineRule="auto"/>
        <w:rPr>
          <w:sz w:val="20"/>
          <w:szCs w:val="20"/>
          <w:color w:val="auto"/>
        </w:rPr>
      </w:pPr>
      <w:r>
        <w:rPr>
          <w:rFonts w:ascii="Arial" w:cs="Arial" w:eastAsia="Arial" w:hAnsi="Arial"/>
          <w:sz w:val="14"/>
          <w:szCs w:val="14"/>
          <w:color w:val="auto"/>
        </w:rPr>
        <w:t>There is currently no public trading market for the notes. We have not applied and do not intend to apply to list the notes on any securities exchange. The underwriters have advised us that they presently intend to make a market in the notes. However, they are not obligated to do so and may discontinue any market-making in the notes at any time in their sole discretion. Therefore, we cannot assure you that a liquid trading market for the notes will develop, that you will be able to sell your notes at a particular</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4" w:name="page45"/>
    <w:bookmarkEnd w:id="4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99"/>
        <w:spacing w:after="0" w:line="245" w:lineRule="auto"/>
        <w:rPr>
          <w:sz w:val="20"/>
          <w:szCs w:val="20"/>
          <w:color w:val="auto"/>
        </w:rPr>
      </w:pPr>
      <w:r>
        <w:rPr>
          <w:rFonts w:ascii="Arial" w:cs="Arial" w:eastAsia="Arial" w:hAnsi="Arial"/>
          <w:sz w:val="15"/>
          <w:szCs w:val="15"/>
          <w:color w:val="auto"/>
        </w:rPr>
        <w:t>time or that the price you receive when you sell will be favorable. If an active trading market for the notes does not develop, the market price and liquidity of the notes may be adversely affected. If the notes are traded, they may trade at a discount from the initial offering price, depending on prevailing interest rates, the market for similar securities, our operating performance and financial condition, general economic conditions and other factors.</w:t>
      </w:r>
    </w:p>
    <w:p>
      <w:pPr>
        <w:spacing w:after="0" w:line="138"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Price Stabilization and Short Positions</w:t>
      </w:r>
    </w:p>
    <w:p>
      <w:pPr>
        <w:spacing w:after="0" w:line="122" w:lineRule="exact"/>
        <w:rPr>
          <w:sz w:val="20"/>
          <w:szCs w:val="20"/>
          <w:color w:val="auto"/>
        </w:rPr>
      </w:pPr>
    </w:p>
    <w:p>
      <w:pPr>
        <w:ind w:left="1140" w:right="1299"/>
        <w:spacing w:after="0" w:line="260" w:lineRule="auto"/>
        <w:rPr>
          <w:sz w:val="20"/>
          <w:szCs w:val="20"/>
          <w:color w:val="auto"/>
        </w:rPr>
      </w:pPr>
      <w:r>
        <w:rPr>
          <w:rFonts w:ascii="Arial" w:cs="Arial" w:eastAsia="Arial" w:hAnsi="Arial"/>
          <w:sz w:val="14"/>
          <w:szCs w:val="14"/>
          <w:color w:val="auto"/>
        </w:rPr>
        <w:t>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82" w:lineRule="exact"/>
        <w:rPr>
          <w:sz w:val="20"/>
          <w:szCs w:val="20"/>
          <w:color w:val="auto"/>
        </w:rPr>
      </w:pPr>
    </w:p>
    <w:p>
      <w:pPr>
        <w:jc w:val="both"/>
        <w:ind w:left="1140" w:right="1319"/>
        <w:spacing w:after="0" w:line="245" w:lineRule="auto"/>
        <w:rPr>
          <w:sz w:val="20"/>
          <w:szCs w:val="20"/>
          <w:color w:val="auto"/>
        </w:rPr>
      </w:pPr>
      <w:r>
        <w:rPr>
          <w:rFonts w:ascii="Arial" w:cs="Arial" w:eastAsia="Arial" w:hAnsi="Arial"/>
          <w:sz w:val="15"/>
          <w:szCs w:val="15"/>
          <w:color w:val="auto"/>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w:t>
      </w:r>
    </w:p>
    <w:p>
      <w:pPr>
        <w:spacing w:after="0" w:line="91" w:lineRule="exact"/>
        <w:rPr>
          <w:sz w:val="20"/>
          <w:szCs w:val="20"/>
          <w:color w:val="auto"/>
        </w:rPr>
      </w:pPr>
    </w:p>
    <w:p>
      <w:pPr>
        <w:ind w:left="1140" w:right="1439"/>
        <w:spacing w:after="0" w:line="245" w:lineRule="auto"/>
        <w:rPr>
          <w:sz w:val="20"/>
          <w:szCs w:val="20"/>
          <w:color w:val="auto"/>
        </w:rPr>
      </w:pPr>
      <w:r>
        <w:rPr>
          <w:rFonts w:ascii="Arial" w:cs="Arial" w:eastAsia="Arial" w:hAnsi="Arial"/>
          <w:sz w:val="15"/>
          <w:szCs w:val="15"/>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138"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 Sales of Similar Securities</w:t>
      </w:r>
    </w:p>
    <w:p>
      <w:pPr>
        <w:spacing w:after="0" w:line="122" w:lineRule="exact"/>
        <w:rPr>
          <w:sz w:val="20"/>
          <w:szCs w:val="20"/>
          <w:color w:val="auto"/>
        </w:rPr>
      </w:pPr>
    </w:p>
    <w:p>
      <w:pPr>
        <w:ind w:left="1140" w:right="1239"/>
        <w:spacing w:after="0" w:line="245" w:lineRule="auto"/>
        <w:rPr>
          <w:sz w:val="20"/>
          <w:szCs w:val="20"/>
          <w:color w:val="auto"/>
        </w:rPr>
      </w:pPr>
      <w:r>
        <w:rPr>
          <w:rFonts w:ascii="Arial" w:cs="Arial" w:eastAsia="Arial" w:hAnsi="Arial"/>
          <w:sz w:val="15"/>
          <w:szCs w:val="15"/>
          <w:color w:val="auto"/>
        </w:rPr>
        <w:t>We have agreed that we will not, until the closing date, without first obtaining the prior written consent of the representatives, offer, sell, contract to sell or otherwise dispose of any debt securities of the Company or warrants to purchase debt securities of the Company, except for the notes sold to the underwriters pursuant to the underwriting agreement.</w:t>
      </w:r>
    </w:p>
    <w:p>
      <w:pPr>
        <w:spacing w:after="0" w:line="13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Other Relationships</w:t>
      </w:r>
    </w:p>
    <w:p>
      <w:pPr>
        <w:spacing w:after="0" w:line="133" w:lineRule="exact"/>
        <w:rPr>
          <w:sz w:val="20"/>
          <w:szCs w:val="20"/>
          <w:color w:val="auto"/>
        </w:rPr>
      </w:pPr>
    </w:p>
    <w:p>
      <w:pPr>
        <w:ind w:left="1140" w:right="1179"/>
        <w:spacing w:after="0" w:line="245" w:lineRule="auto"/>
        <w:rPr>
          <w:sz w:val="20"/>
          <w:szCs w:val="20"/>
          <w:color w:val="auto"/>
        </w:rPr>
      </w:pPr>
      <w:r>
        <w:rPr>
          <w:rFonts w:ascii="Arial" w:cs="Arial" w:eastAsia="Arial" w:hAnsi="Arial"/>
          <w:sz w:val="15"/>
          <w:szCs w:val="15"/>
          <w:color w:val="auto"/>
        </w:rPr>
        <w:t>Certain of the underwriters and their affiliates have in the past provided, and may in the future provide, investment banking, commercial banking, derivative transactions, financial advisory services and lending services to us and our affiliates in the ordinary course of business for which they have received or will receive customary fees and reimbursement of expenses.</w:t>
      </w:r>
    </w:p>
    <w:p>
      <w:pPr>
        <w:spacing w:after="0" w:line="91" w:lineRule="exact"/>
        <w:rPr>
          <w:sz w:val="20"/>
          <w:szCs w:val="20"/>
          <w:color w:val="auto"/>
        </w:rPr>
      </w:pPr>
    </w:p>
    <w:p>
      <w:pPr>
        <w:ind w:left="1140" w:right="1179"/>
        <w:spacing w:after="0" w:line="255" w:lineRule="auto"/>
        <w:rPr>
          <w:sz w:val="20"/>
          <w:szCs w:val="20"/>
          <w:color w:val="auto"/>
        </w:rPr>
      </w:pPr>
      <w:r>
        <w:rPr>
          <w:rFonts w:ascii="Arial" w:cs="Arial" w:eastAsia="Arial" w:hAnsi="Arial"/>
          <w:sz w:val="14"/>
          <w:szCs w:val="14"/>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89" w:lineRule="exact"/>
        <w:rPr>
          <w:sz w:val="20"/>
          <w:szCs w:val="20"/>
          <w:color w:val="auto"/>
        </w:rPr>
      </w:pPr>
    </w:p>
    <w:p>
      <w:pPr>
        <w:jc w:val="both"/>
        <w:ind w:left="1140" w:right="1239"/>
        <w:spacing w:after="0" w:line="252" w:lineRule="auto"/>
        <w:rPr>
          <w:sz w:val="20"/>
          <w:szCs w:val="20"/>
          <w:color w:val="auto"/>
        </w:rPr>
      </w:pPr>
      <w:r>
        <w:rPr>
          <w:rFonts w:ascii="Arial" w:cs="Arial" w:eastAsia="Arial" w:hAnsi="Arial"/>
          <w:sz w:val="15"/>
          <w:szCs w:val="15"/>
          <w:color w:val="auto"/>
        </w:rPr>
        <w:t>In addition, affiliates of certain underwriters are holders of our debt, including our 2026 notes, and upon application of the net proceeds of this offering to redeem such notes, such underwriters or their affiliates will receive a portion of the net proceeds of this offering.</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5" w:name="page46"/>
    <w:bookmarkEnd w:id="4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59"/>
        <w:spacing w:after="0" w:line="239" w:lineRule="auto"/>
        <w:rPr>
          <w:sz w:val="20"/>
          <w:szCs w:val="20"/>
          <w:color w:val="auto"/>
        </w:rPr>
      </w:pPr>
      <w:r>
        <w:rPr>
          <w:rFonts w:ascii="Arial" w:cs="Arial" w:eastAsia="Arial" w:hAnsi="Arial"/>
          <w:sz w:val="15"/>
          <w:szCs w:val="15"/>
          <w:color w:val="auto"/>
        </w:rPr>
        <w:t>We expect that delivery of the notes will be made to investors on or about                     , 2025, which will be the third business day following the date of this prospectus supplement (such settlement being referred to as T+3). Under Rule 15c6-1 under the Securities Exchange Act of 1934, as amended, trades in the secondary market are required to settle in one business day, unless the parties to any such trade expressly agree otherwise. Accordingly, purchasers who wish to trade notes more than one business day prior to                     , 2025 will be required, by virtue of the fact that the notes initially settle in T+3, to specify an alternate settlement arrangement to prevent a failed settlement. Purchasers of the notes who wish to trade the notes more than one business day prior to                     , 2025 should consult their advisors.</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Notice to Prospective Investors in Canada</w:t>
      </w:r>
    </w:p>
    <w:p>
      <w:pPr>
        <w:spacing w:after="0" w:line="133" w:lineRule="exact"/>
        <w:rPr>
          <w:sz w:val="20"/>
          <w:szCs w:val="20"/>
          <w:color w:val="auto"/>
        </w:rPr>
      </w:pPr>
    </w:p>
    <w:p>
      <w:pPr>
        <w:ind w:left="1140" w:right="1259"/>
        <w:spacing w:after="0" w:line="251" w:lineRule="auto"/>
        <w:rPr>
          <w:sz w:val="20"/>
          <w:szCs w:val="20"/>
          <w:color w:val="auto"/>
        </w:rPr>
      </w:pPr>
      <w:r>
        <w:rPr>
          <w:rFonts w:ascii="Arial" w:cs="Arial" w:eastAsia="Arial" w:hAnsi="Arial"/>
          <w:sz w:val="15"/>
          <w:szCs w:val="15"/>
          <w:color w:val="auto"/>
        </w:rPr>
        <w:t>The notes offered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 must be made in accordance with an exemption from, or in a transaction not subject to, the prospectus requirements of applicable securities laws.</w:t>
      </w:r>
    </w:p>
    <w:p>
      <w:pPr>
        <w:spacing w:after="0" w:line="88" w:lineRule="exact"/>
        <w:rPr>
          <w:sz w:val="20"/>
          <w:szCs w:val="20"/>
          <w:color w:val="auto"/>
        </w:rPr>
      </w:pPr>
    </w:p>
    <w:p>
      <w:pPr>
        <w:ind w:left="1140" w:right="1179"/>
        <w:spacing w:after="0" w:line="250"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0" w:lineRule="exact"/>
        <w:rPr>
          <w:sz w:val="20"/>
          <w:szCs w:val="20"/>
          <w:color w:val="auto"/>
        </w:rPr>
      </w:pPr>
    </w:p>
    <w:p>
      <w:pPr>
        <w:ind w:left="1140" w:right="1759"/>
        <w:spacing w:after="0" w:line="260" w:lineRule="auto"/>
        <w:rPr>
          <w:sz w:val="20"/>
          <w:szCs w:val="20"/>
          <w:color w:val="auto"/>
        </w:rPr>
      </w:pPr>
      <w:r>
        <w:rPr>
          <w:rFonts w:ascii="Arial" w:cs="Arial" w:eastAsia="Arial" w:hAnsi="Arial"/>
          <w:sz w:val="15"/>
          <w:szCs w:val="15"/>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3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Prohibition of Sales to EEA Retail Investors</w:t>
      </w:r>
    </w:p>
    <w:p>
      <w:pPr>
        <w:spacing w:after="0" w:line="122" w:lineRule="exact"/>
        <w:rPr>
          <w:sz w:val="20"/>
          <w:szCs w:val="20"/>
          <w:color w:val="auto"/>
        </w:rPr>
      </w:pPr>
    </w:p>
    <w:p>
      <w:pPr>
        <w:ind w:left="1140" w:right="1219"/>
        <w:spacing w:after="0" w:line="266" w:lineRule="auto"/>
        <w:rPr>
          <w:sz w:val="20"/>
          <w:szCs w:val="20"/>
          <w:color w:val="auto"/>
        </w:rPr>
      </w:pPr>
      <w:r>
        <w:rPr>
          <w:rFonts w:ascii="Arial" w:cs="Arial" w:eastAsia="Arial" w:hAnsi="Arial"/>
          <w:sz w:val="14"/>
          <w:szCs w:val="14"/>
          <w:color w:val="auto"/>
        </w:rPr>
        <w:t>The notes are not intended to be offered, sold or otherwise made available to and should not be offered, sold or otherwise made available to any retail investor in the European Economic Area (the “EEA”) or in the United Kingdom (“UK”).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w:t>
      </w:r>
    </w:p>
    <w:p>
      <w:pPr>
        <w:spacing w:after="0" w:line="3" w:lineRule="exact"/>
        <w:rPr>
          <w:sz w:val="20"/>
          <w:szCs w:val="20"/>
          <w:color w:val="auto"/>
        </w:rPr>
      </w:pPr>
    </w:p>
    <w:p>
      <w:pPr>
        <w:ind w:left="1140" w:right="1179" w:firstLine="8"/>
        <w:spacing w:after="0" w:line="246" w:lineRule="auto"/>
        <w:tabs>
          <w:tab w:leader="none" w:pos="1437" w:val="left"/>
        </w:tabs>
        <w:numPr>
          <w:ilvl w:val="0"/>
          <w:numId w:val="38"/>
        </w:numPr>
        <w:rPr>
          <w:rFonts w:ascii="Arial" w:cs="Arial" w:eastAsia="Arial" w:hAnsi="Arial"/>
          <w:sz w:val="15"/>
          <w:szCs w:val="15"/>
          <w:color w:val="auto"/>
        </w:rPr>
      </w:pPr>
      <w:r>
        <w:rPr>
          <w:rFonts w:ascii="Arial" w:cs="Arial" w:eastAsia="Arial" w:hAnsi="Arial"/>
          <w:sz w:val="15"/>
          <w:szCs w:val="15"/>
          <w:color w:val="auto"/>
        </w:rPr>
        <w:t>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or in the UK has been prepared and therefore offering or selling the notes or otherwise making them available to any retail investor in the EEA or in the UK may be unlawful under the PRIIPs Regulation. This prospectus supplement has been prepared on the basis that any offer of notes in any member state of the EEA or in the UK will be made pursuant to an exemption under the Prospectus Regulation from the requirement to publish a prospectus for offers of notes. This prospectus supplement and the underlying prospectus are not a prospectus for the purposes of the Prospectus Regulation.</w:t>
      </w:r>
    </w:p>
    <w:p>
      <w:pPr>
        <w:spacing w:after="0" w:line="106" w:lineRule="exact"/>
        <w:rPr>
          <w:sz w:val="20"/>
          <w:szCs w:val="20"/>
          <w:color w:val="auto"/>
        </w:rPr>
      </w:pPr>
    </w:p>
    <w:p>
      <w:pPr>
        <w:ind w:left="1140" w:right="1479"/>
        <w:spacing w:after="0" w:line="274" w:lineRule="auto"/>
        <w:rPr>
          <w:sz w:val="20"/>
          <w:szCs w:val="20"/>
          <w:color w:val="auto"/>
        </w:rPr>
      </w:pPr>
      <w:r>
        <w:rPr>
          <w:rFonts w:ascii="Arial" w:cs="Arial" w:eastAsia="Arial" w:hAnsi="Arial"/>
          <w:sz w:val="15"/>
          <w:szCs w:val="15"/>
          <w:color w:val="auto"/>
        </w:rPr>
        <w:t>This European Economic Area selling restriction is in addition to any other selling restrictions set out below.</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Prohibition of Sales to UK Retail Investors</w:t>
      </w:r>
    </w:p>
    <w:p>
      <w:pPr>
        <w:spacing w:after="0" w:line="122" w:lineRule="exact"/>
        <w:rPr>
          <w:sz w:val="20"/>
          <w:szCs w:val="20"/>
          <w:color w:val="auto"/>
        </w:rPr>
      </w:pPr>
    </w:p>
    <w:p>
      <w:pPr>
        <w:ind w:left="1140" w:right="1219"/>
        <w:spacing w:after="0" w:line="274" w:lineRule="auto"/>
        <w:rPr>
          <w:sz w:val="20"/>
          <w:szCs w:val="20"/>
          <w:color w:val="auto"/>
        </w:rPr>
      </w:pPr>
      <w:r>
        <w:rPr>
          <w:rFonts w:ascii="Arial" w:cs="Arial" w:eastAsia="Arial" w:hAnsi="Arial"/>
          <w:sz w:val="15"/>
          <w:szCs w:val="15"/>
          <w:color w:val="auto"/>
        </w:rPr>
        <w:t>The notes are not intended to be offered, sold or otherwise made available to and should not be offered, sold or otherwise made available to any retail investor in the United Kingdom (the “UK”). For</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6" w:name="page47"/>
    <w:bookmarkEnd w:id="4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66" w:lineRule="auto"/>
        <w:rPr>
          <w:sz w:val="20"/>
          <w:szCs w:val="20"/>
          <w:color w:val="auto"/>
        </w:rPr>
      </w:pPr>
      <w:r>
        <w:rPr>
          <w:rFonts w:ascii="Arial" w:cs="Arial" w:eastAsia="Arial" w:hAnsi="Arial"/>
          <w:sz w:val="14"/>
          <w:szCs w:val="14"/>
          <w:color w:val="auto"/>
        </w:rPr>
        <w:t>these purposes, a retail investor means a person who is one (or more) of: (i) a retail client, as defined in point (8) of Article 2 of Regulation (EU) No 2017/565 as it forms part of domestic law by virtue of the European Union (Withdrawal) Act 2018 (the “EUWA”);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 1129 as it forms part of domestic law by virtue of the EUWA (the “UK Prospectus Regulation”).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Notice to Prospective Investors in Hong Kong</w:t>
      </w:r>
    </w:p>
    <w:p>
      <w:pPr>
        <w:spacing w:after="0" w:line="133" w:lineRule="exact"/>
        <w:rPr>
          <w:sz w:val="20"/>
          <w:szCs w:val="20"/>
          <w:color w:val="auto"/>
        </w:rPr>
      </w:pPr>
    </w:p>
    <w:p>
      <w:pPr>
        <w:ind w:left="1140" w:right="1179"/>
        <w:spacing w:after="0" w:line="248" w:lineRule="auto"/>
        <w:rPr>
          <w:sz w:val="20"/>
          <w:szCs w:val="20"/>
          <w:color w:val="auto"/>
        </w:rPr>
      </w:pPr>
      <w:r>
        <w:rPr>
          <w:rFonts w:ascii="Arial" w:cs="Arial" w:eastAsia="Arial" w:hAnsi="Arial"/>
          <w:sz w:val="15"/>
          <w:szCs w:val="15"/>
          <w:color w:val="auto"/>
        </w:rPr>
        <w:t>The notes may not be offered or sold in Hong Kong by means of any document,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 no advertisement, invitation or document relating to the notes may be issued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14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Notice to Prospective Investors in Japan</w:t>
      </w:r>
    </w:p>
    <w:p>
      <w:pPr>
        <w:spacing w:after="0" w:line="122" w:lineRule="exact"/>
        <w:rPr>
          <w:sz w:val="20"/>
          <w:szCs w:val="20"/>
          <w:color w:val="auto"/>
        </w:rPr>
      </w:pPr>
    </w:p>
    <w:p>
      <w:pPr>
        <w:ind w:left="1140" w:right="1219"/>
        <w:spacing w:after="0" w:line="248" w:lineRule="auto"/>
        <w:rPr>
          <w:sz w:val="20"/>
          <w:szCs w:val="20"/>
          <w:color w:val="auto"/>
        </w:rPr>
      </w:pPr>
      <w:r>
        <w:rPr>
          <w:rFonts w:ascii="Arial" w:cs="Arial" w:eastAsia="Arial" w:hAnsi="Arial"/>
          <w:sz w:val="15"/>
          <w:szCs w:val="15"/>
          <w:color w:val="auto"/>
        </w:rPr>
        <w:t>The notes have not been and will not be registered under the Financial Instruments and Exchange Law of Japan (Law No. 25 of 1948 of Japan, as amended, the “FIEL”). In respect of the solicitation relating to the notes in Japan, no securities registration statement under Article 4, Paragraph 1 of the FIEL has been filed since this solicitation constitutes a “solicitation targeting QIIs” as defined in Article 23-13, Paragraph 1 of the FIEL (the “solicitation targeting QIIs”). The notes may not be offered or sold, directly or indirectly, in Japan or to, or for the benefit of, any Resident of Japan, or to others for reoffering or resale, directly or indirectly, in Japan or to, or for the benefit of, any Resident of Japan, except through a solicitation constituting a solicitation targeting QIIs, which will be exempt from the registration requirements of the FIEL, and otherwise in compliance with, the FIEL and any other applicable laws, regulations and ministerial guidelines of Japan in effect at the relevant time.</w:t>
      </w:r>
    </w:p>
    <w:p>
      <w:pPr>
        <w:spacing w:after="0" w:line="105" w:lineRule="exact"/>
        <w:rPr>
          <w:sz w:val="20"/>
          <w:szCs w:val="20"/>
          <w:color w:val="auto"/>
        </w:rPr>
      </w:pPr>
    </w:p>
    <w:p>
      <w:pPr>
        <w:ind w:left="1140" w:right="1339"/>
        <w:spacing w:after="0" w:line="274" w:lineRule="auto"/>
        <w:rPr>
          <w:sz w:val="20"/>
          <w:szCs w:val="20"/>
          <w:color w:val="auto"/>
        </w:rPr>
      </w:pPr>
      <w:r>
        <w:rPr>
          <w:rFonts w:ascii="Arial" w:cs="Arial" w:eastAsia="Arial" w:hAnsi="Arial"/>
          <w:sz w:val="15"/>
          <w:szCs w:val="15"/>
          <w:color w:val="auto"/>
        </w:rPr>
        <w:t>Any investor desiring to acquire the notes must be aware that the notes may not be Transferred to any other person unless such person is a QII.</w:t>
      </w:r>
    </w:p>
    <w:p>
      <w:pPr>
        <w:spacing w:after="0" w:line="7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In this section:</w:t>
      </w:r>
    </w:p>
    <w:p>
      <w:pPr>
        <w:spacing w:after="0" w:line="126" w:lineRule="exact"/>
        <w:rPr>
          <w:sz w:val="20"/>
          <w:szCs w:val="20"/>
          <w:color w:val="auto"/>
        </w:rPr>
      </w:pPr>
    </w:p>
    <w:p>
      <w:pPr>
        <w:ind w:left="1140" w:right="1259"/>
        <w:spacing w:after="0" w:line="260" w:lineRule="auto"/>
        <w:rPr>
          <w:sz w:val="20"/>
          <w:szCs w:val="20"/>
          <w:color w:val="auto"/>
        </w:rPr>
      </w:pPr>
      <w:r>
        <w:rPr>
          <w:rFonts w:ascii="Arial" w:cs="Arial" w:eastAsia="Arial" w:hAnsi="Arial"/>
          <w:sz w:val="15"/>
          <w:szCs w:val="15"/>
          <w:color w:val="auto"/>
        </w:rPr>
        <w:t>“QII” means a qualified institutional investor as defined in the Cabinet Ordinance Concerning Definitions under Article 2 of the Financial Instruments and Exchange Law of Japan (Ordinance No. 14 of 1993 of the Ministry of Finance of Japan, as amended).</w:t>
      </w:r>
    </w:p>
    <w:p>
      <w:pPr>
        <w:spacing w:after="0" w:line="91" w:lineRule="exact"/>
        <w:rPr>
          <w:sz w:val="20"/>
          <w:szCs w:val="20"/>
          <w:color w:val="auto"/>
        </w:rPr>
      </w:pPr>
    </w:p>
    <w:p>
      <w:pPr>
        <w:jc w:val="both"/>
        <w:ind w:left="1140" w:right="1259"/>
        <w:spacing w:after="0" w:line="260" w:lineRule="auto"/>
        <w:rPr>
          <w:sz w:val="20"/>
          <w:szCs w:val="20"/>
          <w:color w:val="auto"/>
        </w:rPr>
      </w:pPr>
      <w:r>
        <w:rPr>
          <w:rFonts w:ascii="Arial" w:cs="Arial" w:eastAsia="Arial" w:hAnsi="Arial"/>
          <w:sz w:val="15"/>
          <w:szCs w:val="15"/>
          <w:color w:val="auto"/>
        </w:rPr>
        <w:t>“Transfer” means a sale, exchange, transfer, assignment, pledge, hypothecation, encumbrance or other disposition of all or any portion of notes, either directly or indirectly, to another person. When used as a verb, the terms “Transfer” and “Transferred” shall have correlative meanings.</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7" w:name="page48"/>
    <w:bookmarkEnd w:id="4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619"/>
        <w:spacing w:after="0" w:line="274" w:lineRule="auto"/>
        <w:rPr>
          <w:sz w:val="20"/>
          <w:szCs w:val="20"/>
          <w:color w:val="auto"/>
        </w:rPr>
      </w:pPr>
      <w:r>
        <w:rPr>
          <w:rFonts w:ascii="Arial" w:cs="Arial" w:eastAsia="Arial" w:hAnsi="Arial"/>
          <w:sz w:val="15"/>
          <w:szCs w:val="15"/>
          <w:color w:val="auto"/>
        </w:rPr>
        <w:t>“Resident of Japan” means any person resident in Japan, including any corporation or other entity organized under the laws of Japan.</w:t>
      </w:r>
    </w:p>
    <w:p>
      <w:pPr>
        <w:spacing w:after="0" w:line="116"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Notice to Prospective Investors in Singapore</w:t>
      </w:r>
    </w:p>
    <w:p>
      <w:pPr>
        <w:spacing w:after="0" w:line="122" w:lineRule="exact"/>
        <w:rPr>
          <w:sz w:val="20"/>
          <w:szCs w:val="20"/>
          <w:color w:val="auto"/>
        </w:rPr>
      </w:pPr>
    </w:p>
    <w:p>
      <w:pPr>
        <w:ind w:left="1140" w:right="1479"/>
        <w:spacing w:after="0" w:line="267" w:lineRule="auto"/>
        <w:rPr>
          <w:sz w:val="20"/>
          <w:szCs w:val="20"/>
          <w:color w:val="auto"/>
        </w:rPr>
      </w:pPr>
      <w:r>
        <w:rPr>
          <w:rFonts w:ascii="Arial" w:cs="Arial" w:eastAsia="Arial" w:hAnsi="Arial"/>
          <w:sz w:val="14"/>
          <w:szCs w:val="14"/>
          <w:color w:val="auto"/>
        </w:rPr>
        <w:t>This prospectus supplement has not been registered as a prospectus with the Monetary Authority of Singapore. Accordingly, the notes may not be offered or sold or made the subject of an invitation for subscription or purchase, and this prospectus supplement or any other document or material in connection with the offer or sale, or invitation for subscription or purchase, of the notes may not be circulated or distributed, whether directly or indirectly, to any person in Singapore other than:</w:t>
      </w:r>
    </w:p>
    <w:p>
      <w:pPr>
        <w:spacing w:after="0" w:line="65" w:lineRule="exact"/>
        <w:rPr>
          <w:sz w:val="20"/>
          <w:szCs w:val="20"/>
          <w:color w:val="auto"/>
        </w:rPr>
      </w:pPr>
    </w:p>
    <w:p>
      <w:pPr>
        <w:ind w:left="1740" w:hanging="298"/>
        <w:spacing w:after="0"/>
        <w:tabs>
          <w:tab w:leader="none" w:pos="17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to an institutional investor (as defined in Section 4A of the Securities and Futures Act</w:t>
      </w:r>
    </w:p>
    <w:p>
      <w:pPr>
        <w:spacing w:after="0" w:line="18" w:lineRule="exact"/>
        <w:rPr>
          <w:rFonts w:ascii="Arial" w:cs="Arial" w:eastAsia="Arial" w:hAnsi="Arial"/>
          <w:sz w:val="15"/>
          <w:szCs w:val="15"/>
          <w:color w:val="auto"/>
        </w:rPr>
      </w:pPr>
    </w:p>
    <w:p>
      <w:pPr>
        <w:ind w:left="1740" w:right="1219"/>
        <w:spacing w:after="0" w:line="255" w:lineRule="auto"/>
        <w:rPr>
          <w:rFonts w:ascii="Arial" w:cs="Arial" w:eastAsia="Arial" w:hAnsi="Arial"/>
          <w:sz w:val="15"/>
          <w:szCs w:val="15"/>
          <w:color w:val="auto"/>
        </w:rPr>
      </w:pPr>
      <w:r>
        <w:rPr>
          <w:rFonts w:ascii="Arial" w:cs="Arial" w:eastAsia="Arial" w:hAnsi="Arial"/>
          <w:sz w:val="15"/>
          <w:szCs w:val="15"/>
          <w:color w:val="auto"/>
        </w:rPr>
        <w:t>(Chapter 289) of Singapore, as modified or amended from time to time (the “SFA”)) pursuant to Section 274 of the SFA;</w:t>
      </w:r>
    </w:p>
    <w:p>
      <w:pPr>
        <w:spacing w:after="0" w:line="72" w:lineRule="exact"/>
        <w:rPr>
          <w:rFonts w:ascii="Arial" w:cs="Arial" w:eastAsia="Arial" w:hAnsi="Arial"/>
          <w:sz w:val="15"/>
          <w:szCs w:val="15"/>
          <w:color w:val="auto"/>
        </w:rPr>
      </w:pPr>
    </w:p>
    <w:p>
      <w:pPr>
        <w:ind w:left="1740" w:right="1199" w:hanging="298"/>
        <w:spacing w:after="0" w:line="260" w:lineRule="auto"/>
        <w:tabs>
          <w:tab w:leader="none" w:pos="17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79" w:lineRule="exact"/>
        <w:rPr>
          <w:rFonts w:ascii="Arial" w:cs="Arial" w:eastAsia="Arial" w:hAnsi="Arial"/>
          <w:sz w:val="15"/>
          <w:szCs w:val="15"/>
          <w:color w:val="auto"/>
        </w:rPr>
      </w:pPr>
    </w:p>
    <w:p>
      <w:pPr>
        <w:ind w:left="1740" w:right="1259" w:hanging="298"/>
        <w:spacing w:after="0" w:line="274" w:lineRule="auto"/>
        <w:tabs>
          <w:tab w:leader="none" w:pos="17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otherwise pursuant to, and in accordance with the conditions of, any other applicable provision of the SFA.</w:t>
      </w:r>
    </w:p>
    <w:p>
      <w:pPr>
        <w:spacing w:after="0" w:line="70" w:lineRule="exact"/>
        <w:rPr>
          <w:sz w:val="20"/>
          <w:szCs w:val="20"/>
          <w:color w:val="auto"/>
        </w:rPr>
      </w:pPr>
    </w:p>
    <w:p>
      <w:pPr>
        <w:ind w:left="1140" w:right="1239"/>
        <w:spacing w:after="0" w:line="274" w:lineRule="auto"/>
        <w:rPr>
          <w:sz w:val="20"/>
          <w:szCs w:val="20"/>
          <w:color w:val="auto"/>
        </w:rPr>
      </w:pPr>
      <w:r>
        <w:rPr>
          <w:rFonts w:ascii="Arial" w:cs="Arial" w:eastAsia="Arial" w:hAnsi="Arial"/>
          <w:sz w:val="15"/>
          <w:szCs w:val="15"/>
          <w:color w:val="auto"/>
        </w:rPr>
        <w:t>Where the notes are subscribed or purchased under Section 275 of the SFA by a relevant person which is:</w:t>
      </w:r>
    </w:p>
    <w:p>
      <w:pPr>
        <w:spacing w:after="0" w:line="59" w:lineRule="exact"/>
        <w:rPr>
          <w:sz w:val="20"/>
          <w:szCs w:val="20"/>
          <w:color w:val="auto"/>
        </w:rPr>
      </w:pPr>
    </w:p>
    <w:p>
      <w:pPr>
        <w:ind w:left="1740" w:right="1239" w:hanging="298"/>
        <w:spacing w:after="0" w:line="260" w:lineRule="auto"/>
        <w:tabs>
          <w:tab w:leader="none" w:pos="17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8" w:lineRule="exact"/>
        <w:rPr>
          <w:rFonts w:ascii="Arial" w:cs="Arial" w:eastAsia="Arial" w:hAnsi="Arial"/>
          <w:sz w:val="15"/>
          <w:szCs w:val="15"/>
          <w:color w:val="auto"/>
        </w:rPr>
      </w:pPr>
    </w:p>
    <w:p>
      <w:pPr>
        <w:ind w:left="1740" w:right="1479" w:hanging="298"/>
        <w:spacing w:after="0" w:line="311" w:lineRule="auto"/>
        <w:tabs>
          <w:tab w:leader="none" w:pos="17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 trust (where the trustee is not an accredited investor) whose sole purpose is to hold investments and each beneficiary of the trust is an individual who is an accredited investor,</w:t>
      </w:r>
    </w:p>
    <w:p>
      <w:pPr>
        <w:spacing w:after="0" w:line="46" w:lineRule="exact"/>
        <w:rPr>
          <w:rFonts w:ascii="Arial" w:cs="Arial" w:eastAsia="Arial" w:hAnsi="Arial"/>
          <w:sz w:val="14"/>
          <w:szCs w:val="14"/>
          <w:color w:val="auto"/>
        </w:rPr>
      </w:pPr>
    </w:p>
    <w:p>
      <w:pPr>
        <w:ind w:left="1740" w:right="1239" w:hanging="298"/>
        <w:spacing w:after="0" w:line="255" w:lineRule="auto"/>
        <w:tabs>
          <w:tab w:leader="none" w:pos="17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72" w:lineRule="exact"/>
        <w:rPr>
          <w:rFonts w:ascii="Arial" w:cs="Arial" w:eastAsia="Arial" w:hAnsi="Arial"/>
          <w:sz w:val="15"/>
          <w:szCs w:val="15"/>
          <w:color w:val="auto"/>
        </w:rPr>
      </w:pPr>
    </w:p>
    <w:p>
      <w:pPr>
        <w:ind w:left="2040" w:right="1419" w:hanging="303"/>
        <w:spacing w:after="0" w:line="274" w:lineRule="auto"/>
        <w:tabs>
          <w:tab w:leader="none" w:pos="2040" w:val="left"/>
        </w:tabs>
        <w:numPr>
          <w:ilvl w:val="1"/>
          <w:numId w:val="40"/>
        </w:numPr>
        <w:rPr>
          <w:rFonts w:ascii="Arial" w:cs="Arial" w:eastAsia="Arial" w:hAnsi="Arial"/>
          <w:sz w:val="15"/>
          <w:szCs w:val="15"/>
          <w:color w:val="auto"/>
        </w:rPr>
      </w:pPr>
      <w:r>
        <w:rPr>
          <w:rFonts w:ascii="Arial" w:cs="Arial" w:eastAsia="Arial" w:hAnsi="Arial"/>
          <w:sz w:val="15"/>
          <w:szCs w:val="15"/>
          <w:color w:val="auto"/>
        </w:rPr>
        <w:t>to an institutional investor or to a relevant person, or to any person arising from an offer referred to in Section 275(1A) or Section 276(4)(i)(B) of the SFA;</w:t>
      </w:r>
    </w:p>
    <w:p>
      <w:pPr>
        <w:spacing w:after="0" w:line="69" w:lineRule="exact"/>
        <w:rPr>
          <w:rFonts w:ascii="Arial" w:cs="Arial" w:eastAsia="Arial" w:hAnsi="Arial"/>
          <w:sz w:val="15"/>
          <w:szCs w:val="15"/>
          <w:color w:val="auto"/>
        </w:rPr>
      </w:pPr>
    </w:p>
    <w:p>
      <w:pPr>
        <w:ind w:left="2040" w:hanging="303"/>
        <w:spacing w:after="0"/>
        <w:tabs>
          <w:tab w:leader="none" w:pos="2040" w:val="left"/>
        </w:tabs>
        <w:numPr>
          <w:ilvl w:val="1"/>
          <w:numId w:val="40"/>
        </w:numPr>
        <w:rPr>
          <w:rFonts w:ascii="Arial" w:cs="Arial" w:eastAsia="Arial" w:hAnsi="Arial"/>
          <w:sz w:val="15"/>
          <w:szCs w:val="15"/>
          <w:color w:val="auto"/>
        </w:rPr>
      </w:pPr>
      <w:r>
        <w:rPr>
          <w:rFonts w:ascii="Arial" w:cs="Arial" w:eastAsia="Arial" w:hAnsi="Arial"/>
          <w:sz w:val="15"/>
          <w:szCs w:val="15"/>
          <w:color w:val="auto"/>
        </w:rPr>
        <w:t>where no consideration is or will be given for the transfer;</w:t>
      </w:r>
    </w:p>
    <w:p>
      <w:pPr>
        <w:spacing w:after="0" w:line="114" w:lineRule="exact"/>
        <w:rPr>
          <w:rFonts w:ascii="Arial" w:cs="Arial" w:eastAsia="Arial" w:hAnsi="Arial"/>
          <w:sz w:val="15"/>
          <w:szCs w:val="15"/>
          <w:color w:val="auto"/>
        </w:rPr>
      </w:pPr>
    </w:p>
    <w:p>
      <w:pPr>
        <w:ind w:left="2040" w:hanging="303"/>
        <w:spacing w:after="0"/>
        <w:tabs>
          <w:tab w:leader="none" w:pos="2040" w:val="left"/>
        </w:tabs>
        <w:numPr>
          <w:ilvl w:val="1"/>
          <w:numId w:val="40"/>
        </w:numPr>
        <w:rPr>
          <w:rFonts w:ascii="Arial" w:cs="Arial" w:eastAsia="Arial" w:hAnsi="Arial"/>
          <w:sz w:val="15"/>
          <w:szCs w:val="15"/>
          <w:color w:val="auto"/>
        </w:rPr>
      </w:pPr>
      <w:r>
        <w:rPr>
          <w:rFonts w:ascii="Arial" w:cs="Arial" w:eastAsia="Arial" w:hAnsi="Arial"/>
          <w:sz w:val="15"/>
          <w:szCs w:val="15"/>
          <w:color w:val="auto"/>
        </w:rPr>
        <w:t>where the transfer is by operation of law;</w:t>
      </w:r>
    </w:p>
    <w:p>
      <w:pPr>
        <w:spacing w:after="0" w:line="103" w:lineRule="exact"/>
        <w:rPr>
          <w:rFonts w:ascii="Arial" w:cs="Arial" w:eastAsia="Arial" w:hAnsi="Arial"/>
          <w:sz w:val="15"/>
          <w:szCs w:val="15"/>
          <w:color w:val="auto"/>
        </w:rPr>
      </w:pPr>
    </w:p>
    <w:p>
      <w:pPr>
        <w:ind w:left="2040" w:hanging="303"/>
        <w:spacing w:after="0"/>
        <w:tabs>
          <w:tab w:leader="none" w:pos="2040" w:val="left"/>
        </w:tabs>
        <w:numPr>
          <w:ilvl w:val="1"/>
          <w:numId w:val="40"/>
        </w:numPr>
        <w:rPr>
          <w:rFonts w:ascii="Arial" w:cs="Arial" w:eastAsia="Arial" w:hAnsi="Arial"/>
          <w:sz w:val="15"/>
          <w:szCs w:val="15"/>
          <w:color w:val="auto"/>
        </w:rPr>
      </w:pPr>
      <w:r>
        <w:rPr>
          <w:rFonts w:ascii="Arial" w:cs="Arial" w:eastAsia="Arial" w:hAnsi="Arial"/>
          <w:sz w:val="15"/>
          <w:szCs w:val="15"/>
          <w:color w:val="auto"/>
        </w:rPr>
        <w:t>as specified in Section 276(7) of the SFA; or</w:t>
      </w:r>
    </w:p>
    <w:p>
      <w:pPr>
        <w:spacing w:after="0" w:line="114" w:lineRule="exact"/>
        <w:rPr>
          <w:rFonts w:ascii="Arial" w:cs="Arial" w:eastAsia="Arial" w:hAnsi="Arial"/>
          <w:sz w:val="15"/>
          <w:szCs w:val="15"/>
          <w:color w:val="auto"/>
        </w:rPr>
      </w:pPr>
    </w:p>
    <w:p>
      <w:pPr>
        <w:ind w:left="2040" w:right="1639" w:hanging="303"/>
        <w:spacing w:after="0" w:line="311" w:lineRule="auto"/>
        <w:tabs>
          <w:tab w:leader="none" w:pos="2040" w:val="left"/>
        </w:tabs>
        <w:numPr>
          <w:ilvl w:val="1"/>
          <w:numId w:val="40"/>
        </w:numPr>
        <w:rPr>
          <w:rFonts w:ascii="Arial" w:cs="Arial" w:eastAsia="Arial" w:hAnsi="Arial"/>
          <w:sz w:val="14"/>
          <w:szCs w:val="14"/>
          <w:color w:val="auto"/>
        </w:rPr>
      </w:pPr>
      <w:r>
        <w:rPr>
          <w:rFonts w:ascii="Arial" w:cs="Arial" w:eastAsia="Arial" w:hAnsi="Arial"/>
          <w:sz w:val="14"/>
          <w:szCs w:val="14"/>
          <w:color w:val="auto"/>
        </w:rPr>
        <w:t>as specified in Regulation 37A of the Securities and Futures (Offers of Investments) (Securities and Securities-based Derivatives Contracts) Regulations 2018.</w:t>
      </w:r>
    </w:p>
    <w:p>
      <w:pPr>
        <w:spacing w:after="0" w:line="10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Singapore Securities and Futures Act Product Classification</w:t>
      </w:r>
    </w:p>
    <w:p>
      <w:pPr>
        <w:spacing w:after="0" w:line="122" w:lineRule="exact"/>
        <w:rPr>
          <w:sz w:val="20"/>
          <w:szCs w:val="20"/>
          <w:color w:val="auto"/>
        </w:rPr>
      </w:pPr>
    </w:p>
    <w:p>
      <w:pPr>
        <w:ind w:left="1140" w:right="1279"/>
        <w:spacing w:after="0" w:line="242" w:lineRule="auto"/>
        <w:rPr>
          <w:sz w:val="20"/>
          <w:szCs w:val="20"/>
          <w:color w:val="auto"/>
        </w:rPr>
      </w:pPr>
      <w:r>
        <w:rPr>
          <w:rFonts w:ascii="Arial" w:cs="Arial" w:eastAsia="Arial" w:hAnsi="Arial"/>
          <w:sz w:val="15"/>
          <w:szCs w:val="15"/>
          <w:color w:val="auto"/>
        </w:rPr>
        <w:t>In connection with Section 309B of the SFA and the CMP Regulations 2018, unless otherwise specified before an offer of notes, we have determined, and hereby notify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4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Notice to Prospective Investors in Switzerland</w:t>
      </w:r>
    </w:p>
    <w:p>
      <w:pPr>
        <w:spacing w:after="0" w:line="122" w:lineRule="exact"/>
        <w:rPr>
          <w:sz w:val="20"/>
          <w:szCs w:val="20"/>
          <w:color w:val="auto"/>
        </w:rPr>
      </w:pPr>
    </w:p>
    <w:p>
      <w:pPr>
        <w:ind w:left="1140" w:right="1219"/>
        <w:spacing w:after="0" w:line="274" w:lineRule="auto"/>
        <w:rPr>
          <w:sz w:val="20"/>
          <w:szCs w:val="20"/>
          <w:color w:val="auto"/>
        </w:rPr>
      </w:pPr>
      <w:r>
        <w:rPr>
          <w:rFonts w:ascii="Arial" w:cs="Arial" w:eastAsia="Arial" w:hAnsi="Arial"/>
          <w:sz w:val="15"/>
          <w:szCs w:val="15"/>
          <w:color w:val="auto"/>
        </w:rPr>
        <w:t>This document is not intended to constitute an offer or solicitation to purchase or invest in the notes. The notes may not be publicly offered, directly or indirectly, in Switzerland within the meaning of the</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8" w:name="page49"/>
    <w:bookmarkEnd w:id="4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39"/>
        <w:spacing w:after="0" w:line="252" w:lineRule="auto"/>
        <w:rPr>
          <w:sz w:val="20"/>
          <w:szCs w:val="20"/>
          <w:color w:val="auto"/>
        </w:rPr>
      </w:pPr>
      <w:r>
        <w:rPr>
          <w:rFonts w:ascii="Arial" w:cs="Arial" w:eastAsia="Arial" w:hAnsi="Arial"/>
          <w:sz w:val="15"/>
          <w:szCs w:val="15"/>
          <w:color w:val="auto"/>
        </w:rPr>
        <w:t>Swiss Financial Services Act (“FinSA”) and no application has or will be made to admit the notes to trading on any trading venue (exchange or multilateral trading facility) in Switzerland. Neither this document nor any other offering or marketing material relating to the notes constitutes a prospectus pursuant to the FinSA, and neither this document nor any other offering or marketing material relating to the notes may be publicly distributed or otherwise made publicly available in Switzerland.</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Notice to Prospective Investors in Taiwan</w:t>
      </w:r>
    </w:p>
    <w:p>
      <w:pPr>
        <w:spacing w:after="0" w:line="133" w:lineRule="exact"/>
        <w:rPr>
          <w:sz w:val="20"/>
          <w:szCs w:val="20"/>
          <w:color w:val="auto"/>
        </w:rPr>
      </w:pPr>
    </w:p>
    <w:p>
      <w:pPr>
        <w:ind w:left="1140" w:right="1199"/>
        <w:spacing w:after="0" w:line="248" w:lineRule="auto"/>
        <w:rPr>
          <w:sz w:val="20"/>
          <w:szCs w:val="20"/>
          <w:color w:val="auto"/>
        </w:rPr>
      </w:pPr>
      <w:r>
        <w:rPr>
          <w:rFonts w:ascii="Arial" w:cs="Arial" w:eastAsia="Arial" w:hAnsi="Arial"/>
          <w:sz w:val="15"/>
          <w:szCs w:val="15"/>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9" w:name="page50"/>
    <w:bookmarkEnd w:id="49"/>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VALIDITY OF SECURITIES</w:t>
      </w:r>
    </w:p>
    <w:p>
      <w:pPr>
        <w:spacing w:after="0" w:line="130" w:lineRule="exact"/>
        <w:rPr>
          <w:sz w:val="20"/>
          <w:szCs w:val="20"/>
          <w:color w:val="auto"/>
        </w:rPr>
      </w:pPr>
    </w:p>
    <w:p>
      <w:pPr>
        <w:ind w:left="1140" w:right="1419"/>
        <w:spacing w:after="0" w:line="260" w:lineRule="auto"/>
        <w:rPr>
          <w:sz w:val="20"/>
          <w:szCs w:val="20"/>
          <w:color w:val="auto"/>
        </w:rPr>
      </w:pPr>
      <w:r>
        <w:rPr>
          <w:rFonts w:ascii="Arial" w:cs="Arial" w:eastAsia="Arial" w:hAnsi="Arial"/>
          <w:sz w:val="15"/>
          <w:szCs w:val="15"/>
          <w:color w:val="auto"/>
        </w:rPr>
        <w:t>The legality of the notes offered hereby will be passed upon for Micron by Wilson Sonsini Goodrich &amp; Rosati, Professional Corporation, Palo Alto, California. The underwriters have been represented by Simpson Thacher &amp; Bartlett LLP, Palo Alto, California.</w:t>
      </w:r>
    </w:p>
    <w:p>
      <w:pPr>
        <w:spacing w:after="0" w:line="12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EXPERTS</w:t>
      </w:r>
    </w:p>
    <w:p>
      <w:pPr>
        <w:spacing w:after="0" w:line="130" w:lineRule="exact"/>
        <w:rPr>
          <w:sz w:val="20"/>
          <w:szCs w:val="20"/>
          <w:color w:val="auto"/>
        </w:rPr>
      </w:pPr>
    </w:p>
    <w:p>
      <w:pPr>
        <w:ind w:left="1140" w:right="1239"/>
        <w:spacing w:after="0" w:line="251" w:lineRule="auto"/>
        <w:rPr>
          <w:sz w:val="20"/>
          <w:szCs w:val="20"/>
          <w:color w:val="auto"/>
        </w:rPr>
      </w:pPr>
      <w:r>
        <w:rPr>
          <w:rFonts w:ascii="Arial" w:cs="Arial" w:eastAsia="Arial" w:hAnsi="Arial"/>
          <w:sz w:val="15"/>
          <w:szCs w:val="15"/>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August 29, 2024 have been so incorporated in reliance on the report of PricewaterhouseCoopers LLP, an independent registered public accounting firm, given on the authority of said firm as experts in auditing and accounting.</w:t>
      </w:r>
    </w:p>
    <w:p>
      <w:pPr>
        <w:spacing w:after="0" w:line="131" w:lineRule="exact"/>
        <w:rPr>
          <w:sz w:val="20"/>
          <w:szCs w:val="20"/>
          <w:color w:val="auto"/>
        </w:rPr>
      </w:pPr>
    </w:p>
    <w:p>
      <w:pPr>
        <w:ind w:left="1140" w:right="3339"/>
        <w:spacing w:after="0" w:line="274" w:lineRule="auto"/>
        <w:rPr>
          <w:sz w:val="20"/>
          <w:szCs w:val="20"/>
          <w:color w:val="auto"/>
        </w:rPr>
      </w:pPr>
      <w:r>
        <w:rPr>
          <w:rFonts w:ascii="Arial" w:cs="Arial" w:eastAsia="Arial" w:hAnsi="Arial"/>
          <w:sz w:val="32"/>
          <w:szCs w:val="32"/>
          <w:b w:val="1"/>
          <w:bCs w:val="1"/>
          <w:color w:val="auto"/>
        </w:rPr>
        <w:t>WHERE YOU CAN FIND MORE INFORMATION</w:t>
      </w:r>
    </w:p>
    <w:p>
      <w:pPr>
        <w:ind w:left="1140" w:right="1259"/>
        <w:spacing w:after="0" w:line="252" w:lineRule="auto"/>
        <w:rPr>
          <w:sz w:val="20"/>
          <w:szCs w:val="20"/>
          <w:color w:val="auto"/>
        </w:rPr>
      </w:pPr>
      <w:r>
        <w:rPr>
          <w:rFonts w:ascii="Arial" w:cs="Arial" w:eastAsia="Arial" w:hAnsi="Arial"/>
          <w:sz w:val="15"/>
          <w:szCs w:val="15"/>
          <w:color w:val="auto"/>
        </w:rPr>
        <w:t xml:space="preserve">We file annual, quarterly and current reports, proxy statements and other information with the SEC. The SEC maintains an Internet site at </w:t>
      </w:r>
      <w:r>
        <w:rPr>
          <w:rFonts w:ascii="Arial" w:cs="Arial" w:eastAsia="Arial" w:hAnsi="Arial"/>
          <w:sz w:val="15"/>
          <w:szCs w:val="15"/>
          <w:i w:val="1"/>
          <w:iCs w:val="1"/>
          <w:color w:val="auto"/>
        </w:rPr>
        <w:t>http://www.sec.gov,</w:t>
      </w:r>
      <w:r>
        <w:rPr>
          <w:rFonts w:ascii="Arial" w:cs="Arial" w:eastAsia="Arial" w:hAnsi="Arial"/>
          <w:sz w:val="15"/>
          <w:szCs w:val="15"/>
          <w:color w:val="auto"/>
        </w:rPr>
        <w:t xml:space="preserve"> from which interested persons can electronically access any document we file electronically with the SEC, including the registration statement of which this prospectus supplement and the accompanying prospectus form a part, including the exhibits and schedules to the registration statement.</w:t>
      </w:r>
    </w:p>
    <w:p>
      <w:pPr>
        <w:spacing w:after="0" w:line="99" w:lineRule="exact"/>
        <w:rPr>
          <w:sz w:val="20"/>
          <w:szCs w:val="20"/>
          <w:color w:val="auto"/>
        </w:rPr>
      </w:pPr>
    </w:p>
    <w:p>
      <w:pPr>
        <w:ind w:left="1140" w:right="1179"/>
        <w:spacing w:after="0" w:line="266" w:lineRule="auto"/>
        <w:rPr>
          <w:sz w:val="20"/>
          <w:szCs w:val="20"/>
          <w:color w:val="auto"/>
        </w:rPr>
      </w:pPr>
      <w:r>
        <w:rPr>
          <w:rFonts w:ascii="Arial" w:cs="Arial" w:eastAsia="Arial" w:hAnsi="Arial"/>
          <w:sz w:val="14"/>
          <w:szCs w:val="14"/>
          <w:color w:val="auto"/>
        </w:rPr>
        <w:t>As permitted by the SEC rules, this prospectus supplement and the accompanying prospectus do not contain all the information that you can find in the registration statement or the exhibits to that statement. 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subsequently filed with the SEC pursuant to</w:t>
      </w:r>
    </w:p>
    <w:p>
      <w:pPr>
        <w:spacing w:after="0" w:line="1" w:lineRule="exact"/>
        <w:rPr>
          <w:sz w:val="20"/>
          <w:szCs w:val="20"/>
          <w:color w:val="auto"/>
        </w:rPr>
      </w:pPr>
    </w:p>
    <w:p>
      <w:pPr>
        <w:ind w:left="1140" w:right="1179"/>
        <w:spacing w:after="0" w:line="248" w:lineRule="auto"/>
        <w:rPr>
          <w:sz w:val="20"/>
          <w:szCs w:val="20"/>
          <w:color w:val="auto"/>
        </w:rPr>
      </w:pPr>
      <w:r>
        <w:rPr>
          <w:rFonts w:ascii="Arial" w:cs="Arial" w:eastAsia="Arial" w:hAnsi="Arial"/>
          <w:sz w:val="15"/>
          <w:szCs w:val="15"/>
          <w:color w:val="auto"/>
        </w:rPr>
        <w:t xml:space="preserve">Section 13(a), 13(c), 14, or 15(d) of the Exchange Act prior to the termination of the offering under this prospectus supplement,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nothing contained herein shall be deemed to incorporate information furnished to, but not filed with, the SEC, including under Item 2.02 or Item 7.01 of any Current Report on Form 8-K:</w:t>
      </w:r>
    </w:p>
    <w:p>
      <w:pPr>
        <w:spacing w:after="0" w:line="68" w:lineRule="exact"/>
        <w:rPr>
          <w:sz w:val="20"/>
          <w:szCs w:val="20"/>
          <w:color w:val="auto"/>
        </w:rPr>
      </w:pPr>
    </w:p>
    <w:p>
      <w:pPr>
        <w:ind w:left="1580" w:hanging="138"/>
        <w:spacing w:after="0"/>
        <w:tabs>
          <w:tab w:leader="none" w:pos="1580" w:val="left"/>
        </w:tabs>
        <w:numPr>
          <w:ilvl w:val="0"/>
          <w:numId w:val="41"/>
        </w:numPr>
        <w:rPr>
          <w:rFonts w:ascii="Arial" w:cs="Arial" w:eastAsia="Arial" w:hAnsi="Arial"/>
          <w:sz w:val="15"/>
          <w:szCs w:val="15"/>
          <w:color w:val="0000EE"/>
        </w:rPr>
      </w:pPr>
      <w:hyperlink r:id="rId87">
        <w:r>
          <w:rPr>
            <w:rFonts w:ascii="Arial" w:cs="Arial" w:eastAsia="Arial" w:hAnsi="Arial"/>
            <w:sz w:val="15"/>
            <w:szCs w:val="15"/>
            <w:u w:val="single" w:color="auto"/>
            <w:color w:val="0000EE"/>
          </w:rPr>
          <w:t>Our Annual Report on Form 10-K for the fiscal year ended August 29, 2024</w:t>
        </w:r>
      </w:hyperlink>
      <w:r>
        <w:rPr>
          <w:rFonts w:ascii="Arial" w:cs="Arial" w:eastAsia="Arial" w:hAnsi="Arial"/>
          <w:sz w:val="15"/>
          <w:szCs w:val="15"/>
          <w:color w:val="000000"/>
        </w:rPr>
        <w:t>;</w:t>
      </w:r>
    </w:p>
    <w:p>
      <w:pPr>
        <w:spacing w:after="0" w:line="92" w:lineRule="exact"/>
        <w:rPr>
          <w:rFonts w:ascii="Arial" w:cs="Arial" w:eastAsia="Arial" w:hAnsi="Arial"/>
          <w:sz w:val="15"/>
          <w:szCs w:val="15"/>
          <w:color w:val="0000EE"/>
        </w:rPr>
      </w:pPr>
    </w:p>
    <w:p>
      <w:pPr>
        <w:ind w:left="1580" w:hanging="138"/>
        <w:spacing w:after="0"/>
        <w:tabs>
          <w:tab w:leader="none" w:pos="1580" w:val="left"/>
        </w:tabs>
        <w:numPr>
          <w:ilvl w:val="0"/>
          <w:numId w:val="41"/>
        </w:numPr>
        <w:rPr>
          <w:rFonts w:ascii="Arial" w:cs="Arial" w:eastAsia="Arial" w:hAnsi="Arial"/>
          <w:sz w:val="15"/>
          <w:szCs w:val="15"/>
          <w:color w:val="0000EE"/>
        </w:rPr>
      </w:pPr>
      <w:hyperlink r:id="rId88">
        <w:r>
          <w:rPr>
            <w:rFonts w:ascii="Arial" w:cs="Arial" w:eastAsia="Arial" w:hAnsi="Arial"/>
            <w:sz w:val="15"/>
            <w:szCs w:val="15"/>
            <w:u w:val="single" w:color="auto"/>
            <w:color w:val="0000EE"/>
          </w:rPr>
          <w:t>Our Quarterly Report on Form 10-Q for the fiscal quarter ended November 28, 2024</w:t>
        </w:r>
      </w:hyperlink>
      <w:r>
        <w:rPr>
          <w:rFonts w:ascii="Arial" w:cs="Arial" w:eastAsia="Arial" w:hAnsi="Arial"/>
          <w:sz w:val="15"/>
          <w:szCs w:val="15"/>
          <w:color w:val="000000"/>
        </w:rPr>
        <w:t>;</w:t>
      </w:r>
    </w:p>
    <w:p>
      <w:pPr>
        <w:spacing w:after="0" w:line="92" w:lineRule="exact"/>
        <w:rPr>
          <w:rFonts w:ascii="Arial" w:cs="Arial" w:eastAsia="Arial" w:hAnsi="Arial"/>
          <w:sz w:val="15"/>
          <w:szCs w:val="15"/>
          <w:color w:val="0000EE"/>
        </w:rPr>
      </w:pPr>
    </w:p>
    <w:p>
      <w:pPr>
        <w:jc w:val="both"/>
        <w:ind w:left="1580" w:right="1419" w:hanging="138"/>
        <w:spacing w:after="0" w:line="260" w:lineRule="auto"/>
        <w:tabs>
          <w:tab w:leader="none" w:pos="1580" w:val="left"/>
        </w:tabs>
        <w:numPr>
          <w:ilvl w:val="0"/>
          <w:numId w:val="41"/>
        </w:numPr>
        <w:rPr>
          <w:rFonts w:ascii="Arial" w:cs="Arial" w:eastAsia="Arial" w:hAnsi="Arial"/>
          <w:sz w:val="15"/>
          <w:szCs w:val="15"/>
          <w:color w:val="0000EE"/>
        </w:rPr>
      </w:pPr>
      <w:hyperlink r:id="rId89">
        <w:r>
          <w:rPr>
            <w:rFonts w:ascii="Arial" w:cs="Arial" w:eastAsia="Arial" w:hAnsi="Arial"/>
            <w:sz w:val="15"/>
            <w:szCs w:val="15"/>
            <w:color w:val="auto"/>
          </w:rPr>
          <w:t xml:space="preserve">Information specifically incorporated by reference into our </w:t>
        </w:r>
        <w:r>
          <w:rPr>
            <w:rFonts w:ascii="Arial" w:cs="Arial" w:eastAsia="Arial" w:hAnsi="Arial"/>
            <w:sz w:val="15"/>
            <w:szCs w:val="15"/>
            <w:u w:val="single" w:color="auto"/>
            <w:color w:val="0000EE"/>
          </w:rPr>
          <w:t>Annual Report on Form 10-K for the</w:t>
        </w:r>
      </w:hyperlink>
      <w:r>
        <w:rPr>
          <w:rFonts w:ascii="Arial" w:cs="Arial" w:eastAsia="Arial" w:hAnsi="Arial"/>
          <w:sz w:val="15"/>
          <w:szCs w:val="15"/>
          <w:color w:val="auto"/>
        </w:rPr>
        <w:t xml:space="preserve"> </w:t>
      </w:r>
      <w:hyperlink r:id="rId90">
        <w:r>
          <w:rPr>
            <w:rFonts w:ascii="Arial" w:cs="Arial" w:eastAsia="Arial" w:hAnsi="Arial"/>
            <w:sz w:val="15"/>
            <w:szCs w:val="15"/>
            <w:u w:val="single" w:color="auto"/>
            <w:color w:val="0000EE"/>
          </w:rPr>
          <w:t>fiscal year ended August 29, 2024</w:t>
        </w:r>
        <w:r>
          <w:rPr>
            <w:rFonts w:ascii="Arial" w:cs="Arial" w:eastAsia="Arial" w:hAnsi="Arial"/>
            <w:sz w:val="15"/>
            <w:szCs w:val="15"/>
            <w:color w:val="0000EE"/>
          </w:rPr>
          <w:t xml:space="preserve"> </w:t>
        </w:r>
        <w:r>
          <w:rPr>
            <w:rFonts w:ascii="Arial" w:cs="Arial" w:eastAsia="Arial" w:hAnsi="Arial"/>
            <w:sz w:val="15"/>
            <w:szCs w:val="15"/>
            <w:color w:val="000000"/>
          </w:rPr>
          <w:t>from our</w:t>
        </w:r>
        <w:r>
          <w:rPr>
            <w:rFonts w:ascii="Arial" w:cs="Arial" w:eastAsia="Arial" w:hAnsi="Arial"/>
            <w:sz w:val="15"/>
            <w:szCs w:val="15"/>
            <w:color w:val="0000EE"/>
          </w:rPr>
          <w:t xml:space="preserve"> </w:t>
        </w:r>
        <w:r>
          <w:rPr>
            <w:rFonts w:ascii="Arial" w:cs="Arial" w:eastAsia="Arial" w:hAnsi="Arial"/>
            <w:sz w:val="15"/>
            <w:szCs w:val="15"/>
            <w:u w:val="single" w:color="auto"/>
            <w:color w:val="0000EE"/>
          </w:rPr>
          <w:t>Definitive Proxy Statement on Schedule 14A, filed</w:t>
        </w:r>
      </w:hyperlink>
      <w:r>
        <w:rPr>
          <w:rFonts w:ascii="Arial" w:cs="Arial" w:eastAsia="Arial" w:hAnsi="Arial"/>
          <w:sz w:val="15"/>
          <w:szCs w:val="15"/>
          <w:color w:val="0000EE"/>
        </w:rPr>
        <w:t xml:space="preserve"> </w:t>
      </w:r>
      <w:hyperlink r:id="rId90">
        <w:r>
          <w:rPr>
            <w:rFonts w:ascii="Arial" w:cs="Arial" w:eastAsia="Arial" w:hAnsi="Arial"/>
            <w:sz w:val="15"/>
            <w:szCs w:val="15"/>
            <w:u w:val="single" w:color="auto"/>
            <w:color w:val="0000EE"/>
          </w:rPr>
          <w:t>with the SEC on November 26, 2024</w:t>
        </w:r>
        <w:r>
          <w:rPr>
            <w:rFonts w:ascii="Arial" w:cs="Arial" w:eastAsia="Arial" w:hAnsi="Arial"/>
            <w:sz w:val="15"/>
            <w:szCs w:val="15"/>
            <w:color w:val="000000"/>
          </w:rPr>
          <w:t>; and</w:t>
        </w:r>
      </w:hyperlink>
    </w:p>
    <w:p>
      <w:pPr>
        <w:spacing w:after="0" w:line="57" w:lineRule="exact"/>
        <w:rPr>
          <w:rFonts w:ascii="Arial" w:cs="Arial" w:eastAsia="Arial" w:hAnsi="Arial"/>
          <w:sz w:val="15"/>
          <w:szCs w:val="15"/>
          <w:color w:val="0000EE"/>
        </w:rPr>
      </w:pPr>
    </w:p>
    <w:p>
      <w:pPr>
        <w:ind w:left="1580" w:right="1459" w:hanging="138"/>
        <w:spacing w:after="0" w:line="274" w:lineRule="auto"/>
        <w:tabs>
          <w:tab w:leader="none" w:pos="1580" w:val="left"/>
        </w:tabs>
        <w:numPr>
          <w:ilvl w:val="0"/>
          <w:numId w:val="41"/>
        </w:numPr>
        <w:rPr>
          <w:rFonts w:ascii="Arial" w:cs="Arial" w:eastAsia="Arial" w:hAnsi="Arial"/>
          <w:sz w:val="15"/>
          <w:szCs w:val="15"/>
          <w:u w:val="single" w:color="auto"/>
          <w:color w:val="0000EE"/>
        </w:rPr>
      </w:pPr>
      <w:hyperlink r:id="rId91">
        <w:r>
          <w:rPr>
            <w:rFonts w:ascii="Arial" w:cs="Arial" w:eastAsia="Arial" w:hAnsi="Arial"/>
            <w:sz w:val="15"/>
            <w:szCs w:val="15"/>
            <w:color w:val="auto"/>
          </w:rPr>
          <w:t xml:space="preserve">Our Current Reports on Form 8-K, filed with the SEC on </w:t>
        </w:r>
        <w:r>
          <w:rPr>
            <w:rFonts w:ascii="Arial" w:cs="Arial" w:eastAsia="Arial" w:hAnsi="Arial"/>
            <w:sz w:val="15"/>
            <w:szCs w:val="15"/>
            <w:u w:val="single" w:color="auto"/>
            <w:color w:val="0000EE"/>
          </w:rPr>
          <w:t>October 30, 2024</w:t>
        </w:r>
        <w:r>
          <w:rPr>
            <w:rFonts w:ascii="Arial" w:cs="Arial" w:eastAsia="Arial" w:hAnsi="Arial"/>
            <w:sz w:val="15"/>
            <w:szCs w:val="15"/>
            <w:color w:val="auto"/>
          </w:rPr>
          <w:t xml:space="preserve"> and </w:t>
        </w:r>
        <w:r>
          <w:rPr>
            <w:rFonts w:ascii="Arial" w:cs="Arial" w:eastAsia="Arial" w:hAnsi="Arial"/>
            <w:sz w:val="15"/>
            <w:szCs w:val="15"/>
            <w:u w:val="single" w:color="auto"/>
            <w:color w:val="0000EE"/>
          </w:rPr>
          <w:t>December 10,</w:t>
        </w:r>
      </w:hyperlink>
      <w:r>
        <w:rPr>
          <w:rFonts w:ascii="Arial" w:cs="Arial" w:eastAsia="Arial" w:hAnsi="Arial"/>
          <w:sz w:val="15"/>
          <w:szCs w:val="15"/>
          <w:color w:val="auto"/>
        </w:rPr>
        <w:t xml:space="preserve"> </w:t>
      </w:r>
      <w:hyperlink r:id="rId91">
        <w:r>
          <w:rPr>
            <w:rFonts w:ascii="Arial" w:cs="Arial" w:eastAsia="Arial" w:hAnsi="Arial"/>
            <w:sz w:val="15"/>
            <w:szCs w:val="15"/>
            <w:u w:val="single" w:color="auto"/>
            <w:color w:val="0000EE"/>
          </w:rPr>
          <w:t>2024.</w:t>
        </w:r>
      </w:hyperlink>
    </w:p>
    <w:p>
      <w:pPr>
        <w:spacing w:after="0" w:line="81" w:lineRule="exact"/>
        <w:rPr>
          <w:rFonts w:ascii="Arial" w:cs="Arial" w:eastAsia="Arial" w:hAnsi="Arial"/>
          <w:sz w:val="15"/>
          <w:szCs w:val="15"/>
          <w:color w:val="auto"/>
        </w:rPr>
      </w:pPr>
    </w:p>
    <w:p>
      <w:pPr>
        <w:ind w:left="1140" w:right="1319"/>
        <w:spacing w:after="0" w:line="279" w:lineRule="auto"/>
        <w:rPr>
          <w:sz w:val="20"/>
          <w:szCs w:val="20"/>
          <w:color w:val="auto"/>
        </w:rPr>
      </w:pPr>
      <w:r>
        <w:rPr>
          <w:rFonts w:ascii="Arial" w:cs="Arial" w:eastAsia="Arial" w:hAnsi="Arial"/>
          <w:sz w:val="14"/>
          <w:szCs w:val="14"/>
          <w:color w:val="auto"/>
        </w:rPr>
        <w:t xml:space="preserve">You may request a copy of these filings at no cost by contacting our Investor Relations department by visiting our Web site at </w:t>
      </w:r>
      <w:r>
        <w:rPr>
          <w:rFonts w:ascii="Arial" w:cs="Arial" w:eastAsia="Arial" w:hAnsi="Arial"/>
          <w:sz w:val="14"/>
          <w:szCs w:val="14"/>
          <w:i w:val="1"/>
          <w:iCs w:val="1"/>
          <w:color w:val="auto"/>
        </w:rPr>
        <w:t>www.micron.com</w:t>
      </w:r>
      <w:r>
        <w:rPr>
          <w:rFonts w:ascii="Arial" w:cs="Arial" w:eastAsia="Arial" w:hAnsi="Arial"/>
          <w:sz w:val="14"/>
          <w:szCs w:val="14"/>
          <w:color w:val="auto"/>
        </w:rPr>
        <w:t>, by calling (208) 368-4000, by writing to Investor Relations, Micron Technology, Inc., 8000 South Federal Way, Boise, ID 83716. The information contained or incorporated in our website is not part of this prospectus supplement or the accompanying prospectus.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31" w:lineRule="exact"/>
        <w:rPr>
          <w:rFonts w:ascii="Arial" w:cs="Arial" w:eastAsia="Arial" w:hAnsi="Arial"/>
          <w:sz w:val="15"/>
          <w:szCs w:val="15"/>
          <w:color w:val="auto"/>
        </w:rPr>
      </w:pPr>
    </w:p>
    <w:p>
      <w:pPr>
        <w:jc w:val="center"/>
        <w:ind w:right="59"/>
        <w:spacing w:after="0"/>
        <w:rPr>
          <w:sz w:val="20"/>
          <w:szCs w:val="20"/>
          <w:color w:val="auto"/>
        </w:rPr>
      </w:pPr>
      <w:r>
        <w:rPr>
          <w:rFonts w:ascii="Arial" w:cs="Arial" w:eastAsia="Arial" w:hAnsi="Arial"/>
          <w:sz w:val="15"/>
          <w:szCs w:val="15"/>
          <w:color w:val="auto"/>
        </w:rPr>
        <w:t>S-45</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0" w:name="page51"/>
    <w:bookmarkEnd w:id="5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6"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105410</wp:posOffset>
            </wp:positionV>
            <wp:extent cx="1395095" cy="3854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1395095"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20"/>
        <w:spacing w:after="0"/>
        <w:rPr>
          <w:sz w:val="20"/>
          <w:szCs w:val="20"/>
          <w:color w:val="auto"/>
        </w:rPr>
      </w:pPr>
      <w:r>
        <w:rPr>
          <w:rFonts w:ascii="Arial" w:cs="Arial" w:eastAsia="Arial" w:hAnsi="Arial"/>
          <w:sz w:val="32"/>
          <w:szCs w:val="32"/>
          <w:b w:val="1"/>
          <w:bCs w:val="1"/>
          <w:color w:val="auto"/>
        </w:rPr>
        <w:t>MICRON TECHNOLOGY, INC.</w:t>
      </w:r>
    </w:p>
    <w:p>
      <w:pPr>
        <w:spacing w:after="0" w:line="183" w:lineRule="exact"/>
        <w:rPr>
          <w:sz w:val="20"/>
          <w:szCs w:val="20"/>
          <w:color w:val="auto"/>
        </w:rPr>
      </w:pPr>
    </w:p>
    <w:p>
      <w:pPr>
        <w:jc w:val="center"/>
        <w:ind w:right="-480"/>
        <w:spacing w:after="0"/>
        <w:rPr>
          <w:sz w:val="20"/>
          <w:szCs w:val="20"/>
          <w:color w:val="auto"/>
        </w:rPr>
      </w:pPr>
      <w:r>
        <w:rPr>
          <w:rFonts w:ascii="Arial" w:cs="Arial" w:eastAsia="Arial" w:hAnsi="Arial"/>
          <w:sz w:val="19"/>
          <w:szCs w:val="19"/>
          <w:b w:val="1"/>
          <w:bCs w:val="1"/>
          <w:color w:val="auto"/>
        </w:rPr>
        <w:t>Common Stock</w:t>
      </w:r>
    </w:p>
    <w:p>
      <w:pPr>
        <w:spacing w:after="0" w:line="22" w:lineRule="exact"/>
        <w:rPr>
          <w:sz w:val="20"/>
          <w:szCs w:val="20"/>
          <w:color w:val="auto"/>
        </w:rPr>
      </w:pPr>
    </w:p>
    <w:p>
      <w:pPr>
        <w:jc w:val="center"/>
        <w:ind w:right="-480"/>
        <w:spacing w:after="0"/>
        <w:rPr>
          <w:sz w:val="20"/>
          <w:szCs w:val="20"/>
          <w:color w:val="auto"/>
        </w:rPr>
      </w:pPr>
      <w:r>
        <w:rPr>
          <w:rFonts w:ascii="Arial" w:cs="Arial" w:eastAsia="Arial" w:hAnsi="Arial"/>
          <w:sz w:val="19"/>
          <w:szCs w:val="19"/>
          <w:b w:val="1"/>
          <w:bCs w:val="1"/>
          <w:color w:val="auto"/>
        </w:rPr>
        <w:t>Debt Securities</w:t>
      </w:r>
    </w:p>
    <w:p>
      <w:pPr>
        <w:spacing w:after="0" w:line="2" w:lineRule="exact"/>
        <w:rPr>
          <w:sz w:val="20"/>
          <w:szCs w:val="20"/>
          <w:color w:val="auto"/>
        </w:rPr>
      </w:pPr>
    </w:p>
    <w:p>
      <w:pPr>
        <w:jc w:val="center"/>
        <w:ind w:right="-480"/>
        <w:spacing w:after="0"/>
        <w:rPr>
          <w:sz w:val="20"/>
          <w:szCs w:val="20"/>
          <w:color w:val="auto"/>
        </w:rPr>
      </w:pPr>
      <w:r>
        <w:rPr>
          <w:rFonts w:ascii="Arial" w:cs="Arial" w:eastAsia="Arial" w:hAnsi="Arial"/>
          <w:sz w:val="19"/>
          <w:szCs w:val="19"/>
          <w:b w:val="1"/>
          <w:bCs w:val="1"/>
          <w:color w:val="auto"/>
        </w:rPr>
        <w:t>Warrants</w:t>
      </w:r>
    </w:p>
    <w:p>
      <w:pPr>
        <w:spacing w:after="0" w:line="2" w:lineRule="exact"/>
        <w:rPr>
          <w:sz w:val="20"/>
          <w:szCs w:val="20"/>
          <w:color w:val="auto"/>
        </w:rPr>
      </w:pPr>
    </w:p>
    <w:p>
      <w:pPr>
        <w:jc w:val="center"/>
        <w:ind w:right="-480"/>
        <w:spacing w:after="0"/>
        <w:rPr>
          <w:sz w:val="20"/>
          <w:szCs w:val="20"/>
          <w:color w:val="auto"/>
        </w:rPr>
      </w:pPr>
      <w:r>
        <w:rPr>
          <w:rFonts w:ascii="Arial" w:cs="Arial" w:eastAsia="Arial" w:hAnsi="Arial"/>
          <w:sz w:val="19"/>
          <w:szCs w:val="19"/>
          <w:b w:val="1"/>
          <w:bCs w:val="1"/>
          <w:color w:val="auto"/>
        </w:rPr>
        <w:t>Purchase Contracts</w:t>
      </w:r>
    </w:p>
    <w:p>
      <w:pPr>
        <w:spacing w:after="0" w:line="2" w:lineRule="exact"/>
        <w:rPr>
          <w:sz w:val="20"/>
          <w:szCs w:val="20"/>
          <w:color w:val="auto"/>
        </w:rPr>
      </w:pPr>
    </w:p>
    <w:p>
      <w:pPr>
        <w:jc w:val="center"/>
        <w:ind w:right="-520"/>
        <w:spacing w:after="0"/>
        <w:rPr>
          <w:sz w:val="20"/>
          <w:szCs w:val="20"/>
          <w:color w:val="auto"/>
        </w:rPr>
      </w:pPr>
      <w:r>
        <w:rPr>
          <w:rFonts w:ascii="Arial" w:cs="Arial" w:eastAsia="Arial" w:hAnsi="Arial"/>
          <w:sz w:val="19"/>
          <w:szCs w:val="1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83185</wp:posOffset>
            </wp:positionV>
            <wp:extent cx="100965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84" w:lineRule="exact"/>
        <w:rPr>
          <w:sz w:val="20"/>
          <w:szCs w:val="20"/>
          <w:color w:val="auto"/>
        </w:rPr>
      </w:pPr>
    </w:p>
    <w:p>
      <w:pPr>
        <w:ind w:left="1420" w:right="1239"/>
        <w:spacing w:after="0" w:line="274" w:lineRule="auto"/>
        <w:rPr>
          <w:sz w:val="20"/>
          <w:szCs w:val="20"/>
          <w:color w:val="auto"/>
        </w:rPr>
      </w:pPr>
      <w:r>
        <w:rPr>
          <w:rFonts w:ascii="Arial" w:cs="Arial" w:eastAsia="Arial" w:hAnsi="Arial"/>
          <w:sz w:val="15"/>
          <w:szCs w:val="15"/>
          <w:color w:val="auto"/>
        </w:rPr>
        <w:t>We may offer and sell the securities identified above from time to time in one or more offerings. This prospectus provides you with a general description of the securities.</w:t>
      </w:r>
    </w:p>
    <w:p>
      <w:pPr>
        <w:spacing w:after="0" w:line="81" w:lineRule="exact"/>
        <w:rPr>
          <w:sz w:val="20"/>
          <w:szCs w:val="20"/>
          <w:color w:val="auto"/>
        </w:rPr>
      </w:pPr>
    </w:p>
    <w:p>
      <w:pPr>
        <w:ind w:left="1420" w:right="1139"/>
        <w:spacing w:after="0" w:line="275" w:lineRule="auto"/>
        <w:rPr>
          <w:sz w:val="20"/>
          <w:szCs w:val="20"/>
          <w:color w:val="auto"/>
        </w:rPr>
      </w:pPr>
      <w:r>
        <w:rPr>
          <w:rFonts w:ascii="Arial" w:cs="Arial" w:eastAsia="Arial" w:hAnsi="Arial"/>
          <w:sz w:val="14"/>
          <w:szCs w:val="14"/>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p>
    <w:p>
      <w:pPr>
        <w:spacing w:after="0" w:line="82" w:lineRule="exact"/>
        <w:rPr>
          <w:sz w:val="20"/>
          <w:szCs w:val="20"/>
          <w:color w:val="auto"/>
        </w:rPr>
      </w:pPr>
    </w:p>
    <w:p>
      <w:pPr>
        <w:ind w:left="1420" w:right="899"/>
        <w:spacing w:after="0" w:line="249" w:lineRule="auto"/>
        <w:rPr>
          <w:sz w:val="20"/>
          <w:szCs w:val="20"/>
          <w:color w:val="auto"/>
        </w:rPr>
      </w:pPr>
      <w:r>
        <w:rPr>
          <w:rFonts w:ascii="Arial" w:cs="Arial" w:eastAsia="Arial" w:hAnsi="Arial"/>
          <w:sz w:val="15"/>
          <w:szCs w:val="15"/>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73025</wp:posOffset>
            </wp:positionV>
            <wp:extent cx="100965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68" w:lineRule="exact"/>
        <w:rPr>
          <w:sz w:val="20"/>
          <w:szCs w:val="20"/>
          <w:color w:val="auto"/>
        </w:rPr>
      </w:pPr>
    </w:p>
    <w:p>
      <w:pPr>
        <w:ind w:left="1420" w:right="1019"/>
        <w:spacing w:after="0" w:line="259" w:lineRule="auto"/>
        <w:rPr>
          <w:sz w:val="20"/>
          <w:szCs w:val="20"/>
          <w:color w:val="auto"/>
        </w:rPr>
      </w:pPr>
      <w:r>
        <w:rPr>
          <w:rFonts w:ascii="Arial" w:cs="Arial" w:eastAsia="Arial" w:hAnsi="Arial"/>
          <w:sz w:val="15"/>
          <w:szCs w:val="15"/>
          <w:b w:val="1"/>
          <w:bCs w:val="1"/>
          <w:color w:val="auto"/>
        </w:rPr>
        <w:t xml:space="preserve">INVESTING IN OUR SECURITIES INVOLVES RISKS. SEE “RISK FACTORS” ON PAGE </w:t>
      </w:r>
      <w:r>
        <w:rPr>
          <w:rFonts w:ascii="Arial" w:cs="Arial" w:eastAsia="Arial" w:hAnsi="Arial"/>
          <w:sz w:val="15"/>
          <w:szCs w:val="15"/>
          <w:b w:val="1"/>
          <w:bCs w:val="1"/>
          <w:u w:val="single" w:color="auto"/>
          <w:color w:val="0000EE"/>
        </w:rPr>
        <w:t>5</w:t>
      </w:r>
      <w:r>
        <w:rPr>
          <w:rFonts w:ascii="Arial" w:cs="Arial" w:eastAsia="Arial" w:hAnsi="Arial"/>
          <w:sz w:val="15"/>
          <w:szCs w:val="15"/>
          <w:b w:val="1"/>
          <w:bCs w:val="1"/>
          <w:color w:val="auto"/>
        </w:rPr>
        <w:t xml:space="preserve"> AND ANY SIMILAR SECTION CONTAINED IN OR INCORPORATED BY REFERENCE IN THE APPLICABLE PROSPECTUS SUPPLEMENT CONCERNING FACTORS YOU SHOULD CONSIDER BEFORE INVESTING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69215</wp:posOffset>
            </wp:positionV>
            <wp:extent cx="100965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62" w:lineRule="exact"/>
        <w:rPr>
          <w:sz w:val="20"/>
          <w:szCs w:val="20"/>
          <w:color w:val="auto"/>
        </w:rPr>
      </w:pPr>
    </w:p>
    <w:p>
      <w:pPr>
        <w:ind w:left="1420" w:right="939"/>
        <w:spacing w:after="0" w:line="311" w:lineRule="auto"/>
        <w:rPr>
          <w:sz w:val="20"/>
          <w:szCs w:val="20"/>
          <w:color w:val="auto"/>
        </w:rPr>
      </w:pPr>
      <w:r>
        <w:rPr>
          <w:rFonts w:ascii="Arial" w:cs="Arial" w:eastAsia="Arial" w:hAnsi="Arial"/>
          <w:sz w:val="14"/>
          <w:szCs w:val="14"/>
          <w:color w:val="auto"/>
        </w:rPr>
        <w:t>Our common stock is listed on The Nasdaq Global Select Market (“Nasdaq”) under the symbol “MU.” On November 1, 2023, the last reported sale price of our common stock on Nasdaq was $69.40 per share.</w:t>
      </w:r>
    </w:p>
    <w:p>
      <w:pPr>
        <w:spacing w:after="0" w:line="46" w:lineRule="exact"/>
        <w:rPr>
          <w:sz w:val="20"/>
          <w:szCs w:val="20"/>
          <w:color w:val="auto"/>
        </w:rPr>
      </w:pPr>
    </w:p>
    <w:p>
      <w:pPr>
        <w:ind w:left="1420" w:right="1079"/>
        <w:spacing w:after="0" w:line="265"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80" w:lineRule="exact"/>
        <w:rPr>
          <w:sz w:val="20"/>
          <w:szCs w:val="20"/>
          <w:color w:val="auto"/>
        </w:rPr>
      </w:pPr>
    </w:p>
    <w:p>
      <w:pPr>
        <w:ind w:left="1420"/>
        <w:spacing w:after="0"/>
        <w:rPr>
          <w:sz w:val="20"/>
          <w:szCs w:val="20"/>
          <w:color w:val="auto"/>
        </w:rPr>
      </w:pPr>
      <w:r>
        <w:rPr>
          <w:rFonts w:ascii="Arial" w:cs="Arial" w:eastAsia="Arial" w:hAnsi="Arial"/>
          <w:sz w:val="15"/>
          <w:szCs w:val="15"/>
          <w:b w:val="1"/>
          <w:bCs w:val="1"/>
          <w:color w:val="auto"/>
        </w:rPr>
        <w:t>The date of this prospectus is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1113790</wp:posOffset>
            </wp:positionV>
            <wp:extent cx="5584190"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1" w:name="page52"/>
    <w:bookmarkEnd w:id="51"/>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TABLE OF CONTENTS</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About</w:t>
      </w:r>
      <w:r>
        <w:rPr>
          <w:rFonts w:ascii="Arial" w:cs="Arial" w:eastAsia="Arial" w:hAnsi="Arial"/>
          <w:sz w:val="15"/>
          <w:szCs w:val="15"/>
          <w:color w:val="000000"/>
        </w:rPr>
        <w:t>​</w:t>
      </w:r>
      <w:r>
        <w:rPr>
          <w:rFonts w:ascii="Arial" w:cs="Arial" w:eastAsia="Arial" w:hAnsi="Arial"/>
          <w:sz w:val="15"/>
          <w:szCs w:val="15"/>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-92710</wp:posOffset>
            </wp:positionV>
            <wp:extent cx="4265295" cy="984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4265295" cy="98425"/>
                    </a:xfrm>
                    <a:prstGeom prst="rect">
                      <a:avLst/>
                    </a:prstGeom>
                    <a:noFill/>
                  </pic:spPr>
                </pic:pic>
              </a:graphicData>
            </a:graphic>
          </wp:anchor>
        </w:drawing>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4"/>
          <w:szCs w:val="14"/>
          <w:color w:val="0000EE"/>
        </w:rPr>
        <w:t>Where</w:t>
      </w:r>
      <w:r>
        <w:rPr>
          <w:rFonts w:ascii="Arial" w:cs="Arial" w:eastAsia="Arial" w:hAnsi="Arial"/>
          <w:sz w:val="14"/>
          <w:szCs w:val="14"/>
          <w:color w:val="000000"/>
        </w:rPr>
        <w:t>​</w:t>
      </w:r>
      <w:r>
        <w:rPr>
          <w:rFonts w:ascii="Arial" w:cs="Arial" w:eastAsia="Arial" w:hAnsi="Arial"/>
          <w:sz w:val="14"/>
          <w:szCs w:val="14"/>
          <w:color w:val="0000EE"/>
        </w:rPr>
        <w:t xml:space="preserv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-4445</wp:posOffset>
            </wp:positionV>
            <wp:extent cx="4265295" cy="161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4265295" cy="161290"/>
                    </a:xfrm>
                    <a:prstGeom prst="rect">
                      <a:avLst/>
                    </a:prstGeom>
                    <a:noFill/>
                  </pic:spPr>
                </pic:pic>
              </a:graphicData>
            </a:graphic>
          </wp:anchor>
        </w:drawing>
      </w:r>
    </w:p>
    <w:p>
      <w:pPr>
        <w:spacing w:after="0" w:line="34"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The</w:t>
      </w:r>
      <w:r>
        <w:rPr>
          <w:rFonts w:ascii="Arial" w:cs="Arial" w:eastAsia="Arial" w:hAnsi="Arial"/>
          <w:sz w:val="15"/>
          <w:szCs w:val="15"/>
          <w:color w:val="000000"/>
        </w:rPr>
        <w:t>​</w:t>
      </w:r>
      <w:r>
        <w:rPr>
          <w:rFonts w:ascii="Arial" w:cs="Arial" w:eastAsia="Arial" w:hAnsi="Arial"/>
          <w:sz w:val="15"/>
          <w:szCs w:val="15"/>
          <w:color w:val="0000EE"/>
        </w:rPr>
        <w:t xml:space="preserve"> Company</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Risk</w:t>
      </w:r>
      <w:r>
        <w:rPr>
          <w:rFonts w:ascii="Arial" w:cs="Arial" w:eastAsia="Arial" w:hAnsi="Arial"/>
          <w:sz w:val="15"/>
          <w:szCs w:val="15"/>
          <w:color w:val="000000"/>
        </w:rPr>
        <w:t>​</w:t>
      </w:r>
      <w:r>
        <w:rPr>
          <w:rFonts w:ascii="Arial" w:cs="Arial" w:eastAsia="Arial" w:hAnsi="Arial"/>
          <w:sz w:val="15"/>
          <w:szCs w:val="15"/>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-8255</wp:posOffset>
            </wp:positionV>
            <wp:extent cx="4265295" cy="161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4265295" cy="161290"/>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Use</w:t>
      </w:r>
      <w:r>
        <w:rPr>
          <w:rFonts w:ascii="Arial" w:cs="Arial" w:eastAsia="Arial" w:hAnsi="Arial"/>
          <w:sz w:val="15"/>
          <w:szCs w:val="15"/>
          <w:color w:val="000000"/>
        </w:rPr>
        <w:t>​</w:t>
      </w:r>
      <w:r>
        <w:rPr>
          <w:rFonts w:ascii="Arial" w:cs="Arial" w:eastAsia="Arial" w:hAnsi="Arial"/>
          <w:sz w:val="15"/>
          <w:szCs w:val="15"/>
          <w:color w:val="0000EE"/>
        </w:rPr>
        <w:t xml:space="preserve"> of Proceeds</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Description</w:t>
      </w:r>
      <w:r>
        <w:rPr>
          <w:rFonts w:ascii="Arial" w:cs="Arial" w:eastAsia="Arial" w:hAnsi="Arial"/>
          <w:sz w:val="15"/>
          <w:szCs w:val="15"/>
          <w:color w:val="000000"/>
        </w:rPr>
        <w:t>​</w:t>
      </w:r>
      <w:r>
        <w:rPr>
          <w:rFonts w:ascii="Arial" w:cs="Arial" w:eastAsia="Arial" w:hAnsi="Arial"/>
          <w:sz w:val="15"/>
          <w:szCs w:val="15"/>
          <w:color w:val="0000EE"/>
        </w:rPr>
        <w:t xml:space="preserv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-8255</wp:posOffset>
            </wp:positionV>
            <wp:extent cx="4265295" cy="161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4265295" cy="161290"/>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Plan</w:t>
      </w:r>
      <w:r>
        <w:rPr>
          <w:rFonts w:ascii="Arial" w:cs="Arial" w:eastAsia="Arial" w:hAnsi="Arial"/>
          <w:sz w:val="15"/>
          <w:szCs w:val="15"/>
          <w:color w:val="000000"/>
        </w:rPr>
        <w:t>​</w:t>
      </w:r>
      <w:r>
        <w:rPr>
          <w:rFonts w:ascii="Arial" w:cs="Arial" w:eastAsia="Arial" w:hAnsi="Arial"/>
          <w:sz w:val="15"/>
          <w:szCs w:val="15"/>
          <w:color w:val="0000EE"/>
        </w:rPr>
        <w:t xml:space="preserve"> of Distribution</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Legal</w:t>
      </w:r>
      <w:r>
        <w:rPr>
          <w:rFonts w:ascii="Arial" w:cs="Arial" w:eastAsia="Arial" w:hAnsi="Arial"/>
          <w:sz w:val="15"/>
          <w:szCs w:val="15"/>
          <w:color w:val="000000"/>
        </w:rPr>
        <w:t>​</w:t>
      </w:r>
      <w:r>
        <w:rPr>
          <w:rFonts w:ascii="Arial" w:cs="Arial" w:eastAsia="Arial" w:hAnsi="Arial"/>
          <w:sz w:val="15"/>
          <w:szCs w:val="15"/>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-8255</wp:posOffset>
            </wp:positionV>
            <wp:extent cx="4265295" cy="161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4265295" cy="161290"/>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Experts</w:t>
      </w:r>
      <w:r>
        <w:rPr>
          <w:rFonts w:ascii="Arial" w:cs="Arial" w:eastAsia="Arial" w:hAnsi="Arial"/>
          <w:sz w:val="15"/>
          <w:szCs w:val="15"/>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60"/>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1</w:t>
      </w:r>
      <w:r>
        <w:rPr>
          <w:rFonts w:ascii="Arial" w:cs="Arial" w:eastAsia="Arial" w:hAnsi="Arial"/>
          <w:sz w:val="15"/>
          <w:szCs w:val="15"/>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2</w:t>
      </w:r>
      <w:r>
        <w:rPr>
          <w:rFonts w:ascii="Arial" w:cs="Arial" w:eastAsia="Arial" w:hAnsi="Arial"/>
          <w:sz w:val="15"/>
          <w:szCs w:val="15"/>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4</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5</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6</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7</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8</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9</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9</w:t>
      </w:r>
      <w:r>
        <w:rPr>
          <w:rFonts w:ascii="Arial" w:cs="Arial" w:eastAsia="Arial" w:hAnsi="Arial"/>
          <w:sz w:val="15"/>
          <w:szCs w:val="15"/>
          <w:color w:val="auto"/>
        </w:rPr>
        <w:t>​</w:t>
      </w:r>
    </w:p>
    <w:p>
      <w:pPr>
        <w:sectPr>
          <w:pgSz w:w="11900" w:h="16838" w:orient="portrait"/>
          <w:cols w:equalWidth="0" w:num="2">
            <w:col w:w="6860" w:space="720"/>
            <w:col w:w="1439"/>
          </w:cols>
          <w:pgMar w:left="1440" w:top="98" w:right="1440" w:bottom="1440" w:gutter="0" w:footer="0" w:header="0"/>
        </w:sectPr>
      </w:pPr>
    </w:p>
    <w:bookmarkStart w:id="52" w:name="page53"/>
    <w:bookmarkEnd w:id="52"/>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ABOUT THIS PROSPECTUS</w:t>
      </w:r>
    </w:p>
    <w:p>
      <w:pPr>
        <w:spacing w:after="0" w:line="130" w:lineRule="exact"/>
        <w:rPr>
          <w:sz w:val="20"/>
          <w:szCs w:val="20"/>
          <w:color w:val="auto"/>
        </w:rPr>
      </w:pPr>
    </w:p>
    <w:p>
      <w:pPr>
        <w:ind w:left="1140" w:right="1179"/>
        <w:spacing w:after="0" w:line="267" w:lineRule="auto"/>
        <w:rPr>
          <w:sz w:val="20"/>
          <w:szCs w:val="20"/>
          <w:color w:val="auto"/>
        </w:rPr>
      </w:pPr>
      <w:r>
        <w:rPr>
          <w:rFonts w:ascii="Arial" w:cs="Arial" w:eastAsia="Arial" w:hAnsi="Arial"/>
          <w:sz w:val="14"/>
          <w:szCs w:val="14"/>
          <w:color w:val="auto"/>
        </w:rPr>
        <w:t>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89" w:lineRule="exact"/>
        <w:rPr>
          <w:sz w:val="20"/>
          <w:szCs w:val="20"/>
          <w:color w:val="auto"/>
        </w:rPr>
      </w:pPr>
    </w:p>
    <w:p>
      <w:pPr>
        <w:ind w:left="1140" w:right="1199"/>
        <w:spacing w:after="0" w:line="265" w:lineRule="auto"/>
        <w:rPr>
          <w:sz w:val="20"/>
          <w:szCs w:val="20"/>
          <w:color w:val="auto"/>
        </w:rPr>
      </w:pPr>
      <w:r>
        <w:rPr>
          <w:rFonts w:ascii="Arial" w:cs="Arial" w:eastAsia="Arial" w:hAnsi="Arial"/>
          <w:sz w:val="14"/>
          <w:szCs w:val="14"/>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264" w:lineRule="exact"/>
        <w:rPr>
          <w:sz w:val="20"/>
          <w:szCs w:val="20"/>
          <w:color w:val="auto"/>
        </w:rPr>
      </w:pPr>
    </w:p>
    <w:p>
      <w:pPr>
        <w:ind w:left="1140" w:right="1299"/>
        <w:spacing w:after="0" w:line="287" w:lineRule="auto"/>
        <w:rPr>
          <w:sz w:val="20"/>
          <w:szCs w:val="20"/>
          <w:color w:val="auto"/>
        </w:rPr>
      </w:pPr>
      <w:r>
        <w:rPr>
          <w:rFonts w:ascii="Arial" w:cs="Arial" w:eastAsia="Arial" w:hAnsi="Arial"/>
          <w:sz w:val="14"/>
          <w:szCs w:val="14"/>
          <w:color w:val="auto"/>
        </w:rPr>
        <w:t>When we refer to “Micron,” “we,” “our,” “us,” and the “Company” in this prospectus, we mean Micron Technology, Inc. and our consolidated subsidiaries, unless the context indicates otherwise or unless otherwise specified. When we refer to “you,” we mean the holders of the applicable series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3" w:name="page54"/>
    <w:bookmarkEnd w:id="53"/>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WHERE YOU CAN FIND MORE</w:t>
      </w:r>
    </w:p>
    <w:p>
      <w:pPr>
        <w:spacing w:after="0" w:line="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INFORMATION;</w:t>
      </w:r>
    </w:p>
    <w:p>
      <w:pPr>
        <w:ind w:left="1140"/>
        <w:spacing w:after="0"/>
        <w:rPr>
          <w:sz w:val="20"/>
          <w:szCs w:val="20"/>
          <w:color w:val="auto"/>
        </w:rPr>
      </w:pPr>
      <w:r>
        <w:rPr>
          <w:rFonts w:ascii="Arial" w:cs="Arial" w:eastAsia="Arial" w:hAnsi="Arial"/>
          <w:sz w:val="32"/>
          <w:szCs w:val="32"/>
          <w:b w:val="1"/>
          <w:bCs w:val="1"/>
          <w:color w:val="auto"/>
        </w:rPr>
        <w:t>INCORPORATION BY REFERENCE</w:t>
      </w:r>
    </w:p>
    <w:p>
      <w:pPr>
        <w:spacing w:after="0" w:line="14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Available Information</w:t>
      </w:r>
    </w:p>
    <w:p>
      <w:pPr>
        <w:spacing w:after="0" w:line="133" w:lineRule="exact"/>
        <w:rPr>
          <w:sz w:val="20"/>
          <w:szCs w:val="20"/>
          <w:color w:val="auto"/>
        </w:rPr>
      </w:pPr>
    </w:p>
    <w:p>
      <w:pPr>
        <w:ind w:left="1140" w:right="1299"/>
        <w:spacing w:after="0" w:line="260" w:lineRule="auto"/>
        <w:rPr>
          <w:sz w:val="20"/>
          <w:szCs w:val="20"/>
          <w:color w:val="auto"/>
        </w:rPr>
      </w:pPr>
      <w:r>
        <w:rPr>
          <w:rFonts w:ascii="Arial" w:cs="Arial" w:eastAsia="Arial" w:hAnsi="Arial"/>
          <w:sz w:val="15"/>
          <w:szCs w:val="15"/>
          <w:color w:val="auto"/>
        </w:rPr>
        <w:t xml:space="preserve">We file reports, proxy statements, and other information with the SEC. The SEC maintains a website at </w:t>
      </w:r>
      <w:r>
        <w:rPr>
          <w:rFonts w:ascii="Arial" w:cs="Arial" w:eastAsia="Arial" w:hAnsi="Arial"/>
          <w:sz w:val="15"/>
          <w:szCs w:val="15"/>
          <w:i w:val="1"/>
          <w:iCs w:val="1"/>
          <w:color w:val="auto"/>
        </w:rPr>
        <w:t>www.sec.gov</w:t>
      </w:r>
      <w:r>
        <w:rPr>
          <w:rFonts w:ascii="Arial" w:cs="Arial" w:eastAsia="Arial" w:hAnsi="Arial"/>
          <w:sz w:val="15"/>
          <w:szCs w:val="15"/>
          <w:color w:val="auto"/>
        </w:rPr>
        <w:t>, from which interested persons can electronically access any document we file</w:t>
      </w:r>
      <w:r>
        <w:rPr>
          <w:rFonts w:ascii="Arial" w:cs="Arial" w:eastAsia="Arial" w:hAnsi="Arial"/>
          <w:sz w:val="15"/>
          <w:szCs w:val="15"/>
          <w:i w:val="1"/>
          <w:iCs w:val="1"/>
          <w:color w:val="auto"/>
        </w:rPr>
        <w:t xml:space="preserve"> </w:t>
      </w:r>
      <w:r>
        <w:rPr>
          <w:rFonts w:ascii="Arial" w:cs="Arial" w:eastAsia="Arial" w:hAnsi="Arial"/>
          <w:sz w:val="15"/>
          <w:szCs w:val="15"/>
          <w:color w:val="auto"/>
        </w:rPr>
        <w:t>electronically with the SEC.</w:t>
      </w:r>
    </w:p>
    <w:p>
      <w:pPr>
        <w:spacing w:after="0" w:line="80" w:lineRule="exact"/>
        <w:rPr>
          <w:sz w:val="20"/>
          <w:szCs w:val="20"/>
          <w:color w:val="auto"/>
        </w:rPr>
      </w:pPr>
    </w:p>
    <w:p>
      <w:pPr>
        <w:ind w:left="1140" w:right="1339"/>
        <w:spacing w:after="0" w:line="274" w:lineRule="auto"/>
        <w:rPr>
          <w:sz w:val="20"/>
          <w:szCs w:val="20"/>
          <w:color w:val="auto"/>
        </w:rPr>
      </w:pPr>
      <w:r>
        <w:rPr>
          <w:rFonts w:ascii="Arial" w:cs="Arial" w:eastAsia="Arial" w:hAnsi="Arial"/>
          <w:sz w:val="15"/>
          <w:szCs w:val="15"/>
          <w:color w:val="auto"/>
        </w:rPr>
        <w:t xml:space="preserve">Our website address is </w:t>
      </w:r>
      <w:r>
        <w:rPr>
          <w:rFonts w:ascii="Arial" w:cs="Arial" w:eastAsia="Arial" w:hAnsi="Arial"/>
          <w:sz w:val="15"/>
          <w:szCs w:val="15"/>
          <w:i w:val="1"/>
          <w:iCs w:val="1"/>
          <w:color w:val="auto"/>
        </w:rPr>
        <w:t>www.micron.com</w:t>
      </w:r>
      <w:r>
        <w:rPr>
          <w:rFonts w:ascii="Arial" w:cs="Arial" w:eastAsia="Arial" w:hAnsi="Arial"/>
          <w:sz w:val="15"/>
          <w:szCs w:val="15"/>
          <w:color w:val="auto"/>
        </w:rPr>
        <w:t>. The information on our website, however, is not, and should not be deemed to be, a part of this prospectus.</w:t>
      </w:r>
    </w:p>
    <w:p>
      <w:pPr>
        <w:spacing w:after="0" w:line="81" w:lineRule="exact"/>
        <w:rPr>
          <w:sz w:val="20"/>
          <w:szCs w:val="20"/>
          <w:color w:val="auto"/>
        </w:rPr>
      </w:pPr>
    </w:p>
    <w:p>
      <w:pPr>
        <w:ind w:left="1140" w:right="1179"/>
        <w:spacing w:after="0" w:line="249" w:lineRule="auto"/>
        <w:rPr>
          <w:sz w:val="20"/>
          <w:szCs w:val="20"/>
          <w:color w:val="auto"/>
        </w:rPr>
      </w:pPr>
      <w:r>
        <w:rPr>
          <w:rFonts w:ascii="Arial" w:cs="Arial" w:eastAsia="Arial" w:hAnsi="Arial"/>
          <w:sz w:val="15"/>
          <w:szCs w:val="15"/>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The indenture and other documents establishing the terms of the offered securities are or may be filed as exhibits to the registration statement or documents incorporated by reference into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Incorporation by Reference</w:t>
      </w:r>
    </w:p>
    <w:p>
      <w:pPr>
        <w:spacing w:after="0" w:line="122" w:lineRule="exact"/>
        <w:rPr>
          <w:sz w:val="20"/>
          <w:szCs w:val="20"/>
          <w:color w:val="auto"/>
        </w:rPr>
      </w:pPr>
    </w:p>
    <w:p>
      <w:pPr>
        <w:ind w:left="1140" w:right="1319"/>
        <w:spacing w:after="0" w:line="271" w:lineRule="auto"/>
        <w:rPr>
          <w:sz w:val="20"/>
          <w:szCs w:val="20"/>
          <w:color w:val="auto"/>
        </w:rPr>
      </w:pPr>
      <w:r>
        <w:rPr>
          <w:rFonts w:ascii="Arial" w:cs="Arial" w:eastAsia="Arial" w:hAnsi="Arial"/>
          <w:sz w:val="14"/>
          <w:szCs w:val="14"/>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85" w:lineRule="exact"/>
        <w:rPr>
          <w:sz w:val="20"/>
          <w:szCs w:val="20"/>
          <w:color w:val="auto"/>
        </w:rPr>
      </w:pPr>
    </w:p>
    <w:p>
      <w:pPr>
        <w:ind w:left="1140" w:right="1199"/>
        <w:spacing w:after="0" w:line="271" w:lineRule="auto"/>
        <w:rPr>
          <w:sz w:val="20"/>
          <w:szCs w:val="20"/>
          <w:color w:val="auto"/>
        </w:rPr>
      </w:pPr>
      <w:r>
        <w:rPr>
          <w:rFonts w:ascii="Arial" w:cs="Arial" w:eastAsia="Arial" w:hAnsi="Arial"/>
          <w:sz w:val="14"/>
          <w:szCs w:val="14"/>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spacing w:after="0" w:line="85" w:lineRule="exact"/>
        <w:rPr>
          <w:sz w:val="20"/>
          <w:szCs w:val="20"/>
          <w:color w:val="auto"/>
        </w:rPr>
      </w:pPr>
    </w:p>
    <w:p>
      <w:pPr>
        <w:ind w:left="1140" w:right="1179"/>
        <w:spacing w:after="0" w:line="274" w:lineRule="auto"/>
        <w:rPr>
          <w:sz w:val="20"/>
          <w:szCs w:val="20"/>
          <w:color w:val="auto"/>
        </w:rPr>
      </w:pPr>
      <w:r>
        <w:rPr>
          <w:rFonts w:ascii="Arial" w:cs="Arial" w:eastAsia="Arial" w:hAnsi="Arial"/>
          <w:sz w:val="15"/>
          <w:szCs w:val="15"/>
          <w:color w:val="auto"/>
        </w:rPr>
        <w:t>This prospectus and any accompanying prospectus supplement incorporate by reference the documents set forth below that have previously been filed with the SEC:</w:t>
      </w:r>
    </w:p>
    <w:p>
      <w:pPr>
        <w:spacing w:after="0" w:line="48" w:lineRule="exact"/>
        <w:rPr>
          <w:sz w:val="20"/>
          <w:szCs w:val="20"/>
          <w:color w:val="auto"/>
        </w:rPr>
      </w:pPr>
    </w:p>
    <w:p>
      <w:pPr>
        <w:ind w:left="1580" w:right="1199" w:hanging="138"/>
        <w:spacing w:after="0" w:line="274" w:lineRule="auto"/>
        <w:tabs>
          <w:tab w:leader="none" w:pos="1580" w:val="left"/>
        </w:tabs>
        <w:numPr>
          <w:ilvl w:val="0"/>
          <w:numId w:val="42"/>
        </w:numPr>
        <w:rPr>
          <w:rFonts w:ascii="Arial" w:cs="Arial" w:eastAsia="Arial" w:hAnsi="Arial"/>
          <w:sz w:val="15"/>
          <w:szCs w:val="15"/>
          <w:u w:val="single" w:color="auto"/>
          <w:color w:val="0000EE"/>
        </w:rPr>
      </w:pPr>
      <w:hyperlink r:id="rId105">
        <w:r>
          <w:rPr>
            <w:rFonts w:ascii="Arial" w:cs="Arial" w:eastAsia="Arial" w:hAnsi="Arial"/>
            <w:sz w:val="15"/>
            <w:szCs w:val="15"/>
            <w:u w:val="single" w:color="auto"/>
            <w:color w:val="0000EE"/>
          </w:rPr>
          <w:t>Our Annual Report on Form 10-K for the fiscal year ended August 31, 2023, filed with the SEC on</w:t>
        </w:r>
      </w:hyperlink>
      <w:r>
        <w:rPr>
          <w:rFonts w:ascii="Arial" w:cs="Arial" w:eastAsia="Arial" w:hAnsi="Arial"/>
          <w:sz w:val="15"/>
          <w:szCs w:val="15"/>
          <w:u w:val="single" w:color="auto"/>
          <w:color w:val="0000EE"/>
        </w:rPr>
        <w:t xml:space="preserve"> </w:t>
      </w:r>
      <w:hyperlink r:id="rId105">
        <w:r>
          <w:rPr>
            <w:rFonts w:ascii="Arial" w:cs="Arial" w:eastAsia="Arial" w:hAnsi="Arial"/>
            <w:sz w:val="15"/>
            <w:szCs w:val="15"/>
            <w:u w:val="single" w:color="auto"/>
            <w:color w:val="0000EE"/>
          </w:rPr>
          <w:t>October 6, 2023.</w:t>
        </w:r>
      </w:hyperlink>
    </w:p>
    <w:p>
      <w:pPr>
        <w:spacing w:after="0" w:line="47" w:lineRule="exact"/>
        <w:rPr>
          <w:rFonts w:ascii="Arial" w:cs="Arial" w:eastAsia="Arial" w:hAnsi="Arial"/>
          <w:sz w:val="15"/>
          <w:szCs w:val="15"/>
          <w:u w:val="single" w:color="auto"/>
          <w:color w:val="0000EE"/>
        </w:rPr>
      </w:pPr>
    </w:p>
    <w:p>
      <w:pPr>
        <w:ind w:left="1580" w:right="1259" w:hanging="138"/>
        <w:spacing w:after="0" w:line="260" w:lineRule="auto"/>
        <w:tabs>
          <w:tab w:leader="none" w:pos="1580" w:val="left"/>
        </w:tabs>
        <w:numPr>
          <w:ilvl w:val="0"/>
          <w:numId w:val="42"/>
        </w:numPr>
        <w:rPr>
          <w:rFonts w:ascii="Arial" w:cs="Arial" w:eastAsia="Arial" w:hAnsi="Arial"/>
          <w:sz w:val="15"/>
          <w:szCs w:val="15"/>
          <w:u w:val="single" w:color="auto"/>
          <w:color w:val="0000EE"/>
        </w:rPr>
      </w:pPr>
      <w:hyperlink r:id="rId106">
        <w:r>
          <w:rPr>
            <w:rFonts w:ascii="Arial" w:cs="Arial" w:eastAsia="Arial" w:hAnsi="Arial"/>
            <w:sz w:val="15"/>
            <w:szCs w:val="15"/>
            <w:color w:val="auto"/>
          </w:rPr>
          <w:t xml:space="preserve">Information specifically incorporated by reference into our </w:t>
        </w:r>
        <w:r>
          <w:rPr>
            <w:rFonts w:ascii="Arial" w:cs="Arial" w:eastAsia="Arial" w:hAnsi="Arial"/>
            <w:sz w:val="15"/>
            <w:szCs w:val="15"/>
            <w:u w:val="single" w:color="auto"/>
            <w:color w:val="0000EE"/>
          </w:rPr>
          <w:t>Annual Report on Form 10-K for the</w:t>
        </w:r>
      </w:hyperlink>
      <w:r>
        <w:rPr>
          <w:rFonts w:ascii="Arial" w:cs="Arial" w:eastAsia="Arial" w:hAnsi="Arial"/>
          <w:sz w:val="15"/>
          <w:szCs w:val="15"/>
          <w:color w:val="auto"/>
        </w:rPr>
        <w:t xml:space="preserve"> </w:t>
      </w:r>
      <w:hyperlink r:id="rId107">
        <w:r>
          <w:rPr>
            <w:rFonts w:ascii="Arial" w:cs="Arial" w:eastAsia="Arial" w:hAnsi="Arial"/>
            <w:sz w:val="15"/>
            <w:szCs w:val="15"/>
            <w:u w:val="single" w:color="auto"/>
            <w:color w:val="0000EE"/>
          </w:rPr>
          <w:t>fiscal year ended September 1, 2022</w:t>
        </w:r>
        <w:r>
          <w:rPr>
            <w:rFonts w:ascii="Arial" w:cs="Arial" w:eastAsia="Arial" w:hAnsi="Arial"/>
            <w:sz w:val="15"/>
            <w:szCs w:val="15"/>
            <w:color w:val="0000EE"/>
          </w:rPr>
          <w:t xml:space="preserve"> </w:t>
        </w:r>
        <w:r>
          <w:rPr>
            <w:rFonts w:ascii="Arial" w:cs="Arial" w:eastAsia="Arial" w:hAnsi="Arial"/>
            <w:sz w:val="15"/>
            <w:szCs w:val="15"/>
            <w:color w:val="000000"/>
          </w:rPr>
          <w:t>from our</w:t>
        </w:r>
        <w:r>
          <w:rPr>
            <w:rFonts w:ascii="Arial" w:cs="Arial" w:eastAsia="Arial" w:hAnsi="Arial"/>
            <w:sz w:val="15"/>
            <w:szCs w:val="15"/>
            <w:color w:val="0000EE"/>
          </w:rPr>
          <w:t xml:space="preserve"> </w:t>
        </w:r>
        <w:r>
          <w:rPr>
            <w:rFonts w:ascii="Arial" w:cs="Arial" w:eastAsia="Arial" w:hAnsi="Arial"/>
            <w:sz w:val="15"/>
            <w:szCs w:val="15"/>
            <w:u w:val="single" w:color="auto"/>
            <w:color w:val="0000EE"/>
          </w:rPr>
          <w:t>Definitive Proxy Statement on Schedule 14A, filed</w:t>
        </w:r>
      </w:hyperlink>
      <w:r>
        <w:rPr>
          <w:rFonts w:ascii="Arial" w:cs="Arial" w:eastAsia="Arial" w:hAnsi="Arial"/>
          <w:sz w:val="15"/>
          <w:szCs w:val="15"/>
          <w:color w:val="0000EE"/>
        </w:rPr>
        <w:t xml:space="preserve"> </w:t>
      </w:r>
      <w:hyperlink r:id="rId107">
        <w:r>
          <w:rPr>
            <w:rFonts w:ascii="Arial" w:cs="Arial" w:eastAsia="Arial" w:hAnsi="Arial"/>
            <w:sz w:val="15"/>
            <w:szCs w:val="15"/>
            <w:u w:val="single" w:color="auto"/>
            <w:color w:val="0000EE"/>
          </w:rPr>
          <w:t>with the SEC on December 2, 2022.</w:t>
        </w:r>
      </w:hyperlink>
    </w:p>
    <w:p>
      <w:pPr>
        <w:spacing w:after="0" w:line="57" w:lineRule="exact"/>
        <w:rPr>
          <w:rFonts w:ascii="Arial" w:cs="Arial" w:eastAsia="Arial" w:hAnsi="Arial"/>
          <w:sz w:val="15"/>
          <w:szCs w:val="15"/>
          <w:u w:val="single" w:color="auto"/>
          <w:color w:val="0000EE"/>
        </w:rPr>
      </w:pPr>
    </w:p>
    <w:p>
      <w:pPr>
        <w:ind w:left="1580" w:right="1399" w:hanging="138"/>
        <w:spacing w:after="0" w:line="260" w:lineRule="auto"/>
        <w:tabs>
          <w:tab w:leader="none" w:pos="15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 xml:space="preserve">The description of our common stock, par value $0.10 per share, contained in our registration statement on </w:t>
      </w:r>
      <w:hyperlink r:id="rId108">
        <w:r>
          <w:rPr>
            <w:rFonts w:ascii="Arial" w:cs="Arial" w:eastAsia="Arial" w:hAnsi="Arial"/>
            <w:sz w:val="15"/>
            <w:szCs w:val="15"/>
            <w:u w:val="single" w:color="auto"/>
            <w:color w:val="0000EE"/>
          </w:rPr>
          <w:t>Form 8-A, filed with the SEC on December 21, 2009</w:t>
        </w:r>
      </w:hyperlink>
      <w:r>
        <w:rPr>
          <w:rFonts w:ascii="Arial" w:cs="Arial" w:eastAsia="Arial" w:hAnsi="Arial"/>
          <w:sz w:val="15"/>
          <w:szCs w:val="15"/>
          <w:color w:val="auto"/>
        </w:rPr>
        <w:t>, including any subsequently filed amendments and reports updating such description.</w:t>
      </w:r>
    </w:p>
    <w:p>
      <w:pPr>
        <w:spacing w:after="0" w:line="91" w:lineRule="exact"/>
        <w:rPr>
          <w:rFonts w:ascii="Arial" w:cs="Arial" w:eastAsia="Arial" w:hAnsi="Arial"/>
          <w:sz w:val="15"/>
          <w:szCs w:val="15"/>
          <w:color w:val="0000EE"/>
        </w:rPr>
      </w:pPr>
    </w:p>
    <w:p>
      <w:pPr>
        <w:ind w:left="1140" w:right="1219"/>
        <w:spacing w:after="0" w:line="274" w:lineRule="auto"/>
        <w:rPr>
          <w:sz w:val="20"/>
          <w:szCs w:val="20"/>
          <w:color w:val="auto"/>
        </w:rPr>
      </w:pPr>
      <w:r>
        <w:rPr>
          <w:rFonts w:ascii="Arial" w:cs="Arial" w:eastAsia="Arial" w:hAnsi="Arial"/>
          <w:sz w:val="15"/>
          <w:szCs w:val="15"/>
          <w:color w:val="auto"/>
        </w:rPr>
        <w:t>All reports and other documents we subsequently file pursuant to Section 13(a), 13(c), 14 or 15(d) of the Exchange Act prior to the termination of this offering but excluding any information furnished to,</w:t>
      </w:r>
    </w:p>
    <w:p>
      <w:pPr>
        <w:spacing w:after="0" w:line="280" w:lineRule="exact"/>
        <w:rPr>
          <w:rFonts w:ascii="Arial" w:cs="Arial" w:eastAsia="Arial" w:hAnsi="Arial"/>
          <w:sz w:val="15"/>
          <w:szCs w:val="15"/>
          <w:color w:val="0000EE"/>
        </w:rPr>
      </w:pPr>
    </w:p>
    <w:p>
      <w:pPr>
        <w:jc w:val="center"/>
        <w:ind w:right="59"/>
        <w:spacing w:after="0"/>
        <w:rPr>
          <w:sz w:val="20"/>
          <w:szCs w:val="20"/>
          <w:color w:val="auto"/>
        </w:rPr>
      </w:pPr>
      <w:r>
        <w:rPr>
          <w:rFonts w:ascii="Arial" w:cs="Arial" w:eastAsia="Arial" w:hAnsi="Arial"/>
          <w:sz w:val="15"/>
          <w:szCs w:val="15"/>
          <w:color w:val="auto"/>
        </w:rPr>
        <w:t>2</w:t>
      </w:r>
    </w:p>
    <w:p>
      <w:pPr>
        <w:spacing w:after="0" w:line="20" w:lineRule="exact"/>
        <w:rPr>
          <w:rFonts w:ascii="Arial" w:cs="Arial" w:eastAsia="Arial" w:hAnsi="Arial"/>
          <w:sz w:val="15"/>
          <w:szCs w:val="15"/>
          <w:color w:val="0000EE"/>
        </w:rPr>
      </w:pPr>
      <w:r>
        <w:rPr>
          <w:rFonts w:ascii="Arial" w:cs="Arial" w:eastAsia="Arial" w:hAnsi="Arial"/>
          <w:sz w:val="15"/>
          <w:szCs w:val="15"/>
          <w:color w:val="0000EE"/>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4" w:name="page55"/>
    <w:bookmarkEnd w:id="5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74" w:lineRule="auto"/>
        <w:rPr>
          <w:sz w:val="20"/>
          <w:szCs w:val="20"/>
          <w:color w:val="auto"/>
        </w:rPr>
      </w:pPr>
      <w:r>
        <w:rPr>
          <w:rFonts w:ascii="Arial" w:cs="Arial" w:eastAsia="Arial" w:hAnsi="Arial"/>
          <w:sz w:val="15"/>
          <w:szCs w:val="15"/>
          <w:color w:val="auto"/>
        </w:rPr>
        <w:t>rather than filed with, the SEC, will also be incorporated by reference into this prospectus and deemed to be part of this prospectus from the date of the filing of such reports and documents.</w:t>
      </w:r>
    </w:p>
    <w:p>
      <w:pPr>
        <w:spacing w:after="0" w:line="81" w:lineRule="exact"/>
        <w:rPr>
          <w:sz w:val="20"/>
          <w:szCs w:val="20"/>
          <w:color w:val="auto"/>
        </w:rPr>
      </w:pPr>
    </w:p>
    <w:p>
      <w:pPr>
        <w:ind w:left="1140" w:right="1179"/>
        <w:spacing w:after="0" w:line="260" w:lineRule="auto"/>
        <w:rPr>
          <w:sz w:val="20"/>
          <w:szCs w:val="20"/>
          <w:color w:val="auto"/>
        </w:rPr>
      </w:pPr>
      <w:r>
        <w:rPr>
          <w:rFonts w:ascii="Arial" w:cs="Arial" w:eastAsia="Arial" w:hAnsi="Arial"/>
          <w:sz w:val="15"/>
          <w:szCs w:val="15"/>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91" w:lineRule="exact"/>
        <w:rPr>
          <w:sz w:val="20"/>
          <w:szCs w:val="20"/>
          <w:color w:val="auto"/>
        </w:rPr>
      </w:pPr>
    </w:p>
    <w:p>
      <w:pPr>
        <w:ind w:left="3720"/>
        <w:spacing w:after="0"/>
        <w:rPr>
          <w:sz w:val="20"/>
          <w:szCs w:val="20"/>
          <w:color w:val="auto"/>
        </w:rPr>
      </w:pPr>
      <w:r>
        <w:rPr>
          <w:rFonts w:ascii="Arial" w:cs="Arial" w:eastAsia="Arial" w:hAnsi="Arial"/>
          <w:sz w:val="15"/>
          <w:szCs w:val="15"/>
          <w:color w:val="auto"/>
        </w:rPr>
        <w:t>Micron Technology, Inc.</w:t>
      </w:r>
    </w:p>
    <w:p>
      <w:pPr>
        <w:spacing w:after="0" w:line="18" w:lineRule="exact"/>
        <w:rPr>
          <w:sz w:val="20"/>
          <w:szCs w:val="20"/>
          <w:color w:val="auto"/>
        </w:rPr>
      </w:pPr>
    </w:p>
    <w:p>
      <w:pPr>
        <w:ind w:left="3680"/>
        <w:spacing w:after="0"/>
        <w:rPr>
          <w:sz w:val="20"/>
          <w:szCs w:val="20"/>
          <w:color w:val="auto"/>
        </w:rPr>
      </w:pPr>
      <w:r>
        <w:rPr>
          <w:rFonts w:ascii="Arial" w:cs="Arial" w:eastAsia="Arial" w:hAnsi="Arial"/>
          <w:sz w:val="15"/>
          <w:szCs w:val="15"/>
          <w:color w:val="auto"/>
        </w:rPr>
        <w:t>8000 South Federal Way</w:t>
      </w:r>
    </w:p>
    <w:p>
      <w:pPr>
        <w:spacing w:after="0" w:line="4" w:lineRule="exact"/>
        <w:rPr>
          <w:sz w:val="20"/>
          <w:szCs w:val="20"/>
          <w:color w:val="auto"/>
        </w:rPr>
      </w:pPr>
    </w:p>
    <w:p>
      <w:pPr>
        <w:ind w:left="3680"/>
        <w:spacing w:after="0"/>
        <w:rPr>
          <w:sz w:val="20"/>
          <w:szCs w:val="20"/>
          <w:color w:val="auto"/>
        </w:rPr>
      </w:pPr>
      <w:r>
        <w:rPr>
          <w:rFonts w:ascii="Arial" w:cs="Arial" w:eastAsia="Arial" w:hAnsi="Arial"/>
          <w:sz w:val="15"/>
          <w:szCs w:val="15"/>
          <w:color w:val="auto"/>
        </w:rPr>
        <w:t>Boise, Idaho 83716-9632</w:t>
      </w:r>
    </w:p>
    <w:p>
      <w:pPr>
        <w:spacing w:after="0" w:line="4" w:lineRule="exact"/>
        <w:rPr>
          <w:sz w:val="20"/>
          <w:szCs w:val="20"/>
          <w:color w:val="auto"/>
        </w:rPr>
      </w:pPr>
    </w:p>
    <w:p>
      <w:pPr>
        <w:ind w:left="4000"/>
        <w:spacing w:after="0"/>
        <w:rPr>
          <w:sz w:val="20"/>
          <w:szCs w:val="20"/>
          <w:color w:val="auto"/>
        </w:rPr>
      </w:pPr>
      <w:r>
        <w:rPr>
          <w:rFonts w:ascii="Arial" w:cs="Arial" w:eastAsia="Arial" w:hAnsi="Arial"/>
          <w:sz w:val="15"/>
          <w:szCs w:val="15"/>
          <w:color w:val="auto"/>
        </w:rPr>
        <w:t>(208) 368-4000</w:t>
      </w:r>
    </w:p>
    <w:p>
      <w:pPr>
        <w:spacing w:after="0" w:line="101" w:lineRule="exact"/>
        <w:rPr>
          <w:sz w:val="20"/>
          <w:szCs w:val="20"/>
          <w:color w:val="auto"/>
        </w:rPr>
      </w:pPr>
    </w:p>
    <w:p>
      <w:pPr>
        <w:ind w:left="1140" w:right="1219"/>
        <w:spacing w:after="0" w:line="274" w:lineRule="auto"/>
        <w:rPr>
          <w:sz w:val="20"/>
          <w:szCs w:val="20"/>
          <w:color w:val="auto"/>
        </w:rPr>
      </w:pPr>
      <w:r>
        <w:rPr>
          <w:rFonts w:ascii="Arial" w:cs="Arial" w:eastAsia="Arial" w:hAnsi="Arial"/>
          <w:sz w:val="15"/>
          <w:szCs w:val="15"/>
          <w:color w:val="auto"/>
        </w:rPr>
        <w:t>Exhibits to the filings will not be sent, however, unless those exhibits have specifically been incorporated by reference in this prospectus or any accompanying prospectus supplement.</w:t>
      </w:r>
    </w:p>
    <w:p>
      <w:pPr>
        <w:spacing w:after="0" w:line="81" w:lineRule="exact"/>
        <w:rPr>
          <w:sz w:val="20"/>
          <w:szCs w:val="20"/>
          <w:color w:val="auto"/>
        </w:rPr>
      </w:pPr>
    </w:p>
    <w:p>
      <w:pPr>
        <w:ind w:left="1140" w:right="1819"/>
        <w:spacing w:after="0" w:line="311" w:lineRule="auto"/>
        <w:rPr>
          <w:sz w:val="20"/>
          <w:szCs w:val="20"/>
          <w:color w:val="auto"/>
        </w:rPr>
      </w:pPr>
      <w:r>
        <w:rPr>
          <w:rFonts w:ascii="Arial" w:cs="Arial" w:eastAsia="Arial" w:hAnsi="Arial"/>
          <w:sz w:val="14"/>
          <w:szCs w:val="14"/>
          <w:color w:val="auto"/>
        </w:rPr>
        <w:t>The information accessible through any website referred to in this prospectus or any document incorporated herein is not, and should not be deemed to be,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5" w:name="page56"/>
    <w:bookmarkEnd w:id="55"/>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THE COMPANY</w:t>
      </w:r>
    </w:p>
    <w:p>
      <w:pPr>
        <w:spacing w:after="0" w:line="130" w:lineRule="exact"/>
        <w:rPr>
          <w:sz w:val="20"/>
          <w:szCs w:val="20"/>
          <w:color w:val="auto"/>
        </w:rPr>
      </w:pPr>
    </w:p>
    <w:p>
      <w:pPr>
        <w:ind w:left="1140" w:right="1239"/>
        <w:spacing w:after="0" w:line="221" w:lineRule="auto"/>
        <w:rPr>
          <w:sz w:val="20"/>
          <w:szCs w:val="20"/>
          <w:color w:val="auto"/>
        </w:rPr>
      </w:pPr>
      <w:r>
        <w:rPr>
          <w:rFonts w:ascii="Arial" w:cs="Arial" w:eastAsia="Arial" w:hAnsi="Arial"/>
          <w:sz w:val="15"/>
          <w:szCs w:val="15"/>
          <w:color w:val="auto"/>
        </w:rPr>
        <w:t>We are an industry leader in innovative memory and storage solutions transforming how the world uses information to enrich life for all. With a relentless focus on our customers, technology leadership, and manufacturing and operational excellence, Micron delivers a rich portfolio of high-performance DRAM, NAND, and NOR memory and storage products through our Micron</w:t>
      </w:r>
      <w:r>
        <w:rPr>
          <w:rFonts w:ascii="Arial" w:cs="Arial" w:eastAsia="Arial" w:hAnsi="Arial"/>
          <w:sz w:val="22"/>
          <w:szCs w:val="22"/>
          <w:color w:val="auto"/>
          <w:vertAlign w:val="superscript"/>
        </w:rPr>
        <w:t>®</w:t>
      </w:r>
      <w:r>
        <w:rPr>
          <w:rFonts w:ascii="Arial" w:cs="Arial" w:eastAsia="Arial" w:hAnsi="Arial"/>
          <w:sz w:val="15"/>
          <w:szCs w:val="15"/>
          <w:color w:val="auto"/>
        </w:rPr>
        <w:t xml:space="preserve"> and Crucial</w:t>
      </w:r>
      <w:r>
        <w:rPr>
          <w:rFonts w:ascii="Arial" w:cs="Arial" w:eastAsia="Arial" w:hAnsi="Arial"/>
          <w:sz w:val="22"/>
          <w:szCs w:val="22"/>
          <w:color w:val="auto"/>
          <w:vertAlign w:val="superscript"/>
        </w:rPr>
        <w:t>®</w:t>
      </w:r>
      <w:r>
        <w:rPr>
          <w:rFonts w:ascii="Arial" w:cs="Arial" w:eastAsia="Arial" w:hAnsi="Arial"/>
          <w:sz w:val="15"/>
          <w:szCs w:val="15"/>
          <w:color w:val="auto"/>
        </w:rPr>
        <w:t xml:space="preserve">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109" w:lineRule="exact"/>
        <w:rPr>
          <w:sz w:val="20"/>
          <w:szCs w:val="20"/>
          <w:color w:val="auto"/>
        </w:rPr>
      </w:pPr>
    </w:p>
    <w:p>
      <w:pPr>
        <w:ind w:left="1140" w:right="1159"/>
        <w:spacing w:after="0" w:line="267" w:lineRule="auto"/>
        <w:rPr>
          <w:sz w:val="20"/>
          <w:szCs w:val="20"/>
          <w:color w:val="auto"/>
        </w:rPr>
      </w:pPr>
      <w:r>
        <w:rPr>
          <w:rFonts w:ascii="Arial" w:cs="Arial" w:eastAsia="Arial" w:hAnsi="Arial"/>
          <w:sz w:val="14"/>
          <w:szCs w:val="14"/>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engineering,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78" w:lineRule="exact"/>
        <w:rPr>
          <w:sz w:val="20"/>
          <w:szCs w:val="20"/>
          <w:color w:val="auto"/>
        </w:rPr>
      </w:pPr>
    </w:p>
    <w:p>
      <w:pPr>
        <w:jc w:val="both"/>
        <w:ind w:left="1140" w:right="1479"/>
        <w:spacing w:after="0" w:line="287" w:lineRule="auto"/>
        <w:rPr>
          <w:sz w:val="20"/>
          <w:szCs w:val="20"/>
          <w:color w:val="auto"/>
        </w:rPr>
      </w:pPr>
      <w:r>
        <w:rPr>
          <w:rFonts w:ascii="Arial" w:cs="Arial" w:eastAsia="Arial" w:hAnsi="Arial"/>
          <w:sz w:val="14"/>
          <w:szCs w:val="14"/>
          <w:color w:val="auto"/>
        </w:rPr>
        <w:t>Micron Technology, Inc., a Delaware corporation, was originally incorporated in 1978. Our executive offices are located at 8000 South Federal Way, Boise, Idaho 83716-9632 and our telephone number is (208) 368-4000. Our common stock is listed on Nasdaq under the symbol “MU.”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6" w:name="page57"/>
    <w:bookmarkEnd w:id="56"/>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RISK FACTORS</w:t>
      </w:r>
    </w:p>
    <w:p>
      <w:pPr>
        <w:spacing w:after="0" w:line="130" w:lineRule="exact"/>
        <w:rPr>
          <w:sz w:val="20"/>
          <w:szCs w:val="20"/>
          <w:color w:val="auto"/>
        </w:rPr>
      </w:pPr>
    </w:p>
    <w:p>
      <w:pPr>
        <w:ind w:left="1140" w:right="1199"/>
        <w:spacing w:after="0" w:line="249" w:lineRule="auto"/>
        <w:rPr>
          <w:sz w:val="20"/>
          <w:szCs w:val="20"/>
          <w:color w:val="auto"/>
        </w:rPr>
      </w:pPr>
      <w:r>
        <w:rPr>
          <w:rFonts w:ascii="Arial" w:cs="Arial" w:eastAsia="Arial" w:hAnsi="Arial"/>
          <w:sz w:val="15"/>
          <w:szCs w:val="15"/>
          <w:color w:val="auto"/>
        </w:rPr>
        <w:t>Investing in our securities involves a high degree of risk. Before making a decision to invest in our securities, in addition to the other information contained in this prospectus, in any accompanying prospectus supplement, or incorporated by reference herein or therein, you should carefully consider the risks described under “Risk Factors” contained in the applicable prospectus supplement and any related free writing prospectus and discussed under “Risk Factors” contained in our periodic reports filed with the SEC that are incorporated by reference into this prospectus, together with other information in this prospectus, the documents incorporated by reference, and any free writing prospectus that we may authorize for use in connection with a specific offering. See “Where You Can Find More Information; Incorporation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7" w:name="page58"/>
    <w:bookmarkEnd w:id="57"/>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USE OF PROCEEDS</w:t>
      </w:r>
    </w:p>
    <w:p>
      <w:pPr>
        <w:spacing w:after="0" w:line="130" w:lineRule="exact"/>
        <w:rPr>
          <w:sz w:val="20"/>
          <w:szCs w:val="20"/>
          <w:color w:val="auto"/>
        </w:rPr>
      </w:pPr>
    </w:p>
    <w:p>
      <w:pPr>
        <w:ind w:left="1140" w:right="1899"/>
        <w:spacing w:after="0" w:line="274" w:lineRule="auto"/>
        <w:rPr>
          <w:sz w:val="20"/>
          <w:szCs w:val="20"/>
          <w:color w:val="auto"/>
        </w:rPr>
      </w:pPr>
      <w:r>
        <w:rPr>
          <w:rFonts w:ascii="Arial" w:cs="Arial" w:eastAsia="Arial" w:hAnsi="Arial"/>
          <w:sz w:val="15"/>
          <w:szCs w:val="15"/>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8" w:name="page59"/>
    <w:bookmarkEnd w:id="58"/>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DESCRIPTION OF SECURITIES</w:t>
      </w:r>
    </w:p>
    <w:p>
      <w:pPr>
        <w:spacing w:after="0" w:line="13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We may issue from time to time, in one or more offerings, the following securities:</w:t>
      </w:r>
    </w:p>
    <w:p>
      <w:pPr>
        <w:spacing w:after="0" w:line="92" w:lineRule="exact"/>
        <w:rPr>
          <w:sz w:val="20"/>
          <w:szCs w:val="20"/>
          <w:color w:val="auto"/>
        </w:rPr>
      </w:pPr>
    </w:p>
    <w:p>
      <w:pPr>
        <w:ind w:left="1580" w:hanging="138"/>
        <w:spacing w:after="0"/>
        <w:tabs>
          <w:tab w:leader="none" w:pos="15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shares of common stock, par value $0.10 per share, of the Company;</w:t>
      </w:r>
    </w:p>
    <w:p>
      <w:pPr>
        <w:spacing w:after="0" w:line="92" w:lineRule="exact"/>
        <w:rPr>
          <w:rFonts w:ascii="Arial" w:cs="Arial" w:eastAsia="Arial" w:hAnsi="Arial"/>
          <w:sz w:val="15"/>
          <w:szCs w:val="15"/>
          <w:color w:val="auto"/>
        </w:rPr>
      </w:pPr>
    </w:p>
    <w:p>
      <w:pPr>
        <w:ind w:left="1580" w:right="1539" w:hanging="138"/>
        <w:spacing w:after="0" w:line="274" w:lineRule="auto"/>
        <w:tabs>
          <w:tab w:leader="none" w:pos="15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debt securities, which may be senior or subordinated, and which may be convertible into our common stock or be non-convertible;</w:t>
      </w:r>
    </w:p>
    <w:p>
      <w:pPr>
        <w:spacing w:after="0" w:line="47" w:lineRule="exact"/>
        <w:rPr>
          <w:rFonts w:ascii="Arial" w:cs="Arial" w:eastAsia="Arial" w:hAnsi="Arial"/>
          <w:sz w:val="15"/>
          <w:szCs w:val="15"/>
          <w:color w:val="auto"/>
        </w:rPr>
      </w:pPr>
    </w:p>
    <w:p>
      <w:pPr>
        <w:ind w:left="1580" w:hanging="138"/>
        <w:spacing w:after="0"/>
        <w:tabs>
          <w:tab w:leader="none" w:pos="15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warrants;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purchase contracts; and</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units.</w:t>
      </w:r>
    </w:p>
    <w:p>
      <w:pPr>
        <w:spacing w:after="0" w:line="126" w:lineRule="exact"/>
        <w:rPr>
          <w:sz w:val="20"/>
          <w:szCs w:val="20"/>
          <w:color w:val="auto"/>
        </w:rPr>
      </w:pPr>
    </w:p>
    <w:p>
      <w:pPr>
        <w:ind w:left="1140" w:right="1319"/>
        <w:spacing w:after="0" w:line="260" w:lineRule="auto"/>
        <w:rPr>
          <w:sz w:val="20"/>
          <w:szCs w:val="20"/>
          <w:color w:val="auto"/>
        </w:rPr>
      </w:pPr>
      <w:r>
        <w:rPr>
          <w:rFonts w:ascii="Arial" w:cs="Arial" w:eastAsia="Arial" w:hAnsi="Arial"/>
          <w:sz w:val="15"/>
          <w:szCs w:val="15"/>
          <w:color w:val="auto"/>
        </w:rPr>
        <w:t>Each share of common stock of the Company registered hereunder will include the right to acquire additional common stock of the Company under any shareholder rights plan then in effect, if applicable under the terms of any such plan.</w:t>
      </w:r>
    </w:p>
    <w:p>
      <w:pPr>
        <w:spacing w:after="0" w:line="80" w:lineRule="exact"/>
        <w:rPr>
          <w:sz w:val="20"/>
          <w:szCs w:val="20"/>
          <w:color w:val="auto"/>
        </w:rPr>
      </w:pPr>
    </w:p>
    <w:p>
      <w:pPr>
        <w:ind w:left="1140" w:right="1259"/>
        <w:spacing w:after="0" w:line="252" w:lineRule="auto"/>
        <w:rPr>
          <w:sz w:val="20"/>
          <w:szCs w:val="20"/>
          <w:color w:val="auto"/>
        </w:rPr>
      </w:pPr>
      <w:r>
        <w:rPr>
          <w:rFonts w:ascii="Arial" w:cs="Arial" w:eastAsia="Arial" w:hAnsi="Arial"/>
          <w:sz w:val="15"/>
          <w:szCs w:val="15"/>
          <w:color w:val="auto"/>
        </w:rPr>
        <w:t>We will set forth in the applicable prospectus supplement and/or free writing prospectus a description of any common stock, debt securities,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9" w:name="page60"/>
    <w:bookmarkEnd w:id="59"/>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PLAN OF DISTRIBUTION</w:t>
      </w:r>
    </w:p>
    <w:p>
      <w:pPr>
        <w:spacing w:after="0" w:line="13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We may sell the offered securities from time to time:</w:t>
      </w:r>
    </w:p>
    <w:p>
      <w:pPr>
        <w:spacing w:after="0" w:line="92" w:lineRule="exact"/>
        <w:rPr>
          <w:sz w:val="20"/>
          <w:szCs w:val="20"/>
          <w:color w:val="auto"/>
        </w:rPr>
      </w:pPr>
    </w:p>
    <w:p>
      <w:pPr>
        <w:ind w:left="1580" w:hanging="138"/>
        <w:spacing w:after="0"/>
        <w:tabs>
          <w:tab w:leader="none" w:pos="15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through underwriters or dealers;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through agents;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directly to one or more purchasers; or</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through a combination of any of these methods of sale.</w:t>
      </w:r>
    </w:p>
    <w:p>
      <w:pPr>
        <w:spacing w:after="0" w:line="126" w:lineRule="exact"/>
        <w:rPr>
          <w:sz w:val="20"/>
          <w:szCs w:val="20"/>
          <w:color w:val="auto"/>
        </w:rPr>
      </w:pPr>
    </w:p>
    <w:p>
      <w:pPr>
        <w:ind w:left="1140" w:right="1519"/>
        <w:spacing w:after="0" w:line="274" w:lineRule="auto"/>
        <w:rPr>
          <w:sz w:val="20"/>
          <w:szCs w:val="20"/>
          <w:color w:val="auto"/>
        </w:rPr>
      </w:pPr>
      <w:r>
        <w:rPr>
          <w:rFonts w:ascii="Arial" w:cs="Arial" w:eastAsia="Arial" w:hAnsi="Arial"/>
          <w:sz w:val="15"/>
          <w:szCs w:val="15"/>
          <w:color w:val="auto"/>
        </w:rPr>
        <w:t>We will identify the specific plan of distribution, including any underwriters, dealers, agents, or direct purchasers and their compensation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0" w:name="page61"/>
    <w:bookmarkEnd w:id="60"/>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LEGAL MATTERS</w:t>
      </w:r>
    </w:p>
    <w:p>
      <w:pPr>
        <w:spacing w:after="0" w:line="130" w:lineRule="exact"/>
        <w:rPr>
          <w:sz w:val="20"/>
          <w:szCs w:val="20"/>
          <w:color w:val="auto"/>
        </w:rPr>
      </w:pPr>
    </w:p>
    <w:p>
      <w:pPr>
        <w:ind w:left="1140" w:right="1219"/>
        <w:spacing w:after="0" w:line="255" w:lineRule="auto"/>
        <w:rPr>
          <w:sz w:val="20"/>
          <w:szCs w:val="20"/>
          <w:color w:val="auto"/>
        </w:rPr>
      </w:pPr>
      <w:r>
        <w:rPr>
          <w:rFonts w:ascii="Arial" w:cs="Arial" w:eastAsia="Arial" w:hAnsi="Arial"/>
          <w:sz w:val="15"/>
          <w:szCs w:val="15"/>
          <w:color w:val="auto"/>
        </w:rPr>
        <w:t>Wilson Sonsini Goodrich &amp; Rosati, Professional Corporation, Palo Alto, California, will pass upon certain legal matters relating to the issuance and sale of the securities offered hereby on behalf of Micron Technology, Inc. Additional legal matters may be passed upon for us or any underwriters, dealers, or agents, by counsel that we will name in the applicable prospectus supplement.</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EXPERTS</w:t>
      </w:r>
    </w:p>
    <w:p>
      <w:pPr>
        <w:spacing w:after="0" w:line="130" w:lineRule="exact"/>
        <w:rPr>
          <w:sz w:val="20"/>
          <w:szCs w:val="20"/>
          <w:color w:val="auto"/>
        </w:rPr>
      </w:pPr>
    </w:p>
    <w:p>
      <w:pPr>
        <w:ind w:left="1140" w:right="1219"/>
        <w:spacing w:after="0" w:line="251" w:lineRule="auto"/>
        <w:rPr>
          <w:sz w:val="20"/>
          <w:szCs w:val="20"/>
          <w:color w:val="auto"/>
        </w:rPr>
      </w:pPr>
      <w:r>
        <w:rPr>
          <w:rFonts w:ascii="Arial" w:cs="Arial" w:eastAsia="Arial" w:hAnsi="Arial"/>
          <w:sz w:val="15"/>
          <w:szCs w:val="15"/>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of Micron Technology, Inc. for the year ended August 31, 2023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1" w:name="page62"/>
    <w:bookmarkEnd w:id="61"/>
    <w:p>
      <w:pPr>
        <w:ind w:left="120"/>
        <w:spacing w:after="0"/>
        <w:rPr>
          <w:sz w:val="20"/>
          <w:szCs w:val="20"/>
          <w:color w:val="auto"/>
        </w:rPr>
      </w:pPr>
      <w:r>
        <w:rPr>
          <w:rFonts w:ascii="Calibri" w:cs="Calibri" w:eastAsia="Calibri" w:hAnsi="Calibri"/>
          <w:sz w:val="12"/>
          <w:szCs w:val="12"/>
          <w:color w:val="003366"/>
        </w:rPr>
        <w:t>TABLE OF CONTENTS</w:t>
      </w:r>
    </w:p>
    <w:p>
      <w:pPr>
        <w:spacing w:after="0" w:line="396" w:lineRule="exact"/>
        <w:rPr>
          <w:sz w:val="20"/>
          <w:szCs w:val="20"/>
          <w:color w:val="auto"/>
        </w:rPr>
      </w:pPr>
    </w:p>
    <w:p>
      <w:pPr>
        <w:ind w:left="114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-3175</wp:posOffset>
            </wp:positionV>
            <wp:extent cx="4262120" cy="139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4262120" cy="1397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38100</wp:posOffset>
            </wp:positionV>
            <wp:extent cx="426212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42621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475615</wp:posOffset>
            </wp:positionV>
            <wp:extent cx="2103120" cy="4413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2103120" cy="44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 xml:space="preserve">$            % Senior Notes due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1007110</wp:posOffset>
            </wp:positionV>
            <wp:extent cx="100965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PROSPECTUS SUPPLEMENT</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173355</wp:posOffset>
            </wp:positionV>
            <wp:extent cx="100965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Joint Book-Running Managers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Morgan Stanley  BNP PARIBAS  J.P. Morgan  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826135</wp:posOffset>
            </wp:positionV>
            <wp:extent cx="426212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42621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4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-3175</wp:posOffset>
            </wp:positionV>
            <wp:extent cx="4262120" cy="139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4262120" cy="1397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207645</wp:posOffset>
            </wp:positionV>
            <wp:extent cx="5584190"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sectPr>
      <w:pgSz w:w="11900" w:h="16838" w:orient="portrait"/>
      <w:cols w:equalWidth="0" w:num="1">
        <w:col w:w="9019"/>
      </w:cols>
      <w:pgMar w:left="1440" w:top="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
      <w:numFmt w:val="bullet"/>
      <w:start w:val="1"/>
    </w:lvl>
  </w:abstractNum>
  <w:abstractNum w:abstractNumId="1">
    <w:nsid w:val="2D1D5AE9"/>
    <w:multiLevelType w:val="hybridMultilevel"/>
    <w:lvl w:ilvl="0">
      <w:lvlJc w:val="left"/>
      <w:lvlText w:val="(%1)"/>
      <w:numFmt w:val="decimal"/>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decimal"/>
      <w:start w:val="2"/>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 "/>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2"/>
    </w:lvl>
  </w:abstractNum>
  <w:abstractNum w:abstractNumId="18">
    <w:nsid w:val="737B8DDC"/>
    <w:multiLevelType w:val="hybridMultilevel"/>
    <w:lvl w:ilvl="0">
      <w:lvlJc w:val="left"/>
      <w:lvlText w:val="(%1)"/>
      <w:numFmt w:val="decimal"/>
      <w:start w:val="1"/>
    </w:lvl>
    <w:lvl w:ilvl="1">
      <w:lvlJc w:val="left"/>
      <w:lvlText w:val="(%2)"/>
      <w:numFmt w:val="lowerLetter"/>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1)"/>
      <w:numFmt w:val="decimal"/>
      <w:start w:val="2"/>
    </w:lvl>
  </w:abstractNum>
  <w:abstractNum w:abstractNumId="23">
    <w:nsid w:val="614FD4A1"/>
    <w:multiLevelType w:val="hybridMultilevel"/>
    <w:lvl w:ilvl="0">
      <w:lvlJc w:val="left"/>
      <w:lvlText w:val="(%1)"/>
      <w:numFmt w:val="decimal"/>
      <w:start w:val="2"/>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lowerRoman"/>
      <w:start w:val="3"/>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1)"/>
      <w:numFmt w:val="decimal"/>
      <w:start w:val="10"/>
    </w:lvl>
  </w:abstractNum>
  <w:abstractNum w:abstractNumId="38">
    <w:nsid w:val="3855585C"/>
    <w:multiLevelType w:val="hybridMultilevel"/>
    <w:lvl w:ilvl="0">
      <w:lvlJc w:val="left"/>
      <w:lvlText w:val="%1)"/>
      <w:numFmt w:val="lowerLetter"/>
      <w:start w:val="1"/>
    </w:lvl>
  </w:abstractNum>
  <w:abstractNum w:abstractNumId="39">
    <w:nsid w:val="70A64E2A"/>
    <w:multiLevelType w:val="hybridMultilevel"/>
    <w:lvl w:ilvl="0">
      <w:lvlJc w:val="left"/>
      <w:lvlText w:val="%1)"/>
      <w:numFmt w:val="lowerLetter"/>
      <w:start w:val="1"/>
    </w:lvl>
    <w:lvl w:ilvl="1">
      <w:lvlJc w:val="left"/>
      <w:lvlText w:val="(%2)"/>
      <w:numFmt w:val="lowerRoman"/>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jpe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jpe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87" Type="http://schemas.openxmlformats.org/officeDocument/2006/relationships/hyperlink" Target="https://www.sec.gov/ix?doc=/Archives/edgar/data/723125/000072312524000027/mu-20240829.htm" TargetMode="External"/><Relationship Id="rId88" Type="http://schemas.openxmlformats.org/officeDocument/2006/relationships/hyperlink" Target="http://www.sec.gov/ix?doc=/Archives/edgar/data/723125/000072312524000047/mu-20241128.htm" TargetMode="External"/><Relationship Id="rId89" Type="http://schemas.openxmlformats.org/officeDocument/2006/relationships/hyperlink" Target="http://www.sec.gov/ix?doc=/Archives/edgar/data/723125/000072312524000027/mu-20240829.htm" TargetMode="External"/><Relationship Id="rId90" Type="http://schemas.openxmlformats.org/officeDocument/2006/relationships/hyperlink" Target="http://www.sec.gov/ix?doc=/Archives/edgar/data/723125/000072312524000039/mu-20241126.htm" TargetMode="External"/><Relationship Id="rId91" Type="http://schemas.openxmlformats.org/officeDocument/2006/relationships/hyperlink" Target="http://www.sec.gov/ix?doc=/Archives/edgar/data/723125/000110465924127174/tm2430615d1_8k.htm" TargetMode="External"/><Relationship Id="rId105" Type="http://schemas.openxmlformats.org/officeDocument/2006/relationships/hyperlink" Target="http://www.sec.gov/ix?doc=/Archives/edgar/data/723125/000072312523000054/mu-20230831.htm" TargetMode="External"/><Relationship Id="rId106" Type="http://schemas.openxmlformats.org/officeDocument/2006/relationships/hyperlink" Target="http://www.sec.gov/ix?doc=/Archives/edgar/data/723125/000072312522000048/mu-20220901.htm" TargetMode="External"/><Relationship Id="rId107" Type="http://schemas.openxmlformats.org/officeDocument/2006/relationships/hyperlink" Target="http://www.sec.gov/Archives/edgar/data/723125/000072312522000063/a2022definitiveproxy.htm" TargetMode="External"/><Relationship Id="rId108" Type="http://schemas.openxmlformats.org/officeDocument/2006/relationships/hyperlink" Target="http://www.sec.gov/Archives/edgar/data/723125/000072312509000145/form8a12b-nasda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2025-01-13T07:45:31Z</dcterms:created>
  <dcterms:modified xsi:type="dcterms:W3CDTF">2025-01-13T07:45:31Z</dcterms:modified>
</cp:coreProperties>
</file>