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93"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FORM 10-Q</w:t>
      </w:r>
    </w:p>
    <w:p>
      <w:pPr>
        <w:spacing w:after="0" w:line="50"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3800" w:right="180" w:hanging="2939"/>
        <w:spacing w:after="0" w:line="521" w:lineRule="auto"/>
        <w:tabs>
          <w:tab w:leader="none" w:pos="181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February 28, 2008</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95" w:lineRule="exact"/>
        <w:rPr>
          <w:sz w:val="24"/>
          <w:szCs w:val="24"/>
          <w:color w:val="auto"/>
        </w:rPr>
      </w:pPr>
    </w:p>
    <w:p>
      <w:pPr>
        <w:ind w:left="1780" w:hanging="932"/>
        <w:spacing w:after="0"/>
        <w:tabs>
          <w:tab w:leader="none" w:pos="17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140"/>
          </w:cols>
          <w:pgMar w:left="240" w:top="1017" w:right="519" w:bottom="1440" w:gutter="0" w:footer="0" w:header="0"/>
        </w:sectPr>
      </w:pPr>
    </w:p>
    <w:p>
      <w:pPr>
        <w:spacing w:after="0" w:line="264" w:lineRule="exact"/>
        <w:rPr>
          <w:sz w:val="24"/>
          <w:szCs w:val="24"/>
          <w:color w:val="auto"/>
        </w:rPr>
      </w:pPr>
    </w:p>
    <w:p>
      <w:pPr>
        <w:jc w:val="center"/>
        <w:ind w:right="-279"/>
        <w:spacing w:after="0"/>
        <w:tabs>
          <w:tab w:leader="none" w:pos="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file number 1-10658</w:t>
      </w:r>
    </w:p>
    <w:p>
      <w:pPr>
        <w:sectPr>
          <w:pgSz w:w="11900" w:h="16838" w:orient="portrait"/>
          <w:cols w:equalWidth="0" w:num="1">
            <w:col w:w="11140"/>
          </w:cols>
          <w:pgMar w:left="240" w:top="1017" w:right="519" w:bottom="1440" w:gutter="0" w:footer="0" w:header="0"/>
          <w:type w:val="continuous"/>
        </w:sectPr>
      </w:pP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incorporation or organization)</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8000 S. Federal Way, Boise, Idaho</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280" w:type="dxa"/>
            <w:vAlign w:val="bottom"/>
          </w:tcPr>
          <w:p>
            <w:pPr>
              <w:jc w:val="center"/>
              <w:ind w:right="153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r>
        <w:trPr>
          <w:trHeight w:val="432"/>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89"/>
              </w:rPr>
              <w:t>Registrant’s telephone number, including area code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0" w:lineRule="exact"/>
        <w:rPr>
          <w:sz w:val="24"/>
          <w:szCs w:val="24"/>
          <w:color w:val="auto"/>
        </w:rPr>
      </w:pPr>
    </w:p>
    <w:p>
      <w:pPr>
        <w:spacing w:after="0" w:line="272"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140"/>
          </w:cols>
          <w:pgMar w:left="240" w:top="1017" w:right="519" w:bottom="1440" w:gutter="0" w:footer="0" w:header="0"/>
          <w:type w:val="continuous"/>
        </w:sectPr>
      </w:pP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x</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8"/>
          <w:szCs w:val="18"/>
          <w:b w:val="1"/>
          <w:bCs w:val="1"/>
          <w:color w:val="auto"/>
        </w:rPr>
        <w: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6"/>
          <w:szCs w:val="16"/>
          <w:b w:val="1"/>
          <w:bCs w:val="1"/>
          <w:color w:val="auto"/>
        </w:rPr>
        <w:t>o</w:t>
      </w:r>
    </w:p>
    <w:p>
      <w:pPr>
        <w:spacing w:after="0" w:line="416" w:lineRule="exact"/>
        <w:rPr>
          <w:sz w:val="24"/>
          <w:szCs w:val="24"/>
          <w:color w:val="auto"/>
        </w:rPr>
      </w:pPr>
    </w:p>
    <w:p>
      <w:pPr>
        <w:sectPr>
          <w:pgSz w:w="11900" w:h="16838" w:orient="portrait"/>
          <w:cols w:equalWidth="0" w:num="2">
            <w:col w:w="5400" w:space="720"/>
            <w:col w:w="5020"/>
          </w:cols>
          <w:pgMar w:left="240" w:top="1017" w:right="519" w:bottom="1440" w:gutter="0" w:footer="0" w:header="0"/>
          <w:type w:val="continuous"/>
        </w:sectPr>
      </w:pPr>
    </w:p>
    <w:p>
      <w:pPr>
        <w:spacing w:after="0" w:line="30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w:t>
      </w:r>
      <w:r>
        <w:rPr>
          <w:rFonts w:ascii="Arial" w:cs="Arial" w:eastAsia="Arial" w:hAnsi="Arial"/>
          <w:sz w:val="16"/>
          <w:szCs w:val="16"/>
          <w:b w:val="1"/>
          <w:bCs w:val="1"/>
          <w:color w:val="auto"/>
        </w:rPr>
        <w:t>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March 31, 2008 was 760,834,736.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017" w:right="5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220"/>
              <w:spacing w:after="0" w:line="198"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1,</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3"/>
              </w:rPr>
              <w:t>February 28,</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Restructure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net</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 and noncontrolling interests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Noncontrolling interests in net income</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768.7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768.7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MICRON TECHNOLOGY,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0"/>
              </w:rPr>
              <w:t>(in millions except par value and share amounts)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February 28,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equivalents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1,708</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13,785</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$0.10 par value, authorized 3 billion shares, issued and outstanding 760.8 million and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757.9 million shares, respectively</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13,785</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rPr>
              <w:t>MICRON TECHNOLOGY, INC.</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1"/>
              </w:rPr>
              <w:t>(Unaudited)</w:t>
            </w:r>
          </w:p>
        </w:tc>
        <w:tc>
          <w:tcPr>
            <w:tcW w:w="500" w:type="dxa"/>
            <w:vAlign w:val="bottom"/>
          </w:tcPr>
          <w:p>
            <w:pPr>
              <w:spacing w:after="0"/>
              <w:rPr>
                <w:sz w:val="20"/>
                <w:szCs w:val="20"/>
                <w:color w:val="auto"/>
              </w:rPr>
            </w:pP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3"/>
              </w:rPr>
              <w:t>February 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March 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Six months ended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(1,039)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Provision to write-down inventories to estimated market values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Noncash restructure charges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from disposition of equipment, net of write-downs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Gain from sale of product and process technology</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Decrease in receivables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inventories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Increase (decrease) in accounts payable and accrued expenses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product and process technology</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(Increase) decrease in restricted cash</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received from noncontrolling interests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equipment sale-leaseback transactions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cash provided by (used for) financing activities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increase (decrease) in cash and equivalents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equivalents at end of period</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net</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Equipment acquisitions on contracts payable and capital leases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Accounting Policies</w:t>
      </w:r>
    </w:p>
    <w:p>
      <w:pPr>
        <w:spacing w:after="0" w:line="24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 DRAM,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NAND Flash memory, CMOS image sensors and other semiconductor components. The Company has two segments, Memory and Imaging. The Memory segment’s primary products are DRAM and NAND Flash and the Imaging segment’s primary product is CMOS image sensors. The accompanying consolidated financial statements have been prepared in accordance with accounting principles generally accepted in the United States of America and include the accounts of the Company and its consolidated subsidiaries.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2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Company’s fiscal year is the 52 or 53-week period ending on the Thursday closest to August 31. The Company’s second quarter of fiscal 2008 and 2007 ended on February 28, 2008 and March 1, 2007, respectively. The Company’s fiscal 2007 ended on August 30, 2007.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August 30, 2007.</w:t>
      </w:r>
    </w:p>
    <w:p>
      <w:pPr>
        <w:spacing w:after="0" w:line="19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i w:val="1"/>
          <w:iCs w:val="1"/>
          <w:color w:val="auto"/>
        </w:rPr>
        <w:t xml:space="preserve">Recently issued accounting standards: </w:t>
      </w:r>
      <w:r>
        <w:rPr>
          <w:rFonts w:ascii="Arial" w:cs="Arial" w:eastAsia="Arial" w:hAnsi="Arial"/>
          <w:sz w:val="18"/>
          <w:szCs w:val="18"/>
          <w:color w:val="auto"/>
        </w:rPr>
        <w:t>In March 2008, the Financial Accounting Standards Board (“FASB”) issued Statement of Financial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(“SFAS”) No. 161, “Disclosures about Derivative Instruments and Hedging Activities – an amendment of FASB Statement No. 133.” SFAS No. 161 requires qualitative disclosures about objectives and strategies for using derivatives, quantitative disclosures about fair value amounts of and gains and losses on derivative instruments, and disclosures about credit-risk-related contingent features in derivative agreements. The Company is required to adopt SFAS No. 161 effective at the beginning of 2010. The Company is evaluating the impact that the adoption of SFAS No. 161 will have on its financial statements.</w:t>
      </w:r>
    </w:p>
    <w:p>
      <w:pPr>
        <w:spacing w:after="0" w:line="22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December 2007, the FASB ratified Emerging Issues Task Force (“EITF”) Issue No. 07-1, “Accounting for Collaborative Arrangements,” which defines collaborative arrangements and establishes reporting and disclosure requirements for transactions between participants in a collaborative arrangement and between participants in the arrangements and third parties. The Company is required to adopt EITF No. 07-1 effective at the beginning of 2010. The Company is evaluating the impact that the adoption of EITF No. 07-1 will have on its financial statements.</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December 2007, the FASB issued SFAS No. 141 (revised 2007),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the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on or after the beginning of 2010.</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income statement,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that the adoption of SFAS No. 160 will have on its financial statements.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80"/>
        <w:spacing w:after="0" w:line="25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is required to adopt SFAS No. 159 effective at the beginning of 2009. The impact of the adoption of SFAS No. 159 on the Company’s financial statements will depend on the extent to which the Company elects to measure eligible items at fair value.</w:t>
      </w:r>
    </w:p>
    <w:p>
      <w:pPr>
        <w:spacing w:after="0" w:line="21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In February 2008, the FASB issued FASB Staff Position (“FSP”) FAS 157-1, “Application of FASB Statement No. 157 to FASB Statement No. 13 and Other Accounting Pronouncements That Address Fair Value Measurements for Purposes of Lease Classification or Measurement under Statement 13,” which amends SFAS No. 157 to exclude accounting pronouncements that address fair value measurements for purposes of lease classification or measurement under SFAS No. 13. In February 2008, the FASB also issued FSP FAS 157-2, “Effective Date of FASB Statement No. 157,” which delays the effective date of SFAS No. 157 until the beginning of 2010 for all non-financial assets and non-financial liabilities, except for items that are recognized or disclosed at fair value in the financial statements on a recurring basis (at least annually). The Company is required to adopt SFAS No. 157 for financial assets and liabilities effective at the beginning of 2009. The Company is evaluating the impact this statement will have on its financial statements.</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2006, the FASB issued Interpretation No. 48 (“FIN 48”), “Accounting for Uncertainty in Income Taxes – an interpretation of FASB Statement No. 109.” FIN 48 contains a two-step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on August 31, 2007, which did not have a significant impact on the Company’s results of operations or financial position. The Company did not change its policy of recognizing accrued interest and penalties related to unrecognized tax benefits within the income tax provision with the adoption of FIN 48. (See “Income Taxes” note.)</w:t>
      </w:r>
    </w:p>
    <w:p>
      <w:pPr>
        <w:spacing w:after="0" w:line="1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The Company adopted SFAS No. 155 as of the beginning of 2008. The adoption of SFAS No. 155 did not have a significant impact on the Company’s results of operations or financial condition.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Balance Sheet Information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February 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41"/>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February 28, 2008 and August 30, 2007, other receivables included $73 million and $108 million, respectively, due from Intel Corporation (“Intel”) primarily for amounts related to NAND Flash product design and process development activities. Other receivables as of February 28, 2008 and August 30, 2007 also included $78 million and $83 million, respectively, due from settlement of litigation.</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noncurrent assets as of February 28, 2008 and August 30, 2007 included receivables of $74 million and $110 million, respectively, due from settlement of litigation.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30,</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results of operations for the second and first quarters of 2008 and fourth quarter of 2007 included charges of $15 million, $62 million and $20 million, respectively, to write down the carrying value of work in process and finished goods inventories of memory products (both DRAM and NAND Flash) to their estimated market values.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February 28, 2008</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August 30, 2007</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Product and process technology</w:t>
            </w:r>
          </w:p>
        </w:tc>
        <w:tc>
          <w:tcPr>
            <w:tcW w:w="2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76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78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w:t>
            </w:r>
          </w:p>
        </w:tc>
        <w:tc>
          <w:tcPr>
            <w:tcW w:w="7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first six months of 2008 and 2007, the Company capitalized $20 million and $62 million, respectively, for product and process technology with weighted-average useful lives of 10 years and 9 years, respectively.</w:t>
      </w:r>
    </w:p>
    <w:p>
      <w:pPr>
        <w:spacing w:after="0" w:line="19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Amortization expense for intangible assets was $20 million and $40 million for the second quarter and first six months of 2008, respectively, and $19 million and $36 million for the second quarter and first six months of 2007, respectively. Annual amortization expense for intangible assets held as of February 28, 2008 is estimated to be $79 million for 2008, $69 million for 2009, $59 million for 2010, $54 million for 2011 and $45 million for 2012.</w:t>
      </w:r>
    </w:p>
    <w:p>
      <w:pPr>
        <w:spacing w:after="0" w:line="19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As of February 28, 2008 and August 30, 2007, the Company had goodwill related to its Imaging segment of $58 million and $52 million, respectively, and goodwill related to its Memory segment of $0 and $463 million, respectively. The $6 million increase in goodwill for the Imaging segment during the first six months of 2008 was due to additional contingent payments made in connection with the Company’s acquisition of the CMOS image sensor business of Avago Technologies Limited.</w:t>
      </w:r>
    </w:p>
    <w:p>
      <w:pPr>
        <w:spacing w:after="0" w:line="21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SFAS No. 142, “Goodwill and Other Intangible Assets,” requires that goodwill be tested for impairment at a reporting unit level. The Company has determined that its reporting units are its Memory and Imaging segments based on its organizational structure and the financial information that is provided to and reviewed by management. The Company tests goodwill for impairment annually and whenever events or circumstances make it more likely than not that an impairment may have occurred. Goodwill is tested for impairment using a two-step process. In the first step, the fair value of a reporting unit is compared to its carrying value. If the fair value of a reporting unit exceeds the carrying value of the net assets assigned to a reporting unit, goodwill is considered not impaired and no further testing is required. If the carrying value of the net assets assigned to a reporting unit exceeds the fair value of a reporting unit, a second step of the impairment test is performed in order to determine the implied fair value of a reporting unit’s goodwill. Determining the implied fair value of goodwill requires valuation of a reporting unit’s tangible and intangible assets and liabilities in a manner similar to the allocation of purchase price in a business combination. If the carrying value of a reporting unit’s goodwill exceeds its implied fair value, goodwill is deemed impaired and is written down to the extent of the difference.</w:t>
      </w:r>
    </w:p>
    <w:p>
      <w:pPr>
        <w:spacing w:after="0" w:line="22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the first and second quarters of 2008, the Company experienced a sustained, significant decline in its stock price. As a result of the decline in stock prices, the Company’s market capitalization fell significantly below the recorded value of its consolidated net assets for most of the second quarter of 2008. The reduced market capitalization reflected, in part, the Memory segment’s lower average selling prices and expected continued weakness in pricing for the Company’s memory products. Accordingly, in the second quarter of 2008, the Company performed an assessment of goodwill for impairment.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7" w:name="page8"/>
    <w:bookmarkEnd w:id="7"/>
    <w:p>
      <w:pPr>
        <w:ind w:right="60"/>
        <w:spacing w:after="0" w:line="291" w:lineRule="auto"/>
        <w:rPr>
          <w:sz w:val="20"/>
          <w:szCs w:val="20"/>
          <w:color w:val="auto"/>
        </w:rPr>
      </w:pPr>
      <w:r>
        <w:rPr>
          <w:rFonts w:ascii="Arial" w:cs="Arial" w:eastAsia="Arial" w:hAnsi="Arial"/>
          <w:sz w:val="16"/>
          <w:szCs w:val="16"/>
          <w:color w:val="auto"/>
        </w:rPr>
        <w:t>Based on the results of the Company’s assessment of goodwill for impairment, it was determined that the carrying value of the Memory segment exceeded its estimated fair value. Therefore, the Company performed a preliminary second step of the impairment test to determine the implied fair value of</w:t>
      </w:r>
    </w:p>
    <w:p>
      <w:pPr>
        <w:ind w:right="160"/>
        <w:spacing w:after="0" w:line="252" w:lineRule="auto"/>
        <w:rPr>
          <w:sz w:val="20"/>
          <w:szCs w:val="20"/>
          <w:color w:val="auto"/>
        </w:rPr>
      </w:pPr>
      <w:r>
        <w:rPr>
          <w:rFonts w:ascii="Arial" w:cs="Arial" w:eastAsia="Arial" w:hAnsi="Arial"/>
          <w:sz w:val="18"/>
          <w:szCs w:val="18"/>
          <w:color w:val="auto"/>
        </w:rPr>
        <w:t>goodwill. Specifically, the Company hypothetically allocated the estimated fair value of the Memory segment as determined in the first step to recognized and unrecognized net assets, including allocations to intangible assets such as intellectual property, customer relationships and brand and trade names. The result of the preliminary analysis indicated that there would be no remaining implied value attributable to goodwill in the Memory segment and accordingly, the Company wrote off all $463 million of goodwill associated with its Memory segment as of February 28, 2008. Any adjustments to the estimated charge resulting from the completion of the measurement of the impairment loss will be recognized in the third quarter 2008. The Company’s assessment of goodwill impairment indicated that as of February 28, 2008, the fair value of the Imaging segment exceeded its carrying value and therefore goodwill in the segment was not impaired.</w:t>
      </w:r>
    </w:p>
    <w:p>
      <w:pPr>
        <w:spacing w:after="0" w:line="2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To derive the fair value of its reporting units, the Company performed extensive valuation analyses, utilizing both income and market approaches. Under the income approach, the Company determined fair value based on estimated future cash flows discounted by an estimated weighted-average cost of capital, which reflects the overall level of inherent risk of a reporting unit and the rate of return an outside investor would expect to earn. Estimated future cash flows were based on our internal projection model, industry projections and other assumptions deemed reasonable by management. Under the market-based approach, the Company derived the fair value of its reporting units based on revenue and earnings multiples of comparable publicly-traded peer companies.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February 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8,634</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Depreciation expense was $490 million and $974 million for the second quarter and first six months of 2008, respectively, and $407 million and $782 million for the second quarter and first six months of 2007,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February 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30,</w:t>
            </w: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w:t>
            </w:r>
          </w:p>
        </w:tc>
        <w:tc>
          <w:tcPr>
            <w:tcW w:w="2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and other taxes</w:t>
            </w: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2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of February 28, 2008 and August 30, 2007, customer advances included $167 million and $83 million, respectively, for the Company’s obligation to provide certain NAND Flash memory products to Apple Computer, Inc. (“Apple”) until December 31, 2010 pursuant to a prepaid NAND Flash supply agreement. As of February 28, 2008 and August 30, 2007, other accounts payable and accrued expenses included $14 million and $17 million, respectively, for amounts due to Intel for NAND Flash product design and process development and licensing fees pursuant to a product designs development agreement.</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February 28, 2008 and August 30, 2007, other noncurrent liabilities included $83 million and $167 million, respectively, pursuant to the supply agreement with Apple.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February 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41"/>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 payable, interest rate of 1.875%, due June 2014</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w w:val="97"/>
              </w:rPr>
              <w:t>Capital lease obligations payable in monthly installments through August 2021, weighted-average imputed</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interest rates of 6.6%</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in periodic installments through July 2015, weighted-average interest rates of 4.2% and</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4.5%, respectively</w:t>
            </w: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Convertible subordinated notes payable, interest rate of 5.6%, due April 2010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Less current portion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February 28, 2008, notes payable and capital lease obligations above included $145 million, denominated in Japanese yen, at a weighted-average interest rate of 1.6%, and $47 million, denominated in Singapore dollars, at a weighted-average interest rate of 6.0%.</w:t>
      </w:r>
    </w:p>
    <w:p>
      <w:pPr>
        <w:spacing w:after="0" w:line="19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the second quarter of 2008, the Company received $48 million in proceeds from sales-leaseback transactions. In connection with these transactions, the Company recorded capital lease obligations aggregating $48 million with a weighted-average imputed interest rate of 7.2%, payable in periodic installments through January, 2012.</w:t>
      </w:r>
    </w:p>
    <w:p>
      <w:pPr>
        <w:spacing w:after="0" w:line="20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second quarter of 2008, the Company’s joint venture subsidiary, TECH Semiconductor Singapore Pte. Ltd., (“TECH”) borrowed $240 million against a credit facility at Singapore Interbank Offered Rate ("SIBOR") plus 2.5%, subject to customary covenants. On March 31, 2008, TECH entered into a new credit facility that enables it to borrow up to $600 million at SIBOR plus 2.5%, subject to customary liquidity and other covenants. The facility is available for drawdown from March 31, 2008 to December 31, 2008. On April 7, 2008, TECH drew $220 million under the new credit facility and retired the previous credit facility by paying off the $240 million outstanding. Payments under the new facility are due in approximately equal installments over 13 quarters commencing in May 2009. In March 2009, TECH will be required to place $30 million in restricted cash and on September 2009 it will be required to increase the amount in restricted cash to $60 million. The Company has guaranteed approximately 73% of the outstanding amount of the facility, with the Company’s obligation increasing to 100% of the outstanding amount of the facility upon the occurrence of certain conditions. As a condition to granting the guarantee, the Company has a second position priority interest in all of the assets of TECH behind the lenders.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The Company also is engaged in patent litigation with Mosaid Technologies, Inc. (“Mosaid”) in both the U.S. District Court for the Northern District of California and the U.S. District Court for the Eastern District of Texas. Among other things, the above lawsuits pertain to certain of the Company’s SDRAM, DDR SDRAM, DDR2 SDRAM, DDR3 SDRAM, RLDRAM, and image sensor products, which account for a significant portion of net sales.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9" w:name="page10"/>
    <w:bookmarkEnd w:id="9"/>
    <w:p>
      <w:pPr>
        <w:ind w:right="80"/>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w:t>
      </w:r>
    </w:p>
    <w:p>
      <w:pPr>
        <w:spacing w:after="0" w:line="20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Subsequent to the commencement of the DOJ DRAM investigation, at least sixty-eight purported class action lawsuits have been filed against the Company and other DRAM suppliers in various federal 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treble damages sustained by purported class members, in addition to restitution, costs, and attorneys’ fees. On January 29, 2008, the Court granted in part and denied in part the Company’s motion to dismiss plaintiff’s second amended consolidated complaint. Plaintiffs have filed a motion seeking certification for interlocutory appeal of this decision and on February 27, 2008, filed a third amended complaint.</w:t>
      </w:r>
    </w:p>
    <w:p>
      <w:pPr>
        <w:spacing w:after="0" w:line="216"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Three states, Ohio, New Hampshire, and Texas, subsequently voluntarily dismissed their claims. The remaining states filed a third amended complaint on October 1, 2007. Alaska and Delaware subsequently voluntarily dismissed their claims.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w:t>
      </w:r>
    </w:p>
    <w:p>
      <w:pPr>
        <w:spacing w:after="0" w:line="2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Three purported class action DRAM lawsuits also have been filed in Canada, on behalf of direct and indirect purchasers, alleging violations of the Canadian Competition Act. The substantive allegations in these cases are similar to those asserted in the cases filed in the United States.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the direct purchaser class action suit that was settled. The complaints allege, among other things, violations of federal and state antitrust and competition laws in the DRAM industry, and seek damages, injunctive relief, and other remedies.</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Subsequent to the commencement of the DOJ SRAM investigation, at least eighty purported class action lawsuits have been filed against the Company and other SRAM suppliers in various federal courts on behalf of direct and indirect purchasers alleging price-fixing in violation of federal and state antitrust laws, violations of state unfair competition law, and/or unjust enrichment relating to the sale and pricing of SRAM products during the period from January 1998 through December 2005. The complaints seek treble monetary damages sustained by purported class members, in addition to restitution, costs, and attorneys’ fees.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 w:name="page11"/>
    <w:bookmarkEnd w:id="10"/>
    <w:p>
      <w:pPr>
        <w:ind w:right="200"/>
        <w:spacing w:after="0" w:line="308" w:lineRule="auto"/>
        <w:rPr>
          <w:sz w:val="20"/>
          <w:szCs w:val="20"/>
          <w:color w:val="auto"/>
        </w:rPr>
      </w:pPr>
      <w:r>
        <w:rPr>
          <w:rFonts w:ascii="Arial" w:cs="Arial" w:eastAsia="Arial" w:hAnsi="Arial"/>
          <w:sz w:val="17"/>
          <w:szCs w:val="17"/>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The Company has not received a subpoena and believes that it is not a target of the investigation.</w:t>
      </w:r>
    </w:p>
    <w:p>
      <w:pPr>
        <w:spacing w:after="0" w:line="20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At least thirty-four purported class action lawsuits were filed against the Company and other suppliers of Flash memory products in various federal and state courts on behalf of direct and indirect purchasers alleging price-fixing in violation of federal and state antitrust laws, violations of state unfair competition law, and/or unjust enrichment relating to the sale and pricing of Flash memory products during the period from January 1, 1999 through the date the various cases were filed. The complaints seek treble monetary damages sustained by purported class members, in addition to restitution, costs, and attorneys’ fees. On February 8, 2008, the plaintiffs filed a consolidated amended complaint that did not name the Company as a defendant.</w:t>
      </w:r>
    </w:p>
    <w:p>
      <w:pPr>
        <w:spacing w:after="0" w:line="20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Three purported class action Flash lawsuits also have been filed in Canada, on behalf of direct and indirect purchasers, alleging violations of the Canadian Competition Act. The substantive allegations in these cases are similar to those asserted in the Flash cases filed in the United States.</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w:t>
      </w:r>
    </w:p>
    <w:p>
      <w:pPr>
        <w:spacing w:after="0" w:line="21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Supreme Court.</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line="269" w:lineRule="auto"/>
        <w:rPr>
          <w:sz w:val="20"/>
          <w:szCs w:val="20"/>
          <w:color w:val="auto"/>
        </w:rPr>
      </w:pPr>
      <w:r>
        <w:rPr>
          <w:rFonts w:ascii="Arial" w:cs="Arial" w:eastAsia="Arial" w:hAnsi="Arial"/>
          <w:sz w:val="17"/>
          <w:szCs w:val="17"/>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named the Company as a defendant. The complaints alleged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sought,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the Company's motions to dismiss the amended complaint but allowed plaintiffs leave to file a further amended complaint. On November 16, 2007, the Court granted Lexar’s and the Company’s renewed motion to dismiss the case as to all parties with prejudice. On December 18, 2007, the Court entered an order holding that the plaintiffs had waived any right to appeal the final judgment.</w:t>
      </w:r>
    </w:p>
    <w:p>
      <w:pPr>
        <w:spacing w:after="0" w:line="21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Plans</w:t>
      </w:r>
    </w:p>
    <w:p>
      <w:pPr>
        <w:spacing w:after="0" w:line="2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February 28, 2008, the Company had an aggregate of 203.3 million shares of its common stock reserved for issuance under its various equity plans, of which 128.4 million shares were subject to outstanding stock awards and 74.9 million shares were available for future grants. Awards are subject to terms and conditions as determined by the Company’s Board of Directors.</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The Company granted 6.3 million and 6.5 million shares of stock options during the second quarter and first six months of 2008,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weighted-average grant-date fair values per share of $2.48 and $2.53, respectively. The Company granted 6.8 million and 7.8 million shares of stock options during the second quarter and first six months of 2007, respectively, with weighted-average grant-date fair values per share of $4.75 and $4.91, respectively.</w:t>
      </w:r>
    </w:p>
    <w:p>
      <w:pPr>
        <w:spacing w:after="0" w:line="21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fair value of each option award is estimated as of the date of grant using the Black-Scholes option valuation model. The Black-Scholes model was developed for use in estimating the fair value of traded options which have no vesting restrictions and are fully transferable and requires the input of subjective assumptions, including the expected stock price volatility and estimated option life. Expected volatilities are based on implied volatilities from traded options on the Company’s stock and historical volatility. The risk-free rates are based on the U.S. Treasury yield in effect at the time of the grant. No dividends have been assumed in the Company’s estimated option values. Assumptions used in the Black-Scholes model are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2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rPr>
              <w:t>Quarter ended</w:t>
            </w:r>
          </w:p>
        </w:tc>
        <w:tc>
          <w:tcPr>
            <w:tcW w:w="270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6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w w:val="98"/>
              </w:rPr>
              <w:t>February 28,</w:t>
            </w:r>
          </w:p>
        </w:tc>
        <w:tc>
          <w:tcPr>
            <w:tcW w:w="10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March 1,</w:t>
            </w:r>
          </w:p>
        </w:tc>
        <w:tc>
          <w:tcPr>
            <w:tcW w:w="280" w:type="dxa"/>
            <w:vAlign w:val="bottom"/>
          </w:tcPr>
          <w:p>
            <w:pPr>
              <w:spacing w:after="0"/>
              <w:rPr>
                <w:sz w:val="17"/>
                <w:szCs w:val="17"/>
                <w:color w:val="auto"/>
              </w:rPr>
            </w:pPr>
          </w:p>
        </w:tc>
        <w:tc>
          <w:tcPr>
            <w:tcW w:w="146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w w:val="97"/>
              </w:rPr>
              <w:t>February 28,</w:t>
            </w:r>
          </w:p>
        </w:tc>
        <w:tc>
          <w:tcPr>
            <w:tcW w:w="10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rPr>
              <w:t>2008</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2008</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31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4.25</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Expected volatility</w:t>
            </w:r>
          </w:p>
        </w:tc>
        <w:tc>
          <w:tcPr>
            <w:tcW w:w="3120" w:type="dxa"/>
            <w:vAlign w:val="bottom"/>
            <w:gridSpan w:val="2"/>
          </w:tcPr>
          <w:p>
            <w:pPr>
              <w:jc w:val="right"/>
              <w:ind w:right="70"/>
              <w:spacing w:after="0"/>
              <w:rPr>
                <w:sz w:val="20"/>
                <w:szCs w:val="20"/>
                <w:color w:val="auto"/>
              </w:rPr>
            </w:pPr>
            <w:r>
              <w:rPr>
                <w:rFonts w:ascii="Arial" w:cs="Arial" w:eastAsia="Arial" w:hAnsi="Arial"/>
                <w:sz w:val="18"/>
                <w:szCs w:val="18"/>
                <w:color w:val="auto"/>
              </w:rPr>
              <w:t>43%-48%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38%-40%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37%-48%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3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312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83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The Company awards restricted stock and restricted stock units (collectively, “Restricted Awards”) under its equity plans.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second quarter of 2008 and 2007, the Company granted 2.3 million and 1.7 million shares, respectively, of service-based Restricted Awards. During the first six months of 2008 and 2007, the Company granted 3.6 million and 2.7 million shares, respectively, of service-based Restricted Awards, and 1.3 million and 0.9 million shares, respectively, of performance-based Restricted Awards. The weighted-average grant-date fair values per share were $6.10 and $8.53 for Restricted Awards granted during the second quarter and first six months of 2008, respectively, and $12.38 and $15.13 for Restricted Awards granted during the second quarter and first six months of 2007,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color w:val="auto"/>
        </w:rPr>
        <w:t>Total compensation costs for the Company’s equity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ind w:left="54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360" w:type="dxa"/>
            <w:vAlign w:val="bottom"/>
            <w:gridSpan w:val="6"/>
          </w:tcPr>
          <w:p>
            <w:pPr>
              <w:ind w:left="4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February 28,</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March 1,</w:t>
            </w:r>
          </w:p>
        </w:tc>
        <w:tc>
          <w:tcPr>
            <w:tcW w:w="200" w:type="dxa"/>
            <w:vAlign w:val="bottom"/>
          </w:tcPr>
          <w:p>
            <w:pPr>
              <w:spacing w:after="0"/>
              <w:rPr>
                <w:sz w:val="17"/>
                <w:szCs w:val="17"/>
                <w:color w:val="auto"/>
              </w:rPr>
            </w:pPr>
          </w:p>
        </w:tc>
        <w:tc>
          <w:tcPr>
            <w:tcW w:w="1240" w:type="dxa"/>
            <w:vAlign w:val="bottom"/>
            <w:tcBorders>
              <w:top w:val="single" w:sz="8" w:color="auto"/>
            </w:tcBorders>
            <w:gridSpan w:val="3"/>
          </w:tcPr>
          <w:p>
            <w:pPr>
              <w:jc w:val="center"/>
              <w:ind w:right="80"/>
              <w:spacing w:after="0" w:line="198" w:lineRule="exact"/>
              <w:rPr>
                <w:sz w:val="20"/>
                <w:szCs w:val="20"/>
                <w:color w:val="auto"/>
              </w:rPr>
            </w:pPr>
            <w:r>
              <w:rPr>
                <w:rFonts w:ascii="Arial" w:cs="Arial" w:eastAsia="Arial" w:hAnsi="Arial"/>
                <w:sz w:val="18"/>
                <w:szCs w:val="18"/>
                <w:b w:val="1"/>
                <w:bCs w:val="1"/>
                <w:color w:val="auto"/>
                <w:w w:val="93"/>
              </w:rPr>
              <w:t>February 28,</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March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Stock options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Stock-based compensation expense of $3 million was capitalized and remained in inventory at February 28, 2008. As of February 28, 2008, $129 million of total unrecognized compensation costs related to non-vested awards was expected to be recognized through the second quarter of 2012, resulting in a weighted-average period of 1.4 years. Stock-based compensation expense in the above presentation does not reflect any significant income taxes, which is consistent with the Company’s treatment of income or loss from its U.S. operations. (See “Income Taxes” note.)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Restructure</w:t>
      </w:r>
    </w:p>
    <w:p>
      <w:pPr>
        <w:spacing w:after="0" w:line="24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fourth quarter of 2007, in an effort to increase its competitiveness and efficiency, the Company began pursuing a number of initiatives to reduce costs across its operations. These initiatives include workforce reductions in certain areas of the Company as its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 It is anticipated that these initiatives will be implemented over several quarters.</w:t>
      </w:r>
    </w:p>
    <w:p>
      <w:pPr>
        <w:spacing w:after="0" w:line="2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second quarter and first six months of 2008, the Company recorded charges of $8 million and $21 million, respectively, primarily to the Memory segment, for employee severance and related costs and a write-down of certain facilities to their fair values. Since the fourth quarter of 2007, the Company has incurred $40 million due to the restructuring initiatives. As of February 28, 2008 and August 30, 2007, $6 million and $5 million, respectively, of the restructure costs remained unpaid and were included in accounts payable and accrued expenses.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246"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Other operating (income) expense for the second quarter and first six months of 2008 included gains of $47 million and $57 million, respectively, on disposals of semiconductor equipment, and losses of $6 million and $33 million, respectively, from changes in currency exchange rates. Other operating (income) expense for the first quarter of 2008 included $38 million of receipts from the U.S. government in connection with anti-dumping tariffs. Other operating income for the first six months of 2007 included gains on disposals of semiconductor equipment of $10 million. Other operating income for the first quarter of 2007 included a gain of $30 million from the sale of certain intellectual property to Toshiba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Income Taxes</w:t>
      </w:r>
    </w:p>
    <w:p>
      <w:pPr>
        <w:spacing w:after="0" w:line="246"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Income taxes for 2008 and 2007 primarily reflect taxes on the Company’s non-U.S. operations and U.S. alternative minimum tax. The Company has a valuation allowance for its net deferred tax asset associated with its U.S. operations. The benefit for taxes on U.S. operations in 2008 and 2007 was substantially offset by changes in the valuation allowance.</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at the beginning of the first quarter of 2008, the Company adopted the provisions of FIN 48. In connection with the adoption of FIN 48, the Company increased its liability and decreased retained earnings by $1 million for net unrecognized tax benefits at August 31, 2007. As of August 31, 2007, the Company had $16 million of unrecognized income tax benefits, of which $15 million, if recognized, would affect the Company’s effective tax rate. In the first six months of 2008, unrecognized tax benefits decreased $14 million primarily due to a decrease of $15 million from the expiration of certain foreign statues of limitations, partially offset by an increase from foreign exchange fluctuations. The Company does not expect to recognize any additional previously unrecognized tax benefits during 2008. As of February 28, 2008 and August 31, 2007, accrued interest and penalties related to uncertain tax positions were de minimis.</w:t>
      </w:r>
    </w:p>
    <w:p>
      <w:pPr>
        <w:spacing w:after="0" w:line="2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and its subsidiaries file income tax returns with the United States federal government, various U.S. states and various foreign jurisdictions throughout the world. The Company’s U.S. federal and state tax returns remain open to examination for 2005 through 2007 and 2004 through 2007, respectively. In addition, tax years open to examination in multiple foreign taxing jurisdictions range from 1999 to 2007. The Company is currently undergoing audits in the state of California and in the U.K. for 2004.</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24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Basic earnings per share is computed based on the weighted-average number of common shares and stock rights outstanding. Diluted earnings per share is computed based on the weighted-average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255.0 million for the second quarter and first six months of 2008, and 165.7 million and 111.3 million for the second quarter and first six months of 2007,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36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220"/>
              <w:spacing w:after="0" w:line="198"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1,</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3"/>
              </w:rPr>
              <w:t>February 28,</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768.7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effect of dilutive stock options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10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 (Loss)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for 2008 and 2007 included net income (loss) and de minimis amounts of unrealized gains and losses on</w:t>
      </w:r>
    </w:p>
    <w:p>
      <w:pPr>
        <w:spacing w:after="0" w:line="23" w:lineRule="exact"/>
        <w:rPr>
          <w:sz w:val="20"/>
          <w:szCs w:val="20"/>
          <w:color w:val="auto"/>
        </w:rPr>
      </w:pPr>
    </w:p>
    <w:p>
      <w:pPr>
        <w:jc w:val="both"/>
        <w:ind w:right="120"/>
        <w:spacing w:after="0" w:line="290" w:lineRule="auto"/>
        <w:rPr>
          <w:sz w:val="20"/>
          <w:szCs w:val="20"/>
          <w:color w:val="auto"/>
        </w:rPr>
      </w:pPr>
      <w:r>
        <w:rPr>
          <w:rFonts w:ascii="Arial" w:cs="Arial" w:eastAsia="Arial" w:hAnsi="Arial"/>
          <w:sz w:val="17"/>
          <w:szCs w:val="17"/>
          <w:color w:val="auto"/>
        </w:rPr>
        <w:t>investments. Comprehensive loss for the second quarter and first six months of 2008 was ($775) million and ($1,038) million, respectively. Comprehensive loss for the second quarter of 2007 was ($55) million and comprehensive income for the first six months of 2007 was $62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Acquisition</w:t>
      </w:r>
    </w:p>
    <w:p>
      <w:pPr>
        <w:spacing w:after="0" w:line="2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Avago Technologies Limited Image Sensor Business: </w:t>
      </w:r>
      <w:r>
        <w:rPr>
          <w:rFonts w:ascii="Arial" w:cs="Arial" w:eastAsia="Arial" w:hAnsi="Arial"/>
          <w:sz w:val="17"/>
          <w:szCs w:val="17"/>
          <w:color w:val="auto"/>
        </w:rPr>
        <w:t>On December 11, 2006, the Company acquired the CMOS image sensor business of Avago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Limited (“Avago”) for an initial cash payment of $53 million and additional contingent consideration at inception of up to $17 million if certain milestones were met through calendar 2008. As of February 28, 2008, the Company had paid $10 million in additional consideration, which was recorded as an increase in goodwill subsequent to the acquisition date. The Company recorded total assets of $64 million (including intangible assets of $17 million and goodwill of $46 million) and total liabilities of $1 million. The Company’s results of operations subsequent to the acquisition date include the CMOS image sensor business acquired from Avago as part of the Company’s Imaging segment. Mercedes Johnson, a member of the Company’s Board of Directors, is the Senior Vice President, Finance and Chief Financial Officer of Avago. Ms. Johnson recused herself from all deliberations of the Company’s Board of Directors concerning this transaction.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Joint Ventures</w:t>
      </w:r>
    </w:p>
    <w:p>
      <w:pPr>
        <w:spacing w:after="0" w:line="24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 xml:space="preserve">NAND Flash Joint Ventures with Intel (“IM Flash”): </w:t>
      </w:r>
      <w:r>
        <w:rPr>
          <w:rFonts w:ascii="Arial" w:cs="Arial" w:eastAsia="Arial" w:hAnsi="Arial"/>
          <w:sz w:val="16"/>
          <w:szCs w:val="16"/>
          <w:color w:val="auto"/>
        </w:rPr>
        <w:t>The Company has formed two joint ventures with Intel to manufacture NAND Flash memory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for the exclusive benefit of the partners: IM Flash Technologies, LLC and IM Flash Singapore LLP. As of February 28, 2008, the Company owned 51% and Intel owned 49% of IM Flash. The financial results of IM Flash are included in the accompanying consolidated financial statements of the Company. The partners share the output of IM Flash generally in proportion to their ownership in IM Flash. IM Flash sells products to the joint venture partners at long-term negotiated prices approximating cost. IM Flash sales to Intel were $241 million and $464 million for the second quarter and first six months of 2008, respectively, and $102 million and $167 million for the second quarter and first six months of 2007, respectively, and $497 million for 2007.</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IM Flash manufactures NAND Flash memory products based on NAND Flash designs developed by the Company and Intel and licensed to the Company. Product design and other research and development (“R&amp;D”) costs for NAND Flash are generally shared equally between the Company and Intel. As a result of reimbursements received from Intel under a NAND Flash R&amp;D cost-sharing arrangement, the Company’s R&amp;D expenses were reduced by $29 million and $82 million for the second quarter and first six months of 2008, respectively, and $82 million and $130 million of the second quarter and first six months of 2007, respectively.</w:t>
      </w:r>
    </w:p>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 amounts pertaining to Intel’s interests in IM Flash are reported as noncontrolling interest. Intel contributed $42 million and $192 million to IM Flash in the second quarter and first six months of 2008, respectively, and $259 million and $647 million for the second quarter and first six months of 2007, respectively. IM Flash’s cash and marketable investment securities ($257 million as of February 28, 2008) are not anticipated to be made available to finance the Company’s other operations. The creditors of IM Flash have recourse only to the assets of IM Flash and do not have recourse to any other assets of the Company.</w:t>
      </w:r>
    </w:p>
    <w:p>
      <w:pPr>
        <w:spacing w:after="0" w:line="21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 xml:space="preserve">TECH Semiconductor Singapore Pte. Ltd. (“TECH”): </w:t>
      </w:r>
      <w:r>
        <w:rPr>
          <w:rFonts w:ascii="Arial" w:cs="Arial" w:eastAsia="Arial" w:hAnsi="Arial"/>
          <w:sz w:val="16"/>
          <w:szCs w:val="16"/>
          <w:color w:val="auto"/>
        </w:rPr>
        <w:t>Since 1998, the Company has participated in TECH, a semiconductor memory manufacturing joint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in Singapore among the Company, the Singapore Economic Development Board (“EDB”), Canon Inc. and Hewlett-Packard Company. As of February 28, 2008, the Company owned an approximate 73% interest in TECH. TECH’s cash and marketable investment securities ($162 million as of February 28, 2008) are not anticipated to be made available to finance the Company’s other operations. On March 31, 2008, TECH entered into a $600 million credit facility, which is guaranteed, in part, by the Company (see “Debt” note). Other than the guarantee of TECH’s new credit facility, the creditors of TECH have recourse only to the assets of TECH and do not have recourse to any other assets of the Company.</w:t>
      </w:r>
    </w:p>
    <w:p>
      <w:pPr>
        <w:spacing w:after="0" w:line="1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30, 2007, the Company exercised its option and acquired all of the shares of TECH common stock held by EDB for approximately $290 million, which included a note payable for $216 million. This note was fully paid in December 2007. As a result of the acquisition, the Company’s ownership interest in TECH increased from 43% to 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Segment Information</w:t>
      </w:r>
    </w:p>
    <w:p>
      <w:pPr>
        <w:spacing w:after="0" w:line="24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segments are Memory and Imaging. The Memory segment’s primary products are DRAM and NAND Flash memory and the Imaging segment’s primary product is CMOS image sensors.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236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220"/>
              <w:spacing w:after="0" w:line="198" w:lineRule="exact"/>
              <w:rPr>
                <w:sz w:val="20"/>
                <w:szCs w:val="20"/>
                <w:color w:val="auto"/>
              </w:rPr>
            </w:pPr>
            <w:r>
              <w:rPr>
                <w:rFonts w:ascii="Arial" w:cs="Arial" w:eastAsia="Arial" w:hAnsi="Arial"/>
                <w:sz w:val="18"/>
                <w:szCs w:val="18"/>
                <w:b w:val="1"/>
                <w:bCs w:val="1"/>
                <w:color w:val="auto"/>
                <w:w w:val="98"/>
              </w:rPr>
              <w:t>February 28,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1,</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3"/>
              </w:rPr>
              <w:t>February 28,</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Memory</w:t>
            </w:r>
          </w:p>
        </w:tc>
        <w:tc>
          <w:tcPr>
            <w:tcW w:w="1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1,224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2,590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Imaging</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consolidated net sales</w:t>
            </w:r>
          </w:p>
        </w:tc>
        <w:tc>
          <w:tcPr>
            <w:tcW w:w="1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1,359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2,894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income: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1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Imaging</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operating income (loss)</w:t>
            </w:r>
          </w:p>
        </w:tc>
        <w:tc>
          <w:tcPr>
            <w:tcW w:w="1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the future business model for Imaging and the signing of definitive agreements with Nanya Technology Corporation; in “Net Sales” regarding increases in NAND Flash memory production; in “Gross Margin” regarding future charges for inventory write-downs; in “Selling, General and Administrative” regarding SG&amp;A expenses for the third quarter of 2008; in “Research and Development” regarding R&amp;D expenses for the third quarter of 2008; in “Restructure” regarding future charges; in “Goodwill Impairment” regarding potential adjustments to estimated impairment charges recorded in the second quarter of 2008; in “Recently Issued Accounting Standards” regarding the adoption of new accounting standards; and in “Liquidity and Capital Resources” regarding capital spending in 2008 and future net contributions to IM Flash. The Company’s actual results could differ materially from the Company’s historical results and those discussed in the forward-looking statements. Factors that could cause actual results to differ materially include, but are not limited to, those identified in “PART II. OTHER INFORMATION – Item 1A. Risk Factors.” This discussion should be read in conjunction with the Consolidated Financial Statements and accompanying notes and with the Company’s Annual Report on Form 10-K for the year ended August 30, 2007. All period references are to the Company’s fiscal periods unless otherwise indicated. All tabular dollar amounts are in millions. All production data reflects production of the Company and its consolidated joint ventures.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a global manufacturer of semiconductor devices, principally semiconductor memory products (including DRAM and NAND Flash) and CMOS image sensors. The Company operates in two segments: Memory and Imaging.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portfolio of semiconductor memory products, efficient utilization of the Company’s manufacturing infrastructure, successful ongoing development of advanced process technologies and generation of sufficient return on research and development investments.</w:t>
      </w: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focused on improving its competitiveness by developing new products, advancing its technology and reducing costs. In addition, the Company has increased its manufacturing scale in 2008 and 2007 by ramping NAND Flash production at two 300mm wafer fabrication facilities and beginning the conversion of another facility to 300mm DRAM wafer fabrication. To reduce costs, the Company is implementing restructure initiatives aimed at reducing manufacturing and overhead costs through outsourcing, relocation of operations and workforce reductions. In recent years the Company has strategically entered into the NAND Flash memory and specialty DRAM markets. The Company is able to leverage its existing product and process technology and semiconductor memory manufacturing expertise in these markets.</w:t>
      </w:r>
    </w:p>
    <w:p>
      <w:pPr>
        <w:spacing w:after="0" w:line="20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To improve its focus on the semiconductor memory market, the Company is exploring business model alternatives for its Imaging business including partnering arrangements. Under any of the alternatives being considered, the Company expects that it will continue to manufacture CMOS image sensors.</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Partnering Arrangement with Nanya Technology Corporation: </w:t>
      </w:r>
      <w:r>
        <w:rPr>
          <w:rFonts w:ascii="Arial" w:cs="Arial" w:eastAsia="Arial" w:hAnsi="Arial"/>
          <w:sz w:val="18"/>
          <w:szCs w:val="18"/>
          <w:color w:val="auto"/>
        </w:rPr>
        <w:t>In March 2008, the Company announced that it had signed a non-binding memorandum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understanding with Nanya Technology Corporation to explore potential technology sharing, joint technology development and development of a new DRAM joint venture. Under the agreement, a joint development program for DRAM development and design would be created and focus on sub-50 nanometer technologies. Definitive agreements are expected to be signed in the third quarter of 2008.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7" w:name="page18"/>
    <w:bookmarkEnd w:id="17"/>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Goodwill Impairment: </w:t>
      </w:r>
      <w:r>
        <w:rPr>
          <w:rFonts w:ascii="Arial" w:cs="Arial" w:eastAsia="Arial" w:hAnsi="Arial"/>
          <w:sz w:val="17"/>
          <w:szCs w:val="17"/>
          <w:color w:val="auto"/>
        </w:rPr>
        <w:t>In the second quarter of 2008, the Company performed an assessment of impairment of goodwill. As a result of this assessment,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recorded a noncash impairment charge of $463 million to goodwill recorded in its Memory segment. (See “Item 1. Financial Statements – Notes to Consolidated Financial Statements – Supplemental Balance Sheet Information – Goodwill and Intangible Assets.”)</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Inventory Write-Downs: </w:t>
      </w:r>
      <w:r>
        <w:rPr>
          <w:rFonts w:ascii="Arial" w:cs="Arial" w:eastAsia="Arial" w:hAnsi="Arial"/>
          <w:sz w:val="18"/>
          <w:szCs w:val="18"/>
          <w:color w:val="auto"/>
        </w:rPr>
        <w:t>The Company’s results of operations for second and first quarters of 2008 and fourth quarter of 2007 included charges of $15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$62 million and $20 million, respectively, to write down the carrying value of work in process and finished goods inventories of memory products (both DRAM and NAND Flash) to their estimated market values.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9" w:lineRule="exact"/>
        <w:rPr>
          <w:sz w:val="20"/>
          <w:szCs w:val="20"/>
          <w:color w:val="auto"/>
        </w:rPr>
      </w:pPr>
    </w:p>
    <w:tbl>
      <w:tblPr>
        <w:tblLayout w:type="fixed"/>
        <w:tblInd w:w="1800" w:type="dxa"/>
        <w:tblCellMar>
          <w:top w:w="0" w:type="dxa"/>
          <w:left w:w="0" w:type="dxa"/>
          <w:bottom w:w="0" w:type="dxa"/>
          <w:right w:w="0" w:type="dxa"/>
        </w:tblCellMar>
      </w:tblPr>
      <w:tr>
        <w:trPr>
          <w:trHeight w:val="221"/>
        </w:trPr>
        <w:tc>
          <w:tcPr>
            <w:tcW w:w="7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Second Quarter</w:t>
            </w:r>
          </w:p>
        </w:tc>
        <w:tc>
          <w:tcPr>
            <w:tcW w:w="8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First Quarter</w:t>
            </w: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Six Months</w:t>
            </w:r>
          </w:p>
        </w:tc>
        <w:tc>
          <w:tcPr>
            <w:tcW w:w="840" w:type="dxa"/>
            <w:vAlign w:val="bottom"/>
            <w:tcBorders>
              <w:bottom w:val="single" w:sz="8" w:color="auto"/>
            </w:tcBorders>
          </w:tcPr>
          <w:p>
            <w:pPr>
              <w:spacing w:after="0"/>
              <w:rPr>
                <w:sz w:val="19"/>
                <w:szCs w:val="19"/>
                <w:color w:val="auto"/>
              </w:rPr>
            </w:pPr>
          </w:p>
        </w:tc>
      </w:tr>
      <w:tr>
        <w:trPr>
          <w:trHeight w:val="198"/>
        </w:trPr>
        <w:tc>
          <w:tcPr>
            <w:tcW w:w="720" w:type="dxa"/>
            <w:vAlign w:val="bottom"/>
          </w:tcPr>
          <w:p>
            <w:pPr>
              <w:spacing w:after="0"/>
              <w:rPr>
                <w:sz w:val="17"/>
                <w:szCs w:val="17"/>
                <w:color w:val="auto"/>
              </w:rPr>
            </w:pPr>
          </w:p>
        </w:tc>
        <w:tc>
          <w:tcPr>
            <w:tcW w:w="11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 of net</w:t>
            </w:r>
          </w:p>
        </w:tc>
        <w:tc>
          <w:tcPr>
            <w:tcW w:w="820" w:type="dxa"/>
            <w:vAlign w:val="bottom"/>
          </w:tcPr>
          <w:p>
            <w:pPr>
              <w:spacing w:after="0"/>
              <w:rPr>
                <w:sz w:val="17"/>
                <w:szCs w:val="17"/>
                <w:color w:val="auto"/>
              </w:rPr>
            </w:pPr>
          </w:p>
        </w:tc>
        <w:tc>
          <w:tcPr>
            <w:tcW w:w="860" w:type="dxa"/>
            <w:vAlign w:val="bottom"/>
          </w:tcPr>
          <w:p>
            <w:pPr>
              <w:jc w:val="center"/>
              <w:ind w:left="70"/>
              <w:spacing w:after="0" w:line="198" w:lineRule="exact"/>
              <w:rPr>
                <w:sz w:val="20"/>
                <w:szCs w:val="20"/>
                <w:color w:val="auto"/>
              </w:rPr>
            </w:pPr>
            <w:r>
              <w:rPr>
                <w:rFonts w:ascii="Arial" w:cs="Arial" w:eastAsia="Arial" w:hAnsi="Arial"/>
                <w:sz w:val="18"/>
                <w:szCs w:val="18"/>
                <w:b w:val="1"/>
                <w:bCs w:val="1"/>
                <w:color w:val="auto"/>
                <w:w w:val="94"/>
              </w:rPr>
              <w:t>% of net</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center"/>
              <w:ind w:left="110"/>
              <w:spacing w:after="0" w:line="198" w:lineRule="exact"/>
              <w:rPr>
                <w:sz w:val="20"/>
                <w:szCs w:val="20"/>
                <w:color w:val="auto"/>
              </w:rPr>
            </w:pPr>
            <w:r>
              <w:rPr>
                <w:rFonts w:ascii="Arial" w:cs="Arial" w:eastAsia="Arial" w:hAnsi="Arial"/>
                <w:sz w:val="18"/>
                <w:szCs w:val="18"/>
                <w:b w:val="1"/>
                <w:bCs w:val="1"/>
                <w:color w:val="auto"/>
                <w:w w:val="94"/>
              </w:rPr>
              <w:t>% of net</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 of net</w:t>
            </w:r>
          </w:p>
        </w:tc>
        <w:tc>
          <w:tcPr>
            <w:tcW w:w="840" w:type="dxa"/>
            <w:vAlign w:val="bottom"/>
          </w:tcPr>
          <w:p>
            <w:pPr>
              <w:spacing w:after="0"/>
              <w:rPr>
                <w:sz w:val="17"/>
                <w:szCs w:val="17"/>
                <w:color w:val="auto"/>
              </w:rPr>
            </w:pPr>
          </w:p>
        </w:tc>
        <w:tc>
          <w:tcPr>
            <w:tcW w:w="840" w:type="dxa"/>
            <w:vAlign w:val="bottom"/>
          </w:tcPr>
          <w:p>
            <w:pPr>
              <w:jc w:val="center"/>
              <w:ind w:left="90"/>
              <w:spacing w:after="0" w:line="198" w:lineRule="exact"/>
              <w:rPr>
                <w:sz w:val="20"/>
                <w:szCs w:val="20"/>
                <w:color w:val="auto"/>
              </w:rPr>
            </w:pPr>
            <w:r>
              <w:rPr>
                <w:rFonts w:ascii="Arial" w:cs="Arial" w:eastAsia="Arial" w:hAnsi="Arial"/>
                <w:sz w:val="18"/>
                <w:szCs w:val="18"/>
                <w:b w:val="1"/>
                <w:bCs w:val="1"/>
                <w:color w:val="auto"/>
                <w:w w:val="94"/>
              </w:rPr>
              <w:t>% of net</w:t>
            </w:r>
          </w:p>
        </w:tc>
      </w:tr>
      <w:tr>
        <w:trPr>
          <w:trHeight w:val="234"/>
        </w:trPr>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sales</w:t>
            </w: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860" w:type="dxa"/>
            <w:vAlign w:val="bottom"/>
          </w:tcPr>
          <w:p>
            <w:pPr>
              <w:jc w:val="center"/>
              <w:ind w:left="90"/>
              <w:spacing w:after="0"/>
              <w:rPr>
                <w:sz w:val="20"/>
                <w:szCs w:val="20"/>
                <w:color w:val="auto"/>
              </w:rPr>
            </w:pPr>
            <w:r>
              <w:rPr>
                <w:rFonts w:ascii="Arial" w:cs="Arial" w:eastAsia="Arial" w:hAnsi="Arial"/>
                <w:sz w:val="18"/>
                <w:szCs w:val="18"/>
                <w:b w:val="1"/>
                <w:bCs w:val="1"/>
                <w:color w:val="auto"/>
                <w:w w:val="79"/>
              </w:rPr>
              <w:t>sales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860" w:type="dxa"/>
            <w:vAlign w:val="bottom"/>
          </w:tcPr>
          <w:p>
            <w:pPr>
              <w:jc w:val="center"/>
              <w:ind w:left="90"/>
              <w:spacing w:after="0"/>
              <w:rPr>
                <w:sz w:val="20"/>
                <w:szCs w:val="20"/>
                <w:color w:val="auto"/>
              </w:rPr>
            </w:pPr>
            <w:r>
              <w:rPr>
                <w:rFonts w:ascii="Arial" w:cs="Arial" w:eastAsia="Arial" w:hAnsi="Arial"/>
                <w:sz w:val="18"/>
                <w:szCs w:val="18"/>
                <w:b w:val="1"/>
                <w:bCs w:val="1"/>
                <w:color w:val="auto"/>
                <w:w w:val="79"/>
              </w:rPr>
              <w:t>sales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2008</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sales</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840" w:type="dxa"/>
            <w:vAlign w:val="bottom"/>
          </w:tcPr>
          <w:p>
            <w:pPr>
              <w:jc w:val="center"/>
              <w:ind w:left="110"/>
              <w:spacing w:after="0"/>
              <w:rPr>
                <w:sz w:val="20"/>
                <w:szCs w:val="20"/>
                <w:color w:val="auto"/>
              </w:rPr>
            </w:pPr>
            <w:r>
              <w:rPr>
                <w:rFonts w:ascii="Arial" w:cs="Arial" w:eastAsia="Arial" w:hAnsi="Arial"/>
                <w:sz w:val="18"/>
                <w:szCs w:val="18"/>
                <w:b w:val="1"/>
                <w:bCs w:val="1"/>
                <w:color w:val="auto"/>
                <w:w w:val="79"/>
              </w:rPr>
              <w:t>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0</wp:posOffset>
            </wp:positionV>
            <wp:extent cx="59347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34710" cy="17145"/>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color w:val="auto"/>
        </w:rPr>
        <w:t>(amounts in millions and as a percent of net sales)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Imaging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Memory</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040" w:type="dxa"/>
            <w:vAlign w:val="bottom"/>
            <w:gridSpan w:val="3"/>
          </w:tcPr>
          <w:p>
            <w:pPr>
              <w:jc w:val="right"/>
              <w:ind w:right="30"/>
              <w:spacing w:after="0"/>
              <w:rPr>
                <w:sz w:val="20"/>
                <w:szCs w:val="20"/>
                <w:color w:val="auto"/>
              </w:rPr>
            </w:pPr>
            <w:r>
              <w:rPr>
                <w:rFonts w:ascii="Arial" w:cs="Arial" w:eastAsia="Arial" w:hAnsi="Arial"/>
                <w:sz w:val="18"/>
                <w:szCs w:val="18"/>
                <w:color w:val="auto"/>
              </w:rPr>
              <w:t>(6 )%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(3 )</w:t>
            </w:r>
            <w:r>
              <w:rPr>
                <w:rFonts w:ascii="Arial" w:cs="Arial" w:eastAsia="Arial" w:hAnsi="Arial"/>
                <w:sz w:val="17"/>
                <w:szCs w:val="17"/>
                <w:color w:val="auto"/>
              </w:rPr>
              <w:t>%</w:t>
            </w:r>
            <w:r>
              <w:rPr>
                <w:rFonts w:ascii="Arial" w:cs="Arial" w:eastAsia="Arial" w:hAnsi="Arial"/>
                <w:sz w:val="18"/>
                <w:szCs w:val="18"/>
                <w:color w:val="auto"/>
              </w:rPr>
              <w:t xml:space="preserve">  $</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240" w:type="dxa"/>
            <w:vAlign w:val="bottom"/>
            <w:gridSpan w:val="5"/>
          </w:tcPr>
          <w:p>
            <w:pPr>
              <w:jc w:val="right"/>
              <w:ind w:right="80"/>
              <w:spacing w:after="0"/>
              <w:rPr>
                <w:sz w:val="20"/>
                <w:szCs w:val="20"/>
                <w:color w:val="auto"/>
              </w:rPr>
            </w:pPr>
            <w:r>
              <w:rPr>
                <w:rFonts w:ascii="Arial" w:cs="Arial" w:eastAsia="Arial" w:hAnsi="Arial"/>
                <w:sz w:val="18"/>
                <w:szCs w:val="18"/>
                <w:color w:val="auto"/>
              </w:rPr>
              <w:t>(4 )</w:t>
            </w:r>
            <w:r>
              <w:rPr>
                <w:rFonts w:ascii="Arial" w:cs="Arial" w:eastAsia="Arial" w:hAnsi="Arial"/>
                <w:sz w:val="17"/>
                <w:szCs w:val="17"/>
                <w:color w:val="auto"/>
              </w:rPr>
              <w:t>%</w:t>
            </w:r>
            <w:r>
              <w:rPr>
                <w:rFonts w:ascii="Arial" w:cs="Arial" w:eastAsia="Arial" w:hAnsi="Arial"/>
                <w:sz w:val="18"/>
                <w:szCs w:val="18"/>
                <w:color w:val="auto"/>
              </w:rPr>
              <w:t xml:space="preserve">  $</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642</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Imaging</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040" w:type="dxa"/>
            <w:vAlign w:val="bottom"/>
            <w:gridSpan w:val="3"/>
          </w:tcPr>
          <w:p>
            <w:pPr>
              <w:jc w:val="right"/>
              <w:ind w:right="30"/>
              <w:spacing w:after="0"/>
              <w:rPr>
                <w:sz w:val="20"/>
                <w:szCs w:val="20"/>
                <w:color w:val="auto"/>
              </w:rPr>
            </w:pPr>
            <w:r>
              <w:rPr>
                <w:rFonts w:ascii="Arial" w:cs="Arial" w:eastAsia="Arial" w:hAnsi="Arial"/>
                <w:sz w:val="18"/>
                <w:szCs w:val="18"/>
                <w:color w:val="auto"/>
              </w:rPr>
              <w:t>(3 )%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240" w:type="dxa"/>
            <w:vAlign w:val="bottom"/>
            <w:gridSpan w:val="5"/>
          </w:tcPr>
          <w:p>
            <w:pPr>
              <w:jc w:val="right"/>
              <w:ind w:right="80"/>
              <w:spacing w:after="0"/>
              <w:rPr>
                <w:sz w:val="20"/>
                <w:szCs w:val="20"/>
                <w:color w:val="auto"/>
              </w:rPr>
            </w:pPr>
            <w:r>
              <w:rPr>
                <w:rFonts w:ascii="Arial" w:cs="Arial" w:eastAsia="Arial" w:hAnsi="Arial"/>
                <w:sz w:val="18"/>
                <w:szCs w:val="18"/>
                <w:color w:val="auto"/>
              </w:rPr>
              <w:t>(1 )</w:t>
            </w:r>
            <w:r>
              <w:rPr>
                <w:rFonts w:ascii="Arial" w:cs="Arial" w:eastAsia="Arial" w:hAnsi="Arial"/>
                <w:sz w:val="17"/>
                <w:szCs w:val="17"/>
                <w:color w:val="auto"/>
              </w:rPr>
              <w:t>%</w:t>
            </w:r>
            <w:r>
              <w:rPr>
                <w:rFonts w:ascii="Arial" w:cs="Arial" w:eastAsia="Arial" w:hAnsi="Arial"/>
                <w:sz w:val="18"/>
                <w:szCs w:val="18"/>
                <w:color w:val="auto"/>
              </w:rPr>
              <w:t xml:space="preserve">  $</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799</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SG&amp;A</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Other operating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expense, net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040" w:type="dxa"/>
            <w:vAlign w:val="bottom"/>
            <w:gridSpan w:val="3"/>
          </w:tcPr>
          <w:p>
            <w:pPr>
              <w:jc w:val="right"/>
              <w:ind w:right="30"/>
              <w:spacing w:after="0"/>
              <w:rPr>
                <w:sz w:val="20"/>
                <w:szCs w:val="20"/>
                <w:color w:val="auto"/>
              </w:rPr>
            </w:pPr>
            <w:r>
              <w:rPr>
                <w:rFonts w:ascii="Arial" w:cs="Arial" w:eastAsia="Arial" w:hAnsi="Arial"/>
                <w:sz w:val="18"/>
                <w:szCs w:val="18"/>
                <w:color w:val="auto"/>
              </w:rPr>
              <w:t>(3 )</w:t>
            </w: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60" w:type="dxa"/>
            <w:vAlign w:val="bottom"/>
            <w:gridSpan w:val="3"/>
          </w:tcPr>
          <w:p>
            <w:pPr>
              <w:jc w:val="right"/>
              <w:ind w:right="50"/>
              <w:spacing w:after="0"/>
              <w:rPr>
                <w:sz w:val="20"/>
                <w:szCs w:val="20"/>
                <w:color w:val="auto"/>
              </w:rPr>
            </w:pPr>
            <w:r>
              <w:rPr>
                <w:rFonts w:ascii="Arial" w:cs="Arial" w:eastAsia="Arial" w:hAnsi="Arial"/>
                <w:sz w:val="18"/>
                <w:szCs w:val="18"/>
                <w:color w:val="auto"/>
              </w:rPr>
              <w:t>(0 )</w:t>
            </w: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(1 )</w:t>
            </w: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(2 )</w:t>
            </w: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10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(57 )%</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0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(4 )</w:t>
            </w: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is the 52 or 53-week period ending on the Thursday closest to August 31.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Total net sales for the second quarter of 2008 decreased 11% as compared to the first quarter of 2008 primarily due to a 10% decrease in Memory sales and a 20% decrease in Imaging sales. Memory sales for the second quarter of 2008 reflect significant declines in per megabit average selling prices partially offset by significant increases in megabits sold as compared to the first quarter of 2008. Memory sales were 90% of total net sales in the second quarter of 2008 compared to 89% in the first quarter of 2008 and 89% in the second quarter of 2007. The decrease in Imaging sales for the second quarter of 2008 as compared to the first quarter of 2008 was primarily due to reductions in average selling prices and lower unit sales. Total net sales for the second quarter of 2008 decreased 5% as compared to the second quarter of 2007 primarily due to a 4% decrease in Memory sales and a 13% decrease in Imaging sales. Total net sales for the first six months of 2008 decreased 2% as compared to the first six months of 2007 primarily due to a 24% decrease in Imaging sales.</w:t>
      </w:r>
    </w:p>
    <w:p>
      <w:pPr>
        <w:spacing w:after="0" w:line="1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Memory sales for the second quarter of 2008 decreased 10% from the first quarter of 2008 reflecting an approximately 15% decrease in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and an approximately 5% decrease in sales of NAND Flash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right="240"/>
        <w:spacing w:after="0" w:line="286" w:lineRule="auto"/>
        <w:rPr>
          <w:sz w:val="20"/>
          <w:szCs w:val="20"/>
          <w:color w:val="auto"/>
        </w:rPr>
      </w:pPr>
      <w:r>
        <w:rPr>
          <w:rFonts w:ascii="Arial" w:cs="Arial" w:eastAsia="Arial" w:hAnsi="Arial"/>
          <w:sz w:val="17"/>
          <w:szCs w:val="17"/>
          <w:color w:val="auto"/>
        </w:rPr>
        <w:t>Sales of DRAM products for the second quarter of 2008 decreased from the first quarter of 2008 primarily due to an approximately 15% decline in average selling prices. Sales of DDR2 and DDR3 DRAM products were approximately 30% of the Company’s total net sales in the second quarter of 2008 as compared to approximately 30% for the first quarter of 2008 and approximately 35% for the second quarter of 2007.</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of NAND Flash products for the second quarter of 2008 decreased from the first quarter of 2008 primarily due to an approximately 30% decline in average selling prices per megabit mitigated by an approximately 40% increase in megabits sold as a result of production increases. Megabit production of NAND Flash products increased approximately 25% for the second quarter of 2008 as compared to the first quarter of 2008, primarily due to the continued ramp of NAND Flash products at the Company’s 300mm fabrication facilities and transitions to higher density, advanced geometry devices. Sales of NAND Flash products represented approximately 35% of the Company’s total net sales for the second quarter of 2008 as compared to approximately 35% for the first quarter of 2008 and 20% for the second quarter of 2007. The Company expects that its production of NAND Flash products will continue to increase significantly through the remainder of 2008.</w:t>
      </w:r>
    </w:p>
    <w:p>
      <w:pPr>
        <w:spacing w:after="0" w:line="2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Memory sales for the second quarter of 2008 decreased 4% from the second quarter of 2007, reflecting an approximately 30% decrease in sales of DRAM products partially offset by an approximately 80% increase in sales of NAND Flash products. Memory sales for the first six months of 2008 increased 1% as compared to the first six months of 2007 primarily due to a 90% increase in sales of NAND Flash products partially offset by an approximately 20% decrease in sales of DRAM products. Sales of NAND Flash products for the second quarter of 2008 and first six months of 2008 increased from the corresponding periods of 2007 primarily due to significant increases in megabits sold partially offset by approximately 70% declines in average selling prices for both periods. The significant increases in megabit sales of NAND Flash products for the second quarter and first six months of 2008 as compared to the corresponding periods of 2007 were primarily due to increased production as a result of the continued ramp of NAND Flash products at the Company’s 300mm fabrication facilities and transitions to higher density, advanced geometry devices. The decrease in sales of DRAM products for the second quarter and first six months of 2008 from the corresponding periods of 2007 was primarily the result of approximately 60% declines in average selling prices mitigated by increases in megabits sold of approximately 95% and 110%, respectively. Megabit production of DRAM products increased approximately 75% and 90% for the second quarter and first six months of 2008 as compared to the corresponding periods of 2007, primarily due to production efficiencies from improvements in product and process technologies, including TECH’s conversion to 300mm wafer fabrication.</w:t>
      </w:r>
    </w:p>
    <w:p>
      <w:pPr>
        <w:spacing w:after="0" w:line="196"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b w:val="1"/>
          <w:bCs w:val="1"/>
          <w:i w:val="1"/>
          <w:iCs w:val="1"/>
          <w:color w:val="auto"/>
        </w:rPr>
        <w:t xml:space="preserve">Imaging: </w:t>
      </w:r>
      <w:r>
        <w:rPr>
          <w:rFonts w:ascii="Arial" w:cs="Arial" w:eastAsia="Arial" w:hAnsi="Arial"/>
          <w:sz w:val="16"/>
          <w:szCs w:val="16"/>
          <w:color w:val="auto"/>
        </w:rPr>
        <w:t>Imaging sales for the second quarter of 2008 decreased 20% from the first quarter of 2008 primarily due to decreases in unit sales and declines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average selling prices. Imaging sales for the second quarter of 2008 decreased by 13% from the second quarter of 2007 primarily due to significant reductions in average selling prices and reductions in units sold. The reduction in units sold primarily reflects reduced sales of VGA and 1-megapixel products, mitigated by significant increases in sales of products with 2-megapixels or higher resolution. Imaging sales for the first six months of 2008 decreased by 24% as compared to the first six months of 2007 primarily due to decreases in unit sales and significant declines in average selling</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prices. Imaging sales were 10% of the Company’s total net sales in the second quarter of 2008 as compared to 11% for the first quarter of 2008 and the second quarter of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overall gross margin percentage declined from 0% for the first quarter of 2008 to negative 3% for the second quarter of 2008 due to decreases in the gross margin percentages for Memory and Imaging. The Company’s overall gross margin percentage declined from 25% for the second quarter of 2007 to negative 3% for the second quarter of 2008 and from 27% for the first six months of 2007 to negative 1% for the first six months of 2008. The declines in gross margin for the second quarter and first six months of 2008 from the corresponding periods of 2007 primarily reflect decreases in the gross margin percentage for Memory, as well as a decrease for Imaging products.</w:t>
      </w:r>
    </w:p>
    <w:p>
      <w:pPr>
        <w:spacing w:after="0" w:line="21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The Company’s gross margin percentage for Memory products for the second quarter of 2008 declined from negative 3% for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to negative 6% primarily due to a decline in gross margins for NAND Flash products and a shift in product mix to NAND Flash products, which had significantly lower gross margins than DRAM products. Gross margins for DRAM and NAND Flash products for the second quarter of 2008 were both adversely affected by significant declines in average selling prices.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line="272" w:lineRule="auto"/>
        <w:rPr>
          <w:sz w:val="20"/>
          <w:szCs w:val="20"/>
          <w:color w:val="auto"/>
        </w:rPr>
      </w:pPr>
      <w:r>
        <w:rPr>
          <w:rFonts w:ascii="Arial" w:cs="Arial" w:eastAsia="Arial" w:hAnsi="Arial"/>
          <w:sz w:val="17"/>
          <w:szCs w:val="17"/>
          <w:color w:val="auto"/>
        </w:rPr>
        <w:t>The Company’s gross margin percentage on NAND Flash products for the second quarter of 2008 declined from the first quarter of 2008 primarily due to the approximately 30% decline in average selling prices, mitigated by an approximately 25% reduction in costs per megabit. Cost reductions in the second quarter of 2008 reflect lower manufacturing costs and lower costs of NAND Flash products purchased for sale under the Company’s Lexar brand and shifts in product mix. The Company achieved manufacturing cost reductions for NAND Flash products primarily through increased production of higher-density, advanced-geometry devices at the Company’s 300mm fabrication facilities. Sales of NAND Flash products include sales from IM Flash to Intel at long-term negotiated prices approximating cost. IM Flash sales to Intel were $241 million for the second quarter of 2008, $223 million for the first quarter of 2008, $102 million for the second quarter of 2007, $65 million for the first quarter of 2007 and $497 million for 2007.</w:t>
      </w:r>
    </w:p>
    <w:p>
      <w:pPr>
        <w:spacing w:after="0" w:line="2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gross margin percentage for DRAM products for the second quarter of 2008 improved slightly from the first quarter of 2008, primarily due to an approximately 15% reduction in costs per megabit offset by the approximately 15% decline in average selling prices. The Company achieved cost reductions for DRAM products through transitions to higher-density, advanced-geometry devices.</w:t>
      </w:r>
    </w:p>
    <w:p>
      <w:pPr>
        <w:spacing w:after="0" w:line="2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second quarter of 2008, first quarter of 2008 and fourth quarter of 2007, the Company’s gross margins for Memory were impacted by inventory write-downs of $15 million, $62 million and $20 million, respectively, as a result of the significant decreases in average selling prices for both DRAM and NAND Flash products. In future periods, if estimated average selling prices of products held in finished goods and work in process inventories at a quarter-end date are below the manufacturing cost of these products, the Company would record additional write-downs.</w:t>
      </w:r>
    </w:p>
    <w:p>
      <w:pPr>
        <w:spacing w:after="0" w:line="19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Company’s gross margin percentage for Memory products declined to negative 6% for the second quarter of 2008 from 24% for second quarter of 2007 and to negative 4% for the first six months of 2008 from 25% for the first six months of 2007, primarily due to reductions in the gross margin on sales of DRAM products as a result of the approximately 60% declines in average selling prices for both periods. A shift in product mix to NAND Flash products, which had a significantly lower gross margin than DRAM products, also contributed to the reductions in gross margin for Memory products.</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the second quarter of 2008, the Company’s TECH Semiconductor Singapore Pte. Ltd. (“TECH”) joint venture accounted for approximately 10% of the Company’s total wafer production. TECH primarily produced DDR and DDR2 products in the second and first quarters of 2008 and 2007. Since TECH utilizes the Company’s product designs and process technology and has a similar manufacturing cost structure, the gross margin on sales of TECH products approximates gross margins on sales of similar products manufactured by the Company’s wholly-owned operations. (See “Item 1. Financial Statements – Notes to Consolidated Financial Statements – Joint Ventures – TECH Semiconductor Singapore Pte. Ltd.”)</w:t>
      </w:r>
    </w:p>
    <w:p>
      <w:pPr>
        <w:spacing w:after="0" w:line="20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Imaging: </w:t>
      </w:r>
      <w:r>
        <w:rPr>
          <w:rFonts w:ascii="Arial" w:cs="Arial" w:eastAsia="Arial" w:hAnsi="Arial"/>
          <w:sz w:val="18"/>
          <w:szCs w:val="18"/>
          <w:color w:val="auto"/>
        </w:rPr>
        <w:t>The Company’s gross margin percentage for Imaging of 24% for the second quarter of 2008 was slightly lower than the 26% gross margin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quarter of 2008 primarily due to declines in average selling prices which were mitigated by a shift in product mix to higher resolution products that generally realized higher gross margins. The Company’s gross margin for Imaging products decreased to 24% for the second quarter of 2008 from 35% for second quarter of 2007 and decreased to 25% for the first six months of 2008 from 39% for the first six months of 2007, primarily due to declines in average selling prices mitigated by cost reductions and a shift to higher margin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Selling, general and administrative (“SG&amp;A”) expenses for the second quarter of 2008 increased 7% from the first quarter of 2008 primarily due to higher legal costs. SG&amp;A expenses for the second quarter of 2008 decreased 22% from the second quarter of 2007 primarily due to lower payroll expenses and other costs as a result of the Company’s restructure initiatives. SG&amp;A expenses for the first six months of 2008 decreased 30% from the first six months of 2007 primarily due to lower legal expenses and lower payroll expenses and other costs as a result of the Company’s restructure initiatives. In the first quarter of 2007, the Company recorded a $31 million charge to SG&amp;A as a result of the settlement of certain antitrust class action (direct purchaser) lawsuits. The Company expects SG&amp;A expenses to approximate $125 million to $135 million for the third quarter of 2008. Future SG&amp;A expense is expected to vary, potentially significantly, depending on, among other things, the number of legal matters that are resolved relatively early in their life-cycle and the number of matters that progress to trial. The Company is involved in a number of significant cases which are scheduled for trial in 2008.</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0" w:name="page21"/>
    <w:bookmarkEnd w:id="20"/>
    <w:p>
      <w:pPr>
        <w:ind w:right="40"/>
        <w:spacing w:after="0" w:line="264" w:lineRule="auto"/>
        <w:rPr>
          <w:sz w:val="20"/>
          <w:szCs w:val="20"/>
          <w:color w:val="auto"/>
        </w:rPr>
      </w:pPr>
      <w:r>
        <w:rPr>
          <w:rFonts w:ascii="Arial" w:cs="Arial" w:eastAsia="Arial" w:hAnsi="Arial"/>
          <w:sz w:val="18"/>
          <w:szCs w:val="18"/>
          <w:color w:val="auto"/>
        </w:rPr>
        <w:t>For the Company’s Memory segment, SG&amp;A expenses as a percentage of sales were 8% for the second quarter of 2008, 7% for the first quarter of 2008 and 10% for the second quarter of 2007. For the Imaging segment, SG&amp;A expenses as a percentage of sales were 13% for the second quarter of 2008, 8% for the first quarter of 2008 and 15% for the second quarter of 2007.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1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R&amp;D expenses for the second quarter of 2008 increased 10% from the first quarter of 2008 principally due to increases in NAND development wafers processed. As a result of reimbursements received from Intel under a NAND Flash R&amp;D cost-sharing arrangement, R&amp;D expenses were reduced by $29 million for the second quarter of 2008, $53 million for the first quarter of 2008 and $82 million for the second quarter of 2007. R&amp;D expenses for the second quarter of 2008 decreased 26% from the second quarter of 2007, principally due to decreases in development wafers processed. R&amp;D expenses for the first six months of 2008 decreased 19% from the first six months of 2007, principally due to decreases in development wafers processed. The Company expects that its R&amp;D expenses, net of amounts reimbursable from Intel, will approximate $165 million to $175 million for the third quarter of 2008.</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Company’s Memory segment, R&amp;D expenses as a percentage of sales were 12% for the second quarter of 2008, 9% for the first quarter of 2008 and 16% for the second quarter of 2007. For the Imaging segment, R&amp;D expenses as a percentage of sales were 27% for the second quarter of 2008, 22% for the first quarter of 2008 and 27% for the second quarter of 2007.</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process technology R&amp;D efforts are focused primarily on development of successively smaller line-width process technologies which are designed to facilitate the Company’s transition to next-generation memory products and CMOS image sensors. Additional process technology R&amp;D efforts focus on advanced computing and mobile memory architectures and new manufacturing materials. Product design and development efforts are concentrated on the Company’s 1 Gb and 2 Gb DDR2 and DDR3 products as well as high density and mobile NAND Flash memory (including multi-level cell technology), CMOS image sensors and specialty memory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the second quarter of 2008, the Company performed an assessment of impairment for goodwill. In the first and second quarters of 2008, the Company experienced a sustained, significant decline in its stock price. As a result of the decline in stock prices, the Company’s market capitalization fell significantly below the recorded value of its consolidated net assets for most of the second quarter of 2008. The reduced market capitalization reflected, in part, the Memory segment’s lower average selling prices and expected continued weakness in pricing for the Company’s memory products.</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Based on the results of the Company’s assessment of goodwill for impairment, it was determined that the carrying value of the Memory segment exceeded its estimated fair value. Therefore, the Company performed a preliminary second step of the impairment test to determine the implied fair value of</w:t>
      </w:r>
    </w:p>
    <w:p>
      <w:pPr>
        <w:ind w:right="140"/>
        <w:spacing w:after="0" w:line="252" w:lineRule="auto"/>
        <w:rPr>
          <w:sz w:val="20"/>
          <w:szCs w:val="20"/>
          <w:color w:val="auto"/>
        </w:rPr>
      </w:pPr>
      <w:r>
        <w:rPr>
          <w:rFonts w:ascii="Arial" w:cs="Arial" w:eastAsia="Arial" w:hAnsi="Arial"/>
          <w:sz w:val="18"/>
          <w:szCs w:val="18"/>
          <w:color w:val="auto"/>
        </w:rPr>
        <w:t>goodwill. Specifically, the Company hypothetically allocated the estimated fair value of the Memory segment as determined in the first step to recognized and unrecognized net assets, including allocations to intangible assets such as intellectual property, customer relationships and brand and trade names. The result of the preliminary analysis indicated that there would be no remaining implied value attributable to goodwill in the Memory segment and accordingly, the Company wrote off all $463 million of goodwill associated with its Memory segment as of February 28, 2008. Any adjustments to the estimated charge resulting from the completion of the measurement of the impairment loss will be recognized in the third quarter 2008. The Company’s assessment of goodwill impairment indicated that as of February 28, 2008, the fair value of the Imaging segment exceeded its carrying value and therefore goodwill in the segment was not impaired. (See “Item 1. Financial Statements – Notes to Consolidated Financial Statements – Supplemental Balance Sheet Information – 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Restructure</w:t>
      </w:r>
    </w:p>
    <w:p>
      <w:pPr>
        <w:spacing w:after="0" w:line="25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the fourth quarter of 2007, in an effort to increase its competitiveness and efficiency, the Company began pursuing a number of initiatives to reduce costs across its operations. These initiatives include workforce reductions in certain areas of the Company as its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 It is anticipated that these initiatives will be implemented over several quarters. In the second quarter and first six months of 2008, the Company recorded charges of $8 million and $21 million, respectively, primarily to the Memory segment, for employee severance and related costs and a write-down of certain facilities to their fair values. Since the fourth quarter of 2007, the Company has incurred $40 million due to the restructuring initiatives.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56"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Other operating (income) expense for the second quarter and first six months of 2008 included gains of $47 million and $57 million, respectively, on disposals of semiconductor equipment, and losses of $6 million and $33 million, respectively, from changes in currency exchange rates. Other operating (income) expense for the first quarter of 2008 included $38 million of receipts from the U.S. government in connection with anti-dumping tariffs. Other operating income for the first six months of 2007 included gains on disposals of semiconductor equipment of $10 million. Other operating income for the first quarter of 2007 included a gain of $30 million from the sale of certain intellectual property to Toshiba Corporation.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Income taxes for 2008 and 2007 primarily reflect taxes on the Company’s non-U.S. operations and U.S. alternative minimum tax. The Company has a valuation allowance for its net deferred tax asset associated with its U.S. operations. The benefit for taxes on U.S. operations in 2008 and 2007 was substantially offset by changes in the valuation allowance. Due to certain foreign statutes of limitations which expired on December 31, 2007, the Company recognized approximately $15 million of previously unrecognized tax benefits in the second quarter of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Net (Income) Loss</w:t>
      </w:r>
    </w:p>
    <w:p>
      <w:pPr>
        <w:spacing w:after="0" w:line="25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Noncontrolling interests for 2008 and 2007 primarily reflects the share of income or losses of the Company’s TECH joint venture attributable to the noncontrolling interests in TECH. On March 30, 2007, the Company acquired all of the shares of TECH common stock held by the Singapore Economic Development Board, which had the effect of reducing the noncontrolling interests in TECH as of that date from 57% to 27%. (See “Item 1. Financial Statements – Notes to Consolidated Financial Statements – Joint Ventures – TECH Semiconductor Singapore Pte. Ltd.”)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compensation cost for the Company’s equity plans for the second quarter of 2008, the first quarter of 2008 and second quarter of 2007 was $13 million, $13 million and $10 million, respectively. As of February 28, 2008, $3 million of stock compensation expense was capitalized and remained in inventory. As of February 28, 2008, there was $129 million of total unrecognized compensation cost related to equity plans, which is expected to be recognized through the second quarter of 2012. In 2005, the Company accelerated the vesting of substantially all of its unvested stock options then outstanding which reduced stock compensation recognized in subsequent periods.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4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Company’s liquidity is highly dependent on average selling p-rices for its products and the timing of capital expenditures, both of which can vary significantly from period to period. As of February 28, 2008, the Company had cash and equivalents and short-term investments totaling $1.9 billion compared to $2.6 billion as of August 30, 2007. The balance as of February 28, 2008, included an aggregate of $419 million held at, and anticipated to be used in the near term by, IM Flash and TECH and are not anticipated to be made available to finance the Company’s other operations.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2" w:name="page23"/>
    <w:bookmarkEnd w:id="22"/>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Company generated $558 million of cash from operating activities in the first six months of 2008, which principally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$1,039 million of net loss adjusted by $1,015 million for noncash depreciation and amortization expense, a $463 million noncash goodwill write-down, a $107 million decrease in receivables and $77 million of noncash inventory write-downs.</w:t>
      </w:r>
    </w:p>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by investing activities was $925 million in the first six months of 2008, which included cash expenditures for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plant and equipment of $1,306 million partially offset by the net effect of purchases, sales and maturities of investment securities of $268 million and $134 million in proceeds from sales of equipment. A significant portion of the capital expenditures relate to the ramp of IM Flash facilities and 300mm conversion of manufacturing operations at TECH.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expects 2008 capital spending to approximate $2.5 billion to $3.0 billion, primarily for expenditures on 300mm fabrication facilities. As of February 28, 2008, the Company had commitments of approximately $1.0 billion for the acquisition of property, plant and equipment, nearly all of which are expected to be paid within one year.</w:t>
      </w:r>
    </w:p>
    <w:p>
      <w:pPr>
        <w:spacing w:after="0" w:line="21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for financing activities was $117 million in the first six months of 2008, primarily reflecting an aggregate of $601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scheduled debt payments and payments on equipment purchase contracts partially offset by $240 million in proceeds from borrowings and $192 million in capital contributions received from joint venture partners.</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second quarter of 2008, the Company’s TECH subsidiary borrowed $240 million against a credit facility at Singapore Interbank Offered Rate ("SIBOR") plus 2.5%, subject to customary covenants. On March 31, 2008, TECH entered into a new credit facility that enables it to borrow up to $600 million at SIBOR plus 2.5%, subject to customary liquidity and other covenants. The facility is available for drawdown from March 31, 2008 to December 31, 2008. On April 7, 2008, TECH drew $220 million under the new credit facility and retired the previous credit facility by paying off the $240 million outstanding. Payments under the new facility are due in approximately equal installments over 13 quarters commencing in May 2009. In March 2009, TECH will be required to place $30 million in restricted cash and on September 2009 it will be required to increase the amount in restricted cash to $60 million. The Company has guaranteed approximately 73% of the outstanding amount of the facility, with the Company’s obligation increasing to 100% of the outstanding amount of the facility upon the occurrence of certain conditions. As a condition to granting the guarantee, the Company has a second position priority interest in all of the assets of TECH behind the lenders.</w:t>
      </w:r>
    </w:p>
    <w:p>
      <w:pPr>
        <w:spacing w:after="0" w:line="20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issue registered or unregistered securities to raise capital to fund a portion of its operations.</w:t>
      </w:r>
    </w:p>
    <w:p>
      <w:pPr>
        <w:spacing w:after="0" w:line="19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 xml:space="preserve">Joint Ventures: </w:t>
      </w:r>
      <w:r>
        <w:rPr>
          <w:rFonts w:ascii="Arial" w:cs="Arial" w:eastAsia="Arial" w:hAnsi="Arial"/>
          <w:sz w:val="16"/>
          <w:szCs w:val="16"/>
          <w:color w:val="auto"/>
        </w:rPr>
        <w:t>As of February 28, 2008, IM Flash had $257 million of cash and marketable investment securities. The Company plans to make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contributions, net of distributions received, of approximately $200 million through the end of 2009, with similar contributions to be made by Intel. Timing of these contributions, however, is subject to market conditions and approval of the partners. The Company anticipates additional investments as appropriate to support the growth of IM Flash’s operations. (See “Item 1. Financial Statements – Notes to Consolidated Financial Statements – Joint Ventures.”)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Contractual Obligations: </w:t>
      </w:r>
      <w:r>
        <w:rPr>
          <w:rFonts w:ascii="Arial" w:cs="Arial" w:eastAsia="Arial" w:hAnsi="Arial"/>
          <w:sz w:val="16"/>
          <w:szCs w:val="16"/>
          <w:color w:val="auto"/>
        </w:rPr>
        <w:t>As of February 28, 2008, contractual obligations for notes payable, capital lease obligations and operating leases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Remainder</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2013 and</w:t>
            </w:r>
          </w:p>
        </w:tc>
      </w:tr>
      <w:tr>
        <w:trPr>
          <w:trHeight w:val="241"/>
        </w:trPr>
        <w:tc>
          <w:tcPr>
            <w:tcW w:w="2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of 2008</w:t>
            </w:r>
          </w:p>
        </w:tc>
        <w:tc>
          <w:tcPr>
            <w:tcW w:w="32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thereafter</w:t>
            </w:r>
          </w:p>
        </w:tc>
      </w:tr>
      <w:tr>
        <w:trPr>
          <w:trHeight w:val="216"/>
        </w:trPr>
        <w:tc>
          <w:tcPr>
            <w:tcW w:w="26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(amounts in millions)</w:t>
            </w: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6"/>
              </w:rPr>
              <w:t>Notes payable (including interest)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702"/>
        </w:trPr>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63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6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March 2008, the Financial Accounting Standards Board (“FASB”) issued Statement of Financial Accounting Standards (“SFAS”) No. 161, “Disclosures about Derivative Instruments and Hedging Activities – an amendment of FASB Statement No. 133.” SFAS No. 161 requires qualitative disclosures about objectives and strategies for using derivatives, quantitative disclosures about fair value amounts of and gains and losses on derivative instruments, and disclosures about credit-risk-related contingent features in derivative agreements. The Company is required to adopt SFAS No. 161 effective at the beginning of 2010. The Company is evaluating the impact that the adoption of SFAS No. 161 will have on its financial statements.</w:t>
      </w:r>
    </w:p>
    <w:p>
      <w:pPr>
        <w:spacing w:after="0" w:line="18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December 2007, the FASB ratified Emerging Issues Task Force (“EITF”) Issue No. 07-1, “Accounting for Collaborative Arrangements,” which defines collaborative arrangements and establishes reporting and disclosure requirements for transactions between participants in a collaborative arrangement and between participants in the arrangements and third parties. The Company is required to adopt EITF No. 07-1 effective at the beginning of 2010. The Company is evaluating the impact that the adoption of EITF No. 07-1 will have on its financial statements.</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December 2007, the FASB issued SFAS No. 141 (revised 2007),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 in the acquiree, (2) recognizes and measures the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on or after the beginning of 2010.</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income statement,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that the adoption of SFAS No. 160 will have on its financial statements.</w:t>
      </w:r>
    </w:p>
    <w:p>
      <w:pPr>
        <w:spacing w:after="0" w:line="22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is required to adopt SFAS No. 159 effective at the beginning of 2009. The impact of the adoption of SFAS No. 159 on the Company’s financial statements will depend on the extent to which the Company elects to measure eligible items at fair value.</w:t>
      </w:r>
    </w:p>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In February 2008, the FASB issued FASB Staff Position (“FSP”) FAS 157-1, “Application of FASB Statement No. 157 to FASB Statement No. 13 and Other Accounting Pronouncements That Address Fair Value Measurements for Purposes of Lease Classification or Measurement under Statement 13,” which amends SFAS No. 157 to exclude accounting pronouncements that address fair value measurements for purposes of lease classification or measurement under SFAS No. 13. In February 2008, the FASB also issued FSP FAS 157-2, “Effective Date of FASB Statement No. 157,” which delays the effective date of SFAS No. 157 until the beginning of 2010 for all non-financial assets and non-financial liabilities, except for items that are recognized or disclosed at fair value in the financial statements on a recurring basis (at least annually). The Company is required to adopt SFAS No. 157 for financial assets and liabilities effective at the beginning of 2009. The Company is evaluating the impact this statement will have on its financial statements.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In June 2006, the FASB issued Interpretation No. 48 (“FIN 48”), “Accounting for Uncertainty in Income Taxes – an interpretation of FASB Statement No.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109.” The interpretation contains a two-step approach to recognizing and measuring uncertain tax positions accounted for in accordance with SFAS No.</w:t>
      </w:r>
    </w:p>
    <w:p>
      <w:pPr>
        <w:spacing w:after="0" w:line="21" w:lineRule="exact"/>
        <w:rPr>
          <w:sz w:val="20"/>
          <w:szCs w:val="20"/>
          <w:color w:val="auto"/>
        </w:rPr>
      </w:pPr>
    </w:p>
    <w:p>
      <w:pPr>
        <w:ind w:firstLine="8"/>
        <w:spacing w:after="0" w:line="292" w:lineRule="auto"/>
        <w:tabs>
          <w:tab w:leader="none" w:pos="40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on August 31, 2007, which did not have a significant impact on the Company’s results of operations or financial position. The Company did not change its policy of recognizing accrued interest and penalties related to unrecognized tax benefits within the income tax provision with the adoption of FIN 48. (See “Income Taxes” note.)</w:t>
      </w:r>
    </w:p>
    <w:p>
      <w:pPr>
        <w:spacing w:after="0" w:line="19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The Company adopted SFAS No. 155 as of the beginning of 2008. The adoption of SFAS No. 155 did not impact the Company’s results of operations or financial condition.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4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requires management’s most difficult, subjective or complex judgments.</w:t>
      </w:r>
    </w:p>
    <w:p>
      <w:pPr>
        <w:spacing w:after="0" w:line="22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Acquisitions and consolidations: </w:t>
      </w:r>
      <w:r>
        <w:rPr>
          <w:rFonts w:ascii="Arial" w:cs="Arial" w:eastAsia="Arial" w:hAnsi="Arial"/>
          <w:sz w:val="17"/>
          <w:szCs w:val="17"/>
          <w:color w:val="auto"/>
        </w:rPr>
        <w:t>Determination and the allocation of the purchase price of acquired operations significantly influences the period in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are recognized. Accounting for acquisitions and consolidations requires the Company to estimate the fair value of the individual assets and liabilities acquired as well as various forms of consideration given, which involves a number of judgments, assumptions and estimates that could materially affect the amount and timing of costs recognized. The Company typically obtains independent third party valuation studies to assist in determining fair values, including assistance in determining future cash flows, appropriate discount rates and comparable market values.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1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In the second quarter of 2008, the Company recorded a goodwill impairment charge of $463 million. The Company tests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goodwill for impairment annually and whenever events or circumstances make it more likely than not that an impairment may have occurred, such as a significant adverse change in the business climate or a decision to sell or dispose of a reporting unit. Goodwill is tested for impairment using a two-step process. In the first step, the fair value of each reporting unit is compared to the carrying value of the net assets assigned to the unit. If the fair value of the reporting unit exceeds its carrying value, goodwill is considered not impaired. If the carrying value of the reporting unit exceeds its fair value, then the second step of the impairment test must be performed in order to determine the implied fair value of the reporting unit’s goodwill. Determining the implied fair value of goodwill requires valuation of all of the Company’s tangible and intangible asset and liabilities. If the carrying value of a reporting unit’s goodwill exceeds its implied fair value, then the Company would record an impairment loss equal to the difference.</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Determining when to test for impairment, the Company’s reporting units, the fair value of a reporting unit and the fair value of assets and liabilities within a reporting unit, requires judgment and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comparables. The Company bases fair value estimates on assumptions it believes to be reasonable but that are unpredictable and inherently uncertain. Actual future results may differ from those estimates. In addition, judgments and assumptions are required to allocate assets and liabilities to reporting units.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5" w:name="page26"/>
    <w:bookmarkEnd w:id="25"/>
    <w:p>
      <w:pPr>
        <w:ind w:right="20"/>
        <w:spacing w:after="0" w:line="279" w:lineRule="auto"/>
        <w:rPr>
          <w:sz w:val="20"/>
          <w:szCs w:val="20"/>
          <w:color w:val="auto"/>
        </w:rPr>
      </w:pPr>
      <w:r>
        <w:rPr>
          <w:rFonts w:ascii="Arial" w:cs="Arial" w:eastAsia="Arial" w:hAnsi="Arial"/>
          <w:sz w:val="17"/>
          <w:szCs w:val="17"/>
          <w:color w:val="auto"/>
        </w:rPr>
        <w:t>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Company is required to estimate its provision for income taxes and amounts ultimately payable or recoverable in numerous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 The Company adopted FIN 48 effective at the beginning of 2008.</w:t>
      </w:r>
    </w:p>
    <w:p>
      <w:pPr>
        <w:spacing w:after="0" w:line="2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Inventories are stated at the lower of average cost or market value. Cost includes labor, material and overhead costs, including product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fair value of the Company’s semiconductor memory inventory by approximately $78 million at February 28, 2008.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21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98"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incurred. Determining when product development is complete requires judgment by the Company. The Company deems development of a product complete once the product has been thoroughly reviewed and tested for performance and reliability.</w:t>
      </w:r>
    </w:p>
    <w:p>
      <w:pPr>
        <w:spacing w:after="0" w:line="19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Under the provisions of SFAS No. 123(R), stock-based compensation cost is estimated at the grant date based on the fair-value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w:t>
      </w:r>
    </w:p>
    <w:p>
      <w:pPr>
        <w:spacing w:after="0" w:line="20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For stock based compensation awards with graded vesting that were granted after 2005, the Company recognizes compensation expense using the straight-line amortization method.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February 28, 2008, $2,100 million of the Company’s $2,406 million of debt was at fixed interest rates. As a result, the fair value of the debt fluctuates based on changes in market interest rates. The estimated fair market value of the Company’s debt was $2,160 million as of February 28, 2008 and was $2,411 million as of August 30, 2007. The Company estimates that as of February 28, 2008, a 1% change in market interest rates would change the fair value of the fixed-rate debt by approximately $80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 1A.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Risk Factors.” Changes in foreign currency exchange rates could materially adversely affect the Company’s results of operations or financial condition.</w:t>
      </w:r>
    </w:p>
    <w:p>
      <w:pPr>
        <w:spacing w:after="0" w:line="24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functional currency for substantially all of the Company’s operations is the U.S. dollar. The Company held aggregate cash and other assets in foreign currencies valued at U.S. $420 million as of February 28, 2008 and U.S. $448 million as of August 30, 2007. The Company also had aggregate foreign currency liabilities valued at U.S. $701 million as of February 28, 2008 and U.S. $979 million as of August 30, 2007. Significant components of the Company’s assets and liabilities denominated in foreign currencies were as follows (in U.S. dollar equivalents):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February 28, 2008</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1"/>
              </w:rPr>
              <w:t>August 30, 2007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w w:val="90"/>
              </w:rPr>
              <w:t>Singapore</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w w:val="90"/>
              </w:rPr>
              <w:t>Singapore</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Dollars</w:t>
            </w:r>
          </w:p>
        </w:tc>
        <w:tc>
          <w:tcPr>
            <w:tcW w:w="42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Yen</w:t>
            </w:r>
          </w:p>
        </w:tc>
        <w:tc>
          <w:tcPr>
            <w:tcW w:w="30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Euro</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Dollars</w:t>
            </w:r>
          </w:p>
        </w:tc>
        <w:tc>
          <w:tcPr>
            <w:tcW w:w="3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Yen</w:t>
            </w:r>
          </w:p>
        </w:tc>
        <w:tc>
          <w:tcPr>
            <w:tcW w:w="3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Euro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estimates that, based on its assets and liabilities denominated in currencies other than the U.S. dollar as of February 28, 2008, a 1% change in the exchange rate versus the U.S. dollar would result in foreign currency gains or losses of approximately U.S. $2 million for the Singapore dollar and U.S. $1 million for the euro.</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its principal executive officer who is also acting as the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(including in his capacity of performing the functions of the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the principal executive officer (including in his capacity of performing the functions of the principal financial officer) to allow timely decision regarding disclosure.</w:t>
      </w:r>
    </w:p>
    <w:p>
      <w:pPr>
        <w:spacing w:after="0" w:line="20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Matters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In the Delaware action, the Company subsequently added claims and defenses based on Rambus’s alleged spoliation of evidence and litigation misconduct. The spoliation and litigation misconduct claims and defenses were heard in a bench trial before Judge Robinson in October 2007. Post-trial briefing is underway for this phase of the litigation.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 Company, Rambus is seeking monetary damages and injunctive relief. Subsequent to the filing of the various European suits, the European Patent Office (the “EPO”) declared Rambus’ 525 068 and 1 004 956 European patents invalid and revoked the patents. The declaration of invalidity with respect to the '068 patent was upheld on appeal. The original claims of the '956 patent also were declared invalid on appeal, but the EPO ultimately granted a Rambus request to amend the claims by adding a number of limitations. On January 13, 2006, Rambus filed a lawsuit against the Company in the U.S. District Court for the Northern District of California alleging infringement of eighteen Rambus patents. On June 2, 2006, the Company filed an answer and counterclaim against Rambus alleging among other things, antitrust and fraud claims. The Northern District of California Court subsequently consolidated the antitrust and fraud claims and certain equitable defenses of the Company and other parties against Rambus in a jury trial that began on January 29, 2008. On March 26, 2008, a jury returned a verdict in favor of Rambus on the Company’s antitrust and fraud claims.</w:t>
      </w:r>
    </w:p>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two additional Mosaid patents. On October 23, 2006, the California Court dismissed the Company’s declaratory judgment suit based on lack of jurisdiction. The Company appealed that decision to the U.S. Court of Appeals for the Federal Circuit. On February 29, 2008, the U.S. Court of Appeals for the Federal Circuit issued an order reversing the dismissal of the Company’s declaratory judgment action filed in the U.S. District Court for the Northern District of California and remanding the suit to that Court.</w:t>
      </w:r>
    </w:p>
    <w:p>
      <w:pPr>
        <w:spacing w:after="0" w:line="1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DDR2 SDRAM, DDR3 SDRAM, RLDRAM, and image sensor products, which account for a significant portion of the Company’s net sales.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8" w:name="page29"/>
    <w:bookmarkEnd w:id="28"/>
    <w:p>
      <w:pPr>
        <w:ind w:right="40"/>
        <w:spacing w:after="0" w:line="259" w:lineRule="auto"/>
        <w:rPr>
          <w:sz w:val="20"/>
          <w:szCs w:val="20"/>
          <w:color w:val="auto"/>
        </w:rPr>
      </w:pPr>
      <w:r>
        <w:rPr>
          <w:rFonts w:ascii="Arial" w:cs="Arial" w:eastAsia="Arial" w:hAnsi="Arial"/>
          <w:sz w:val="18"/>
          <w:szCs w:val="18"/>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Matters</w:t>
      </w:r>
    </w:p>
    <w:p>
      <w:pPr>
        <w:spacing w:after="0" w:line="256"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20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Subsequent to the commencement of the DOJ investigation, a number of purported class action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January 29, 2008, the Court granted in part and denied in part the Company’s motion to dismiss plaintiff’s second amended consolidated complaint. Plaintiffs have filed a motion seeking certification for interlocutory appeal of this decision and on February 27, 2008, filed a third amended complaint.</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w:t>
      </w:r>
    </w:p>
    <w:p>
      <w:pPr>
        <w:spacing w:after="0" w:line="20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Three states, Ohio, New Hampshire, and Texas, subsequently voluntarily dismissed their claims. The remaining states filed a third amended complaint on October 1, 2007. Alaska and Delaware subsequently voluntarily dismissed their claims.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9" w:name="page30"/>
    <w:bookmarkEnd w:id="29"/>
    <w:p>
      <w:pPr>
        <w:ind w:right="60"/>
        <w:spacing w:after="0" w:line="279" w:lineRule="auto"/>
        <w:rPr>
          <w:sz w:val="20"/>
          <w:szCs w:val="20"/>
          <w:color w:val="auto"/>
        </w:rPr>
      </w:pPr>
      <w:r>
        <w:rPr>
          <w:rFonts w:ascii="Arial" w:cs="Arial" w:eastAsia="Arial" w:hAnsi="Arial"/>
          <w:sz w:val="17"/>
          <w:szCs w:val="17"/>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damages, injunctive relief, and other remedies.</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2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w:t>
      </w:r>
    </w:p>
    <w:p>
      <w:pPr>
        <w:ind w:right="60"/>
        <w:spacing w:after="0" w:line="254" w:lineRule="auto"/>
        <w:rPr>
          <w:sz w:val="20"/>
          <w:szCs w:val="20"/>
          <w:color w:val="auto"/>
        </w:rPr>
      </w:pPr>
      <w:r>
        <w:rPr>
          <w:rFonts w:ascii="Arial" w:cs="Arial" w:eastAsia="Arial" w:hAnsi="Arial"/>
          <w:sz w:val="18"/>
          <w:szCs w:val="18"/>
          <w:color w:val="auto"/>
        </w:rPr>
        <w:t>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2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The Company has not received a subpoena and believes that is not a target of the investigation.</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least thirty-four purported class action lawsuits have been filed against the Company and other suppliers of Flash memory products in the U.S. District Court for the Northern District of California and other federal district courts.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 On February 8, 2008, the plaintiffs filed a consolidated amended complaint that did not name the Company as a defendant.</w:t>
      </w:r>
    </w:p>
    <w:p>
      <w:pPr>
        <w:spacing w:after="0" w:line="22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Three purported class action Flash lawsuits also have been filed in Canada, on behalf of direct and indirect purchasers, alleging violations of the Canadian Competition Act. The substantive allegations in these cases are similar to those asserted in the Flash cases filed in the United States.</w:t>
      </w:r>
    </w:p>
    <w:p>
      <w:pPr>
        <w:spacing w:after="0" w:line="17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21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Securities Matters</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was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Supreme Court.</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Matters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named the Company as a defendant. The complaints alleged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sought,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the Company's motions to dismiss the amended complaint but allowed plaintiffs leave to file a further amended complaint. On November 16, 2007, the Court granted Lexar’s and the Company’s renewed motion to dismiss the case as to all parties with prejudice. On December 18, 2007, the Court entered an order holding that the plaintiffs had waived any right to appeal the final judgment.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9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We have experienced dramatic declines in average selling prices for our semiconductor memory products which have adversely affected our business.</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second quarter of 2008 average selling prices for DRAM products and NAND Flash products decreased approximately 15% and 30%, respectively, as compared to the first quarter of 2008. In 2007, average selling prices for DRAM products and NAND Flash products decreased 23% and 56%, respectively, as compared to 2006. In other recent years, we also have experienced significant annual decreases in per megabit average selling prices for our memory products including: 34% in 2006, 24% in 2005, 17% in 2003, 53% in 2002 and 60% in 2001. At times, average selling prices for our memory products have been below our costs. We recorded inventory write-downs of $15 million in the second quarter of 2008, $62 million in the first quarter of 2008 and $20 million in the fourth quarter of 2007 as a result of significant decreases in average selling prices for our semiconductor memory products. If the estimated market values of products held in finished goods and work in process inventories at a quarter end date are below the manufacturing cost of these products, we recognize charges to cost of goods sold to write down the carrying value of our inventories to market value. Future charges for inventory write-downs could be significantly larger than the amount recorded in the first and second quarters of 2008. If average selling prices for our memory products remain depressed or decrease faster than we can decrease per megabit costs, as they recently have, our business, results of operations or financial condition could be materially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rate average selling prices decline.</w:t>
      </w:r>
    </w:p>
    <w:p>
      <w:pPr>
        <w:spacing w:after="0" w:line="25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gross margins are dependent upon continuing decreases in per megabit manufacturing costs achieved through improvements in our manufacturing processes, including reducing the die size of our existing products. In future periods, we may be unable to reduce our per unit manufacturing costs at sufficient levels to increase gross margins due to factors, including, but not limited to, strategic product diversification decisions affecting product mix, the increasing complexity of manufacturing processes, changes in process technologies or products that inherently may require relatively larger die sizes. Per unit manufacturing costs may also be affected by the relatively smaller production quantities and shorter product lifecycles of certain specialty memory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Qimonda AG ADS;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Our plans to significantly increase our NAND Flash memory production and sales have numerous risks.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plan to increase our NAND Flash production and sales in future periods. As part of this plan, we have formed several manufacturing joint ventures with Intel and made substantial investments in capital expenditures for equipment, new facilities and research and development. Our plans also require significant investments in capital expenditures and research and development. We currently expect our capital spending for 2008 to approximate $2.5 billion to $3.0 billion, with a majority of the expenditures being made to support our NAND operations. These investments involve numerous risks. In addition, we are required to devote a significant portion of our existing semiconductor manufacturing capacity to the production of NAND Flash instead of the Company's other products. We are party to a contract with Apple Inc. to provide NAND Flash products for an extended period of time at contractually determined prices. We currently have a relatively small share of the world-wide market for NAND Flash.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NAND Flash strategy involves numerous risks, and may include the following:</w:t>
      </w:r>
    </w:p>
    <w:p>
      <w:pPr>
        <w:spacing w:after="0" w:line="252" w:lineRule="exact"/>
        <w:rPr>
          <w:sz w:val="20"/>
          <w:szCs w:val="20"/>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NAND Flash;</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establishing new production operations at multiple locations;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raising funds or increasing debt to finance future investments;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diverting management’s attention from DRAM and CMOS image sensor operations;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NAND Flash strategy may not be successful and could materially adversely affect our business, results of operations or financial condition.</w:t>
      </w:r>
    </w:p>
    <w:p>
      <w:pPr>
        <w:spacing w:after="0" w:line="24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and make adequate capital investments.</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cash flows from operations depend primarily on the volume of semiconductor memory and CMOS image sensors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expect capital spending for 2008 to approximate $2.5 billion to $3.0 billion. Cash and investments of IM Flash and TECH are generally not available to finance our other operations. In addition to cash provided by operations, we have from time to time utilized external sources of financing. Access to capital markets has historically been very important to us. Depending on market conditions, we may issue registered or unregistered securities to raise capital to fund a portion of our operations. There can be no assurance that we will be able to generate sufficient cash flows to fund our operations, make adequate capital investments or access capital markets on acceptable terms, and an inability to do so could have a material adverse effect on our business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3" w:name="page34"/>
    <w:bookmarkEnd w:id="33"/>
    <w:p>
      <w:pPr>
        <w:ind w:right="260"/>
        <w:spacing w:after="0" w:line="282" w:lineRule="auto"/>
        <w:rPr>
          <w:sz w:val="20"/>
          <w:szCs w:val="20"/>
          <w:color w:val="auto"/>
        </w:rPr>
      </w:pPr>
      <w:r>
        <w:rPr>
          <w:rFonts w:ascii="Arial" w:cs="Arial" w:eastAsia="Arial" w:hAnsi="Arial"/>
          <w:sz w:val="18"/>
          <w:szCs w:val="18"/>
          <w:b w:val="1"/>
          <w:bCs w:val="1"/>
          <w:color w:val="auto"/>
        </w:rPr>
        <w:t>The future success of our Imaging business will be dependent on continued market acceptance of our products and the development, introduction and marketing of new Imaging products.</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8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2007, our Imaging net sales and gross margins decreased and we faced increased competition. There can be no assurance that we will be able to grow or maintain our market share or gross margins for Imaging products in the future. The success of our Imaging business will depend on a number of factors, including:</w:t>
      </w:r>
    </w:p>
    <w:p>
      <w:pPr>
        <w:spacing w:after="0" w:line="208" w:lineRule="exact"/>
        <w:rPr>
          <w:sz w:val="20"/>
          <w:szCs w:val="20"/>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efforts to restructure our Imaging business may be unsuccessful.</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exploring business model alternatives for our Imaging business including partnering arrangements. To the extent we form a partnering arrangement, the resulting business model may not be successful and the Imaging operations revenues and margins could be adversely affected. We may incur significant costs to convert Imaging operations to a new business structure and operations could be disrupted. If our efforts to restructure the Imaging business are unsuccessful, our business, results of operations or financial condition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and alliances, which involve numerous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the formation of alliances such as joint ventures and other partnering arrangements, involve numerous risks including the following:</w:t>
      </w:r>
    </w:p>
    <w:p>
      <w:pPr>
        <w:spacing w:after="0" w:line="264" w:lineRule="exact"/>
        <w:rPr>
          <w:sz w:val="20"/>
          <w:szCs w:val="20"/>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acquired or newly formed entities,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debt to finance any acquisition or formation of a new business,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protecting our intellectual property as we enter into a greater number of licensing arrangements,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geographic areas,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We may incur additional restructure charges or not realize the expected benefits of new initiatives to reduce costs across our operations.</w:t>
      </w:r>
    </w:p>
    <w:p>
      <w:pPr>
        <w:spacing w:after="0" w:line="26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pursuing a number of initiatives to reduce costs across our operations. These initiatives include workforce reductions in certain areas as we realign our business. Additional initiatives include establishing certain operations closer in location to our global customers, evaluating functions more efficiently performed through partnerships or other outside relationships and reducing our overhead costs to meet or exceed industry benchmarks. In the second quarter and first six months of 2008, we recorded charges of $8 million and $21 million, respectively, primarily to the Memory segment, for employee severance and related costs and a write-down of certain facilities that are expected to be sold to their fair values. We may not realize the expected benefits of these new initiatives. As a result of these initiatives, we expect to incur restructuring or other infrequent charges and we may experience disruptions in our operations, loss of key personnel and difficulties in delivering products timely.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operating loss and tax credit carryforwards may be limited.</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6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euro, yen and Singapore dollar. We estimate that, based on its assets and liabilities denominated in currencies other than the U.S. dollar as of February 28, 2008, a 1% change in the exchange rate versus the U.S. dollar would result in foreign currency gains or losses of approximately U.S. $2 million for the Singapore dollar and U.S. $1 million for the euro. In the event that the U.S. dollar weakens significantly compared to the Singapore dollar, euro or yen, our results of operations or financial condition will be adversely affected.</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9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In the Delaware action, we subsequently added claims and defenses based on Rambus’s alleged spoliation of evidence and litigation misconduct. The spoliation and litigation misconduct claims and defenses were heard in a bench trial before Judge Robinson in October 2007. Post-trial briefing is underway for this phase of the litigation.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line="267" w:lineRule="auto"/>
        <w:rPr>
          <w:sz w:val="20"/>
          <w:szCs w:val="20"/>
          <w:color w:val="auto"/>
        </w:rPr>
      </w:pPr>
      <w:r>
        <w:rPr>
          <w:rFonts w:ascii="Arial" w:cs="Arial" w:eastAsia="Arial" w:hAnsi="Arial"/>
          <w:sz w:val="17"/>
          <w:szCs w:val="17"/>
          <w:color w:val="auto"/>
        </w:rPr>
        <w:t>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 Patent Office (the “EPO”) declared Rambus' 525 068 and 1 004 956 European patents invalid and revoked the patents. The declaration of invalidity with respect to the ‘068 patent has been upheld on appeal. The original claims of the '956 patent also were declared invalid on appeal, but the EPO ultimately granted a Rambus request to amend the claims by adding a number of limitations. On January 13, 2006, Rambus filed a lawsuit against us in the U.S. District Court for the Northern District of California alleging infringement of eighteen Rambus patents. On June 2, 2006, we filed an answer and counterclaim against Rambus alleging amongst other thins, antitrust and fraud claims. The Northern District of California Court subsequently consolidated the antitrust and fraud claims and certain equitable defenses of ours and other parties against Rambus in a jury trial that began on January 29, 2008. On March 26, 2008, a jury returned a verdict in favor of Rambus on our antitrust and fraud claims. We are also engaged in litigation with Mosaid Technologies, Inc. ("Mosaid"). On July 24, 2006, we filed a declaratory judgment action against Mosaid in the U.S. District Court for the Northern District of California seeking, among other things, a court determination that fourteen Mosaid patents are invalid, not enforceable, and/or not infringed. On July 25, 2006, Mosaid filed a lawsuit against us and others in the U.S. District Court for the Eastern District of Texas alleging infringement of nine Mosaid patents. On August 31, 2006, Mosaid filed an amended complaint adding two additional Mosaid patents. On October 23, 2006, the California Court dismissed our declaratory judgment suit based on lack of jurisdiction. We appealed that decision to the U.S. Court of Appeals for the Federal Circuit. On February 29, 2008, the U.S. Court of Appeals for the Federal Circuit issued an order reversing the dismissal of our declaratory judgment action filed in the U.S. District Court for the Northern District of California and remanding the suit to that Court.</w:t>
      </w: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Among other things, the above lawsuits pertain to certain of our SDRAM, DDR SDRAM, DDR2 SDRAM, DDR3 SDRAM, RLDRAM, and image sensor products, which account for a significant portion of our net sales.</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19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21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Subsequent to the commencement of the DOJ investigation, a number of purported class action lawsuits have been filed against us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DRAM and/or products containing DRAM in the respective jurisdictions during various time periods ranging from April 1999 through at least June</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2002.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January 29, 2008, the Court granted in part and denied in part our motion to dismiss the plaintiff’s second amended consolidated complaint. Plaintiffs have filed a motion seeking certification for interlocutory appeal of this decision and on February 27, 2008, filed a third amended complaint.</w:t>
      </w:r>
    </w:p>
    <w:p>
      <w:pPr>
        <w:spacing w:after="0" w:line="20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w:t>
      </w:r>
    </w:p>
    <w:p>
      <w:pPr>
        <w:spacing w:after="0" w:line="20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various states, through their Attorneys General, have filed suit against us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Four states, Alaska, Ohio, New Hampshire, and Texas, subsequently have withdrawn from the complaint.</w:t>
      </w:r>
    </w:p>
    <w:p>
      <w:pPr>
        <w:spacing w:after="0" w:line="19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damages, injunctive relief, and other remedies.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11, 2006, we received a grand jury subpoena from the U.S. District Court for the Northern District of California seeking information regarding an investigation by the DOJ into possible antitrust violations in the "Static Random Access Memory" or "SRAM" industry. We believe that we are not a target of the investigation and we are cooperating with the DOJ in its investigation of the SRAM industry.</w:t>
      </w:r>
    </w:p>
    <w:p>
      <w:pPr>
        <w:spacing w:after="0" w:line="208" w:lineRule="exact"/>
        <w:rPr>
          <w:sz w:val="20"/>
          <w:szCs w:val="20"/>
          <w:color w:val="auto"/>
        </w:rPr>
      </w:pPr>
    </w:p>
    <w:p>
      <w:pPr>
        <w:ind w:right="460"/>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us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w:t>
      </w:r>
    </w:p>
    <w:p>
      <w:pPr>
        <w:ind w:right="120"/>
        <w:spacing w:after="0" w:line="254" w:lineRule="auto"/>
        <w:rPr>
          <w:sz w:val="20"/>
          <w:szCs w:val="20"/>
          <w:color w:val="auto"/>
        </w:rPr>
      </w:pPr>
      <w:r>
        <w:rPr>
          <w:rFonts w:ascii="Arial" w:cs="Arial" w:eastAsia="Arial" w:hAnsi="Arial"/>
          <w:sz w:val="18"/>
          <w:szCs w:val="18"/>
          <w:color w:val="auto"/>
        </w:rPr>
        <w:t>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2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We have not received a subpoena and believe that we are not a target of the investigation.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right="20"/>
        <w:spacing w:after="0" w:line="255" w:lineRule="auto"/>
        <w:rPr>
          <w:sz w:val="20"/>
          <w:szCs w:val="20"/>
          <w:color w:val="auto"/>
        </w:rPr>
      </w:pPr>
      <w:r>
        <w:rPr>
          <w:rFonts w:ascii="Arial" w:cs="Arial" w:eastAsia="Arial" w:hAnsi="Arial"/>
          <w:sz w:val="18"/>
          <w:szCs w:val="18"/>
          <w:color w:val="auto"/>
        </w:rPr>
        <w:t>At least thirty-four purported class action lawsuits have been filed against the Company and other suppliers of Flash memory products in the U.S. District Court for the Northern District of California and other federal district courts.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 On February 8, 2008, the plaintiffs filed consolidated amended complaint on February 8, 2008 that did not name us as a defendant.</w:t>
      </w:r>
    </w:p>
    <w:p>
      <w:pPr>
        <w:spacing w:after="0" w:line="22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Three purported class action Flash lawsuits also have been filed in Canada, on behalf of direct and indirect purchasers, alleging violations of the Canadian Competition Act. The substantive allegations in these cases are similar to those asserted in the Flash cases filed 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us and other DRAM</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2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violations of securities laws.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w:t>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our benefit, against certain of our current and former officers and directors. We were also named as a nominal defendant. An amended complaint was filed on August 23, 2006 and was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us. However, we may be required, throughout the pendency of the action, to advance payment of legal fees and costs incurred by the defendants. On January 25, 2008, the Court granted our motion to dismiss seconded amended complaint without leave to amend. On March 10, 2008, plaintiffs filed a notice of appeal to the Idaho Supreme Court.</w:t>
      </w:r>
    </w:p>
    <w:p>
      <w:pPr>
        <w:spacing w:after="0" w:line="1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unable to predict the outcome of these cases. A court determination in any of the class actions against us could result in significant liability and could have a material adverse effect on our business, results of operations or financial condition.</w:t>
      </w:r>
    </w:p>
    <w:p>
      <w:pPr>
        <w:spacing w:after="0" w:line="19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Sales to customers outside the United States approximated 77% of our consolidated net sales for the second quarter of 2008. In addition, we have manufacturing operations in China, Italy, Japan, Puerto Rico and Singapore. Our international sales and operations are subject to a variety of risks, including: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8" w:name="page39"/>
    <w:bookmarkEnd w:id="38"/>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Additionally, our control over operations at our IM Flash, TECH and MP Mask joint ventures may be limited by our agreements with our partners.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5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2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7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left="980" w:hanging="13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political conditions may harm our business.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Global economic conditions may also affect consumer demand for devices that incorporate our products such as mobile phones, personal computers, Flash memory cards and USB devices. As a result, our business, results of operations or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second quarter of 2008, the Company acquired, as payment of withholding taxes in connection with the vesting of restricted stock and restricted stock unit awards, 216,143 shares of its common stock at an average price per share of $7.89. In the second quarter of 2008, the Company retired the 216,143 shares acquired in the second quarter of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(c) Total</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number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units)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of 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units)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part of</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 Total</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w:t>
            </w:r>
          </w:p>
        </w:tc>
        <w:tc>
          <w:tcPr>
            <w:tcW w:w="2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 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 per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ind w:left="2700"/>
              <w:spacing w:after="0"/>
              <w:rPr>
                <w:sz w:val="20"/>
                <w:szCs w:val="20"/>
                <w:color w:val="auto"/>
              </w:rPr>
            </w:pPr>
            <w:r>
              <w:rPr>
                <w:rFonts w:ascii="Arial" w:cs="Arial" w:eastAsia="Arial" w:hAnsi="Arial"/>
                <w:sz w:val="18"/>
                <w:szCs w:val="18"/>
                <w:b w:val="1"/>
                <w:bCs w:val="1"/>
                <w:color w:val="auto"/>
              </w:rPr>
              <w:t>Period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w:t>
            </w:r>
          </w:p>
        </w:tc>
        <w:tc>
          <w:tcPr>
            <w:tcW w:w="22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share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November 30, 2008 – January 3, 2008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8.43</w:t>
            </w:r>
          </w:p>
        </w:tc>
        <w:tc>
          <w:tcPr>
            <w:tcW w:w="1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January 4, 2008 – January 31, 2008</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 2008 – February 28, 2008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151,378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7.67</w:t>
            </w: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216,143</w:t>
            </w:r>
          </w:p>
        </w:tc>
        <w:tc>
          <w:tcPr>
            <w:tcW w:w="120" w:type="dxa"/>
            <w:vAlign w:val="bottom"/>
          </w:tcPr>
          <w:p>
            <w:pPr>
              <w:spacing w:after="0"/>
              <w:rPr>
                <w:sz w:val="18"/>
                <w:szCs w:val="18"/>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7.89</w:t>
            </w: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Please refer to “PART II. OTHER INFORMATION – Item 4. Submission of Matter to a Vote of Security Holders” of the Company's Quarterly Report on Form 10-Q for the quarter ended November 29, 2007 for a description and results of matters submitted to the shareholders at the Company's Annual Meeting of Shareholders on December 4, 2007.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400" w:type="dxa"/>
            <w:vAlign w:val="bottom"/>
          </w:tcPr>
          <w:p>
            <w:pPr>
              <w:spacing w:after="0"/>
              <w:rPr>
                <w:sz w:val="18"/>
                <w:szCs w:val="18"/>
                <w:color w:val="auto"/>
              </w:rPr>
            </w:pPr>
          </w:p>
        </w:tc>
      </w:tr>
      <w:tr>
        <w:trPr>
          <w:trHeight w:val="241"/>
        </w:trPr>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Description of Exhibit</w:t>
            </w:r>
          </w:p>
        </w:tc>
      </w:tr>
      <w:tr>
        <w:trPr>
          <w:trHeight w:val="216"/>
        </w:trPr>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0" w:type="dxa"/>
            <w:vAlign w:val="bottom"/>
          </w:tcPr>
          <w:p>
            <w:pPr>
              <w:spacing w:after="0"/>
              <w:rPr>
                <w:sz w:val="18"/>
                <w:szCs w:val="18"/>
                <w:color w:val="auto"/>
              </w:rPr>
            </w:pPr>
          </w:p>
        </w:tc>
      </w:tr>
      <w:tr>
        <w:trPr>
          <w:trHeight w:val="216"/>
        </w:trPr>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3.1</w:t>
            </w: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Restated Certificate of Incorporation of the Registrant (1)</w:t>
            </w:r>
          </w:p>
        </w:tc>
      </w:tr>
      <w:tr>
        <w:trPr>
          <w:trHeight w:val="216"/>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3.2</w:t>
            </w:r>
          </w:p>
        </w:tc>
        <w:tc>
          <w:tcPr>
            <w:tcW w:w="10400" w:type="dxa"/>
            <w:vAlign w:val="bottom"/>
          </w:tcPr>
          <w:p>
            <w:pPr>
              <w:ind w:left="240"/>
              <w:spacing w:after="0"/>
              <w:rPr>
                <w:sz w:val="20"/>
                <w:szCs w:val="20"/>
                <w:color w:val="auto"/>
              </w:rPr>
            </w:pPr>
            <w:r>
              <w:rPr>
                <w:rFonts w:ascii="Arial" w:cs="Arial" w:eastAsia="Arial" w:hAnsi="Arial"/>
                <w:sz w:val="18"/>
                <w:szCs w:val="18"/>
                <w:color w:val="auto"/>
              </w:rPr>
              <w:t>Bylaws of the Registrant, as amended (2)</w:t>
            </w:r>
          </w:p>
        </w:tc>
      </w:tr>
      <w:tr>
        <w:trPr>
          <w:trHeight w:val="216"/>
        </w:trPr>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31.1</w:t>
            </w:r>
          </w:p>
        </w:tc>
        <w:tc>
          <w:tcPr>
            <w:tcW w:w="10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Rule 13a-14(a) Certification of Chief Executive Officer and Chief Financial Officer</w:t>
            </w:r>
          </w:p>
        </w:tc>
      </w:tr>
      <w:tr>
        <w:trPr>
          <w:trHeight w:val="213"/>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32.1</w:t>
            </w:r>
          </w:p>
        </w:tc>
        <w:tc>
          <w:tcPr>
            <w:tcW w:w="1040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and Chief Financial Officer Pursuant to 18 U.S.C. 1350</w:t>
            </w:r>
          </w:p>
        </w:tc>
      </w:tr>
    </w:tbl>
    <w:p>
      <w:pPr>
        <w:spacing w:after="0" w:line="235" w:lineRule="auto"/>
        <w:rPr>
          <w:sz w:val="20"/>
          <w:szCs w:val="20"/>
          <w:color w:val="auto"/>
        </w:rPr>
      </w:pPr>
      <w:r>
        <w:rPr>
          <w:rFonts w:ascii="Arial" w:cs="Arial" w:eastAsia="Arial" w:hAnsi="Arial"/>
          <w:sz w:val="22"/>
          <w:szCs w:val="22"/>
          <w:color w:val="auto"/>
        </w:rPr>
        <w:t>________________</w:t>
      </w:r>
    </w:p>
    <w:p>
      <w:pPr>
        <w:spacing w:after="0" w:line="1"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December 5,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April 8, 2008</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(Principal Executive Officer and performing functions of Principal Financial</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April 8, 2008</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(Principal Executive Officer and performing functions of Principal Financial</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February 29, 2008,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April 8, 2008</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(Principal Executive Officer and performing functions of Principal Financial</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09"/>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2019-12-11T14:27:39Z</dcterms:created>
  <dcterms:modified xsi:type="dcterms:W3CDTF">2019-12-11T14:27:39Z</dcterms:modified>
</cp:coreProperties>
</file>