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333-220882</w:t>
      </w:r>
    </w:p>
    <w:p>
      <w:pPr>
        <w:spacing w:after="0" w:line="219" w:lineRule="exact"/>
        <w:rPr>
          <w:sz w:val="24"/>
          <w:szCs w:val="24"/>
          <w:color w:val="auto"/>
        </w:rPr>
      </w:pPr>
    </w:p>
    <w:p>
      <w:pPr>
        <w:jc w:val="both"/>
        <w:ind w:right="20"/>
        <w:spacing w:after="0" w:line="306" w:lineRule="auto"/>
        <w:rPr>
          <w:sz w:val="20"/>
          <w:szCs w:val="20"/>
          <w:color w:val="auto"/>
        </w:rPr>
      </w:pPr>
      <w:r>
        <w:rPr>
          <w:rFonts w:ascii="Arial" w:cs="Arial" w:eastAsia="Arial" w:hAnsi="Arial"/>
          <w:sz w:val="16"/>
          <w:szCs w:val="16"/>
          <w:color w:val="EF505F"/>
        </w:rPr>
        <w:t>This preliminary prospectus supplement is not complete and may be changed. A registration statement relating to these notes has been filed with the U.S. Securities and Exchange Commission and is effective. This preliminary prospectus supplement and the accompanying prospectus are not an offer to sell these notes and they are not soliciting an offer to buy these notes in any jurisdiction where the offer or sale is not permitted.</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i w:val="1"/>
          <w:iCs w:val="1"/>
          <w:color w:val="EF505F"/>
        </w:rPr>
        <w:t>Subject to Completion, dated February 4,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Preliminary Prospectus Supplement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October 10, 2017)</w:t>
      </w:r>
    </w:p>
    <w:p>
      <w:pPr>
        <w:spacing w:after="0" w:line="207" w:lineRule="exact"/>
        <w:rPr>
          <w:sz w:val="24"/>
          <w:szCs w:val="24"/>
          <w:color w:val="auto"/>
        </w:rPr>
      </w:pPr>
    </w:p>
    <w:p>
      <w:pPr>
        <w:ind w:left="5080"/>
        <w:spacing w:after="0"/>
        <w:rPr>
          <w:sz w:val="20"/>
          <w:szCs w:val="20"/>
          <w:color w:val="auto"/>
        </w:rPr>
      </w:pPr>
      <w:r>
        <w:rPr>
          <w:rFonts w:ascii="Arial" w:cs="Arial" w:eastAsia="Arial" w:hAnsi="Arial"/>
          <w:sz w:val="24"/>
          <w:szCs w:val="24"/>
          <w:i w:val="1"/>
          <w:i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154940</wp:posOffset>
            </wp:positionV>
            <wp:extent cx="3636010" cy="1012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4"/>
          <w:szCs w:val="24"/>
          <w:i w:val="1"/>
          <w:iCs w:val="1"/>
          <w:color w:val="auto"/>
        </w:rPr>
        <w:t>Micron Technology, Inc.</w:t>
      </w:r>
    </w:p>
    <w:p>
      <w:pPr>
        <w:spacing w:after="0" w:line="236" w:lineRule="exact"/>
        <w:rPr>
          <w:sz w:val="24"/>
          <w:szCs w:val="24"/>
          <w:color w:val="auto"/>
        </w:rPr>
      </w:pPr>
    </w:p>
    <w:p>
      <w:pPr>
        <w:ind w:left="5180" w:hanging="534"/>
        <w:spacing w:after="0"/>
        <w:tabs>
          <w:tab w:leader="none" w:pos="51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Senior Notes due 20</w:t>
      </w:r>
    </w:p>
    <w:p>
      <w:pPr>
        <w:spacing w:after="0" w:line="225" w:lineRule="exact"/>
        <w:rPr>
          <w:rFonts w:ascii="Arial" w:cs="Arial" w:eastAsia="Arial" w:hAnsi="Arial"/>
          <w:sz w:val="18"/>
          <w:szCs w:val="18"/>
          <w:i w:val="1"/>
          <w:iCs w:val="1"/>
          <w:color w:val="auto"/>
        </w:rPr>
      </w:pPr>
    </w:p>
    <w:p>
      <w:pPr>
        <w:ind w:left="5180" w:hanging="534"/>
        <w:spacing w:after="0"/>
        <w:tabs>
          <w:tab w:leader="none" w:pos="51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Senior Notes due 20</w:t>
      </w:r>
    </w:p>
    <w:p>
      <w:pPr>
        <w:spacing w:after="0" w:line="225" w:lineRule="exact"/>
        <w:rPr>
          <w:rFonts w:ascii="Arial" w:cs="Arial" w:eastAsia="Arial" w:hAnsi="Arial"/>
          <w:sz w:val="18"/>
          <w:szCs w:val="18"/>
          <w:i w:val="1"/>
          <w:iCs w:val="1"/>
          <w:color w:val="auto"/>
        </w:rPr>
      </w:pPr>
    </w:p>
    <w:p>
      <w:pPr>
        <w:ind w:left="5180" w:hanging="534"/>
        <w:spacing w:after="0"/>
        <w:tabs>
          <w:tab w:leader="none" w:pos="51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685"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tabs>
          <w:tab w:leader="none" w:pos="3340" w:val="left"/>
        </w:tabs>
        <w:rPr>
          <w:sz w:val="20"/>
          <w:szCs w:val="20"/>
          <w:color w:val="auto"/>
        </w:rPr>
      </w:pPr>
      <w:r>
        <w:rPr>
          <w:rFonts w:ascii="Arial" w:cs="Arial" w:eastAsia="Arial" w:hAnsi="Arial"/>
          <w:sz w:val="18"/>
          <w:szCs w:val="18"/>
          <w:b w:val="1"/>
          <w:bCs w:val="1"/>
          <w:i w:val="1"/>
          <w:iCs w:val="1"/>
          <w:color w:val="auto"/>
        </w:rPr>
        <w:t>Micron Technology, Inc. is offering $</w:t>
      </w:r>
      <w:r>
        <w:rPr>
          <w:sz w:val="20"/>
          <w:szCs w:val="20"/>
          <w:color w:val="auto"/>
        </w:rPr>
        <w:tab/>
      </w:r>
      <w:r>
        <w:rPr>
          <w:rFonts w:ascii="Arial" w:cs="Arial" w:eastAsia="Arial" w:hAnsi="Arial"/>
          <w:sz w:val="15"/>
          <w:szCs w:val="15"/>
          <w:b w:val="1"/>
          <w:bCs w:val="1"/>
          <w:i w:val="1"/>
          <w:iCs w:val="1"/>
          <w:color w:val="auto"/>
        </w:rPr>
        <w:t>aggregate principal amount of</w:t>
      </w:r>
    </w:p>
    <w:p>
      <w:pPr>
        <w:spacing w:after="0" w:line="15" w:lineRule="exact"/>
        <w:rPr>
          <w:sz w:val="24"/>
          <w:szCs w:val="24"/>
          <w:color w:val="auto"/>
        </w:rPr>
      </w:pPr>
    </w:p>
    <w:p>
      <w:pPr>
        <w:spacing w:after="0"/>
        <w:tabs>
          <w:tab w:leader="none" w:pos="1200" w:val="left"/>
          <w:tab w:leader="none" w:pos="3020" w:val="left"/>
          <w:tab w:leader="none" w:pos="3840" w:val="left"/>
        </w:tabs>
        <w:rPr>
          <w:sz w:val="20"/>
          <w:szCs w:val="20"/>
          <w:color w:val="auto"/>
        </w:rPr>
      </w:pPr>
      <w:r>
        <w:rPr>
          <w:rFonts w:ascii="Arial" w:cs="Arial" w:eastAsia="Arial" w:hAnsi="Arial"/>
          <w:sz w:val="18"/>
          <w:szCs w:val="18"/>
          <w:b w:val="1"/>
          <w:bCs w:val="1"/>
          <w:i w:val="1"/>
          <w:iCs w:val="1"/>
          <w:color w:val="auto"/>
        </w:rPr>
        <w:t>amount of</w:t>
      </w:r>
      <w:r>
        <w:rPr>
          <w:sz w:val="20"/>
          <w:szCs w:val="20"/>
          <w:color w:val="auto"/>
        </w:rPr>
        <w:tab/>
      </w:r>
      <w:r>
        <w:rPr>
          <w:rFonts w:ascii="Arial" w:cs="Arial" w:eastAsia="Arial" w:hAnsi="Arial"/>
          <w:sz w:val="18"/>
          <w:szCs w:val="18"/>
          <w:b w:val="1"/>
          <w:bCs w:val="1"/>
          <w:i w:val="1"/>
          <w:iCs w:val="1"/>
          <w:color w:val="auto"/>
        </w:rPr>
        <w:t>% senior notes due 20</w:t>
        <w:tab/>
        <w:t>(the "20</w:t>
      </w:r>
      <w:r>
        <w:rPr>
          <w:sz w:val="20"/>
          <w:szCs w:val="20"/>
          <w:color w:val="auto"/>
        </w:rPr>
        <w:tab/>
      </w:r>
      <w:r>
        <w:rPr>
          <w:rFonts w:ascii="Arial" w:cs="Arial" w:eastAsia="Arial" w:hAnsi="Arial"/>
          <w:sz w:val="15"/>
          <w:szCs w:val="15"/>
          <w:b w:val="1"/>
          <w:bCs w:val="1"/>
          <w:i w:val="1"/>
          <w:iCs w:val="1"/>
          <w:color w:val="auto"/>
        </w:rPr>
        <w:t>" notes) and $</w:t>
      </w:r>
    </w:p>
    <w:p>
      <w:pPr>
        <w:spacing w:after="0" w:line="9"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and, together with the 20 notes and the 20 notes, the "notes"). The 20 of notes.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420"/>
        <w:spacing w:after="0"/>
        <w:tabs>
          <w:tab w:leader="none" w:pos="2220" w:val="left"/>
          <w:tab w:leader="none" w:pos="3040" w:val="left"/>
          <w:tab w:leader="none" w:pos="4400" w:val="left"/>
        </w:tabs>
        <w:rPr>
          <w:sz w:val="20"/>
          <w:szCs w:val="20"/>
          <w:color w:val="auto"/>
        </w:rPr>
      </w:pPr>
      <w:r>
        <w:rPr>
          <w:rFonts w:ascii="Arial" w:cs="Arial" w:eastAsia="Arial" w:hAnsi="Arial"/>
          <w:sz w:val="18"/>
          <w:szCs w:val="18"/>
          <w:b w:val="1"/>
          <w:bCs w:val="1"/>
          <w:i w:val="1"/>
          <w:iCs w:val="1"/>
          <w:color w:val="auto"/>
        </w:rPr>
        <w:t>% senior notes due 20</w:t>
        <w:tab/>
        <w:t>(the "20</w:t>
        <w:tab/>
        <w:t>notes"), $</w:t>
      </w:r>
      <w:r>
        <w:rPr>
          <w:sz w:val="20"/>
          <w:szCs w:val="20"/>
          <w:color w:val="auto"/>
        </w:rPr>
        <w:tab/>
      </w:r>
      <w:r>
        <w:rPr>
          <w:rFonts w:ascii="Arial" w:cs="Arial" w:eastAsia="Arial" w:hAnsi="Arial"/>
          <w:sz w:val="15"/>
          <w:szCs w:val="15"/>
          <w:b w:val="1"/>
          <w:bCs w:val="1"/>
          <w:i w:val="1"/>
          <w:iCs w:val="1"/>
          <w:color w:val="auto"/>
        </w:rPr>
        <w:t>aggregate principal</w:t>
      </w:r>
    </w:p>
    <w:p>
      <w:pPr>
        <w:spacing w:after="0" w:line="15" w:lineRule="exact"/>
        <w:rPr>
          <w:sz w:val="24"/>
          <w:szCs w:val="24"/>
          <w:color w:val="auto"/>
        </w:rPr>
      </w:pPr>
    </w:p>
    <w:p>
      <w:pPr>
        <w:spacing w:after="0"/>
        <w:tabs>
          <w:tab w:leader="none" w:pos="2640" w:val="left"/>
          <w:tab w:leader="none" w:pos="4520" w:val="left"/>
          <w:tab w:leader="none" w:pos="5340" w:val="left"/>
        </w:tabs>
        <w:rPr>
          <w:sz w:val="20"/>
          <w:szCs w:val="20"/>
          <w:color w:val="auto"/>
        </w:rPr>
      </w:pPr>
      <w:r>
        <w:rPr>
          <w:rFonts w:ascii="Arial" w:cs="Arial" w:eastAsia="Arial" w:hAnsi="Arial"/>
          <w:sz w:val="18"/>
          <w:szCs w:val="18"/>
          <w:b w:val="1"/>
          <w:bCs w:val="1"/>
          <w:i w:val="1"/>
          <w:iCs w:val="1"/>
          <w:color w:val="auto"/>
        </w:rPr>
        <w:t>aggregate principal amount of</w:t>
      </w:r>
      <w:r>
        <w:rPr>
          <w:sz w:val="20"/>
          <w:szCs w:val="20"/>
          <w:color w:val="auto"/>
        </w:rPr>
        <w:tab/>
      </w:r>
      <w:r>
        <w:rPr>
          <w:rFonts w:ascii="Arial" w:cs="Arial" w:eastAsia="Arial" w:hAnsi="Arial"/>
          <w:sz w:val="18"/>
          <w:szCs w:val="18"/>
          <w:b w:val="1"/>
          <w:bCs w:val="1"/>
          <w:i w:val="1"/>
          <w:iCs w:val="1"/>
          <w:color w:val="auto"/>
        </w:rPr>
        <w:t>% senior notes due 20</w:t>
        <w:tab/>
        <w:t>(the "20</w:t>
      </w:r>
      <w:r>
        <w:rPr>
          <w:sz w:val="20"/>
          <w:szCs w:val="20"/>
          <w:color w:val="auto"/>
        </w:rPr>
        <w:tab/>
      </w:r>
      <w:r>
        <w:rPr>
          <w:rFonts w:ascii="Arial" w:cs="Arial" w:eastAsia="Arial" w:hAnsi="Arial"/>
          <w:sz w:val="15"/>
          <w:szCs w:val="15"/>
          <w:b w:val="1"/>
          <w:bCs w:val="1"/>
          <w:i w:val="1"/>
          <w:iCs w:val="1"/>
          <w:color w:val="auto"/>
        </w:rPr>
        <w:t>notes"</w:t>
      </w:r>
    </w:p>
    <w:p>
      <w:pPr>
        <w:spacing w:after="0" w:line="9" w:lineRule="exact"/>
        <w:rPr>
          <w:sz w:val="24"/>
          <w:szCs w:val="24"/>
          <w:color w:val="auto"/>
        </w:rPr>
      </w:pPr>
    </w:p>
    <w:p>
      <w:pPr>
        <w:ind w:left="100"/>
        <w:spacing w:after="0"/>
        <w:tabs>
          <w:tab w:leader="none" w:pos="1220" w:val="left"/>
          <w:tab w:leader="none" w:pos="2640" w:val="left"/>
        </w:tabs>
        <w:rPr>
          <w:sz w:val="20"/>
          <w:szCs w:val="20"/>
          <w:color w:val="auto"/>
        </w:rPr>
      </w:pPr>
      <w:r>
        <w:rPr>
          <w:rFonts w:ascii="Arial" w:cs="Arial" w:eastAsia="Arial" w:hAnsi="Arial"/>
          <w:sz w:val="18"/>
          <w:szCs w:val="18"/>
          <w:b w:val="1"/>
          <w:bCs w:val="1"/>
          <w:i w:val="1"/>
          <w:iCs w:val="1"/>
          <w:color w:val="auto"/>
        </w:rPr>
        <w:t>notes, the 20</w:t>
        <w:tab/>
        <w:t>notes and the 20</w:t>
      </w:r>
      <w:r>
        <w:rPr>
          <w:sz w:val="20"/>
          <w:szCs w:val="20"/>
          <w:color w:val="auto"/>
        </w:rPr>
        <w:tab/>
      </w:r>
      <w:r>
        <w:rPr>
          <w:rFonts w:ascii="Arial" w:cs="Arial" w:eastAsia="Arial" w:hAnsi="Arial"/>
          <w:sz w:val="15"/>
          <w:szCs w:val="15"/>
          <w:b w:val="1"/>
          <w:bCs w:val="1"/>
          <w:i w:val="1"/>
          <w:iCs w:val="1"/>
          <w:color w:val="auto"/>
        </w:rPr>
        <w:t>notes are each referred to herein as a series</w:t>
      </w:r>
    </w:p>
    <w:p>
      <w:pPr>
        <w:spacing w:after="0" w:line="435" w:lineRule="exact"/>
        <w:rPr>
          <w:sz w:val="24"/>
          <w:szCs w:val="24"/>
          <w:color w:val="auto"/>
        </w:rPr>
      </w:pPr>
    </w:p>
    <w:p>
      <w:pPr>
        <w:sectPr>
          <w:pgSz w:w="11900" w:h="16838" w:orient="portrait"/>
          <w:cols w:equalWidth="0" w:num="2">
            <w:col w:w="5560" w:space="20"/>
            <w:col w:w="5840"/>
          </w:cols>
          <w:pgMar w:left="240" w:top="685"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b w:val="1"/>
                <w:bCs w:val="1"/>
                <w:i w:val="1"/>
                <w:iCs w:val="1"/>
                <w:color w:val="auto"/>
              </w:rPr>
              <w:t>The 20</w:t>
            </w:r>
          </w:p>
        </w:tc>
        <w:tc>
          <w:tcPr>
            <w:tcW w:w="298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w w:val="88"/>
              </w:rPr>
              <w:t>notes will bear interest at the rate of</w:t>
            </w:r>
          </w:p>
        </w:tc>
        <w:tc>
          <w:tcPr>
            <w:tcW w:w="4540" w:type="dxa"/>
            <w:vAlign w:val="bottom"/>
            <w:gridSpan w:val="4"/>
          </w:tcPr>
          <w:p>
            <w:pPr>
              <w:ind w:left="240"/>
              <w:spacing w:after="0"/>
              <w:rPr>
                <w:sz w:val="20"/>
                <w:szCs w:val="20"/>
                <w:color w:val="auto"/>
              </w:rPr>
            </w:pPr>
            <w:r>
              <w:rPr>
                <w:rFonts w:ascii="Arial" w:cs="Arial" w:eastAsia="Arial" w:hAnsi="Arial"/>
                <w:sz w:val="18"/>
                <w:szCs w:val="18"/>
                <w:b w:val="1"/>
                <w:bCs w:val="1"/>
                <w:i w:val="1"/>
                <w:iCs w:val="1"/>
                <w:color w:val="auto"/>
                <w:w w:val="89"/>
              </w:rPr>
              <w:t>% per year, the 20   notes will bear interest at the rate of</w:t>
            </w:r>
          </w:p>
        </w:tc>
        <w:tc>
          <w:tcPr>
            <w:tcW w:w="196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w w:val="85"/>
              </w:rPr>
              <w:t>% per year and the 20</w:t>
            </w:r>
          </w:p>
        </w:tc>
        <w:tc>
          <w:tcPr>
            <w:tcW w:w="13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notes will bear</w:t>
            </w: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interest at the rate of</w:t>
            </w:r>
          </w:p>
        </w:tc>
        <w:tc>
          <w:tcPr>
            <w:tcW w:w="5320" w:type="dxa"/>
            <w:vAlign w:val="bottom"/>
            <w:gridSpan w:val="4"/>
          </w:tcPr>
          <w:p>
            <w:pPr>
              <w:ind w:left="240"/>
              <w:spacing w:after="0"/>
              <w:rPr>
                <w:sz w:val="20"/>
                <w:szCs w:val="20"/>
                <w:color w:val="auto"/>
              </w:rPr>
            </w:pPr>
            <w:r>
              <w:rPr>
                <w:rFonts w:ascii="Arial" w:cs="Arial" w:eastAsia="Arial" w:hAnsi="Arial"/>
                <w:sz w:val="18"/>
                <w:szCs w:val="18"/>
                <w:b w:val="1"/>
                <w:bCs w:val="1"/>
                <w:i w:val="1"/>
                <w:iCs w:val="1"/>
                <w:color w:val="auto"/>
                <w:w w:val="94"/>
              </w:rPr>
              <w:t>% per year. Interest will be payable semi-annually in arrears on</w:t>
            </w:r>
          </w:p>
        </w:tc>
        <w:tc>
          <w:tcPr>
            <w:tcW w:w="10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and</w:t>
            </w:r>
          </w:p>
        </w:tc>
        <w:tc>
          <w:tcPr>
            <w:tcW w:w="196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w w:val="89"/>
              </w:rPr>
              <w:t>of each year, beginning</w:t>
            </w:r>
          </w:p>
        </w:tc>
        <w:tc>
          <w:tcPr>
            <w:tcW w:w="13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22"/>
        </w:trPr>
        <w:tc>
          <w:tcPr>
            <w:tcW w:w="640" w:type="dxa"/>
            <w:vAlign w:val="bottom"/>
          </w:tcPr>
          <w:p>
            <w:pPr>
              <w:spacing w:after="0"/>
              <w:rPr>
                <w:sz w:val="20"/>
                <w:szCs w:val="20"/>
                <w:color w:val="auto"/>
              </w:rPr>
            </w:pPr>
            <w:r>
              <w:rPr>
                <w:rFonts w:ascii="Arial" w:cs="Arial" w:eastAsia="Arial" w:hAnsi="Arial"/>
                <w:sz w:val="18"/>
                <w:szCs w:val="18"/>
                <w:b w:val="1"/>
                <w:bCs w:val="1"/>
                <w:i w:val="1"/>
                <w:iCs w:val="1"/>
                <w:color w:val="auto"/>
              </w:rPr>
              <w:t>2019.</w:t>
            </w:r>
          </w:p>
        </w:tc>
        <w:tc>
          <w:tcPr>
            <w:tcW w:w="1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8"/>
                <w:szCs w:val="18"/>
                <w:b w:val="1"/>
                <w:bCs w:val="1"/>
                <w:i w:val="1"/>
                <w:iCs w:val="1"/>
                <w:color w:val="auto"/>
              </w:rPr>
              <w:t>The 20</w:t>
            </w:r>
          </w:p>
        </w:tc>
        <w:tc>
          <w:tcPr>
            <w:tcW w:w="2980" w:type="dxa"/>
            <w:vAlign w:val="bottom"/>
            <w:gridSpan w:val="2"/>
          </w:tcPr>
          <w:p>
            <w:pPr>
              <w:jc w:val="right"/>
              <w:ind w:right="1212"/>
              <w:spacing w:after="0"/>
              <w:rPr>
                <w:sz w:val="20"/>
                <w:szCs w:val="20"/>
                <w:color w:val="auto"/>
              </w:rPr>
            </w:pPr>
            <w:r>
              <w:rPr>
                <w:rFonts w:ascii="Arial" w:cs="Arial" w:eastAsia="Arial" w:hAnsi="Arial"/>
                <w:sz w:val="18"/>
                <w:szCs w:val="18"/>
                <w:b w:val="1"/>
                <w:bCs w:val="1"/>
                <w:i w:val="1"/>
                <w:iCs w:val="1"/>
                <w:color w:val="auto"/>
                <w:w w:val="95"/>
              </w:rPr>
              <w:t>notes will mature on</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 20</w:t>
            </w:r>
          </w:p>
        </w:tc>
        <w:tc>
          <w:tcPr>
            <w:tcW w:w="7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the 20</w:t>
            </w:r>
          </w:p>
        </w:tc>
        <w:tc>
          <w:tcPr>
            <w:tcW w:w="192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8"/>
              </w:rPr>
              <w:t>notes will mature on</w:t>
            </w:r>
          </w:p>
        </w:tc>
        <w:tc>
          <w:tcPr>
            <w:tcW w:w="108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20</w:t>
            </w:r>
          </w:p>
        </w:tc>
        <w:tc>
          <w:tcPr>
            <w:tcW w:w="12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and the 20</w:t>
            </w:r>
          </w:p>
        </w:tc>
        <w:tc>
          <w:tcPr>
            <w:tcW w:w="130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7"/>
              </w:rPr>
              <w:t>notes will mature</w:t>
            </w:r>
          </w:p>
        </w:tc>
      </w:tr>
      <w:tr>
        <w:trPr>
          <w:trHeight w:val="222"/>
        </w:trPr>
        <w:tc>
          <w:tcPr>
            <w:tcW w:w="640" w:type="dxa"/>
            <w:vAlign w:val="bottom"/>
          </w:tcPr>
          <w:p>
            <w:pPr>
              <w:spacing w:after="0"/>
              <w:rPr>
                <w:sz w:val="20"/>
                <w:szCs w:val="20"/>
                <w:color w:val="auto"/>
              </w:rPr>
            </w:pPr>
            <w:r>
              <w:rPr>
                <w:rFonts w:ascii="Arial" w:cs="Arial" w:eastAsia="Arial" w:hAnsi="Arial"/>
                <w:sz w:val="18"/>
                <w:szCs w:val="18"/>
                <w:b w:val="1"/>
                <w:bCs w:val="1"/>
                <w:i w:val="1"/>
                <w:iCs w:val="1"/>
                <w:color w:val="auto"/>
              </w:rPr>
              <w:t>on</w:t>
            </w:r>
          </w:p>
        </w:tc>
        <w:tc>
          <w:tcPr>
            <w:tcW w:w="2980" w:type="dxa"/>
            <w:vAlign w:val="bottom"/>
            <w:gridSpan w:val="2"/>
          </w:tcPr>
          <w:p>
            <w:pPr>
              <w:jc w:val="right"/>
              <w:ind w:right="1532"/>
              <w:spacing w:after="0"/>
              <w:rPr>
                <w:sz w:val="20"/>
                <w:szCs w:val="20"/>
                <w:color w:val="auto"/>
              </w:rPr>
            </w:pPr>
            <w:r>
              <w:rPr>
                <w:rFonts w:ascii="Arial" w:cs="Arial" w:eastAsia="Arial" w:hAnsi="Arial"/>
                <w:sz w:val="18"/>
                <w:szCs w:val="18"/>
                <w:b w:val="1"/>
                <w:bCs w:val="1"/>
                <w:i w:val="1"/>
                <w:iCs w:val="1"/>
                <w:color w:val="auto"/>
              </w:rPr>
              <w:t>, 20   .</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210" w:lineRule="exact"/>
        <w:rPr>
          <w:sz w:val="24"/>
          <w:szCs w:val="24"/>
          <w:color w:val="auto"/>
        </w:rPr>
      </w:pPr>
    </w:p>
    <w:p>
      <w:pPr>
        <w:jc w:val="both"/>
        <w:spacing w:after="0" w:line="305" w:lineRule="auto"/>
        <w:rPr>
          <w:sz w:val="20"/>
          <w:szCs w:val="20"/>
          <w:color w:val="auto"/>
        </w:rPr>
      </w:pPr>
      <w:r>
        <w:rPr>
          <w:rFonts w:ascii="Arial" w:cs="Arial" w:eastAsia="Arial" w:hAnsi="Arial"/>
          <w:sz w:val="15"/>
          <w:szCs w:val="15"/>
          <w:b w:val="1"/>
          <w:bCs w:val="1"/>
          <w:i w:val="1"/>
          <w:iCs w:val="1"/>
          <w:color w:val="auto"/>
        </w:rPr>
        <w:t>We may redeem some or all of the notes, at any time or from time to time, at a redemption price equal to the greater of (i) 100% of the principal amount of the notes to be redeemed and (ii) a make-whole amount (as described in the section entitled "Description of the Notes—Optional Redemption"), plus accrued and</w:t>
      </w:r>
    </w:p>
    <w:tbl>
      <w:tblPr>
        <w:tblLayout w:type="fixed"/>
        <w:tblInd w:w="0" w:type="dxa"/>
        <w:tblCellMar>
          <w:top w:w="0" w:type="dxa"/>
          <w:left w:w="0" w:type="dxa"/>
          <w:bottom w:w="0" w:type="dxa"/>
          <w:right w:w="0" w:type="dxa"/>
        </w:tblCellMar>
      </w:tblPr>
      <w:tr>
        <w:trPr>
          <w:trHeight w:val="21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0"/>
              </w:rPr>
              <w:t>unpaid interest thereon to, but excluding, the redemption date. In addition, we may redeem the 20</w:t>
            </w:r>
          </w:p>
        </w:tc>
        <w:tc>
          <w:tcPr>
            <w:tcW w:w="3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notes in whole or in part, at any time from or</w:t>
            </w:r>
          </w:p>
        </w:tc>
      </w:tr>
      <w:tr>
        <w:trPr>
          <w:trHeight w:val="216"/>
        </w:trPr>
        <w:tc>
          <w:tcPr>
            <w:tcW w:w="1100" w:type="dxa"/>
            <w:vAlign w:val="bottom"/>
          </w:tcPr>
          <w:p>
            <w:pPr>
              <w:spacing w:after="0"/>
              <w:rPr>
                <w:sz w:val="20"/>
                <w:szCs w:val="20"/>
                <w:color w:val="auto"/>
              </w:rPr>
            </w:pPr>
            <w:r>
              <w:rPr>
                <w:rFonts w:ascii="Arial" w:cs="Arial" w:eastAsia="Arial" w:hAnsi="Arial"/>
                <w:sz w:val="18"/>
                <w:szCs w:val="18"/>
                <w:b w:val="1"/>
                <w:bCs w:val="1"/>
                <w:i w:val="1"/>
                <w:iCs w:val="1"/>
                <w:color w:val="auto"/>
              </w:rPr>
              <w:t>after</w:t>
            </w:r>
          </w:p>
        </w:tc>
        <w:tc>
          <w:tcPr>
            <w:tcW w:w="5560" w:type="dxa"/>
            <w:vAlign w:val="bottom"/>
          </w:tcPr>
          <w:p>
            <w:pPr>
              <w:ind w:left="160"/>
              <w:spacing w:after="0"/>
              <w:rPr>
                <w:sz w:val="20"/>
                <w:szCs w:val="20"/>
                <w:color w:val="auto"/>
              </w:rPr>
            </w:pPr>
            <w:r>
              <w:rPr>
                <w:rFonts w:ascii="Arial" w:cs="Arial" w:eastAsia="Arial" w:hAnsi="Arial"/>
                <w:sz w:val="18"/>
                <w:szCs w:val="18"/>
                <w:b w:val="1"/>
                <w:bCs w:val="1"/>
                <w:i w:val="1"/>
                <w:iCs w:val="1"/>
                <w:color w:val="auto"/>
                <w:w w:val="98"/>
              </w:rPr>
              <w:t>, 20   , the 20   notes in whole or in part, at any time from or after</w:t>
            </w: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i w:val="1"/>
                <w:iCs w:val="1"/>
                <w:color w:val="auto"/>
              </w:rPr>
              <w:t>, 20</w:t>
            </w:r>
          </w:p>
        </w:tc>
        <w:tc>
          <w:tcPr>
            <w:tcW w:w="386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9"/>
              </w:rPr>
              <w:t>, and the 20   notes in whole or in part, at any time</w:t>
            </w:r>
          </w:p>
        </w:tc>
      </w:tr>
      <w:tr>
        <w:trPr>
          <w:trHeight w:val="222"/>
        </w:trPr>
        <w:tc>
          <w:tcPr>
            <w:tcW w:w="1100" w:type="dxa"/>
            <w:vAlign w:val="bottom"/>
          </w:tcPr>
          <w:p>
            <w:pPr>
              <w:spacing w:after="0"/>
              <w:rPr>
                <w:sz w:val="20"/>
                <w:szCs w:val="20"/>
                <w:color w:val="auto"/>
              </w:rPr>
            </w:pPr>
            <w:r>
              <w:rPr>
                <w:rFonts w:ascii="Arial" w:cs="Arial" w:eastAsia="Arial" w:hAnsi="Arial"/>
                <w:sz w:val="18"/>
                <w:szCs w:val="18"/>
                <w:b w:val="1"/>
                <w:bCs w:val="1"/>
                <w:i w:val="1"/>
                <w:iCs w:val="1"/>
                <w:color w:val="auto"/>
              </w:rPr>
              <w:t>from or after</w:t>
            </w:r>
          </w:p>
        </w:tc>
        <w:tc>
          <w:tcPr>
            <w:tcW w:w="1032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w w:val="93"/>
              </w:rPr>
              <w:t>, 20   , at a redemption price equal to 100% of the principal amount of the notes to be redeemed, plus accrued and unpaid interest</w:t>
            </w:r>
          </w:p>
        </w:tc>
      </w:tr>
    </w:tbl>
    <w:p>
      <w:pPr>
        <w:jc w:val="both"/>
        <w:spacing w:after="0" w:line="295" w:lineRule="auto"/>
        <w:rPr>
          <w:sz w:val="20"/>
          <w:szCs w:val="20"/>
          <w:color w:val="auto"/>
        </w:rPr>
      </w:pPr>
      <w:r>
        <w:rPr>
          <w:rFonts w:ascii="Arial" w:cs="Arial" w:eastAsia="Arial" w:hAnsi="Arial"/>
          <w:sz w:val="16"/>
          <w:szCs w:val="16"/>
          <w:b w:val="1"/>
          <w:bCs w:val="1"/>
          <w:i w:val="1"/>
          <w:iCs w:val="1"/>
          <w:color w:val="auto"/>
        </w:rPr>
        <w:t>thereon to, but excluding, the redemption date. See "Description of the Notes—Optional Redemption" in this prospectus supplement for more information. We will be required to make an offer to purchase each series of the notes, at a price equal to 101% of their principal amount, plus accrued and unpaid interest to, but excluding, the date of purchase, upon the occurrence of a Change of Control Triggering Event (as defined herein). See the section entitled "Description of the Notes—Repurchase of Notes Upon a Change of Control Triggering Event" for more information.</w:t>
      </w:r>
    </w:p>
    <w:p>
      <w:pPr>
        <w:spacing w:after="0" w:line="16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notes will be our senior unsecured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123190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Investing in the notes involves risks. See "Risk Factors" beginning on page S-7 for a discussion of certain risks that should be considered in connection with an investment in the notes.</w:t>
      </w:r>
    </w:p>
    <w:p>
      <w:pPr>
        <w:sectPr>
          <w:pgSz w:w="11900" w:h="16838" w:orient="portrait"/>
          <w:cols w:equalWidth="0" w:num="1">
            <w:col w:w="11420"/>
          </w:cols>
          <w:pgMar w:left="240" w:top="685" w:right="239" w:bottom="0" w:gutter="0" w:footer="0" w:header="0"/>
          <w:type w:val="continuous"/>
        </w:sectPr>
      </w:pPr>
    </w:p>
    <w:p>
      <w:pPr>
        <w:spacing w:after="0" w:line="186" w:lineRule="exact"/>
        <w:rPr>
          <w:sz w:val="24"/>
          <w:szCs w:val="24"/>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Neither the U.S. Securities and Exchange Commission nor any state securities commission has approved or disapproved of the notes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93980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420"/>
          </w:cols>
          <w:pgMar w:left="240" w:top="685" w:right="239" w:bottom="0" w:gutter="0" w:footer="0" w:header="0"/>
          <w:type w:val="continuous"/>
        </w:sectPr>
      </w:pPr>
    </w:p>
    <w:bookmarkStart w:id="1" w:name="page2"/>
    <w:bookmarkEnd w:id="1"/>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223"/>
              <w:spacing w:after="0"/>
              <w:rPr>
                <w:sz w:val="20"/>
                <w:szCs w:val="20"/>
                <w:color w:val="auto"/>
              </w:rPr>
            </w:pPr>
            <w:r>
              <w:rPr>
                <w:rFonts w:ascii="Arial" w:cs="Arial" w:eastAsia="Arial" w:hAnsi="Arial"/>
                <w:sz w:val="14"/>
                <w:szCs w:val="14"/>
                <w:b w:val="1"/>
                <w:bCs w:val="1"/>
                <w:i w:val="1"/>
                <w:iCs w:val="1"/>
                <w:color w:val="auto"/>
                <w:w w:val="79"/>
              </w:rPr>
              <w:t>Proceeds</w:t>
            </w:r>
          </w:p>
        </w:tc>
      </w:tr>
      <w:tr>
        <w:trPr>
          <w:trHeight w:val="144"/>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20"/>
              <w:spacing w:after="0" w:line="144" w:lineRule="exact"/>
              <w:rPr>
                <w:sz w:val="20"/>
                <w:szCs w:val="20"/>
                <w:color w:val="auto"/>
              </w:rPr>
            </w:pPr>
            <w:r>
              <w:rPr>
                <w:rFonts w:ascii="Arial" w:cs="Arial" w:eastAsia="Arial" w:hAnsi="Arial"/>
                <w:sz w:val="14"/>
                <w:szCs w:val="14"/>
                <w:b w:val="1"/>
                <w:bCs w:val="1"/>
                <w:i w:val="1"/>
                <w:iCs w:val="1"/>
                <w:color w:val="auto"/>
              </w:rPr>
              <w:t>Public offering</w:t>
            </w:r>
          </w:p>
        </w:tc>
        <w:tc>
          <w:tcPr>
            <w:tcW w:w="180" w:type="dxa"/>
            <w:vAlign w:val="bottom"/>
          </w:tcPr>
          <w:p>
            <w:pPr>
              <w:spacing w:after="0"/>
              <w:rPr>
                <w:sz w:val="12"/>
                <w:szCs w:val="12"/>
                <w:color w:val="auto"/>
              </w:rPr>
            </w:pPr>
          </w:p>
        </w:tc>
        <w:tc>
          <w:tcPr>
            <w:tcW w:w="1280" w:type="dxa"/>
            <w:vAlign w:val="bottom"/>
            <w:gridSpan w:val="3"/>
          </w:tcPr>
          <w:p>
            <w:pPr>
              <w:jc w:val="right"/>
              <w:ind w:right="280"/>
              <w:spacing w:after="0" w:line="144" w:lineRule="exact"/>
              <w:rPr>
                <w:sz w:val="20"/>
                <w:szCs w:val="20"/>
                <w:color w:val="auto"/>
              </w:rPr>
            </w:pPr>
            <w:r>
              <w:rPr>
                <w:rFonts w:ascii="Arial" w:cs="Arial" w:eastAsia="Arial" w:hAnsi="Arial"/>
                <w:sz w:val="14"/>
                <w:szCs w:val="14"/>
                <w:b w:val="1"/>
                <w:bCs w:val="1"/>
                <w:i w:val="1"/>
                <w:iCs w:val="1"/>
                <w:color w:val="auto"/>
              </w:rPr>
              <w:t>Underwriting</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223"/>
              <w:spacing w:after="0" w:line="144" w:lineRule="exact"/>
              <w:rPr>
                <w:sz w:val="20"/>
                <w:szCs w:val="20"/>
                <w:color w:val="auto"/>
              </w:rPr>
            </w:pPr>
            <w:r>
              <w:rPr>
                <w:rFonts w:ascii="Arial" w:cs="Arial" w:eastAsia="Arial" w:hAnsi="Arial"/>
                <w:sz w:val="14"/>
                <w:szCs w:val="14"/>
                <w:b w:val="1"/>
                <w:bCs w:val="1"/>
                <w:i w:val="1"/>
                <w:iCs w:val="1"/>
                <w:color w:val="auto"/>
                <w:w w:val="83"/>
              </w:rPr>
              <w:t>to us, before</w:t>
            </w:r>
          </w:p>
        </w:tc>
      </w:tr>
      <w:tr>
        <w:trPr>
          <w:trHeight w:val="191"/>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bottom w:val="single" w:sz="8" w:color="auto"/>
            </w:tcBorders>
          </w:tcPr>
          <w:p>
            <w:pPr>
              <w:ind w:left="220"/>
              <w:spacing w:after="0" w:line="191" w:lineRule="exact"/>
              <w:rPr>
                <w:sz w:val="20"/>
                <w:szCs w:val="20"/>
                <w:color w:val="auto"/>
              </w:rPr>
            </w:pPr>
            <w:r>
              <w:rPr>
                <w:rFonts w:ascii="Arial" w:cs="Arial" w:eastAsia="Arial" w:hAnsi="Arial"/>
                <w:sz w:val="14"/>
                <w:szCs w:val="14"/>
                <w:b w:val="1"/>
                <w:bCs w:val="1"/>
                <w:i w:val="1"/>
                <w:iCs w:val="1"/>
                <w:color w:val="auto"/>
              </w:rPr>
              <w:t>price</w:t>
            </w:r>
            <w:r>
              <w:rPr>
                <w:rFonts w:ascii="Arial" w:cs="Arial" w:eastAsia="Arial" w:hAnsi="Arial"/>
                <w:sz w:val="22"/>
                <w:szCs w:val="22"/>
                <w:b w:val="1"/>
                <w:bCs w:val="1"/>
                <w:i w:val="1"/>
                <w:iCs w:val="1"/>
                <w:color w:val="auto"/>
                <w:vertAlign w:val="superscript"/>
              </w:rPr>
              <w:t>(1)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4"/>
                <w:szCs w:val="14"/>
                <w:b w:val="1"/>
                <w:bCs w:val="1"/>
                <w:i w:val="1"/>
                <w:iCs w:val="1"/>
                <w:color w:val="auto"/>
                <w:w w:val="80"/>
              </w:rPr>
              <w:t>discounts</w:t>
            </w:r>
            <w:r>
              <w:rPr>
                <w:rFonts w:ascii="Arial" w:cs="Arial" w:eastAsia="Arial" w:hAnsi="Arial"/>
                <w:sz w:val="22"/>
                <w:szCs w:val="22"/>
                <w:b w:val="1"/>
                <w:bCs w:val="1"/>
                <w:i w:val="1"/>
                <w:iCs w:val="1"/>
                <w:color w:val="auto"/>
                <w:w w:val="80"/>
                <w:vertAlign w:val="superscript"/>
              </w:rPr>
              <w:t>(2)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4"/>
                <w:szCs w:val="14"/>
                <w:b w:val="1"/>
                <w:bCs w:val="1"/>
                <w:i w:val="1"/>
                <w:iCs w:val="1"/>
                <w:color w:val="auto"/>
                <w:w w:val="75"/>
              </w:rPr>
              <w:t>expenses</w:t>
            </w:r>
            <w:r>
              <w:rPr>
                <w:rFonts w:ascii="Arial" w:cs="Arial" w:eastAsia="Arial" w:hAnsi="Arial"/>
                <w:sz w:val="22"/>
                <w:szCs w:val="22"/>
                <w:b w:val="1"/>
                <w:bCs w:val="1"/>
                <w:i w:val="1"/>
                <w:iCs w:val="1"/>
                <w:color w:val="auto"/>
                <w:w w:val="75"/>
                <w:vertAlign w:val="superscript"/>
              </w:rPr>
              <w:t>(1)</w:t>
            </w:r>
          </w:p>
        </w:tc>
        <w:tc>
          <w:tcPr>
            <w:tcW w:w="300" w:type="dxa"/>
            <w:vAlign w:val="bottom"/>
          </w:tcPr>
          <w:p>
            <w:pPr>
              <w:spacing w:after="0"/>
              <w:rPr>
                <w:sz w:val="16"/>
                <w:szCs w:val="16"/>
                <w:color w:val="auto"/>
              </w:rPr>
            </w:pPr>
          </w:p>
        </w:tc>
      </w:tr>
      <w:tr>
        <w:trPr>
          <w:trHeight w:val="201"/>
        </w:trPr>
        <w:tc>
          <w:tcPr>
            <w:tcW w:w="52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w w:val="94"/>
              </w:rPr>
              <w:t>Per 20</w:t>
            </w:r>
          </w:p>
        </w:tc>
        <w:tc>
          <w:tcPr>
            <w:tcW w:w="3000" w:type="dxa"/>
            <w:vAlign w:val="bottom"/>
            <w:gridSpan w:val="2"/>
          </w:tcPr>
          <w:p>
            <w:pPr>
              <w:ind w:left="180"/>
              <w:spacing w:after="0" w:line="201" w:lineRule="exact"/>
              <w:rPr>
                <w:sz w:val="20"/>
                <w:szCs w:val="20"/>
                <w:color w:val="auto"/>
              </w:rPr>
            </w:pPr>
            <w:r>
              <w:rPr>
                <w:rFonts w:ascii="Arial" w:cs="Arial" w:eastAsia="Arial" w:hAnsi="Arial"/>
                <w:sz w:val="18"/>
                <w:szCs w:val="18"/>
                <w:i w:val="1"/>
                <w:iCs w:val="1"/>
                <w:color w:val="auto"/>
              </w:rPr>
              <w:t>Note</w:t>
            </w:r>
          </w:p>
        </w:tc>
        <w:tc>
          <w:tcPr>
            <w:tcW w:w="1620" w:type="dxa"/>
            <w:vAlign w:val="bottom"/>
            <w:gridSpan w:val="2"/>
          </w:tcPr>
          <w:p>
            <w:pPr>
              <w:spacing w:after="0"/>
              <w:rPr>
                <w:sz w:val="17"/>
                <w:szCs w:val="17"/>
                <w:color w:val="auto"/>
              </w:rPr>
            </w:pPr>
          </w:p>
        </w:tc>
        <w:tc>
          <w:tcPr>
            <w:tcW w:w="1080" w:type="dxa"/>
            <w:vAlign w:val="bottom"/>
            <w:gridSpan w:val="2"/>
          </w:tcPr>
          <w:p>
            <w:pPr>
              <w:jc w:val="right"/>
              <w:ind w:right="180"/>
              <w:spacing w:after="0" w:line="201" w:lineRule="exact"/>
              <w:rPr>
                <w:sz w:val="20"/>
                <w:szCs w:val="20"/>
                <w:color w:val="auto"/>
              </w:rPr>
            </w:pPr>
            <w:r>
              <w:rPr>
                <w:rFonts w:ascii="Arial" w:cs="Arial" w:eastAsia="Arial" w:hAnsi="Arial"/>
                <w:sz w:val="18"/>
                <w:szCs w:val="18"/>
                <w:i w:val="1"/>
                <w:iCs w:val="1"/>
                <w:color w:val="auto"/>
              </w:rPr>
              <w:t>%</w:t>
            </w:r>
          </w:p>
        </w:tc>
        <w:tc>
          <w:tcPr>
            <w:tcW w:w="440" w:type="dxa"/>
            <w:vAlign w:val="bottom"/>
            <w:gridSpan w:val="2"/>
          </w:tcPr>
          <w:p>
            <w:pPr>
              <w:spacing w:after="0"/>
              <w:rPr>
                <w:sz w:val="17"/>
                <w:szCs w:val="17"/>
                <w:color w:val="auto"/>
              </w:rPr>
            </w:pPr>
          </w:p>
        </w:tc>
        <w:tc>
          <w:tcPr>
            <w:tcW w:w="1020" w:type="dxa"/>
            <w:vAlign w:val="bottom"/>
            <w:gridSpan w:val="2"/>
          </w:tcPr>
          <w:p>
            <w:pPr>
              <w:jc w:val="right"/>
              <w:ind w:right="180"/>
              <w:spacing w:after="0" w:line="201" w:lineRule="exact"/>
              <w:rPr>
                <w:sz w:val="20"/>
                <w:szCs w:val="20"/>
                <w:color w:val="auto"/>
              </w:rPr>
            </w:pPr>
            <w:r>
              <w:rPr>
                <w:rFonts w:ascii="Arial" w:cs="Arial" w:eastAsia="Arial" w:hAnsi="Arial"/>
                <w:sz w:val="18"/>
                <w:szCs w:val="18"/>
                <w:i w:val="1"/>
                <w:iCs w:val="1"/>
                <w:color w:val="auto"/>
              </w:rPr>
              <w:t>%</w:t>
            </w:r>
          </w:p>
        </w:tc>
        <w:tc>
          <w:tcPr>
            <w:tcW w:w="4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ind w:right="103"/>
              <w:spacing w:after="0"/>
              <w:rPr>
                <w:sz w:val="20"/>
                <w:szCs w:val="20"/>
                <w:color w:val="auto"/>
              </w:rPr>
            </w:pPr>
            <w:r>
              <w:rPr>
                <w:rFonts w:ascii="Arial" w:cs="Arial" w:eastAsia="Arial" w:hAnsi="Arial"/>
                <w:sz w:val="15"/>
                <w:szCs w:val="15"/>
                <w:i w:val="1"/>
                <w:iCs w:val="1"/>
                <w:color w:val="auto"/>
                <w:w w:val="74"/>
              </w:rPr>
              <w:t>%</w:t>
            </w:r>
          </w:p>
        </w:tc>
      </w:tr>
      <w:tr>
        <w:trPr>
          <w:trHeight w:val="216"/>
        </w:trPr>
        <w:tc>
          <w:tcPr>
            <w:tcW w:w="300" w:type="dxa"/>
            <w:vAlign w:val="bottom"/>
            <w:gridSpan w:val="2"/>
          </w:tcPr>
          <w:p>
            <w:pPr>
              <w:spacing w:after="0"/>
              <w:rPr>
                <w:sz w:val="20"/>
                <w:szCs w:val="20"/>
                <w:color w:val="auto"/>
              </w:rPr>
            </w:pPr>
            <w:r>
              <w:rPr>
                <w:rFonts w:ascii="Arial" w:cs="Arial" w:eastAsia="Arial" w:hAnsi="Arial"/>
                <w:sz w:val="18"/>
                <w:szCs w:val="18"/>
                <w:i w:val="1"/>
                <w:iCs w:val="1"/>
                <w:color w:val="auto"/>
              </w:rPr>
              <w:t>20</w:t>
            </w:r>
          </w:p>
        </w:tc>
        <w:tc>
          <w:tcPr>
            <w:tcW w:w="3220" w:type="dxa"/>
            <w:vAlign w:val="bottom"/>
            <w:gridSpan w:val="3"/>
          </w:tcPr>
          <w:p>
            <w:pPr>
              <w:ind w:left="100"/>
              <w:spacing w:after="0"/>
              <w:rPr>
                <w:sz w:val="20"/>
                <w:szCs w:val="20"/>
                <w:color w:val="auto"/>
              </w:rPr>
            </w:pPr>
            <w:r>
              <w:rPr>
                <w:rFonts w:ascii="Arial" w:cs="Arial" w:eastAsia="Arial" w:hAnsi="Arial"/>
                <w:sz w:val="18"/>
                <w:szCs w:val="18"/>
                <w:i w:val="1"/>
                <w:iCs w:val="1"/>
                <w:color w:val="auto"/>
              </w:rPr>
              <w:t>Notes Total</w:t>
            </w:r>
          </w:p>
        </w:tc>
        <w:tc>
          <w:tcPr>
            <w:tcW w:w="2480" w:type="dxa"/>
            <w:vAlign w:val="bottom"/>
            <w:gridSpan w:val="3"/>
          </w:tcPr>
          <w:p>
            <w:pPr>
              <w:ind w:left="162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8"/>
                <w:szCs w:val="18"/>
                <w:color w:val="auto"/>
              </w:rPr>
            </w:pPr>
          </w:p>
        </w:tc>
        <w:tc>
          <w:tcPr>
            <w:tcW w:w="1180" w:type="dxa"/>
            <w:vAlign w:val="bottom"/>
            <w:gridSpan w:val="3"/>
          </w:tcPr>
          <w:p>
            <w:pPr>
              <w:jc w:val="right"/>
              <w:ind w:right="642"/>
              <w:spacing w:after="0"/>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20" w:type="dxa"/>
            <w:vAlign w:val="bottom"/>
            <w:gridSpan w:val="3"/>
          </w:tcPr>
          <w:p>
            <w:pPr>
              <w:spacing w:after="0"/>
              <w:rPr>
                <w:sz w:val="20"/>
                <w:szCs w:val="20"/>
                <w:color w:val="auto"/>
              </w:rPr>
            </w:pPr>
            <w:r>
              <w:rPr>
                <w:rFonts w:ascii="Arial" w:cs="Arial" w:eastAsia="Arial" w:hAnsi="Arial"/>
                <w:sz w:val="18"/>
                <w:szCs w:val="18"/>
                <w:i w:val="1"/>
                <w:iCs w:val="1"/>
                <w:color w:val="auto"/>
                <w:w w:val="94"/>
              </w:rPr>
              <w:t>Per 20</w:t>
            </w:r>
          </w:p>
        </w:tc>
        <w:tc>
          <w:tcPr>
            <w:tcW w:w="3000" w:type="dxa"/>
            <w:vAlign w:val="bottom"/>
            <w:gridSpan w:val="2"/>
          </w:tcPr>
          <w:p>
            <w:pPr>
              <w:ind w:left="180"/>
              <w:spacing w:after="0"/>
              <w:rPr>
                <w:sz w:val="20"/>
                <w:szCs w:val="20"/>
                <w:color w:val="auto"/>
              </w:rPr>
            </w:pPr>
            <w:r>
              <w:rPr>
                <w:rFonts w:ascii="Arial" w:cs="Arial" w:eastAsia="Arial" w:hAnsi="Arial"/>
                <w:sz w:val="18"/>
                <w:szCs w:val="18"/>
                <w:i w:val="1"/>
                <w:iCs w:val="1"/>
                <w:color w:val="auto"/>
              </w:rPr>
              <w:t>Note</w:t>
            </w:r>
          </w:p>
        </w:tc>
        <w:tc>
          <w:tcPr>
            <w:tcW w:w="2700" w:type="dxa"/>
            <w:vAlign w:val="bottom"/>
            <w:gridSpan w:val="4"/>
          </w:tcPr>
          <w:p>
            <w:pPr>
              <w:jc w:val="right"/>
              <w:ind w:right="180"/>
              <w:spacing w:after="0"/>
              <w:rPr>
                <w:sz w:val="20"/>
                <w:szCs w:val="20"/>
                <w:color w:val="auto"/>
              </w:rPr>
            </w:pPr>
            <w:r>
              <w:rPr>
                <w:rFonts w:ascii="Arial" w:cs="Arial" w:eastAsia="Arial" w:hAnsi="Arial"/>
                <w:sz w:val="18"/>
                <w:szCs w:val="18"/>
                <w:i w:val="1"/>
                <w:iCs w:val="1"/>
                <w:color w:val="auto"/>
              </w:rPr>
              <w:t>%</w:t>
            </w:r>
          </w:p>
        </w:tc>
        <w:tc>
          <w:tcPr>
            <w:tcW w:w="1460" w:type="dxa"/>
            <w:vAlign w:val="bottom"/>
            <w:gridSpan w:val="4"/>
          </w:tcPr>
          <w:p>
            <w:pPr>
              <w:jc w:val="right"/>
              <w:ind w:right="180"/>
              <w:spacing w:after="0"/>
              <w:rPr>
                <w:sz w:val="20"/>
                <w:szCs w:val="20"/>
                <w:color w:val="auto"/>
              </w:rPr>
            </w:pPr>
            <w:r>
              <w:rPr>
                <w:rFonts w:ascii="Arial" w:cs="Arial" w:eastAsia="Arial" w:hAnsi="Arial"/>
                <w:sz w:val="18"/>
                <w:szCs w:val="18"/>
                <w:i w:val="1"/>
                <w:iCs w:val="1"/>
                <w:color w:val="auto"/>
              </w:rPr>
              <w:t>%</w:t>
            </w:r>
          </w:p>
        </w:tc>
        <w:tc>
          <w:tcPr>
            <w:tcW w:w="1460" w:type="dxa"/>
            <w:vAlign w:val="bottom"/>
            <w:gridSpan w:val="4"/>
          </w:tcPr>
          <w:p>
            <w:pPr>
              <w:jc w:val="right"/>
              <w:ind w:right="103"/>
              <w:spacing w:after="0"/>
              <w:rPr>
                <w:sz w:val="20"/>
                <w:szCs w:val="20"/>
                <w:color w:val="auto"/>
              </w:rPr>
            </w:pPr>
            <w:r>
              <w:rPr>
                <w:rFonts w:ascii="Arial" w:cs="Arial" w:eastAsia="Arial" w:hAnsi="Arial"/>
                <w:sz w:val="18"/>
                <w:szCs w:val="18"/>
                <w:i w:val="1"/>
                <w:iCs w:val="1"/>
                <w:color w:val="auto"/>
              </w:rPr>
              <w:t>%</w:t>
            </w:r>
          </w:p>
        </w:tc>
      </w:tr>
      <w:tr>
        <w:trPr>
          <w:trHeight w:val="216"/>
        </w:trPr>
        <w:tc>
          <w:tcPr>
            <w:tcW w:w="300" w:type="dxa"/>
            <w:vAlign w:val="bottom"/>
            <w:gridSpan w:val="2"/>
          </w:tcPr>
          <w:p>
            <w:pPr>
              <w:spacing w:after="0"/>
              <w:rPr>
                <w:sz w:val="20"/>
                <w:szCs w:val="20"/>
                <w:color w:val="auto"/>
              </w:rPr>
            </w:pPr>
            <w:r>
              <w:rPr>
                <w:rFonts w:ascii="Arial" w:cs="Arial" w:eastAsia="Arial" w:hAnsi="Arial"/>
                <w:sz w:val="18"/>
                <w:szCs w:val="18"/>
                <w:i w:val="1"/>
                <w:iCs w:val="1"/>
                <w:color w:val="auto"/>
              </w:rPr>
              <w:t>20</w:t>
            </w:r>
          </w:p>
        </w:tc>
        <w:tc>
          <w:tcPr>
            <w:tcW w:w="3220" w:type="dxa"/>
            <w:vAlign w:val="bottom"/>
            <w:gridSpan w:val="3"/>
          </w:tcPr>
          <w:p>
            <w:pPr>
              <w:ind w:left="100"/>
              <w:spacing w:after="0"/>
              <w:rPr>
                <w:sz w:val="20"/>
                <w:szCs w:val="20"/>
                <w:color w:val="auto"/>
              </w:rPr>
            </w:pPr>
            <w:r>
              <w:rPr>
                <w:rFonts w:ascii="Arial" w:cs="Arial" w:eastAsia="Arial" w:hAnsi="Arial"/>
                <w:sz w:val="18"/>
                <w:szCs w:val="18"/>
                <w:i w:val="1"/>
                <w:iCs w:val="1"/>
                <w:color w:val="auto"/>
              </w:rPr>
              <w:t>Notes Total</w:t>
            </w:r>
          </w:p>
        </w:tc>
        <w:tc>
          <w:tcPr>
            <w:tcW w:w="2480" w:type="dxa"/>
            <w:vAlign w:val="bottom"/>
            <w:gridSpan w:val="3"/>
          </w:tcPr>
          <w:p>
            <w:pPr>
              <w:ind w:left="162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8"/>
                <w:szCs w:val="18"/>
                <w:color w:val="auto"/>
              </w:rPr>
            </w:pPr>
          </w:p>
        </w:tc>
        <w:tc>
          <w:tcPr>
            <w:tcW w:w="1180" w:type="dxa"/>
            <w:vAlign w:val="bottom"/>
            <w:gridSpan w:val="3"/>
          </w:tcPr>
          <w:p>
            <w:pPr>
              <w:jc w:val="right"/>
              <w:ind w:right="642"/>
              <w:spacing w:after="0"/>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20" w:type="dxa"/>
            <w:vAlign w:val="bottom"/>
            <w:gridSpan w:val="3"/>
          </w:tcPr>
          <w:p>
            <w:pPr>
              <w:spacing w:after="0"/>
              <w:rPr>
                <w:sz w:val="20"/>
                <w:szCs w:val="20"/>
                <w:color w:val="auto"/>
              </w:rPr>
            </w:pPr>
            <w:r>
              <w:rPr>
                <w:rFonts w:ascii="Arial" w:cs="Arial" w:eastAsia="Arial" w:hAnsi="Arial"/>
                <w:sz w:val="18"/>
                <w:szCs w:val="18"/>
                <w:i w:val="1"/>
                <w:iCs w:val="1"/>
                <w:color w:val="auto"/>
                <w:w w:val="94"/>
              </w:rPr>
              <w:t>Per 20</w:t>
            </w:r>
          </w:p>
        </w:tc>
        <w:tc>
          <w:tcPr>
            <w:tcW w:w="3000" w:type="dxa"/>
            <w:vAlign w:val="bottom"/>
            <w:gridSpan w:val="2"/>
          </w:tcPr>
          <w:p>
            <w:pPr>
              <w:ind w:left="180"/>
              <w:spacing w:after="0"/>
              <w:rPr>
                <w:sz w:val="20"/>
                <w:szCs w:val="20"/>
                <w:color w:val="auto"/>
              </w:rPr>
            </w:pPr>
            <w:r>
              <w:rPr>
                <w:rFonts w:ascii="Arial" w:cs="Arial" w:eastAsia="Arial" w:hAnsi="Arial"/>
                <w:sz w:val="18"/>
                <w:szCs w:val="18"/>
                <w:i w:val="1"/>
                <w:iCs w:val="1"/>
                <w:color w:val="auto"/>
              </w:rPr>
              <w:t>Note</w:t>
            </w:r>
          </w:p>
        </w:tc>
        <w:tc>
          <w:tcPr>
            <w:tcW w:w="2700" w:type="dxa"/>
            <w:vAlign w:val="bottom"/>
            <w:gridSpan w:val="4"/>
          </w:tcPr>
          <w:p>
            <w:pPr>
              <w:jc w:val="right"/>
              <w:ind w:right="180"/>
              <w:spacing w:after="0"/>
              <w:rPr>
                <w:sz w:val="20"/>
                <w:szCs w:val="20"/>
                <w:color w:val="auto"/>
              </w:rPr>
            </w:pPr>
            <w:r>
              <w:rPr>
                <w:rFonts w:ascii="Arial" w:cs="Arial" w:eastAsia="Arial" w:hAnsi="Arial"/>
                <w:sz w:val="18"/>
                <w:szCs w:val="18"/>
                <w:i w:val="1"/>
                <w:iCs w:val="1"/>
                <w:color w:val="auto"/>
              </w:rPr>
              <w:t>%</w:t>
            </w:r>
          </w:p>
        </w:tc>
        <w:tc>
          <w:tcPr>
            <w:tcW w:w="1460" w:type="dxa"/>
            <w:vAlign w:val="bottom"/>
            <w:gridSpan w:val="4"/>
          </w:tcPr>
          <w:p>
            <w:pPr>
              <w:jc w:val="right"/>
              <w:ind w:right="180"/>
              <w:spacing w:after="0"/>
              <w:rPr>
                <w:sz w:val="20"/>
                <w:szCs w:val="20"/>
                <w:color w:val="auto"/>
              </w:rPr>
            </w:pPr>
            <w:r>
              <w:rPr>
                <w:rFonts w:ascii="Arial" w:cs="Arial" w:eastAsia="Arial" w:hAnsi="Arial"/>
                <w:sz w:val="18"/>
                <w:szCs w:val="18"/>
                <w:i w:val="1"/>
                <w:iCs w:val="1"/>
                <w:color w:val="auto"/>
              </w:rPr>
              <w:t>%</w:t>
            </w:r>
          </w:p>
        </w:tc>
        <w:tc>
          <w:tcPr>
            <w:tcW w:w="1460" w:type="dxa"/>
            <w:vAlign w:val="bottom"/>
            <w:gridSpan w:val="4"/>
          </w:tcPr>
          <w:p>
            <w:pPr>
              <w:jc w:val="right"/>
              <w:ind w:right="103"/>
              <w:spacing w:after="0"/>
              <w:rPr>
                <w:sz w:val="20"/>
                <w:szCs w:val="20"/>
                <w:color w:val="auto"/>
              </w:rPr>
            </w:pPr>
            <w:r>
              <w:rPr>
                <w:rFonts w:ascii="Arial" w:cs="Arial" w:eastAsia="Arial" w:hAnsi="Arial"/>
                <w:sz w:val="18"/>
                <w:szCs w:val="18"/>
                <w:i w:val="1"/>
                <w:iCs w:val="1"/>
                <w:color w:val="auto"/>
              </w:rPr>
              <w:t>%</w:t>
            </w:r>
          </w:p>
        </w:tc>
      </w:tr>
      <w:tr>
        <w:trPr>
          <w:trHeight w:val="222"/>
        </w:trPr>
        <w:tc>
          <w:tcPr>
            <w:tcW w:w="300" w:type="dxa"/>
            <w:vAlign w:val="bottom"/>
            <w:gridSpan w:val="2"/>
          </w:tcPr>
          <w:p>
            <w:pPr>
              <w:spacing w:after="0"/>
              <w:rPr>
                <w:sz w:val="20"/>
                <w:szCs w:val="20"/>
                <w:color w:val="auto"/>
              </w:rPr>
            </w:pPr>
            <w:r>
              <w:rPr>
                <w:rFonts w:ascii="Arial" w:cs="Arial" w:eastAsia="Arial" w:hAnsi="Arial"/>
                <w:sz w:val="18"/>
                <w:szCs w:val="18"/>
                <w:i w:val="1"/>
                <w:iCs w:val="1"/>
                <w:color w:val="auto"/>
              </w:rPr>
              <w:t>20</w:t>
            </w:r>
          </w:p>
        </w:tc>
        <w:tc>
          <w:tcPr>
            <w:tcW w:w="3220" w:type="dxa"/>
            <w:vAlign w:val="bottom"/>
            <w:gridSpan w:val="3"/>
          </w:tcPr>
          <w:p>
            <w:pPr>
              <w:ind w:left="100"/>
              <w:spacing w:after="0"/>
              <w:rPr>
                <w:sz w:val="20"/>
                <w:szCs w:val="20"/>
                <w:color w:val="auto"/>
              </w:rPr>
            </w:pPr>
            <w:r>
              <w:rPr>
                <w:rFonts w:ascii="Arial" w:cs="Arial" w:eastAsia="Arial" w:hAnsi="Arial"/>
                <w:sz w:val="18"/>
                <w:szCs w:val="18"/>
                <w:i w:val="1"/>
                <w:iCs w:val="1"/>
                <w:color w:val="auto"/>
              </w:rPr>
              <w:t>Notes Total</w:t>
            </w:r>
          </w:p>
        </w:tc>
        <w:tc>
          <w:tcPr>
            <w:tcW w:w="2480" w:type="dxa"/>
            <w:vAlign w:val="bottom"/>
            <w:gridSpan w:val="3"/>
          </w:tcPr>
          <w:p>
            <w:pPr>
              <w:ind w:left="1620"/>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9"/>
                <w:szCs w:val="19"/>
                <w:color w:val="auto"/>
              </w:rPr>
            </w:pPr>
          </w:p>
        </w:tc>
        <w:tc>
          <w:tcPr>
            <w:tcW w:w="1180" w:type="dxa"/>
            <w:vAlign w:val="bottom"/>
            <w:gridSpan w:val="3"/>
          </w:tcPr>
          <w:p>
            <w:pPr>
              <w:jc w:val="right"/>
              <w:ind w:right="642"/>
              <w:spacing w:after="0"/>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i w:val="1"/>
                <w:iCs w:val="1"/>
                <w:color w:val="auto"/>
                <w:w w:val="84"/>
              </w:rPr>
              <w:t>Total</w:t>
            </w:r>
          </w:p>
        </w:tc>
        <w:tc>
          <w:tcPr>
            <w:tcW w:w="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i w:val="1"/>
                <w:iCs w:val="1"/>
                <w:color w:val="auto"/>
              </w:rPr>
              <w:t>$</w:t>
            </w: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642"/>
              <w:spacing w:after="0"/>
              <w:rPr>
                <w:sz w:val="20"/>
                <w:szCs w:val="20"/>
                <w:color w:val="auto"/>
              </w:rPr>
            </w:pPr>
            <w:r>
              <w:rPr>
                <w:rFonts w:ascii="Arial" w:cs="Arial" w:eastAsia="Arial" w:hAnsi="Arial"/>
                <w:sz w:val="18"/>
                <w:szCs w:val="18"/>
                <w:i w:val="1"/>
                <w:iCs w:val="1"/>
                <w:color w:val="auto"/>
              </w:rPr>
              <w:t>$</w:t>
            </w: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w:t>
            </w: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r>
      <w:tr>
        <w:trPr>
          <w:trHeight w:val="102"/>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437"/>
        </w:trPr>
        <w:tc>
          <w:tcPr>
            <w:tcW w:w="300" w:type="dxa"/>
            <w:vAlign w:val="bottom"/>
            <w:gridSpan w:val="2"/>
          </w:tcPr>
          <w:p>
            <w:pPr>
              <w:spacing w:after="0"/>
              <w:rPr>
                <w:sz w:val="20"/>
                <w:szCs w:val="20"/>
                <w:color w:val="auto"/>
              </w:rPr>
            </w:pPr>
            <w:r>
              <w:rPr>
                <w:rFonts w:ascii="Arial" w:cs="Arial" w:eastAsia="Arial" w:hAnsi="Arial"/>
                <w:sz w:val="18"/>
                <w:szCs w:val="18"/>
                <w:i w:val="1"/>
                <w:iCs w:val="1"/>
                <w:color w:val="auto"/>
              </w:rPr>
              <w:t>(1)</w:t>
            </w:r>
          </w:p>
        </w:tc>
        <w:tc>
          <w:tcPr>
            <w:tcW w:w="220" w:type="dxa"/>
            <w:vAlign w:val="bottom"/>
          </w:tcPr>
          <w:p>
            <w:pPr>
              <w:spacing w:after="0"/>
              <w:rPr>
                <w:sz w:val="24"/>
                <w:szCs w:val="24"/>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i w:val="1"/>
                <w:iCs w:val="1"/>
                <w:color w:val="auto"/>
              </w:rPr>
              <w:t>Plus accrued interest, if any, from</w:t>
            </w:r>
          </w:p>
        </w:tc>
        <w:tc>
          <w:tcPr>
            <w:tcW w:w="1420" w:type="dxa"/>
            <w:vAlign w:val="bottom"/>
          </w:tcPr>
          <w:p>
            <w:pPr>
              <w:jc w:val="right"/>
              <w:ind w:right="272"/>
              <w:spacing w:after="0"/>
              <w:rPr>
                <w:sz w:val="20"/>
                <w:szCs w:val="20"/>
                <w:color w:val="auto"/>
              </w:rPr>
            </w:pPr>
            <w:r>
              <w:rPr>
                <w:rFonts w:ascii="Arial" w:cs="Arial" w:eastAsia="Arial" w:hAnsi="Arial"/>
                <w:sz w:val="18"/>
                <w:szCs w:val="18"/>
                <w:i w:val="1"/>
                <w:iCs w:val="1"/>
                <w:color w:val="auto"/>
              </w:rPr>
              <w:t>, 2019.</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37"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underwriters have agreed to reimburse us for certain expenses in connection with the offering. See "Underwriting."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on the notes will accrue from , 2019. The notes will be issued in registered, book-entry form only without interest coupons, in minimum denominations of $2,000 and integral multiples of $1,000 in excess thereof. The notes will not be listed on any securities exchange. Currently there is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underwriters expect to deliver the notes to purchasers through the book-entry delivery system of The Depository Trust Company and its participants,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60" w:type="dxa"/>
            <w:vAlign w:val="bottom"/>
            <w:gridSpan w:val="2"/>
          </w:tcPr>
          <w:p>
            <w:pPr>
              <w:spacing w:after="0"/>
              <w:rPr>
                <w:sz w:val="20"/>
                <w:szCs w:val="20"/>
                <w:color w:val="auto"/>
              </w:rPr>
            </w:pPr>
            <w:r>
              <w:rPr>
                <w:rFonts w:ascii="Arial" w:cs="Arial" w:eastAsia="Arial" w:hAnsi="Arial"/>
                <w:sz w:val="18"/>
                <w:szCs w:val="18"/>
                <w:i w:val="1"/>
                <w:iCs w:val="1"/>
                <w:color w:val="auto"/>
                <w:w w:val="98"/>
              </w:rPr>
              <w:t>including Euroclear Bank S.A./N.V. and Clearstream Banking, S.A. on or about</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 2019.</w:t>
            </w:r>
          </w:p>
        </w:tc>
      </w:tr>
      <w:tr>
        <w:trPr>
          <w:trHeight w:val="212"/>
        </w:trPr>
        <w:tc>
          <w:tcPr>
            <w:tcW w:w="45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Joint Book-Running Managers</w:t>
      </w:r>
    </w:p>
    <w:p>
      <w:pPr>
        <w:spacing w:after="0" w:line="213" w:lineRule="exact"/>
        <w:rPr>
          <w:sz w:val="20"/>
          <w:szCs w:val="20"/>
          <w:color w:val="auto"/>
        </w:rPr>
      </w:pPr>
    </w:p>
    <w:p>
      <w:pPr>
        <w:ind w:left="1140"/>
        <w:spacing w:after="0"/>
        <w:tabs>
          <w:tab w:leader="none" w:pos="4980" w:val="left"/>
          <w:tab w:leader="none" w:pos="898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4"/>
          <w:szCs w:val="24"/>
          <w:i w:val="1"/>
          <w:iCs w:val="1"/>
          <w:color w:val="auto"/>
        </w:rPr>
        <w:t>BNP PARIBAS</w:t>
      </w:r>
      <w:r>
        <w:rPr>
          <w:sz w:val="20"/>
          <w:szCs w:val="20"/>
          <w:color w:val="auto"/>
        </w:rPr>
        <w:tab/>
      </w:r>
      <w:r>
        <w:rPr>
          <w:rFonts w:ascii="Arial" w:cs="Arial" w:eastAsia="Arial" w:hAnsi="Arial"/>
          <w:sz w:val="21"/>
          <w:szCs w:val="21"/>
          <w:i w:val="1"/>
          <w:iCs w:val="1"/>
          <w:color w:val="auto"/>
        </w:rPr>
        <w:t>Credit Suisse</w:t>
      </w:r>
    </w:p>
    <w:p>
      <w:pPr>
        <w:spacing w:after="0" w:line="200" w:lineRule="exact"/>
        <w:rPr>
          <w:sz w:val="20"/>
          <w:szCs w:val="20"/>
          <w:color w:val="auto"/>
        </w:rPr>
      </w:pPr>
    </w:p>
    <w:p>
      <w:pPr>
        <w:spacing w:after="0" w:line="319"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20" w:type="dxa"/>
            <w:vAlign w:val="bottom"/>
            <w:gridSpan w:val="3"/>
          </w:tcPr>
          <w:p>
            <w:pPr>
              <w:jc w:val="right"/>
              <w:ind w:right="3403"/>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3"/>
          </w:tcPr>
          <w:p>
            <w:pPr>
              <w:jc w:val="right"/>
              <w:ind w:right="3463"/>
              <w:spacing w:after="0"/>
              <w:rPr>
                <w:sz w:val="20"/>
                <w:szCs w:val="20"/>
                <w:color w:val="auto"/>
              </w:rPr>
            </w:pPr>
            <w:r>
              <w:rPr>
                <w:rFonts w:ascii="Arial" w:cs="Arial" w:eastAsia="Arial" w:hAnsi="Arial"/>
                <w:sz w:val="18"/>
                <w:szCs w:val="18"/>
                <w:b w:val="1"/>
                <w:bCs w:val="1"/>
                <w:color w:val="auto"/>
                <w:w w:val="90"/>
              </w:rPr>
              <w:t>Prospectus Supplement</w:t>
            </w:r>
          </w:p>
        </w:tc>
        <w:tc>
          <w:tcPr>
            <w:tcW w:w="0" w:type="dxa"/>
            <w:vAlign w:val="bottom"/>
          </w:tcPr>
          <w:p>
            <w:pPr>
              <w:spacing w:after="0"/>
              <w:rPr>
                <w:sz w:val="1"/>
                <w:szCs w:val="1"/>
                <w:color w:val="auto"/>
              </w:rPr>
            </w:pPr>
          </w:p>
        </w:tc>
      </w:tr>
      <w:tr>
        <w:trPr>
          <w:trHeight w:val="421"/>
        </w:trPr>
        <w:tc>
          <w:tcPr>
            <w:tcW w:w="3560" w:type="dxa"/>
            <w:vAlign w:val="bottom"/>
            <w:gridSpan w:val="13"/>
            <w:vMerge w:val="restart"/>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Note on Forward-Looking Statements</w:t>
              </w:r>
            </w:hyperlink>
          </w:p>
        </w:tc>
        <w:tc>
          <w:tcPr>
            <w:tcW w:w="4960" w:type="dxa"/>
            <w:vAlign w:val="bottom"/>
          </w:tcPr>
          <w:p>
            <w:pPr>
              <w:spacing w:after="0"/>
              <w:rPr>
                <w:sz w:val="24"/>
                <w:szCs w:val="24"/>
                <w:color w:val="auto"/>
              </w:rPr>
            </w:pPr>
          </w:p>
        </w:tc>
        <w:tc>
          <w:tcPr>
            <w:tcW w:w="4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3560" w:type="dxa"/>
            <w:vAlign w:val="bottom"/>
            <w:gridSpan w:val="13"/>
            <w:vMerge w:val="continue"/>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line="17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S-ii</w:t>
              </w:r>
            </w:hyperlink>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100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S-ii</w:t>
              </w:r>
            </w:hyperlink>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2860" w:type="dxa"/>
            <w:vAlign w:val="bottom"/>
            <w:gridSpan w:val="11"/>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8"/>
              </w:rPr>
            </w:pPr>
            <w:hyperlink w:anchor="page6">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2660" w:type="dxa"/>
            <w:vAlign w:val="bottom"/>
            <w:gridSpan w:val="10"/>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jc w:val="right"/>
              <w:spacing w:after="0" w:line="196" w:lineRule="exact"/>
              <w:rPr>
                <w:rFonts w:ascii="Arial" w:cs="Arial" w:eastAsia="Arial" w:hAnsi="Arial"/>
                <w:sz w:val="18"/>
                <w:szCs w:val="18"/>
                <w:color w:val="0000EE"/>
                <w:w w:val="78"/>
              </w:rPr>
            </w:pPr>
            <w:hyperlink w:anchor="page12">
              <w:r>
                <w:rPr>
                  <w:rFonts w:ascii="Arial" w:cs="Arial" w:eastAsia="Arial" w:hAnsi="Arial"/>
                  <w:sz w:val="18"/>
                  <w:szCs w:val="18"/>
                  <w:color w:val="0000EE"/>
                  <w:w w:val="78"/>
                </w:rPr>
                <w:t>S-7</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Use of Proceeds</w:t>
              </w:r>
            </w:hyperlink>
          </w:p>
        </w:tc>
        <w:tc>
          <w:tcPr>
            <w:tcW w:w="2400" w:type="dxa"/>
            <w:vAlign w:val="bottom"/>
            <w:gridSpan w:val="8"/>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4"/>
                <w:szCs w:val="14"/>
                <w:color w:val="0000EE"/>
                <w:w w:val="74"/>
              </w:rPr>
            </w:pPr>
            <w:hyperlink w:anchor="page16">
              <w:r>
                <w:rPr>
                  <w:rFonts w:ascii="Arial" w:cs="Arial" w:eastAsia="Arial" w:hAnsi="Arial"/>
                  <w:sz w:val="14"/>
                  <w:szCs w:val="14"/>
                  <w:color w:val="0000EE"/>
                  <w:w w:val="74"/>
                </w:rPr>
                <w:t>S-11</w:t>
              </w:r>
            </w:hyperlink>
          </w:p>
        </w:tc>
        <w:tc>
          <w:tcPr>
            <w:tcW w:w="0" w:type="dxa"/>
            <w:vAlign w:val="bottom"/>
          </w:tcPr>
          <w:p>
            <w:pPr>
              <w:spacing w:after="0"/>
              <w:rPr>
                <w:sz w:val="1"/>
                <w:szCs w:val="1"/>
                <w:color w:val="auto"/>
              </w:rPr>
            </w:pPr>
          </w:p>
        </w:tc>
      </w:tr>
      <w:tr>
        <w:trPr>
          <w:trHeight w:val="196"/>
        </w:trPr>
        <w:tc>
          <w:tcPr>
            <w:tcW w:w="3560" w:type="dxa"/>
            <w:vAlign w:val="bottom"/>
            <w:gridSpan w:val="1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Cash and Capitalization</w:t>
              </w:r>
            </w:hyperlink>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jc w:val="right"/>
              <w:spacing w:after="0"/>
              <w:rPr>
                <w:rFonts w:ascii="Arial" w:cs="Arial" w:eastAsia="Arial" w:hAnsi="Arial"/>
                <w:sz w:val="14"/>
                <w:szCs w:val="14"/>
                <w:color w:val="0000EE"/>
                <w:w w:val="74"/>
              </w:rPr>
            </w:pPr>
            <w:hyperlink w:anchor="page17">
              <w:r>
                <w:rPr>
                  <w:rFonts w:ascii="Arial" w:cs="Arial" w:eastAsia="Arial" w:hAnsi="Arial"/>
                  <w:sz w:val="14"/>
                  <w:szCs w:val="14"/>
                  <w:color w:val="0000EE"/>
                  <w:w w:val="74"/>
                </w:rPr>
                <w:t>S-12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Description of the Notes</w:t>
              </w:r>
            </w:hyperlink>
          </w:p>
        </w:tc>
        <w:tc>
          <w:tcPr>
            <w:tcW w:w="1820" w:type="dxa"/>
            <w:vAlign w:val="bottom"/>
            <w:gridSpan w:val="5"/>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4"/>
                <w:szCs w:val="14"/>
                <w:color w:val="0000EE"/>
                <w:w w:val="74"/>
              </w:rPr>
            </w:pPr>
            <w:hyperlink w:anchor="page18">
              <w:r>
                <w:rPr>
                  <w:rFonts w:ascii="Arial" w:cs="Arial" w:eastAsia="Arial" w:hAnsi="Arial"/>
                  <w:sz w:val="14"/>
                  <w:szCs w:val="14"/>
                  <w:color w:val="0000EE"/>
                  <w:w w:val="74"/>
                </w:rPr>
                <w:t>S-13</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Material U.S. Federal Income Tax Consequences</w:t>
              </w:r>
            </w:hyperlink>
          </w:p>
        </w:tc>
        <w:tc>
          <w:tcPr>
            <w:tcW w:w="100" w:type="dxa"/>
            <w:vAlign w:val="bottom"/>
            <w:gridSpan w:val="2"/>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4"/>
                <w:szCs w:val="14"/>
                <w:color w:val="0000EE"/>
                <w:w w:val="74"/>
              </w:rPr>
            </w:pPr>
            <w:hyperlink w:anchor="page42">
              <w:r>
                <w:rPr>
                  <w:rFonts w:ascii="Arial" w:cs="Arial" w:eastAsia="Arial" w:hAnsi="Arial"/>
                  <w:sz w:val="14"/>
                  <w:szCs w:val="14"/>
                  <w:color w:val="0000EE"/>
                  <w:w w:val="74"/>
                </w:rPr>
                <w:t>S-37</w:t>
              </w:r>
            </w:hyperlink>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Underwriting</w:t>
              </w:r>
            </w:hyperlink>
          </w:p>
        </w:tc>
        <w:tc>
          <w:tcPr>
            <w:tcW w:w="2600" w:type="dxa"/>
            <w:vAlign w:val="bottom"/>
            <w:gridSpan w:val="9"/>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4"/>
                <w:szCs w:val="14"/>
                <w:color w:val="0000EE"/>
                <w:w w:val="74"/>
              </w:rPr>
            </w:pPr>
            <w:hyperlink w:anchor="page47">
              <w:r>
                <w:rPr>
                  <w:rFonts w:ascii="Arial" w:cs="Arial" w:eastAsia="Arial" w:hAnsi="Arial"/>
                  <w:sz w:val="14"/>
                  <w:szCs w:val="14"/>
                  <w:color w:val="0000EE"/>
                  <w:w w:val="74"/>
                </w:rPr>
                <w:t>S-42</w:t>
              </w:r>
            </w:hyperlink>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Validity of Securities</w:t>
              </w:r>
            </w:hyperlink>
          </w:p>
        </w:tc>
        <w:tc>
          <w:tcPr>
            <w:tcW w:w="2060" w:type="dxa"/>
            <w:vAlign w:val="bottom"/>
            <w:gridSpan w:val="7"/>
          </w:tcPr>
          <w:p>
            <w:pPr>
              <w:spacing w:after="0"/>
              <w:rPr>
                <w:sz w:val="17"/>
                <w:szCs w:val="17"/>
                <w:color w:val="auto"/>
              </w:rPr>
            </w:pPr>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0000EE"/>
            </w:tcBorders>
          </w:tcPr>
          <w:p>
            <w:pPr>
              <w:jc w:val="right"/>
              <w:spacing w:after="0"/>
              <w:rPr>
                <w:rFonts w:ascii="Arial" w:cs="Arial" w:eastAsia="Arial" w:hAnsi="Arial"/>
                <w:sz w:val="14"/>
                <w:szCs w:val="14"/>
                <w:color w:val="0000EE"/>
                <w:w w:val="74"/>
              </w:rPr>
            </w:pPr>
            <w:hyperlink w:anchor="page52">
              <w:r>
                <w:rPr>
                  <w:rFonts w:ascii="Arial" w:cs="Arial" w:eastAsia="Arial" w:hAnsi="Arial"/>
                  <w:sz w:val="14"/>
                  <w:szCs w:val="14"/>
                  <w:color w:val="0000EE"/>
                  <w:w w:val="74"/>
                </w:rPr>
                <w:t>S-47</w:t>
              </w:r>
            </w:hyperlink>
          </w:p>
        </w:tc>
        <w:tc>
          <w:tcPr>
            <w:tcW w:w="0" w:type="dxa"/>
            <w:vAlign w:val="bottom"/>
          </w:tcPr>
          <w:p>
            <w:pPr>
              <w:spacing w:after="0"/>
              <w:rPr>
                <w:sz w:val="1"/>
                <w:szCs w:val="1"/>
                <w:color w:val="auto"/>
              </w:rPr>
            </w:pPr>
          </w:p>
        </w:tc>
      </w:tr>
      <w:tr>
        <w:trPr>
          <w:trHeight w:val="196"/>
        </w:trPr>
        <w:tc>
          <w:tcPr>
            <w:tcW w:w="356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Experts</w:t>
              </w:r>
            </w:hyperlink>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jc w:val="right"/>
              <w:spacing w:after="0"/>
              <w:rPr>
                <w:rFonts w:ascii="Arial" w:cs="Arial" w:eastAsia="Arial" w:hAnsi="Arial"/>
                <w:sz w:val="14"/>
                <w:szCs w:val="14"/>
                <w:color w:val="0000EE"/>
                <w:w w:val="74"/>
              </w:rPr>
            </w:pPr>
            <w:hyperlink w:anchor="page52">
              <w:r>
                <w:rPr>
                  <w:rFonts w:ascii="Arial" w:cs="Arial" w:eastAsia="Arial" w:hAnsi="Arial"/>
                  <w:sz w:val="14"/>
                  <w:szCs w:val="14"/>
                  <w:color w:val="0000EE"/>
                  <w:w w:val="74"/>
                </w:rPr>
                <w:t>S-47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1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Where You Can Find More Information</w:t>
              </w:r>
            </w:hyperlink>
          </w:p>
        </w:tc>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jc w:val="right"/>
              <w:spacing w:after="0"/>
              <w:rPr>
                <w:rFonts w:ascii="Arial" w:cs="Arial" w:eastAsia="Arial" w:hAnsi="Arial"/>
                <w:sz w:val="14"/>
                <w:szCs w:val="14"/>
                <w:color w:val="0000EE"/>
                <w:w w:val="74"/>
              </w:rPr>
            </w:pPr>
            <w:hyperlink w:anchor="page52">
              <w:r>
                <w:rPr>
                  <w:rFonts w:ascii="Arial" w:cs="Arial" w:eastAsia="Arial" w:hAnsi="Arial"/>
                  <w:sz w:val="14"/>
                  <w:szCs w:val="14"/>
                  <w:color w:val="0000EE"/>
                  <w:w w:val="74"/>
                </w:rPr>
                <w:t>S-47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Prospectus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0"/>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5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 Incorporation by Reference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The Company</w:t>
              </w:r>
            </w:hyperlink>
          </w:p>
        </w:tc>
        <w:tc>
          <w:tcPr>
            <w:tcW w:w="39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Risk Factors</w:t>
              </w:r>
            </w:hyperlink>
          </w:p>
        </w:tc>
        <w:tc>
          <w:tcPr>
            <w:tcW w:w="100" w:type="dxa"/>
            <w:vAlign w:val="bottom"/>
          </w:tcPr>
          <w:p>
            <w:pPr>
              <w:spacing w:after="0"/>
              <w:rPr>
                <w:sz w:val="17"/>
                <w:szCs w:val="17"/>
                <w:color w:val="auto"/>
              </w:rPr>
            </w:pPr>
          </w:p>
        </w:tc>
        <w:tc>
          <w:tcPr>
            <w:tcW w:w="7800" w:type="dxa"/>
            <w:vAlign w:val="bottom"/>
            <w:gridSpan w:val="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4"/>
          </w:tcPr>
          <w:p>
            <w:pPr>
              <w:spacing w:after="0" w:line="196"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Use of Proceeds</w:t>
              </w:r>
            </w:hyperlink>
          </w:p>
        </w:tc>
        <w:tc>
          <w:tcPr>
            <w:tcW w:w="76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gridSpan w:val="7"/>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Description of Securities</w:t>
              </w:r>
            </w:hyperlink>
          </w:p>
        </w:tc>
        <w:tc>
          <w:tcPr>
            <w:tcW w:w="720" w:type="dxa"/>
            <w:vAlign w:val="bottom"/>
          </w:tcPr>
          <w:p>
            <w:pPr>
              <w:spacing w:after="0"/>
              <w:rPr>
                <w:sz w:val="17"/>
                <w:szCs w:val="17"/>
                <w:color w:val="auto"/>
              </w:rPr>
            </w:pPr>
          </w:p>
        </w:tc>
        <w:tc>
          <w:tcPr>
            <w:tcW w:w="632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gridSpan w:val="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70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Legal Matters</w:t>
              </w:r>
            </w:hyperlink>
          </w:p>
        </w:tc>
        <w:tc>
          <w:tcPr>
            <w:tcW w:w="74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Experts</w:t>
              </w:r>
            </w:hyperlink>
          </w:p>
        </w:tc>
        <w:tc>
          <w:tcPr>
            <w:tcW w:w="780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jc w:val="both"/>
        <w:ind w:firstLine="408"/>
        <w:spacing w:after="0" w:line="298" w:lineRule="auto"/>
        <w:rPr>
          <w:sz w:val="20"/>
          <w:szCs w:val="20"/>
          <w:color w:val="auto"/>
        </w:rPr>
      </w:pPr>
      <w:r>
        <w:rPr>
          <w:rFonts w:ascii="Arial" w:cs="Arial" w:eastAsia="Arial" w:hAnsi="Arial"/>
          <w:sz w:val="16"/>
          <w:szCs w:val="16"/>
          <w:color w:val="auto"/>
        </w:rPr>
        <w:t>This prospectus supplement, the accompanying prospectus and the information incorporated herein and therein by reference include statements that are, or may be deemed, "forward-looking statements." You can identify forward-looking statements by the use of forward-looking terminology including "anticipates," "believes," "estimates," "expects," "future," "intends," "may," "plans," "potential," "predicts," "projects," "should," "will," "would" and similar expressions or the negative of these words and phrases, other variations of these words and phrases or comparable terminology.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forward-looking statements relate to, among other things:</w:t>
      </w:r>
    </w:p>
    <w:p>
      <w:pPr>
        <w:spacing w:after="0" w:line="23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34"/>
          <w:szCs w:val="34"/>
          <w:color w:val="auto"/>
          <w:vertAlign w:val="superscript"/>
        </w:rPr>
      </w:pPr>
      <w:r>
        <w:rPr>
          <w:rFonts w:ascii="Arial" w:cs="Arial" w:eastAsia="Arial" w:hAnsi="Arial"/>
          <w:sz w:val="17"/>
          <w:szCs w:val="17"/>
          <w:color w:val="auto"/>
        </w:rPr>
        <w:t>statements such as those made regarding our expected NAND and 3D XPoint</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development activities with Intel Corporation ("Intel");</w:t>
      </w:r>
    </w:p>
    <w:p>
      <w:pPr>
        <w:spacing w:after="0" w:line="116" w:lineRule="exact"/>
        <w:rPr>
          <w:rFonts w:ascii="Arial" w:cs="Arial" w:eastAsia="Arial" w:hAnsi="Arial"/>
          <w:sz w:val="34"/>
          <w:szCs w:val="34"/>
          <w:color w:val="auto"/>
          <w:vertAlign w:val="superscript"/>
        </w:rPr>
      </w:pPr>
    </w:p>
    <w:p>
      <w:pPr>
        <w:ind w:left="10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exercise of our call option to purchase Intel's interest in IM Flash Technologies, LLC ("IM Flash") and the amount we expect to pay for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from time to time, to engage in additional financing transactions;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investments, cash flows from operations, and available financing to meet our requirements at least through the next 12 months;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spending in 2019.</w:t>
      </w:r>
    </w:p>
    <w:p>
      <w:pPr>
        <w:spacing w:after="0" w:line="225" w:lineRule="exact"/>
        <w:rPr>
          <w:sz w:val="20"/>
          <w:szCs w:val="20"/>
          <w:color w:val="auto"/>
        </w:rPr>
      </w:pPr>
    </w:p>
    <w:p>
      <w:pPr>
        <w:jc w:val="both"/>
        <w:ind w:firstLine="418"/>
        <w:spacing w:after="0" w:line="254" w:lineRule="auto"/>
        <w:rPr>
          <w:sz w:val="20"/>
          <w:szCs w:val="20"/>
          <w:color w:val="auto"/>
        </w:rPr>
      </w:pPr>
      <w:r>
        <w:rPr>
          <w:rFonts w:ascii="Arial" w:cs="Arial" w:eastAsia="Arial" w:hAnsi="Arial"/>
          <w:sz w:val="18"/>
          <w:szCs w:val="18"/>
          <w:color w:val="auto"/>
        </w:rPr>
        <w:t>Our actual results could differ materially from our historical results and those discussed in the forward-looking statements. Factors that could cause actual results to differ materially include, but are not limited to those identified in the section titled "Risk Factors" of this prospectus supplement and in our Annual Report on Form 10-K and our Quarterly Report on Form 10-Q incorporated by reference herein and as may be updated in filings we make with the U.S. Securities and Exchange Commission (the "SEC"). The forward-looking statements contained herein are based on information available to us as of the date of this prospectus supplement and are based on management's current views and assumptions and should not be relied upon as representing our views as of any subsequent date.</w:t>
      </w:r>
    </w:p>
    <w:p>
      <w:pPr>
        <w:spacing w:after="0" w:line="198" w:lineRule="exact"/>
        <w:rPr>
          <w:sz w:val="20"/>
          <w:szCs w:val="20"/>
          <w:color w:val="auto"/>
        </w:rPr>
      </w:pPr>
    </w:p>
    <w:p>
      <w:pPr>
        <w:jc w:val="both"/>
        <w:ind w:firstLine="401"/>
        <w:spacing w:after="0" w:line="298" w:lineRule="auto"/>
        <w:rPr>
          <w:sz w:val="20"/>
          <w:szCs w:val="20"/>
          <w:color w:val="auto"/>
        </w:rPr>
      </w:pPr>
      <w:r>
        <w:rPr>
          <w:rFonts w:ascii="Arial" w:cs="Arial" w:eastAsia="Arial" w:hAnsi="Arial"/>
          <w:sz w:val="16"/>
          <w:szCs w:val="16"/>
          <w:color w:val="auto"/>
        </w:rPr>
        <w:t>All subsequent written and oral forward-looking statements attributable to us or any person acting on our behalf are expressly qualified in their entirety by the cautionary statements contained or referred to in this prospectus supplement and any other cautionary statements that may accompany such forward-looking statements. We do not undertake any obligation to release publicly any revisions to these forward-looking statements to reflect events or circumstances after the date of this document or to reflect the occurrence of unanticipated events, unless the securities laws require us to do so.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jc w:val="both"/>
        <w:ind w:firstLine="362"/>
        <w:spacing w:after="0" w:line="287" w:lineRule="auto"/>
        <w:rPr>
          <w:sz w:val="20"/>
          <w:szCs w:val="20"/>
          <w:color w:val="auto"/>
        </w:rPr>
      </w:pPr>
      <w:r>
        <w:rPr>
          <w:rFonts w:ascii="Arial" w:cs="Arial" w:eastAsia="Arial" w:hAnsi="Arial"/>
          <w:sz w:val="16"/>
          <w:szCs w:val="16"/>
          <w:color w:val="auto"/>
        </w:rPr>
        <w:t>This prospectus supplement and the accompanying prospectus dated October 10, 2017 are part of a registration statement that we filed with the SEC, using a "shelf" registration process. Under this shelf registration process, we may from time to time offer to sell securities, in one or more offerings. We provide information to you about this offering of the notes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However,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as our business, financial condition, results of operations and prospects may have changed since the earlier dates. You should read this prospectus supplement, the accompanying prospectus, the documents and information incorporated by reference in this prospectus supplement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accompanying prospectus, and any free writing prospectus that we have authorized for use in connection with this offering when making your investment decision. You should also read and consider the information in the documents we have referred you to under the heading "Where You Can Find More Information."</w:t>
      </w:r>
    </w:p>
    <w:p>
      <w:pPr>
        <w:spacing w:after="0" w:line="194" w:lineRule="exact"/>
        <w:rPr>
          <w:sz w:val="20"/>
          <w:szCs w:val="20"/>
          <w:color w:val="auto"/>
        </w:rPr>
      </w:pPr>
    </w:p>
    <w:p>
      <w:pPr>
        <w:jc w:val="both"/>
        <w:ind w:firstLine="43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supplement, the accompanying prospectus or in any related free writing prospectus filed by us with the SEC. Neither we nor the underwriters have authorized anyone to provide you with different information. This prospectus supplement and the accompanying prospectus do not constitute an offer to sell or the solicitation of an offer to buy our securities other than the notes described in this prospectus supplement or an offer to sell or the solicitation of an offer to buy the notes in any circumstances in which such offer or solicitation is unlawful. You should assume that the information appearing in this prospectus supplement, the accompanying prospectus, the documents incorporated by reference and any related free writing prospectus is accurate only as of their respective dates or as otherwise specified therein. Our business, financial condition, results of operations and prospects may have changed materially since those dates.</w:t>
      </w:r>
    </w:p>
    <w:p>
      <w:pPr>
        <w:spacing w:after="0" w:line="172" w:lineRule="exact"/>
        <w:rPr>
          <w:sz w:val="20"/>
          <w:szCs w:val="20"/>
          <w:color w:val="auto"/>
        </w:rPr>
      </w:pPr>
    </w:p>
    <w:p>
      <w:pPr>
        <w:jc w:val="both"/>
        <w:ind w:firstLine="420"/>
        <w:spacing w:after="0" w:line="259"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w:t>
      </w:r>
    </w:p>
    <w:p>
      <w:pPr>
        <w:spacing w:after="0" w:line="194" w:lineRule="exact"/>
        <w:rPr>
          <w:sz w:val="20"/>
          <w:szCs w:val="20"/>
          <w:color w:val="auto"/>
        </w:rPr>
      </w:pPr>
    </w:p>
    <w:p>
      <w:pPr>
        <w:jc w:val="both"/>
        <w:ind w:firstLine="548"/>
        <w:spacing w:after="0" w:line="268" w:lineRule="auto"/>
        <w:rPr>
          <w:sz w:val="20"/>
          <w:szCs w:val="20"/>
          <w:color w:val="auto"/>
        </w:rPr>
      </w:pPr>
      <w:r>
        <w:rPr>
          <w:rFonts w:ascii="Arial" w:cs="Arial" w:eastAsia="Arial" w:hAnsi="Arial"/>
          <w:sz w:val="18"/>
          <w:szCs w:val="18"/>
          <w:color w:val="auto"/>
        </w:rPr>
        <w:t>Unless the context requires otherwise or unless otherwise specified, references in this prospectus supplement to "Micron," "we," "our," "us" and the "Company" refer to Micron Technology, Inc. and our consolidated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693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69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both"/>
        <w:ind w:left="240" w:firstLine="608"/>
        <w:spacing w:after="0" w:line="314" w:lineRule="auto"/>
        <w:rPr>
          <w:sz w:val="20"/>
          <w:szCs w:val="20"/>
          <w:color w:val="auto"/>
        </w:rPr>
      </w:pPr>
      <w:r>
        <w:rPr>
          <w:rFonts w:ascii="Arial" w:cs="Arial" w:eastAsia="Arial" w:hAnsi="Arial"/>
          <w:sz w:val="15"/>
          <w:szCs w:val="15"/>
          <w:i w:val="1"/>
          <w:iCs w:val="1"/>
          <w:color w:val="auto"/>
        </w:rPr>
        <w:t>This summary highlights selected information contained elsewhere in or incorporated by reference into this prospectus supplement and the accompanying prospectus. Because the following is only a summary, it does not contain all of the information that you should consider before investing in the notes. You should carefully read this entire prospectus supplement as well as the accompanying prospectus, including the factors described under the heading "Risk Factors" included in this prospectus supplement, our Annual Report on Form 10-K for the year ended August 30, 2018, our Quarterly Report on Form 10-Q for the quarter ended November 29, 2018, documents that we subsequently file with the SEC and the financial statements and other information included or incorporated by reference in this prospectus supplement and the accompanying prospectus, before making an investment decision.</w:t>
      </w: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240" w:firstLine="406"/>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mobile, and automotive.</w:t>
      </w:r>
    </w:p>
    <w:p>
      <w:pPr>
        <w:spacing w:after="0" w:line="167" w:lineRule="exact"/>
        <w:rPr>
          <w:sz w:val="20"/>
          <w:szCs w:val="20"/>
          <w:color w:val="auto"/>
        </w:rPr>
      </w:pPr>
    </w:p>
    <w:p>
      <w:pPr>
        <w:jc w:val="both"/>
        <w:ind w:left="240" w:firstLine="363"/>
        <w:spacing w:after="0" w:line="268" w:lineRule="auto"/>
        <w:rPr>
          <w:sz w:val="20"/>
          <w:szCs w:val="20"/>
          <w:color w:val="auto"/>
        </w:rPr>
      </w:pPr>
      <w:r>
        <w:rPr>
          <w:rFonts w:ascii="Arial" w:cs="Arial" w:eastAsia="Arial" w:hAnsi="Arial"/>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86" w:lineRule="exact"/>
        <w:rPr>
          <w:sz w:val="20"/>
          <w:szCs w:val="20"/>
          <w:color w:val="auto"/>
        </w:rPr>
      </w:pPr>
    </w:p>
    <w:p>
      <w:pPr>
        <w:jc w:val="both"/>
        <w:ind w:left="240" w:firstLine="402"/>
        <w:spacing w:after="0" w:line="289" w:lineRule="auto"/>
        <w:rPr>
          <w:sz w:val="20"/>
          <w:szCs w:val="20"/>
          <w:color w:val="auto"/>
        </w:rPr>
      </w:pPr>
      <w:r>
        <w:rPr>
          <w:rFonts w:ascii="Arial" w:cs="Arial" w:eastAsia="Arial" w:hAnsi="Arial"/>
          <w:sz w:val="16"/>
          <w:szCs w:val="16"/>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and increasing portion of our revenues. We generally develop firmware and, in the first quarter of 2019, introduced proprietary controllers into our SSDs. Development of advanced technologies enables us to diversify our product portfolio toward a richer mix of differentiated, high-value solutions and to target high-growth markets.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left="240" w:firstLine="387"/>
        <w:spacing w:after="0" w:line="256" w:lineRule="auto"/>
        <w:rPr>
          <w:sz w:val="20"/>
          <w:szCs w:val="20"/>
          <w:color w:val="auto"/>
        </w:rPr>
      </w:pPr>
      <w:r>
        <w:rPr>
          <w:rFonts w:ascii="Arial" w:cs="Arial" w:eastAsia="Arial" w:hAnsi="Arial"/>
          <w:sz w:val="18"/>
          <w:szCs w:val="18"/>
          <w:color w:val="auto"/>
        </w:rPr>
        <w:t>On January 14, 2019, we announced that we exercised our right to purchase Intel's interest in our joint venture, IM Flash. We expect the closing date of the acquisition, which will be selected by Intel, to be within six to 12 months of our election. At closing, we expect to pay approximately $1.5 billion in cash for the transaction. The payment will end Intel's noncontrolling interest in IM Flash and eliminate IM Flash member debt on our balance sheet, which was $1 billion as of November 29, 2018.</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240" w:firstLine="460"/>
        <w:spacing w:after="0" w:line="298" w:lineRule="auto"/>
        <w:rPr>
          <w:sz w:val="20"/>
          <w:szCs w:val="20"/>
          <w:color w:val="auto"/>
        </w:rPr>
      </w:pPr>
      <w:r>
        <w:rPr>
          <w:rFonts w:ascii="Arial" w:cs="Arial" w:eastAsia="Arial" w:hAnsi="Arial"/>
          <w:sz w:val="16"/>
          <w:szCs w:val="16"/>
          <w:color w:val="auto"/>
        </w:rPr>
        <w:t>We were originally incorporated in Idaho in 1978. In 1984, we were reincorporated in Delaware. Our executive offices are located at 8000 South Federal Way, Boise, Idaho 83716-9632 and our telephone number is (208) 368-4000. Information about the Company is available on the internet at www.micron.com. The information contained or incorporated in our website is not part of this prospectus supplement or the accompanying prospectus. You should not rely on any such information in making your decision whether to purchase the notes.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85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85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jc w:val="both"/>
        <w:ind w:left="240" w:firstLine="527"/>
        <w:spacing w:after="0" w:line="298" w:lineRule="auto"/>
        <w:rPr>
          <w:sz w:val="20"/>
          <w:szCs w:val="20"/>
          <w:color w:val="auto"/>
        </w:rPr>
      </w:pPr>
      <w:r>
        <w:rPr>
          <w:rFonts w:ascii="Arial" w:cs="Arial" w:eastAsia="Arial" w:hAnsi="Arial"/>
          <w:sz w:val="16"/>
          <w:szCs w:val="16"/>
          <w:i w:val="1"/>
          <w:iCs w:val="1"/>
          <w:color w:val="auto"/>
        </w:rPr>
        <w:t>The following summary contains basic information about the notes and is not a complete description of the offering. Certain of the terms and conditions described below are subject to important limitations and exceptions. Thus, it does not contain all the information that is important to you. For a more detailed description of the notes you should read the section titled "Description of the Notes" in this prospectus supplement. In this section, references to "Micron," "us," "we," "our" or the "Company" refer only to Micron Technology, Inc. and not to any of its subsidiaries.</w:t>
      </w:r>
    </w:p>
    <w:p>
      <w:pPr>
        <w:spacing w:after="0" w:line="167" w:lineRule="exact"/>
        <w:rPr>
          <w:sz w:val="20"/>
          <w:szCs w:val="20"/>
          <w:color w:val="auto"/>
        </w:rPr>
      </w:pPr>
    </w:p>
    <w:tbl>
      <w:tblPr>
        <w:tblLayout w:type="fixed"/>
        <w:tblInd w:w="134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3060" w:type="dxa"/>
            <w:vAlign w:val="bottom"/>
            <w:gridSpan w:val="5"/>
          </w:tcPr>
          <w:p>
            <w:pPr>
              <w:ind w:left="1300"/>
              <w:spacing w:after="0"/>
              <w:rPr>
                <w:sz w:val="20"/>
                <w:szCs w:val="20"/>
                <w:color w:val="auto"/>
              </w:rPr>
            </w:pPr>
            <w:r>
              <w:rPr>
                <w:rFonts w:ascii="Arial" w:cs="Arial" w:eastAsia="Arial" w:hAnsi="Arial"/>
                <w:sz w:val="18"/>
                <w:szCs w:val="18"/>
                <w:color w:val="auto"/>
                <w:w w:val="91"/>
              </w:rPr>
              <w:t>Micron Technology, Inc.</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rPr>
              <w:t>Securities Offered</w:t>
            </w:r>
          </w:p>
        </w:tc>
        <w:tc>
          <w:tcPr>
            <w:tcW w:w="1660" w:type="dxa"/>
            <w:vAlign w:val="bottom"/>
          </w:tcPr>
          <w:p>
            <w:pPr>
              <w:ind w:left="1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auto"/>
              </w:rPr>
              <w:t>aggregate principal amount of</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89"/>
              </w:rPr>
              <w:t>% Senior Notes</w:t>
            </w:r>
          </w:p>
        </w:tc>
      </w:tr>
      <w:tr>
        <w:trPr>
          <w:trHeight w:val="216"/>
        </w:trPr>
        <w:tc>
          <w:tcPr>
            <w:tcW w:w="3240" w:type="dxa"/>
            <w:vAlign w:val="bottom"/>
          </w:tcPr>
          <w:p>
            <w:pPr>
              <w:spacing w:after="0"/>
              <w:rPr>
                <w:sz w:val="18"/>
                <w:szCs w:val="18"/>
                <w:color w:val="auto"/>
              </w:rPr>
            </w:pP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w w:val="90"/>
              </w:rPr>
              <w:t>due 20</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Arial" w:cs="Arial" w:eastAsia="Arial" w:hAnsi="Arial"/>
                <w:sz w:val="18"/>
                <w:szCs w:val="18"/>
                <w:color w:val="auto"/>
                <w:w w:val="98"/>
              </w:rPr>
              <w:t>aggregate principal amount of</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18"/>
                <w:szCs w:val="18"/>
                <w:color w:val="auto"/>
              </w:rPr>
            </w:pPr>
          </w:p>
        </w:tc>
        <w:tc>
          <w:tcPr>
            <w:tcW w:w="3060" w:type="dxa"/>
            <w:vAlign w:val="bottom"/>
            <w:gridSpan w:val="5"/>
          </w:tcPr>
          <w:p>
            <w:pPr>
              <w:ind w:left="1300"/>
              <w:spacing w:after="0"/>
              <w:rPr>
                <w:sz w:val="20"/>
                <w:szCs w:val="20"/>
                <w:color w:val="auto"/>
              </w:rPr>
            </w:pPr>
            <w:r>
              <w:rPr>
                <w:rFonts w:ascii="Arial" w:cs="Arial" w:eastAsia="Arial" w:hAnsi="Arial"/>
                <w:sz w:val="18"/>
                <w:szCs w:val="18"/>
                <w:color w:val="auto"/>
              </w:rPr>
              <w:t>Senior Notes due 20</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and $</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aggregate principal</w:t>
            </w:r>
          </w:p>
        </w:tc>
      </w:tr>
      <w:tr>
        <w:trPr>
          <w:trHeight w:val="222"/>
        </w:trPr>
        <w:tc>
          <w:tcPr>
            <w:tcW w:w="3240" w:type="dxa"/>
            <w:vAlign w:val="bottom"/>
          </w:tcPr>
          <w:p>
            <w:pPr>
              <w:spacing w:after="0"/>
              <w:rPr>
                <w:sz w:val="19"/>
                <w:szCs w:val="19"/>
                <w:color w:val="auto"/>
              </w:rPr>
            </w:pPr>
          </w:p>
        </w:tc>
        <w:tc>
          <w:tcPr>
            <w:tcW w:w="2360" w:type="dxa"/>
            <w:vAlign w:val="bottom"/>
            <w:gridSpan w:val="3"/>
          </w:tcPr>
          <w:p>
            <w:pPr>
              <w:ind w:left="1300"/>
              <w:spacing w:after="0"/>
              <w:rPr>
                <w:sz w:val="20"/>
                <w:szCs w:val="20"/>
                <w:color w:val="auto"/>
              </w:rPr>
            </w:pPr>
            <w:r>
              <w:rPr>
                <w:rFonts w:ascii="Arial" w:cs="Arial" w:eastAsia="Arial" w:hAnsi="Arial"/>
                <w:sz w:val="18"/>
                <w:szCs w:val="18"/>
                <w:color w:val="auto"/>
              </w:rPr>
              <w:t>amount of</w:t>
            </w:r>
          </w:p>
        </w:tc>
        <w:tc>
          <w:tcPr>
            <w:tcW w:w="2000" w:type="dxa"/>
            <w:vAlign w:val="bottom"/>
            <w:gridSpan w:val="4"/>
          </w:tcPr>
          <w:p>
            <w:pPr>
              <w:ind w:left="20"/>
              <w:spacing w:after="0"/>
              <w:rPr>
                <w:sz w:val="20"/>
                <w:szCs w:val="20"/>
                <w:color w:val="auto"/>
              </w:rPr>
            </w:pPr>
            <w:r>
              <w:rPr>
                <w:rFonts w:ascii="Arial" w:cs="Arial" w:eastAsia="Arial" w:hAnsi="Arial"/>
                <w:sz w:val="18"/>
                <w:szCs w:val="18"/>
                <w:color w:val="auto"/>
                <w:w w:val="97"/>
              </w:rPr>
              <w:t>% Senior Notes due 20  .</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rPr>
              <w:t>Maturity</w:t>
            </w:r>
          </w:p>
        </w:tc>
        <w:tc>
          <w:tcPr>
            <w:tcW w:w="1820" w:type="dxa"/>
            <w:vAlign w:val="bottom"/>
            <w:gridSpan w:val="2"/>
          </w:tcPr>
          <w:p>
            <w:pPr>
              <w:ind w:left="1300"/>
              <w:spacing w:after="0"/>
              <w:rPr>
                <w:sz w:val="20"/>
                <w:szCs w:val="20"/>
                <w:color w:val="auto"/>
              </w:rPr>
            </w:pPr>
            <w:r>
              <w:rPr>
                <w:rFonts w:ascii="Arial" w:cs="Arial" w:eastAsia="Arial" w:hAnsi="Arial"/>
                <w:sz w:val="18"/>
                <w:szCs w:val="18"/>
                <w:color w:val="auto"/>
                <w:w w:val="89"/>
              </w:rPr>
              <w:t>The 20</w:t>
            </w:r>
          </w:p>
        </w:tc>
        <w:tc>
          <w:tcPr>
            <w:tcW w:w="1860" w:type="dxa"/>
            <w:vAlign w:val="bottom"/>
            <w:gridSpan w:val="4"/>
          </w:tcPr>
          <w:p>
            <w:pPr>
              <w:ind w:left="160"/>
              <w:spacing w:after="0"/>
              <w:rPr>
                <w:sz w:val="20"/>
                <w:szCs w:val="20"/>
                <w:color w:val="auto"/>
              </w:rPr>
            </w:pPr>
            <w:r>
              <w:rPr>
                <w:rFonts w:ascii="Arial" w:cs="Arial" w:eastAsia="Arial" w:hAnsi="Arial"/>
                <w:sz w:val="18"/>
                <w:szCs w:val="18"/>
                <w:color w:val="auto"/>
              </w:rPr>
              <w:t>notes will mature on</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 20</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96"/>
              </w:rPr>
              <w:t>, the 20</w:t>
            </w:r>
          </w:p>
        </w:tc>
        <w:tc>
          <w:tcPr>
            <w:tcW w:w="480" w:type="dxa"/>
            <w:vAlign w:val="bottom"/>
          </w:tcPr>
          <w:p>
            <w:pPr>
              <w:jc w:val="right"/>
              <w:spacing w:after="0"/>
              <w:rPr>
                <w:sz w:val="20"/>
                <w:szCs w:val="20"/>
                <w:color w:val="auto"/>
              </w:rPr>
            </w:pPr>
            <w:r>
              <w:rPr>
                <w:rFonts w:ascii="Arial" w:cs="Arial" w:eastAsia="Arial" w:hAnsi="Arial"/>
                <w:sz w:val="18"/>
                <w:szCs w:val="18"/>
                <w:color w:val="auto"/>
              </w:rPr>
              <w:t>notes</w:t>
            </w:r>
          </w:p>
        </w:tc>
      </w:tr>
      <w:tr>
        <w:trPr>
          <w:trHeight w:val="216"/>
        </w:trPr>
        <w:tc>
          <w:tcPr>
            <w:tcW w:w="3240" w:type="dxa"/>
            <w:vAlign w:val="bottom"/>
          </w:tcPr>
          <w:p>
            <w:pPr>
              <w:spacing w:after="0"/>
              <w:rPr>
                <w:sz w:val="18"/>
                <w:szCs w:val="18"/>
                <w:color w:val="auto"/>
              </w:rPr>
            </w:pPr>
          </w:p>
        </w:tc>
        <w:tc>
          <w:tcPr>
            <w:tcW w:w="2360" w:type="dxa"/>
            <w:vAlign w:val="bottom"/>
            <w:gridSpan w:val="3"/>
          </w:tcPr>
          <w:p>
            <w:pPr>
              <w:ind w:left="1300"/>
              <w:spacing w:after="0"/>
              <w:rPr>
                <w:sz w:val="20"/>
                <w:szCs w:val="20"/>
                <w:color w:val="auto"/>
              </w:rPr>
            </w:pPr>
            <w:r>
              <w:rPr>
                <w:rFonts w:ascii="Arial" w:cs="Arial" w:eastAsia="Arial" w:hAnsi="Arial"/>
                <w:sz w:val="18"/>
                <w:szCs w:val="18"/>
                <w:color w:val="auto"/>
                <w:w w:val="93"/>
              </w:rPr>
              <w:t>will mature on</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20</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w w:val="98"/>
              </w:rPr>
              <w:t>and the 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notes will</w:t>
            </w:r>
          </w:p>
        </w:tc>
      </w:tr>
      <w:tr>
        <w:trPr>
          <w:trHeight w:val="222"/>
        </w:trPr>
        <w:tc>
          <w:tcPr>
            <w:tcW w:w="3240" w:type="dxa"/>
            <w:vAlign w:val="bottom"/>
          </w:tcPr>
          <w:p>
            <w:pPr>
              <w:spacing w:after="0"/>
              <w:rPr>
                <w:sz w:val="19"/>
                <w:szCs w:val="19"/>
                <w:color w:val="auto"/>
              </w:rPr>
            </w:pPr>
          </w:p>
        </w:tc>
        <w:tc>
          <w:tcPr>
            <w:tcW w:w="2360" w:type="dxa"/>
            <w:vAlign w:val="bottom"/>
            <w:gridSpan w:val="3"/>
          </w:tcPr>
          <w:p>
            <w:pPr>
              <w:ind w:left="1300"/>
              <w:spacing w:after="0"/>
              <w:rPr>
                <w:sz w:val="20"/>
                <w:szCs w:val="20"/>
                <w:color w:val="auto"/>
              </w:rPr>
            </w:pPr>
            <w:r>
              <w:rPr>
                <w:rFonts w:ascii="Arial" w:cs="Arial" w:eastAsia="Arial" w:hAnsi="Arial"/>
                <w:sz w:val="18"/>
                <w:szCs w:val="18"/>
                <w:color w:val="auto"/>
              </w:rPr>
              <w:t>mature 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20  .</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6"/>
        </w:trPr>
        <w:tc>
          <w:tcPr>
            <w:tcW w:w="3240" w:type="dxa"/>
            <w:vAlign w:val="bottom"/>
          </w:tcPr>
          <w:p>
            <w:pPr>
              <w:spacing w:after="0"/>
              <w:rPr>
                <w:sz w:val="20"/>
                <w:szCs w:val="20"/>
                <w:color w:val="auto"/>
              </w:rPr>
            </w:pPr>
            <w:r>
              <w:rPr>
                <w:rFonts w:ascii="Arial" w:cs="Arial" w:eastAsia="Arial" w:hAnsi="Arial"/>
                <w:sz w:val="18"/>
                <w:szCs w:val="18"/>
                <w:color w:val="auto"/>
              </w:rPr>
              <w:t>Interest and Payment Dates</w:t>
            </w: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w w:val="92"/>
              </w:rPr>
              <w:t>per</w:t>
            </w:r>
          </w:p>
        </w:tc>
        <w:tc>
          <w:tcPr>
            <w:tcW w:w="440" w:type="dxa"/>
            <w:vAlign w:val="bottom"/>
          </w:tcPr>
          <w:p>
            <w:pPr>
              <w:jc w:val="right"/>
              <w:spacing w:after="0"/>
              <w:rPr>
                <w:sz w:val="20"/>
                <w:szCs w:val="20"/>
                <w:color w:val="auto"/>
              </w:rPr>
            </w:pPr>
            <w:r>
              <w:rPr>
                <w:rFonts w:ascii="Arial" w:cs="Arial" w:eastAsia="Arial" w:hAnsi="Arial"/>
                <w:sz w:val="18"/>
                <w:szCs w:val="18"/>
                <w:color w:val="auto"/>
              </w:rPr>
              <w:t>year</w:t>
            </w: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on the</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principal</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96"/>
              </w:rPr>
              <w:t>amount</w:t>
            </w:r>
          </w:p>
        </w:tc>
        <w:tc>
          <w:tcPr>
            <w:tcW w:w="480" w:type="dxa"/>
            <w:vAlign w:val="bottom"/>
          </w:tcPr>
          <w:p>
            <w:pPr>
              <w:jc w:val="right"/>
              <w:spacing w:after="0"/>
              <w:rPr>
                <w:sz w:val="20"/>
                <w:szCs w:val="20"/>
                <w:color w:val="auto"/>
              </w:rPr>
            </w:pPr>
            <w:r>
              <w:rPr>
                <w:rFonts w:ascii="Arial" w:cs="Arial" w:eastAsia="Arial" w:hAnsi="Arial"/>
                <w:sz w:val="18"/>
                <w:szCs w:val="18"/>
                <w:color w:val="auto"/>
              </w:rPr>
              <w:t>of the</w:t>
            </w:r>
          </w:p>
        </w:tc>
      </w:tr>
      <w:tr>
        <w:trPr>
          <w:trHeight w:val="216"/>
        </w:trPr>
        <w:tc>
          <w:tcPr>
            <w:tcW w:w="3240" w:type="dxa"/>
            <w:vAlign w:val="bottom"/>
          </w:tcPr>
          <w:p>
            <w:pPr>
              <w:spacing w:after="0"/>
              <w:rPr>
                <w:sz w:val="18"/>
                <w:szCs w:val="18"/>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20</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notes,</w:t>
            </w:r>
          </w:p>
        </w:tc>
        <w:tc>
          <w:tcPr>
            <w:tcW w:w="3140" w:type="dxa"/>
            <w:vAlign w:val="bottom"/>
            <w:gridSpan w:val="7"/>
          </w:tcPr>
          <w:p>
            <w:pPr>
              <w:jc w:val="right"/>
              <w:spacing w:after="0"/>
              <w:rPr>
                <w:sz w:val="20"/>
                <w:szCs w:val="20"/>
                <w:color w:val="auto"/>
              </w:rPr>
            </w:pPr>
            <w:r>
              <w:rPr>
                <w:rFonts w:ascii="Arial" w:cs="Arial" w:eastAsia="Arial" w:hAnsi="Arial"/>
                <w:sz w:val="18"/>
                <w:szCs w:val="18"/>
                <w:color w:val="auto"/>
                <w:w w:val="94"/>
              </w:rPr>
              <w:t>% per year on the principal amount of the</w:t>
            </w:r>
          </w:p>
        </w:tc>
      </w:tr>
      <w:tr>
        <w:trPr>
          <w:trHeight w:val="216"/>
        </w:trPr>
        <w:tc>
          <w:tcPr>
            <w:tcW w:w="3240" w:type="dxa"/>
            <w:vAlign w:val="bottom"/>
          </w:tcPr>
          <w:p>
            <w:pPr>
              <w:spacing w:after="0"/>
              <w:rPr>
                <w:sz w:val="18"/>
                <w:szCs w:val="18"/>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20</w:t>
            </w:r>
          </w:p>
        </w:tc>
        <w:tc>
          <w:tcPr>
            <w:tcW w:w="960" w:type="dxa"/>
            <w:vAlign w:val="bottom"/>
            <w:gridSpan w:val="3"/>
          </w:tcPr>
          <w:p>
            <w:pPr>
              <w:ind w:left="40"/>
              <w:spacing w:after="0"/>
              <w:rPr>
                <w:sz w:val="20"/>
                <w:szCs w:val="20"/>
                <w:color w:val="auto"/>
              </w:rPr>
            </w:pPr>
            <w:r>
              <w:rPr>
                <w:rFonts w:ascii="Arial" w:cs="Arial" w:eastAsia="Arial" w:hAnsi="Arial"/>
                <w:sz w:val="18"/>
                <w:szCs w:val="18"/>
                <w:color w:val="auto"/>
              </w:rPr>
              <w:t>notes and</w:t>
            </w:r>
          </w:p>
        </w:tc>
        <w:tc>
          <w:tcPr>
            <w:tcW w:w="2880" w:type="dxa"/>
            <w:vAlign w:val="bottom"/>
            <w:gridSpan w:val="6"/>
          </w:tcPr>
          <w:p>
            <w:pPr>
              <w:jc w:val="right"/>
              <w:spacing w:after="0"/>
              <w:rPr>
                <w:sz w:val="20"/>
                <w:szCs w:val="20"/>
                <w:color w:val="auto"/>
              </w:rPr>
            </w:pPr>
            <w:r>
              <w:rPr>
                <w:rFonts w:ascii="Arial" w:cs="Arial" w:eastAsia="Arial" w:hAnsi="Arial"/>
                <w:sz w:val="18"/>
                <w:szCs w:val="18"/>
                <w:color w:val="auto"/>
                <w:w w:val="95"/>
              </w:rPr>
              <w:t>% per year on the principal amount of</w:t>
            </w:r>
          </w:p>
        </w:tc>
      </w:tr>
      <w:tr>
        <w:trPr>
          <w:trHeight w:val="216"/>
        </w:trPr>
        <w:tc>
          <w:tcPr>
            <w:tcW w:w="3240" w:type="dxa"/>
            <w:vAlign w:val="bottom"/>
          </w:tcPr>
          <w:p>
            <w:pPr>
              <w:spacing w:after="0"/>
              <w:rPr>
                <w:sz w:val="18"/>
                <w:szCs w:val="18"/>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the</w:t>
            </w:r>
          </w:p>
        </w:tc>
        <w:tc>
          <w:tcPr>
            <w:tcW w:w="700" w:type="dxa"/>
            <w:vAlign w:val="bottom"/>
            <w:gridSpan w:val="2"/>
          </w:tcPr>
          <w:p>
            <w:pPr>
              <w:jc w:val="right"/>
              <w:ind w:right="432"/>
              <w:spacing w:after="0"/>
              <w:rPr>
                <w:sz w:val="20"/>
                <w:szCs w:val="20"/>
                <w:color w:val="auto"/>
              </w:rPr>
            </w:pPr>
            <w:r>
              <w:rPr>
                <w:rFonts w:ascii="Arial" w:cs="Arial" w:eastAsia="Arial" w:hAnsi="Arial"/>
                <w:sz w:val="18"/>
                <w:szCs w:val="18"/>
                <w:color w:val="auto"/>
                <w:w w:val="79"/>
              </w:rPr>
              <w:t>20</w:t>
            </w:r>
          </w:p>
        </w:tc>
        <w:tc>
          <w:tcPr>
            <w:tcW w:w="1320" w:type="dxa"/>
            <w:vAlign w:val="bottom"/>
            <w:gridSpan w:val="3"/>
          </w:tcPr>
          <w:p>
            <w:pPr>
              <w:spacing w:after="0"/>
              <w:rPr>
                <w:sz w:val="20"/>
                <w:szCs w:val="20"/>
                <w:color w:val="auto"/>
              </w:rPr>
            </w:pPr>
            <w:r>
              <w:rPr>
                <w:rFonts w:ascii="Arial" w:cs="Arial" w:eastAsia="Arial" w:hAnsi="Arial"/>
                <w:sz w:val="18"/>
                <w:szCs w:val="18"/>
                <w:color w:val="auto"/>
                <w:w w:val="91"/>
              </w:rPr>
              <w:t>notes.  Interest  is</w:t>
            </w:r>
          </w:p>
        </w:tc>
        <w:tc>
          <w:tcPr>
            <w:tcW w:w="680" w:type="dxa"/>
            <w:vAlign w:val="bottom"/>
          </w:tcPr>
          <w:p>
            <w:pPr>
              <w:jc w:val="right"/>
              <w:spacing w:after="0"/>
              <w:rPr>
                <w:sz w:val="20"/>
                <w:szCs w:val="20"/>
                <w:color w:val="auto"/>
              </w:rPr>
            </w:pPr>
            <w:r>
              <w:rPr>
                <w:rFonts w:ascii="Arial" w:cs="Arial" w:eastAsia="Arial" w:hAnsi="Arial"/>
                <w:sz w:val="18"/>
                <w:szCs w:val="18"/>
                <w:color w:val="auto"/>
              </w:rPr>
              <w:t>payable</w:t>
            </w:r>
          </w:p>
        </w:tc>
        <w:tc>
          <w:tcPr>
            <w:tcW w:w="360" w:type="dxa"/>
            <w:vAlign w:val="bottom"/>
          </w:tcPr>
          <w:p>
            <w:pPr>
              <w:ind w:left="120"/>
              <w:spacing w:after="0"/>
              <w:rPr>
                <w:sz w:val="20"/>
                <w:szCs w:val="20"/>
                <w:color w:val="auto"/>
              </w:rPr>
            </w:pPr>
            <w:r>
              <w:rPr>
                <w:rFonts w:ascii="Arial" w:cs="Arial" w:eastAsia="Arial" w:hAnsi="Arial"/>
                <w:sz w:val="18"/>
                <w:szCs w:val="18"/>
                <w:color w:val="auto"/>
              </w:rPr>
              <w:t>on</w:t>
            </w:r>
          </w:p>
        </w:tc>
        <w:tc>
          <w:tcPr>
            <w:tcW w:w="300" w:type="dxa"/>
            <w:vAlign w:val="bottom"/>
          </w:tcPr>
          <w:p>
            <w:pPr>
              <w:ind w:left="60"/>
              <w:spacing w:after="0"/>
              <w:rPr>
                <w:sz w:val="20"/>
                <w:szCs w:val="20"/>
                <w:color w:val="auto"/>
              </w:rPr>
            </w:pPr>
            <w:r>
              <w:rPr>
                <w:rFonts w:ascii="Arial" w:cs="Arial" w:eastAsia="Arial" w:hAnsi="Arial"/>
                <w:sz w:val="18"/>
                <w:szCs w:val="18"/>
                <w:color w:val="auto"/>
                <w:w w:val="87"/>
              </w:rPr>
              <w:t>the</w:t>
            </w:r>
          </w:p>
        </w:tc>
        <w:tc>
          <w:tcPr>
            <w:tcW w:w="480" w:type="dxa"/>
            <w:vAlign w:val="bottom"/>
          </w:tcPr>
          <w:p>
            <w:pPr>
              <w:jc w:val="right"/>
              <w:spacing w:after="0"/>
              <w:rPr>
                <w:sz w:val="20"/>
                <w:szCs w:val="20"/>
                <w:color w:val="auto"/>
              </w:rPr>
            </w:pPr>
            <w:r>
              <w:rPr>
                <w:rFonts w:ascii="Arial" w:cs="Arial" w:eastAsia="Arial" w:hAnsi="Arial"/>
                <w:sz w:val="18"/>
                <w:szCs w:val="18"/>
                <w:color w:val="auto"/>
              </w:rPr>
              <w:t>notes</w:t>
            </w:r>
          </w:p>
        </w:tc>
      </w:tr>
      <w:tr>
        <w:trPr>
          <w:trHeight w:val="216"/>
        </w:trPr>
        <w:tc>
          <w:tcPr>
            <w:tcW w:w="3240" w:type="dxa"/>
            <w:vAlign w:val="bottom"/>
          </w:tcPr>
          <w:p>
            <w:pPr>
              <w:spacing w:after="0"/>
              <w:rPr>
                <w:sz w:val="18"/>
                <w:szCs w:val="18"/>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rPr>
              <w:t>on</w:t>
            </w:r>
          </w:p>
        </w:tc>
        <w:tc>
          <w:tcPr>
            <w:tcW w:w="1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rPr>
              <w:t>and</w:t>
            </w:r>
          </w:p>
        </w:tc>
        <w:tc>
          <w:tcPr>
            <w:tcW w:w="260" w:type="dxa"/>
            <w:vAlign w:val="bottom"/>
          </w:tcPr>
          <w:p>
            <w:pPr>
              <w:spacing w:after="0"/>
              <w:rPr>
                <w:sz w:val="18"/>
                <w:szCs w:val="18"/>
                <w:color w:val="auto"/>
              </w:rPr>
            </w:pPr>
          </w:p>
        </w:tc>
        <w:tc>
          <w:tcPr>
            <w:tcW w:w="2880" w:type="dxa"/>
            <w:vAlign w:val="bottom"/>
            <w:gridSpan w:val="6"/>
          </w:tcPr>
          <w:p>
            <w:pPr>
              <w:jc w:val="right"/>
              <w:spacing w:after="0"/>
              <w:rPr>
                <w:sz w:val="20"/>
                <w:szCs w:val="20"/>
                <w:color w:val="auto"/>
              </w:rPr>
            </w:pPr>
            <w:r>
              <w:rPr>
                <w:rFonts w:ascii="Arial" w:cs="Arial" w:eastAsia="Arial" w:hAnsi="Arial"/>
                <w:sz w:val="18"/>
                <w:szCs w:val="18"/>
                <w:color w:val="auto"/>
                <w:w w:val="91"/>
              </w:rPr>
              <w:t>of each year after the date of issuance,</w:t>
            </w:r>
          </w:p>
        </w:tc>
      </w:tr>
      <w:tr>
        <w:trPr>
          <w:trHeight w:val="216"/>
        </w:trPr>
        <w:tc>
          <w:tcPr>
            <w:tcW w:w="3240" w:type="dxa"/>
            <w:vAlign w:val="bottom"/>
          </w:tcPr>
          <w:p>
            <w:pPr>
              <w:spacing w:after="0"/>
              <w:rPr>
                <w:sz w:val="18"/>
                <w:szCs w:val="18"/>
                <w:color w:val="auto"/>
              </w:rPr>
            </w:pPr>
          </w:p>
        </w:tc>
        <w:tc>
          <w:tcPr>
            <w:tcW w:w="2360" w:type="dxa"/>
            <w:vAlign w:val="bottom"/>
            <w:gridSpan w:val="3"/>
          </w:tcPr>
          <w:p>
            <w:pPr>
              <w:ind w:left="1300"/>
              <w:spacing w:after="0"/>
              <w:rPr>
                <w:sz w:val="20"/>
                <w:szCs w:val="20"/>
                <w:color w:val="auto"/>
              </w:rPr>
            </w:pPr>
            <w:r>
              <w:rPr>
                <w:rFonts w:ascii="Arial" w:cs="Arial" w:eastAsia="Arial" w:hAnsi="Arial"/>
                <w:sz w:val="18"/>
                <w:szCs w:val="18"/>
                <w:color w:val="auto"/>
              </w:rPr>
              <w:t>commencing</w:t>
            </w:r>
          </w:p>
        </w:tc>
        <w:tc>
          <w:tcPr>
            <w:tcW w:w="260" w:type="dxa"/>
            <w:vAlign w:val="bottom"/>
          </w:tcPr>
          <w:p>
            <w:pPr>
              <w:spacing w:after="0"/>
              <w:rPr>
                <w:sz w:val="18"/>
                <w:szCs w:val="18"/>
                <w:color w:val="auto"/>
              </w:rPr>
            </w:pPr>
          </w:p>
        </w:tc>
        <w:tc>
          <w:tcPr>
            <w:tcW w:w="2880" w:type="dxa"/>
            <w:vAlign w:val="bottom"/>
            <w:gridSpan w:val="6"/>
          </w:tcPr>
          <w:p>
            <w:pPr>
              <w:jc w:val="right"/>
              <w:spacing w:after="0"/>
              <w:rPr>
                <w:sz w:val="20"/>
                <w:szCs w:val="20"/>
                <w:color w:val="auto"/>
              </w:rPr>
            </w:pPr>
            <w:r>
              <w:rPr>
                <w:rFonts w:ascii="Arial" w:cs="Arial" w:eastAsia="Arial" w:hAnsi="Arial"/>
                <w:sz w:val="18"/>
                <w:szCs w:val="18"/>
                <w:color w:val="auto"/>
                <w:w w:val="91"/>
              </w:rPr>
              <w:t>, 2019. Interest on the notes will accrue</w:t>
            </w:r>
          </w:p>
        </w:tc>
      </w:tr>
      <w:tr>
        <w:trPr>
          <w:trHeight w:val="222"/>
        </w:trPr>
        <w:tc>
          <w:tcPr>
            <w:tcW w:w="3240" w:type="dxa"/>
            <w:vAlign w:val="bottom"/>
          </w:tcPr>
          <w:p>
            <w:pPr>
              <w:spacing w:after="0"/>
              <w:rPr>
                <w:sz w:val="19"/>
                <w:szCs w:val="19"/>
                <w:color w:val="auto"/>
              </w:rPr>
            </w:pPr>
          </w:p>
        </w:tc>
        <w:tc>
          <w:tcPr>
            <w:tcW w:w="1660" w:type="dxa"/>
            <w:vAlign w:val="bottom"/>
          </w:tcPr>
          <w:p>
            <w:pPr>
              <w:ind w:left="1300"/>
              <w:spacing w:after="0"/>
              <w:rPr>
                <w:sz w:val="20"/>
                <w:szCs w:val="20"/>
                <w:color w:val="auto"/>
              </w:rPr>
            </w:pPr>
            <w:r>
              <w:rPr>
                <w:rFonts w:ascii="Arial" w:cs="Arial" w:eastAsia="Arial" w:hAnsi="Arial"/>
                <w:sz w:val="18"/>
                <w:szCs w:val="18"/>
                <w:color w:val="auto"/>
                <w:w w:val="94"/>
              </w:rPr>
              <w:t>from</w:t>
            </w:r>
          </w:p>
        </w:tc>
        <w:tc>
          <w:tcPr>
            <w:tcW w:w="160" w:type="dxa"/>
            <w:vAlign w:val="bottom"/>
          </w:tcPr>
          <w:p>
            <w:pPr>
              <w:spacing w:after="0"/>
              <w:rPr>
                <w:sz w:val="19"/>
                <w:szCs w:val="19"/>
                <w:color w:val="auto"/>
              </w:rPr>
            </w:pPr>
          </w:p>
        </w:tc>
        <w:tc>
          <w:tcPr>
            <w:tcW w:w="1240" w:type="dxa"/>
            <w:vAlign w:val="bottom"/>
            <w:gridSpan w:val="3"/>
          </w:tcPr>
          <w:p>
            <w:pPr>
              <w:jc w:val="right"/>
              <w:ind w:right="312"/>
              <w:spacing w:after="0"/>
              <w:rPr>
                <w:sz w:val="20"/>
                <w:szCs w:val="20"/>
                <w:color w:val="auto"/>
              </w:rPr>
            </w:pPr>
            <w:r>
              <w:rPr>
                <w:rFonts w:ascii="Arial" w:cs="Arial" w:eastAsia="Arial" w:hAnsi="Arial"/>
                <w:sz w:val="18"/>
                <w:szCs w:val="18"/>
                <w:color w:val="auto"/>
              </w:rPr>
              <w:t>, 2019.</w:t>
            </w: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Ranking of the Notes</w:t>
            </w:r>
          </w:p>
        </w:tc>
        <w:tc>
          <w:tcPr>
            <w:tcW w:w="5500" w:type="dxa"/>
            <w:vAlign w:val="bottom"/>
            <w:gridSpan w:val="10"/>
          </w:tcPr>
          <w:p>
            <w:pPr>
              <w:ind w:left="1300"/>
              <w:spacing w:after="0"/>
              <w:rPr>
                <w:sz w:val="20"/>
                <w:szCs w:val="20"/>
                <w:color w:val="auto"/>
              </w:rPr>
            </w:pPr>
            <w:r>
              <w:rPr>
                <w:rFonts w:ascii="Arial" w:cs="Arial" w:eastAsia="Arial" w:hAnsi="Arial"/>
                <w:sz w:val="18"/>
                <w:szCs w:val="18"/>
                <w:color w:val="auto"/>
                <w:w w:val="89"/>
              </w:rPr>
              <w:t>The notes will be our senior unsecured obligations and will</w:t>
            </w:r>
          </w:p>
        </w:tc>
      </w:tr>
    </w:tbl>
    <w:p>
      <w:pPr>
        <w:ind w:left="5880"/>
        <w:spacing w:after="0"/>
        <w:rPr>
          <w:sz w:val="20"/>
          <w:szCs w:val="20"/>
          <w:color w:val="auto"/>
        </w:rPr>
      </w:pPr>
      <w:r>
        <w:rPr>
          <w:rFonts w:ascii="Arial" w:cs="Arial" w:eastAsia="Arial" w:hAnsi="Arial"/>
          <w:sz w:val="18"/>
          <w:szCs w:val="18"/>
          <w:color w:val="auto"/>
        </w:rPr>
        <w:t>rank equally with all of our other existing and future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unsecured and unsubordinated indebtedness from time to</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time outstanding.</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of November 29, 2018:</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we had approximately $2.61 billion aggregate principal</w:t>
      </w:r>
    </w:p>
    <w:p>
      <w:pPr>
        <w:spacing w:after="0" w:line="15" w:lineRule="exact"/>
        <w:rPr>
          <w:sz w:val="20"/>
          <w:szCs w:val="20"/>
          <w:color w:val="auto"/>
        </w:rPr>
      </w:pPr>
    </w:p>
    <w:p>
      <w:pPr>
        <w:ind w:left="6060"/>
        <w:spacing w:after="0"/>
        <w:tabs>
          <w:tab w:leader="none" w:pos="6720" w:val="left"/>
          <w:tab w:leader="none" w:pos="7020" w:val="left"/>
          <w:tab w:leader="none" w:pos="8060" w:val="left"/>
          <w:tab w:leader="none" w:pos="8980" w:val="left"/>
          <w:tab w:leader="none" w:pos="9520" w:val="left"/>
          <w:tab w:leader="none" w:pos="9840" w:val="left"/>
        </w:tabs>
        <w:rPr>
          <w:sz w:val="20"/>
          <w:szCs w:val="20"/>
          <w:color w:val="auto"/>
        </w:rPr>
      </w:pPr>
      <w:r>
        <w:rPr>
          <w:rFonts w:ascii="Arial" w:cs="Arial" w:eastAsia="Arial" w:hAnsi="Arial"/>
          <w:sz w:val="18"/>
          <w:szCs w:val="18"/>
          <w:color w:val="auto"/>
        </w:rPr>
        <w:t>amount</w:t>
        <w:tab/>
        <w:t>of</w:t>
        <w:tab/>
        <w:t>indebtedness</w:t>
        <w:tab/>
        <w:t>(calculated</w:t>
        <w:tab/>
        <w:t>based</w:t>
        <w:tab/>
        <w:t>on</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amount of such indebtedness but excluding</w:t>
      </w:r>
    </w:p>
    <w:p>
      <w:pPr>
        <w:spacing w:after="0" w:line="9" w:lineRule="exact"/>
        <w:rPr>
          <w:sz w:val="20"/>
          <w:szCs w:val="20"/>
          <w:color w:val="auto"/>
        </w:rPr>
      </w:pPr>
    </w:p>
    <w:p>
      <w:pPr>
        <w:ind w:left="6060"/>
        <w:spacing w:after="0"/>
        <w:tabs>
          <w:tab w:leader="none" w:pos="7240" w:val="left"/>
          <w:tab w:leader="none" w:pos="7760" w:val="left"/>
          <w:tab w:leader="none" w:pos="8420" w:val="left"/>
          <w:tab w:leader="none" w:pos="9220" w:val="left"/>
          <w:tab w:leader="none" w:pos="9920" w:val="left"/>
        </w:tabs>
        <w:rPr>
          <w:sz w:val="20"/>
          <w:szCs w:val="20"/>
          <w:color w:val="auto"/>
        </w:rPr>
      </w:pPr>
      <w:r>
        <w:rPr>
          <w:rFonts w:ascii="Arial" w:cs="Arial" w:eastAsia="Arial" w:hAnsi="Arial"/>
          <w:sz w:val="18"/>
          <w:szCs w:val="18"/>
          <w:color w:val="auto"/>
        </w:rPr>
        <w:t>approximately</w:t>
        <w:tab/>
        <w:t>$289</w:t>
        <w:tab/>
        <w:t>million</w:t>
        <w:tab/>
        <w:t>principal</w:t>
        <w:tab/>
        <w:t>amount</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indebtedness of our subsidiaries that is guaranteed by</w:t>
      </w:r>
    </w:p>
    <w:p>
      <w:pPr>
        <w:spacing w:after="0" w:line="9" w:lineRule="exact"/>
        <w:rPr>
          <w:sz w:val="20"/>
          <w:szCs w:val="20"/>
          <w:color w:val="auto"/>
        </w:rPr>
      </w:pPr>
    </w:p>
    <w:p>
      <w:pPr>
        <w:ind w:left="6060"/>
        <w:spacing w:after="0"/>
        <w:tabs>
          <w:tab w:leader="none" w:pos="6500" w:val="left"/>
          <w:tab w:leader="none" w:pos="6820" w:val="left"/>
          <w:tab w:leader="none" w:pos="7440" w:val="left"/>
          <w:tab w:leader="none" w:pos="7960" w:val="left"/>
          <w:tab w:leader="none" w:pos="8660" w:val="left"/>
          <w:tab w:leader="none" w:pos="9120" w:val="left"/>
          <w:tab w:leader="none" w:pos="9520" w:val="left"/>
        </w:tabs>
        <w:rPr>
          <w:sz w:val="20"/>
          <w:szCs w:val="20"/>
          <w:color w:val="auto"/>
        </w:rPr>
      </w:pPr>
      <w:r>
        <w:rPr>
          <w:rFonts w:ascii="Arial" w:cs="Arial" w:eastAsia="Arial" w:hAnsi="Arial"/>
          <w:sz w:val="18"/>
          <w:szCs w:val="18"/>
          <w:color w:val="auto"/>
        </w:rPr>
        <w:t>us),</w:t>
        <w:tab/>
        <w:t>of</w:t>
        <w:tab/>
        <w:t>which</w:t>
        <w:tab/>
        <w:t>$858</w:t>
        <w:tab/>
        <w:t>million</w:t>
        <w:tab/>
        <w:t>was</w:t>
        <w:tab/>
        <w:t>our</w:t>
      </w:r>
      <w:r>
        <w:rPr>
          <w:sz w:val="20"/>
          <w:szCs w:val="20"/>
          <w:color w:val="auto"/>
        </w:rPr>
        <w:tab/>
      </w:r>
      <w:r>
        <w:rPr>
          <w:rFonts w:ascii="Arial" w:cs="Arial" w:eastAsia="Arial" w:hAnsi="Arial"/>
          <w:sz w:val="15"/>
          <w:szCs w:val="15"/>
          <w:color w:val="auto"/>
        </w:rPr>
        <w:t>secured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indebtedness; and</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our subsidiaries had outstanding liabilities (including</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trade payables and indebtedness to third parties at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full stated amount thereof but excluding intercompany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indebtedness and other obligations and liabilities of 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type not required to be reflected on a balance sheet of</w:t>
      </w:r>
    </w:p>
    <w:p>
      <w:pPr>
        <w:spacing w:after="0" w:line="9" w:lineRule="exact"/>
        <w:rPr>
          <w:sz w:val="20"/>
          <w:szCs w:val="20"/>
          <w:color w:val="auto"/>
        </w:rPr>
      </w:pPr>
    </w:p>
    <w:p>
      <w:pPr>
        <w:ind w:left="6060"/>
        <w:spacing w:after="0"/>
        <w:tabs>
          <w:tab w:leader="none" w:pos="6520" w:val="left"/>
          <w:tab w:leader="none" w:pos="7520" w:val="left"/>
          <w:tab w:leader="none" w:pos="7800" w:val="left"/>
          <w:tab w:leader="none" w:pos="8760" w:val="left"/>
          <w:tab w:leader="none" w:pos="9220" w:val="left"/>
          <w:tab w:leader="none" w:pos="9920" w:val="left"/>
        </w:tabs>
        <w:rPr>
          <w:sz w:val="20"/>
          <w:szCs w:val="20"/>
          <w:color w:val="auto"/>
        </w:rPr>
      </w:pPr>
      <w:r>
        <w:rPr>
          <w:rFonts w:ascii="Arial" w:cs="Arial" w:eastAsia="Arial" w:hAnsi="Arial"/>
          <w:sz w:val="18"/>
          <w:szCs w:val="18"/>
          <w:color w:val="auto"/>
        </w:rPr>
        <w:t>such</w:t>
        <w:tab/>
        <w:t>subsidiaries</w:t>
        <w:tab/>
        <w:t>in</w:t>
        <w:tab/>
        <w:t>accordance</w:t>
        <w:tab/>
        <w:t>with</w:t>
        <w:tab/>
        <w:t>GAAP)</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6060"/>
        <w:spacing w:after="0"/>
        <w:tabs>
          <w:tab w:leader="none" w:pos="7200" w:val="left"/>
          <w:tab w:leader="none" w:pos="7660" w:val="left"/>
          <w:tab w:leader="none" w:pos="8300" w:val="left"/>
          <w:tab w:leader="none" w:pos="8620" w:val="left"/>
          <w:tab w:leader="none" w:pos="8900" w:val="left"/>
          <w:tab w:leader="none" w:pos="9480" w:val="left"/>
          <w:tab w:leader="none" w:pos="9900" w:val="left"/>
        </w:tabs>
        <w:rPr>
          <w:sz w:val="20"/>
          <w:szCs w:val="20"/>
          <w:color w:val="auto"/>
        </w:rPr>
      </w:pPr>
      <w:r>
        <w:rPr>
          <w:rFonts w:ascii="Arial" w:cs="Arial" w:eastAsia="Arial" w:hAnsi="Arial"/>
          <w:sz w:val="18"/>
          <w:szCs w:val="18"/>
          <w:color w:val="auto"/>
        </w:rPr>
        <w:t>approximately</w:t>
        <w:tab/>
        <w:t>$6.2</w:t>
        <w:tab/>
        <w:t>billion,</w:t>
        <w:tab/>
        <w:t>all</w:t>
        <w:tab/>
        <w:t>of</w:t>
        <w:tab/>
        <w:t>which</w:t>
        <w:tab/>
        <w:t>will</w:t>
      </w:r>
      <w:r>
        <w:rPr>
          <w:sz w:val="20"/>
          <w:szCs w:val="20"/>
          <w:color w:val="auto"/>
        </w:rPr>
        <w:tab/>
      </w:r>
      <w:r>
        <w:rPr>
          <w:rFonts w:ascii="Arial" w:cs="Arial" w:eastAsia="Arial" w:hAnsi="Arial"/>
          <w:sz w:val="14"/>
          <w:szCs w:val="14"/>
          <w:color w:val="auto"/>
        </w:rPr>
        <w:t>be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structurally senior to the notes with respect to claims 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assets and cash flows of our subsidiaries.</w:t>
      </w:r>
    </w:p>
    <w:p>
      <w:pPr>
        <w:spacing w:after="0" w:line="219" w:lineRule="exact"/>
        <w:rPr>
          <w:sz w:val="20"/>
          <w:szCs w:val="20"/>
          <w:color w:val="auto"/>
        </w:rPr>
      </w:pPr>
    </w:p>
    <w:p>
      <w:pPr>
        <w:ind w:left="1340"/>
        <w:spacing w:after="0"/>
        <w:tabs>
          <w:tab w:leader="none" w:pos="5860" w:val="left"/>
        </w:tabs>
        <w:rPr>
          <w:sz w:val="20"/>
          <w:szCs w:val="20"/>
          <w:color w:val="auto"/>
        </w:rPr>
      </w:pPr>
      <w:r>
        <w:rPr>
          <w:rFonts w:ascii="Arial" w:cs="Arial" w:eastAsia="Arial" w:hAnsi="Arial"/>
          <w:sz w:val="18"/>
          <w:szCs w:val="18"/>
          <w:color w:val="auto"/>
        </w:rPr>
        <w:t>Sinking Fund</w:t>
      </w:r>
      <w:r>
        <w:rPr>
          <w:sz w:val="20"/>
          <w:szCs w:val="20"/>
          <w:color w:val="auto"/>
        </w:rPr>
        <w:tab/>
      </w:r>
      <w:r>
        <w:rPr>
          <w:rFonts w:ascii="Arial" w:cs="Arial" w:eastAsia="Arial" w:hAnsi="Arial"/>
          <w:sz w:val="16"/>
          <w:szCs w:val="16"/>
          <w:color w:val="auto"/>
        </w:rPr>
        <w:t>None.</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39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4396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Optional Redemption</w:t>
            </w: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1"/>
              </w:rPr>
              <w:t>The notes will be redeemable at our option, in whole or in</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6"/>
              </w:rPr>
              <w:t>part, at any time and from time to time at a redemption</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rPr>
              <w:t>price equal to the greater of (i) 100% of the principal</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6"/>
              </w:rPr>
              <w:t>amount of the notes to be redeemed and (ii) the make-</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6"/>
              </w:rPr>
              <w:t>whole  amount  (as  described  in  the  section  entitled</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4"/>
              </w:rPr>
              <w:t>"Description of the Notes—Optional Redemption"), plus</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1"/>
              </w:rPr>
              <w:t>accrued and unpaid interest thereon to, but excluding, the</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0"/>
              </w:rPr>
              <w:t>redemption date. See "Description of the Notes—Optional</w:t>
            </w:r>
          </w:p>
        </w:tc>
      </w:tr>
      <w:tr>
        <w:trPr>
          <w:trHeight w:val="222"/>
        </w:trPr>
        <w:tc>
          <w:tcPr>
            <w:tcW w:w="434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w w:val="90"/>
              </w:rPr>
              <w:t>Redemption."</w:t>
            </w:r>
          </w:p>
        </w:tc>
        <w:tc>
          <w:tcPr>
            <w:tcW w:w="1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26"/>
        </w:trPr>
        <w:tc>
          <w:tcPr>
            <w:tcW w:w="4340" w:type="dxa"/>
            <w:vAlign w:val="bottom"/>
          </w:tcPr>
          <w:p>
            <w:pPr>
              <w:spacing w:after="0"/>
              <w:rPr>
                <w:sz w:val="24"/>
                <w:szCs w:val="24"/>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In addition, on or after</w:t>
            </w:r>
          </w:p>
        </w:tc>
        <w:tc>
          <w:tcPr>
            <w:tcW w:w="2080" w:type="dxa"/>
            <w:vAlign w:val="bottom"/>
          </w:tcPr>
          <w:p>
            <w:pPr>
              <w:jc w:val="right"/>
              <w:spacing w:after="0"/>
              <w:rPr>
                <w:sz w:val="20"/>
                <w:szCs w:val="20"/>
                <w:color w:val="auto"/>
              </w:rPr>
            </w:pPr>
            <w:r>
              <w:rPr>
                <w:rFonts w:ascii="Arial" w:cs="Arial" w:eastAsia="Arial" w:hAnsi="Arial"/>
                <w:sz w:val="18"/>
                <w:szCs w:val="18"/>
                <w:color w:val="auto"/>
              </w:rPr>
              <w:t>, 20   , in the case of the</w:t>
            </w:r>
          </w:p>
        </w:tc>
      </w:tr>
      <w:tr>
        <w:trPr>
          <w:trHeight w:val="216"/>
        </w:trPr>
        <w:tc>
          <w:tcPr>
            <w:tcW w:w="434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20</w:t>
            </w: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87"/>
              </w:rPr>
              <w:t>notes (</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months prior to the maturity date of the</w:t>
            </w:r>
          </w:p>
        </w:tc>
      </w:tr>
      <w:tr>
        <w:trPr>
          <w:trHeight w:val="216"/>
        </w:trPr>
        <w:tc>
          <w:tcPr>
            <w:tcW w:w="434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20</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notes), on or after</w:t>
            </w:r>
          </w:p>
        </w:tc>
        <w:tc>
          <w:tcPr>
            <w:tcW w:w="2080" w:type="dxa"/>
            <w:vAlign w:val="bottom"/>
          </w:tcPr>
          <w:p>
            <w:pPr>
              <w:jc w:val="right"/>
              <w:spacing w:after="0"/>
              <w:rPr>
                <w:sz w:val="20"/>
                <w:szCs w:val="20"/>
                <w:color w:val="auto"/>
              </w:rPr>
            </w:pPr>
            <w:r>
              <w:rPr>
                <w:rFonts w:ascii="Arial" w:cs="Arial" w:eastAsia="Arial" w:hAnsi="Arial"/>
                <w:sz w:val="18"/>
                <w:szCs w:val="18"/>
                <w:color w:val="auto"/>
              </w:rPr>
              <w:t>, 20  in the case of the</w:t>
            </w:r>
          </w:p>
        </w:tc>
      </w:tr>
      <w:tr>
        <w:trPr>
          <w:trHeight w:val="216"/>
        </w:trPr>
        <w:tc>
          <w:tcPr>
            <w:tcW w:w="434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20</w:t>
            </w: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87"/>
              </w:rPr>
              <w:t>notes (</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months prior to the maturity date of the</w:t>
            </w:r>
          </w:p>
        </w:tc>
      </w:tr>
      <w:tr>
        <w:trPr>
          <w:trHeight w:val="216"/>
        </w:trPr>
        <w:tc>
          <w:tcPr>
            <w:tcW w:w="434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20</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w w:val="99"/>
              </w:rPr>
              <w:t>notes) and on or after</w:t>
            </w:r>
          </w:p>
        </w:tc>
        <w:tc>
          <w:tcPr>
            <w:tcW w:w="2080" w:type="dxa"/>
            <w:vAlign w:val="bottom"/>
          </w:tcPr>
          <w:p>
            <w:pPr>
              <w:jc w:val="right"/>
              <w:spacing w:after="0"/>
              <w:rPr>
                <w:sz w:val="20"/>
                <w:szCs w:val="20"/>
                <w:color w:val="auto"/>
              </w:rPr>
            </w:pPr>
            <w:r>
              <w:rPr>
                <w:rFonts w:ascii="Arial" w:cs="Arial" w:eastAsia="Arial" w:hAnsi="Arial"/>
                <w:sz w:val="18"/>
                <w:szCs w:val="18"/>
                <w:color w:val="auto"/>
              </w:rPr>
              <w:t>, 20  in the case of the</w:t>
            </w:r>
          </w:p>
        </w:tc>
      </w:tr>
      <w:tr>
        <w:trPr>
          <w:trHeight w:val="216"/>
        </w:trPr>
        <w:tc>
          <w:tcPr>
            <w:tcW w:w="4340" w:type="dxa"/>
            <w:vAlign w:val="bottom"/>
          </w:tcPr>
          <w:p>
            <w:pPr>
              <w:spacing w:after="0"/>
              <w:rPr>
                <w:sz w:val="18"/>
                <w:szCs w:val="18"/>
                <w:color w:val="auto"/>
              </w:rPr>
            </w:pPr>
          </w:p>
        </w:tc>
        <w:tc>
          <w:tcPr>
            <w:tcW w:w="380" w:type="dxa"/>
            <w:vAlign w:val="bottom"/>
          </w:tcPr>
          <w:p>
            <w:pPr>
              <w:ind w:left="200"/>
              <w:spacing w:after="0"/>
              <w:rPr>
                <w:sz w:val="20"/>
                <w:szCs w:val="20"/>
                <w:color w:val="auto"/>
              </w:rPr>
            </w:pPr>
            <w:r>
              <w:rPr>
                <w:rFonts w:ascii="Arial" w:cs="Arial" w:eastAsia="Arial" w:hAnsi="Arial"/>
                <w:sz w:val="18"/>
                <w:szCs w:val="18"/>
                <w:color w:val="auto"/>
                <w:w w:val="79"/>
              </w:rPr>
              <w:t>20</w:t>
            </w:r>
          </w:p>
        </w:tc>
        <w:tc>
          <w:tcPr>
            <w:tcW w:w="820" w:type="dxa"/>
            <w:vAlign w:val="bottom"/>
          </w:tcPr>
          <w:p>
            <w:pPr>
              <w:jc w:val="center"/>
              <w:ind w:left="52"/>
              <w:spacing w:after="0"/>
              <w:rPr>
                <w:sz w:val="20"/>
                <w:szCs w:val="20"/>
                <w:color w:val="auto"/>
              </w:rPr>
            </w:pPr>
            <w:r>
              <w:rPr>
                <w:rFonts w:ascii="Arial" w:cs="Arial" w:eastAsia="Arial" w:hAnsi="Arial"/>
                <w:sz w:val="18"/>
                <w:szCs w:val="18"/>
                <w:color w:val="auto"/>
                <w:w w:val="87"/>
              </w:rPr>
              <w:t>notes (</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months prior to the maturity date of the</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88"/>
              </w:rPr>
              <w:t>20  notes), we may redeem the notes at a redemption price</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88"/>
              </w:rPr>
              <w:t>equal to 100% of the principal amount thereof plus accrued</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8"/>
              </w:rPr>
              <w:t>and  unpaid  interest  to,  but  excluding,  the  date  of</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3"/>
              </w:rPr>
              <w:t>redemption.  See  "Description  of  the  Notes—Optional</w:t>
            </w:r>
          </w:p>
        </w:tc>
      </w:tr>
      <w:tr>
        <w:trPr>
          <w:trHeight w:val="222"/>
        </w:trPr>
        <w:tc>
          <w:tcPr>
            <w:tcW w:w="434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w w:val="90"/>
              </w:rPr>
              <w:t>Redemption."</w:t>
            </w:r>
          </w:p>
        </w:tc>
        <w:tc>
          <w:tcPr>
            <w:tcW w:w="1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26"/>
        </w:trPr>
        <w:tc>
          <w:tcPr>
            <w:tcW w:w="4340" w:type="dxa"/>
            <w:vAlign w:val="bottom"/>
          </w:tcPr>
          <w:p>
            <w:pPr>
              <w:spacing w:after="0"/>
              <w:rPr>
                <w:sz w:val="20"/>
                <w:szCs w:val="20"/>
                <w:color w:val="auto"/>
              </w:rPr>
            </w:pPr>
            <w:r>
              <w:rPr>
                <w:rFonts w:ascii="Arial" w:cs="Arial" w:eastAsia="Arial" w:hAnsi="Arial"/>
                <w:sz w:val="18"/>
                <w:szCs w:val="18"/>
                <w:color w:val="auto"/>
                <w:w w:val="92"/>
              </w:rPr>
              <w:t>Mandatory Offer to Repurchase Upon a Change of Control</w:t>
            </w: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5"/>
              </w:rPr>
              <w:t>Upon the occurrence of a Change of Control Triggering</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Triggering Event</w:t>
            </w: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Event  (as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defined  elsewhere  in  this  prospectus</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rPr>
              <w:t>supplement), we will be required to make an offer to</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rPr>
              <w:t>purchase the notes at a price equal to 101% of their</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2"/>
              </w:rPr>
              <w:t>principal amount plus accrued and unpaid interest to, but</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4"/>
              </w:rPr>
              <w:t>excluding, the date of purchase. See "Description of the</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3"/>
              </w:rPr>
              <w:t>Notes—Repurchase of Notes Upon a Change of Control</w:t>
            </w:r>
          </w:p>
        </w:tc>
      </w:tr>
      <w:tr>
        <w:trPr>
          <w:trHeight w:val="222"/>
        </w:trPr>
        <w:tc>
          <w:tcPr>
            <w:tcW w:w="4340" w:type="dxa"/>
            <w:vAlign w:val="bottom"/>
          </w:tcPr>
          <w:p>
            <w:pPr>
              <w:spacing w:after="0"/>
              <w:rPr>
                <w:sz w:val="19"/>
                <w:szCs w:val="19"/>
                <w:color w:val="auto"/>
              </w:rPr>
            </w:pPr>
          </w:p>
        </w:tc>
        <w:tc>
          <w:tcPr>
            <w:tcW w:w="2320" w:type="dxa"/>
            <w:vAlign w:val="bottom"/>
            <w:gridSpan w:val="3"/>
          </w:tcPr>
          <w:p>
            <w:pPr>
              <w:ind w:left="200"/>
              <w:spacing w:after="0"/>
              <w:rPr>
                <w:sz w:val="20"/>
                <w:szCs w:val="20"/>
                <w:color w:val="auto"/>
              </w:rPr>
            </w:pPr>
            <w:r>
              <w:rPr>
                <w:rFonts w:ascii="Arial" w:cs="Arial" w:eastAsia="Arial" w:hAnsi="Arial"/>
                <w:sz w:val="18"/>
                <w:szCs w:val="18"/>
                <w:color w:val="auto"/>
              </w:rPr>
              <w:t>Triggering Event."</w:t>
            </w:r>
          </w:p>
        </w:tc>
        <w:tc>
          <w:tcPr>
            <w:tcW w:w="2080" w:type="dxa"/>
            <w:vAlign w:val="bottom"/>
          </w:tcPr>
          <w:p>
            <w:pPr>
              <w:spacing w:after="0"/>
              <w:rPr>
                <w:sz w:val="19"/>
                <w:szCs w:val="19"/>
                <w:color w:val="auto"/>
              </w:rPr>
            </w:pPr>
          </w:p>
        </w:tc>
      </w:tr>
      <w:tr>
        <w:trPr>
          <w:trHeight w:val="426"/>
        </w:trPr>
        <w:tc>
          <w:tcPr>
            <w:tcW w:w="4340" w:type="dxa"/>
            <w:vAlign w:val="bottom"/>
          </w:tcPr>
          <w:p>
            <w:pPr>
              <w:spacing w:after="0"/>
              <w:rPr>
                <w:sz w:val="20"/>
                <w:szCs w:val="20"/>
                <w:color w:val="auto"/>
              </w:rPr>
            </w:pPr>
            <w:r>
              <w:rPr>
                <w:rFonts w:ascii="Arial" w:cs="Arial" w:eastAsia="Arial" w:hAnsi="Arial"/>
                <w:sz w:val="18"/>
                <w:szCs w:val="18"/>
                <w:color w:val="auto"/>
              </w:rPr>
              <w:t>Certain Covenants</w:t>
            </w: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88"/>
              </w:rPr>
              <w:t>The indenture that will govern each series of notes contains</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2"/>
              </w:rPr>
              <w:t>covenants that, subject to significant exceptions, limit our</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rPr>
              <w:t>ability and/or the ability of our restricted subsidiaries</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5"/>
              </w:rPr>
              <w:t>(which are generally domestic subsidiaries in which we</w:t>
            </w:r>
          </w:p>
        </w:tc>
      </w:tr>
      <w:tr>
        <w:trPr>
          <w:trHeight w:val="216"/>
        </w:trPr>
        <w:tc>
          <w:tcPr>
            <w:tcW w:w="4340" w:type="dxa"/>
            <w:vAlign w:val="bottom"/>
          </w:tcPr>
          <w:p>
            <w:pPr>
              <w:spacing w:after="0"/>
              <w:rPr>
                <w:sz w:val="18"/>
                <w:szCs w:val="18"/>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rPr>
              <w:t>own at least 80% of the voting stock and which own</w:t>
            </w:r>
          </w:p>
        </w:tc>
      </w:tr>
      <w:tr>
        <w:trPr>
          <w:trHeight w:val="222"/>
        </w:trPr>
        <w:tc>
          <w:tcPr>
            <w:tcW w:w="4340" w:type="dxa"/>
            <w:vAlign w:val="bottom"/>
          </w:tcPr>
          <w:p>
            <w:pPr>
              <w:spacing w:after="0"/>
              <w:rPr>
                <w:sz w:val="19"/>
                <w:szCs w:val="19"/>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rPr>
              <w:t>Principal Property (as defined herein)) to:</w:t>
            </w:r>
          </w:p>
        </w:tc>
      </w:tr>
      <w:tr>
        <w:trPr>
          <w:trHeight w:val="426"/>
        </w:trPr>
        <w:tc>
          <w:tcPr>
            <w:tcW w:w="4340" w:type="dxa"/>
            <w:vAlign w:val="bottom"/>
          </w:tcPr>
          <w:p>
            <w:pPr>
              <w:spacing w:after="0"/>
              <w:rPr>
                <w:sz w:val="24"/>
                <w:szCs w:val="24"/>
                <w:color w:val="auto"/>
              </w:rPr>
            </w:pPr>
          </w:p>
        </w:tc>
        <w:tc>
          <w:tcPr>
            <w:tcW w:w="4400" w:type="dxa"/>
            <w:vAlign w:val="bottom"/>
            <w:gridSpan w:val="4"/>
          </w:tcPr>
          <w:p>
            <w:pPr>
              <w:ind w:left="200"/>
              <w:spacing w:after="0"/>
              <w:rPr>
                <w:sz w:val="20"/>
                <w:szCs w:val="20"/>
                <w:color w:val="auto"/>
              </w:rPr>
            </w:pPr>
            <w:r>
              <w:rPr>
                <w:rFonts w:ascii="Arial" w:cs="Arial" w:eastAsia="Arial" w:hAnsi="Arial"/>
                <w:sz w:val="18"/>
                <w:szCs w:val="18"/>
                <w:color w:val="auto"/>
                <w:w w:val="90"/>
              </w:rPr>
              <w:t>•  create or incur certain liens on Principal Property owned</w:t>
            </w:r>
          </w:p>
        </w:tc>
      </w:tr>
      <w:tr>
        <w:trPr>
          <w:trHeight w:val="216"/>
        </w:trPr>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w w:val="94"/>
              </w:rPr>
              <w:t>by us or a Restricted Subsidiary and shares of capital</w:t>
            </w:r>
          </w:p>
        </w:tc>
      </w:tr>
      <w:tr>
        <w:trPr>
          <w:trHeight w:val="216"/>
        </w:trPr>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w w:val="89"/>
              </w:rPr>
              <w:t>stock of any restricted subsidiary and enter into sale and</w:t>
            </w:r>
          </w:p>
        </w:tc>
      </w:tr>
      <w:tr>
        <w:trPr>
          <w:trHeight w:val="216"/>
        </w:trPr>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w w:val="97"/>
              </w:rPr>
              <w:t>lease-back  transactions  with  respect  to  Principal</w:t>
            </w:r>
          </w:p>
        </w:tc>
      </w:tr>
      <w:tr>
        <w:trPr>
          <w:trHeight w:val="222"/>
        </w:trPr>
        <w:tc>
          <w:tcPr>
            <w:tcW w:w="4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tcPr>
          <w:p>
            <w:pPr>
              <w:jc w:val="center"/>
              <w:ind w:right="892"/>
              <w:spacing w:after="0"/>
              <w:rPr>
                <w:sz w:val="20"/>
                <w:szCs w:val="20"/>
                <w:color w:val="auto"/>
              </w:rPr>
            </w:pPr>
            <w:r>
              <w:rPr>
                <w:rFonts w:ascii="Arial" w:cs="Arial" w:eastAsia="Arial" w:hAnsi="Arial"/>
                <w:sz w:val="18"/>
                <w:szCs w:val="18"/>
                <w:color w:val="auto"/>
                <w:w w:val="88"/>
              </w:rPr>
              <w:t>Property; and</w:t>
            </w:r>
          </w:p>
        </w:tc>
        <w:tc>
          <w:tcPr>
            <w:tcW w:w="2080" w:type="dxa"/>
            <w:vAlign w:val="bottom"/>
          </w:tcPr>
          <w:p>
            <w:pPr>
              <w:spacing w:after="0"/>
              <w:rPr>
                <w:sz w:val="19"/>
                <w:szCs w:val="19"/>
                <w:color w:val="auto"/>
              </w:rPr>
            </w:pPr>
          </w:p>
        </w:tc>
      </w:tr>
      <w:tr>
        <w:trPr>
          <w:trHeight w:val="426"/>
        </w:trPr>
        <w:tc>
          <w:tcPr>
            <w:tcW w:w="434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w w:val="91"/>
              </w:rPr>
              <w:t>•  consolidate</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with or merge with or into, or convey,</w:t>
            </w:r>
          </w:p>
        </w:tc>
      </w:tr>
      <w:tr>
        <w:trPr>
          <w:trHeight w:val="216"/>
        </w:trPr>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w w:val="92"/>
              </w:rPr>
              <w:t>transfer or lease all or substantially all of our assets, to</w:t>
            </w:r>
          </w:p>
        </w:tc>
      </w:tr>
      <w:tr>
        <w:trPr>
          <w:trHeight w:val="222"/>
        </w:trPr>
        <w:tc>
          <w:tcPr>
            <w:tcW w:w="4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another person.</w:t>
            </w:r>
          </w:p>
        </w:tc>
        <w:tc>
          <w:tcPr>
            <w:tcW w:w="2080" w:type="dxa"/>
            <w:vAlign w:val="bottom"/>
          </w:tcPr>
          <w:p>
            <w:pPr>
              <w:spacing w:after="0"/>
              <w:rPr>
                <w:sz w:val="19"/>
                <w:szCs w:val="19"/>
                <w:color w:val="auto"/>
              </w:rPr>
            </w:pPr>
          </w:p>
        </w:tc>
      </w:tr>
    </w:tbl>
    <w:p>
      <w:pPr>
        <w:spacing w:after="0" w:line="210"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These covenants are subject to a number of important</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limitations and exceptions as described under "Description</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 the Notes—Certain Covenants."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988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79883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No Prior Market; No Listing</w:t>
            </w: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1"/>
              </w:rPr>
              <w:t>The notes will be a new issue of securities for which there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6"/>
              </w:rPr>
              <w:t>is currently no established public market. Although the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2"/>
              </w:rPr>
              <w:t>underwriters have informed us that they intend to make a</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7"/>
              </w:rPr>
              <w:t>market in the notes, they are not obligated to do so and may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9"/>
              </w:rPr>
              <w:t>discontinue market-making with respect to the notes at any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6"/>
              </w:rPr>
              <w:t>time without notice. Accordingly, a liquid market for the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8"/>
              </w:rPr>
              <w:t>notes may not develop or be maintained. See "Risk Factors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2"/>
              </w:rPr>
              <w:t>—Risks Related to the Notes—Your ability to transfer the</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3"/>
              </w:rPr>
              <w:t>notes may be limited by the absence of an active trading</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1"/>
              </w:rPr>
              <w:t>market, and an active trading market may not develop for</w:t>
            </w:r>
          </w:p>
        </w:tc>
      </w:tr>
      <w:tr>
        <w:trPr>
          <w:trHeight w:val="222"/>
        </w:trPr>
        <w:tc>
          <w:tcPr>
            <w:tcW w:w="3560" w:type="dxa"/>
            <w:vAlign w:val="bottom"/>
          </w:tcPr>
          <w:p>
            <w:pPr>
              <w:spacing w:after="0"/>
              <w:rPr>
                <w:sz w:val="19"/>
                <w:szCs w:val="19"/>
                <w:color w:val="auto"/>
              </w:rPr>
            </w:pPr>
          </w:p>
        </w:tc>
        <w:tc>
          <w:tcPr>
            <w:tcW w:w="2120" w:type="dxa"/>
            <w:vAlign w:val="bottom"/>
          </w:tcPr>
          <w:p>
            <w:pPr>
              <w:ind w:left="980"/>
              <w:spacing w:after="0"/>
              <w:rPr>
                <w:sz w:val="20"/>
                <w:szCs w:val="20"/>
                <w:color w:val="auto"/>
              </w:rPr>
            </w:pPr>
            <w:r>
              <w:rPr>
                <w:rFonts w:ascii="Arial" w:cs="Arial" w:eastAsia="Arial" w:hAnsi="Arial"/>
                <w:sz w:val="18"/>
                <w:szCs w:val="18"/>
                <w:color w:val="auto"/>
              </w:rPr>
              <w:t>the notes."</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6"/>
        </w:trPr>
        <w:tc>
          <w:tcPr>
            <w:tcW w:w="3560" w:type="dxa"/>
            <w:vAlign w:val="bottom"/>
          </w:tcPr>
          <w:p>
            <w:pPr>
              <w:spacing w:after="0"/>
              <w:rPr>
                <w:sz w:val="24"/>
                <w:szCs w:val="24"/>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9"/>
              </w:rPr>
              <w:t>We do not intend to apply for the listing of the notes on any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9"/>
              </w:rPr>
              <w:t>securities exchange or for the quotation of the notes in any</w:t>
            </w:r>
          </w:p>
        </w:tc>
      </w:tr>
      <w:tr>
        <w:trPr>
          <w:trHeight w:val="222"/>
        </w:trPr>
        <w:tc>
          <w:tcPr>
            <w:tcW w:w="3560" w:type="dxa"/>
            <w:vAlign w:val="bottom"/>
          </w:tcPr>
          <w:p>
            <w:pPr>
              <w:spacing w:after="0"/>
              <w:rPr>
                <w:sz w:val="19"/>
                <w:szCs w:val="19"/>
                <w:color w:val="auto"/>
              </w:rPr>
            </w:pPr>
          </w:p>
        </w:tc>
        <w:tc>
          <w:tcPr>
            <w:tcW w:w="2800" w:type="dxa"/>
            <w:vAlign w:val="bottom"/>
            <w:gridSpan w:val="2"/>
          </w:tcPr>
          <w:p>
            <w:pPr>
              <w:ind w:left="980"/>
              <w:spacing w:after="0"/>
              <w:rPr>
                <w:sz w:val="20"/>
                <w:szCs w:val="20"/>
                <w:color w:val="auto"/>
              </w:rPr>
            </w:pPr>
            <w:r>
              <w:rPr>
                <w:rFonts w:ascii="Arial" w:cs="Arial" w:eastAsia="Arial" w:hAnsi="Arial"/>
                <w:sz w:val="18"/>
                <w:szCs w:val="18"/>
                <w:color w:val="auto"/>
                <w:w w:val="91"/>
              </w:rPr>
              <w:t>dealer quotation system.</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6"/>
        </w:trPr>
        <w:tc>
          <w:tcPr>
            <w:tcW w:w="3560" w:type="dxa"/>
            <w:vAlign w:val="bottom"/>
          </w:tcPr>
          <w:p>
            <w:pPr>
              <w:spacing w:after="0"/>
              <w:rPr>
                <w:sz w:val="20"/>
                <w:szCs w:val="20"/>
                <w:color w:val="auto"/>
              </w:rPr>
            </w:pPr>
            <w:r>
              <w:rPr>
                <w:rFonts w:ascii="Arial" w:cs="Arial" w:eastAsia="Arial" w:hAnsi="Arial"/>
                <w:sz w:val="18"/>
                <w:szCs w:val="18"/>
                <w:color w:val="auto"/>
              </w:rPr>
              <w:t>Use of Proceeds</w:t>
            </w:r>
          </w:p>
        </w:tc>
        <w:tc>
          <w:tcPr>
            <w:tcW w:w="3760" w:type="dxa"/>
            <w:vAlign w:val="bottom"/>
            <w:gridSpan w:val="3"/>
          </w:tcPr>
          <w:p>
            <w:pPr>
              <w:ind w:left="980"/>
              <w:spacing w:after="0"/>
              <w:rPr>
                <w:sz w:val="20"/>
                <w:szCs w:val="20"/>
                <w:color w:val="auto"/>
              </w:rPr>
            </w:pPr>
            <w:r>
              <w:rPr>
                <w:rFonts w:ascii="Arial" w:cs="Arial" w:eastAsia="Arial" w:hAnsi="Arial"/>
                <w:sz w:val="18"/>
                <w:szCs w:val="18"/>
                <w:color w:val="auto"/>
                <w:w w:val="98"/>
              </w:rPr>
              <w:t>We estimate net proceeds will be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We intend to</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6"/>
              </w:rPr>
              <w:t>use  a  portion  for  the  extinguishment  of  our  3.00%</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1"/>
              </w:rPr>
              <w:t>Convertible Senior Notes due 2043 and the remainder for</w:t>
            </w:r>
          </w:p>
        </w:tc>
      </w:tr>
      <w:tr>
        <w:trPr>
          <w:trHeight w:val="222"/>
        </w:trPr>
        <w:tc>
          <w:tcPr>
            <w:tcW w:w="3560" w:type="dxa"/>
            <w:vAlign w:val="bottom"/>
          </w:tcPr>
          <w:p>
            <w:pPr>
              <w:spacing w:after="0"/>
              <w:rPr>
                <w:sz w:val="19"/>
                <w:szCs w:val="19"/>
                <w:color w:val="auto"/>
              </w:rPr>
            </w:pPr>
          </w:p>
        </w:tc>
        <w:tc>
          <w:tcPr>
            <w:tcW w:w="4720" w:type="dxa"/>
            <w:vAlign w:val="bottom"/>
            <w:gridSpan w:val="4"/>
          </w:tcPr>
          <w:p>
            <w:pPr>
              <w:ind w:left="980"/>
              <w:spacing w:after="0"/>
              <w:rPr>
                <w:sz w:val="20"/>
                <w:szCs w:val="20"/>
                <w:color w:val="auto"/>
              </w:rPr>
            </w:pPr>
            <w:r>
              <w:rPr>
                <w:rFonts w:ascii="Arial" w:cs="Arial" w:eastAsia="Arial" w:hAnsi="Arial"/>
                <w:sz w:val="18"/>
                <w:szCs w:val="18"/>
                <w:color w:val="auto"/>
                <w:w w:val="88"/>
              </w:rPr>
              <w:t>general corporate purposes. See "Use of Proceeds."</w:t>
            </w:r>
          </w:p>
        </w:tc>
        <w:tc>
          <w:tcPr>
            <w:tcW w:w="460" w:type="dxa"/>
            <w:vAlign w:val="bottom"/>
          </w:tcPr>
          <w:p>
            <w:pPr>
              <w:spacing w:after="0"/>
              <w:rPr>
                <w:sz w:val="19"/>
                <w:szCs w:val="19"/>
                <w:color w:val="auto"/>
              </w:rPr>
            </w:pPr>
          </w:p>
        </w:tc>
      </w:tr>
      <w:tr>
        <w:trPr>
          <w:trHeight w:val="426"/>
        </w:trPr>
        <w:tc>
          <w:tcPr>
            <w:tcW w:w="3560" w:type="dxa"/>
            <w:vAlign w:val="bottom"/>
          </w:tcPr>
          <w:p>
            <w:pPr>
              <w:spacing w:after="0"/>
              <w:rPr>
                <w:sz w:val="20"/>
                <w:szCs w:val="20"/>
                <w:color w:val="auto"/>
              </w:rPr>
            </w:pPr>
            <w:r>
              <w:rPr>
                <w:rFonts w:ascii="Arial" w:cs="Arial" w:eastAsia="Arial" w:hAnsi="Arial"/>
                <w:sz w:val="18"/>
                <w:szCs w:val="18"/>
                <w:color w:val="auto"/>
              </w:rPr>
              <w:t>Risk Factors</w:t>
            </w: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6"/>
              </w:rPr>
              <w:t>You should carefully consider all of the information set</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9"/>
              </w:rPr>
              <w:t>forth in this prospectus supplement and the accompanying</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2"/>
              </w:rPr>
              <w:t>prospectus and the documents, including the information</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4"/>
              </w:rPr>
              <w:t>incorporated  by  reference,  and,  in  particular,  should</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5"/>
              </w:rPr>
              <w:t>evaluate the specific factors set forth in this prospectus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7"/>
              </w:rPr>
              <w:t>supplement under "Risk Factors" for an explanation of</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4"/>
              </w:rPr>
              <w:t>certain risks you should consider before investing in the</w:t>
            </w:r>
          </w:p>
        </w:tc>
      </w:tr>
      <w:tr>
        <w:trPr>
          <w:trHeight w:val="222"/>
        </w:trPr>
        <w:tc>
          <w:tcPr>
            <w:tcW w:w="3560" w:type="dxa"/>
            <w:vAlign w:val="bottom"/>
          </w:tcPr>
          <w:p>
            <w:pPr>
              <w:spacing w:after="0"/>
              <w:rPr>
                <w:sz w:val="19"/>
                <w:szCs w:val="19"/>
                <w:color w:val="auto"/>
              </w:rPr>
            </w:pPr>
          </w:p>
        </w:tc>
        <w:tc>
          <w:tcPr>
            <w:tcW w:w="2120" w:type="dxa"/>
            <w:vAlign w:val="bottom"/>
          </w:tcPr>
          <w:p>
            <w:pPr>
              <w:ind w:left="980"/>
              <w:spacing w:after="0"/>
              <w:rPr>
                <w:sz w:val="20"/>
                <w:szCs w:val="20"/>
                <w:color w:val="auto"/>
              </w:rPr>
            </w:pPr>
            <w:r>
              <w:rPr>
                <w:rFonts w:ascii="Arial" w:cs="Arial" w:eastAsia="Arial" w:hAnsi="Arial"/>
                <w:sz w:val="18"/>
                <w:szCs w:val="18"/>
                <w:color w:val="auto"/>
              </w:rPr>
              <w:t>notes.</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6"/>
        </w:trPr>
        <w:tc>
          <w:tcPr>
            <w:tcW w:w="3560" w:type="dxa"/>
            <w:vAlign w:val="bottom"/>
          </w:tcPr>
          <w:p>
            <w:pPr>
              <w:spacing w:after="0"/>
              <w:rPr>
                <w:sz w:val="20"/>
                <w:szCs w:val="20"/>
                <w:color w:val="auto"/>
              </w:rPr>
            </w:pPr>
            <w:r>
              <w:rPr>
                <w:rFonts w:ascii="Arial" w:cs="Arial" w:eastAsia="Arial" w:hAnsi="Arial"/>
                <w:sz w:val="18"/>
                <w:szCs w:val="18"/>
                <w:color w:val="auto"/>
              </w:rPr>
              <w:t>Form and Denomination</w:t>
            </w: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4"/>
              </w:rPr>
              <w:t>The notes will be issued in the form of one or more fully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7"/>
              </w:rPr>
              <w:t>registered   global   securities,   without   coupons,   in</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2"/>
              </w:rPr>
              <w:t>denominations of $2,000 in principal amount and integral</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2"/>
              </w:rPr>
              <w:t>multiples of $1,000 in excess thereof. These global notes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6"/>
              </w:rPr>
              <w:t>will be deposited with the trustee as custodian for, and</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4"/>
              </w:rPr>
              <w:t>registered in the name of, a nominee of The Depository</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rPr>
              <w:t>Trust  Company  ("DTC").  Except  in  the  limited</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8"/>
              </w:rPr>
              <w:t>circumstances described under "Description of the Notes—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2"/>
              </w:rPr>
              <w:t>Book-Entry, Form, Denomination and Delivery of Notes,"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2"/>
              </w:rPr>
              <w:t>notes in certificated form will not be issued or exchanged</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3"/>
              </w:rPr>
              <w:t>for interests in global securities. Investors may hold their</w:t>
            </w:r>
          </w:p>
        </w:tc>
      </w:tr>
      <w:tr>
        <w:trPr>
          <w:trHeight w:val="216"/>
        </w:trPr>
        <w:tc>
          <w:tcPr>
            <w:tcW w:w="3560" w:type="dxa"/>
            <w:vAlign w:val="bottom"/>
          </w:tcPr>
          <w:p>
            <w:pPr>
              <w:spacing w:after="0"/>
              <w:rPr>
                <w:sz w:val="18"/>
                <w:szCs w:val="18"/>
                <w:color w:val="auto"/>
              </w:rPr>
            </w:pPr>
          </w:p>
        </w:tc>
        <w:tc>
          <w:tcPr>
            <w:tcW w:w="3760" w:type="dxa"/>
            <w:vAlign w:val="bottom"/>
            <w:gridSpan w:val="3"/>
          </w:tcPr>
          <w:p>
            <w:pPr>
              <w:ind w:left="980"/>
              <w:spacing w:after="0"/>
              <w:rPr>
                <w:sz w:val="20"/>
                <w:szCs w:val="20"/>
                <w:color w:val="auto"/>
              </w:rPr>
            </w:pPr>
            <w:r>
              <w:rPr>
                <w:rFonts w:ascii="Arial" w:cs="Arial" w:eastAsia="Arial" w:hAnsi="Arial"/>
                <w:sz w:val="18"/>
                <w:szCs w:val="18"/>
                <w:color w:val="auto"/>
                <w:w w:val="97"/>
              </w:rPr>
              <w:t>interests  in  a  global  note  directly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94"/>
              </w:rPr>
              <w:t>through  Euroclear</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9"/>
              </w:rPr>
              <w:t>Bank S.A./N.V., as operator of the Euroclear System</w:t>
            </w:r>
          </w:p>
        </w:tc>
      </w:tr>
      <w:tr>
        <w:trPr>
          <w:trHeight w:val="216"/>
        </w:trPr>
        <w:tc>
          <w:tcPr>
            <w:tcW w:w="3560" w:type="dxa"/>
            <w:vAlign w:val="bottom"/>
          </w:tcPr>
          <w:p>
            <w:pPr>
              <w:spacing w:after="0"/>
              <w:rPr>
                <w:sz w:val="18"/>
                <w:szCs w:val="18"/>
                <w:color w:val="auto"/>
              </w:rPr>
            </w:pPr>
          </w:p>
        </w:tc>
        <w:tc>
          <w:tcPr>
            <w:tcW w:w="2120" w:type="dxa"/>
            <w:vAlign w:val="bottom"/>
          </w:tcPr>
          <w:p>
            <w:pPr>
              <w:ind w:left="980"/>
              <w:spacing w:after="0"/>
              <w:rPr>
                <w:sz w:val="20"/>
                <w:szCs w:val="20"/>
                <w:color w:val="auto"/>
              </w:rPr>
            </w:pPr>
            <w:r>
              <w:rPr>
                <w:rFonts w:ascii="Arial" w:cs="Arial" w:eastAsia="Arial" w:hAnsi="Arial"/>
                <w:sz w:val="18"/>
                <w:szCs w:val="18"/>
                <w:color w:val="auto"/>
              </w:rPr>
              <w:t>("Euroclear"),</w:t>
            </w:r>
          </w:p>
        </w:tc>
        <w:tc>
          <w:tcPr>
            <w:tcW w:w="680" w:type="dxa"/>
            <w:vAlign w:val="bottom"/>
          </w:tcPr>
          <w:p>
            <w:pPr>
              <w:ind w:left="140"/>
              <w:spacing w:after="0"/>
              <w:rPr>
                <w:sz w:val="20"/>
                <w:szCs w:val="20"/>
                <w:color w:val="auto"/>
              </w:rPr>
            </w:pPr>
            <w:r>
              <w:rPr>
                <w:rFonts w:ascii="Arial" w:cs="Arial" w:eastAsia="Arial" w:hAnsi="Arial"/>
                <w:sz w:val="18"/>
                <w:szCs w:val="18"/>
                <w:color w:val="auto"/>
              </w:rPr>
              <w:t>and</w:t>
            </w:r>
          </w:p>
        </w:tc>
        <w:tc>
          <w:tcPr>
            <w:tcW w:w="960" w:type="dxa"/>
            <w:vAlign w:val="bottom"/>
          </w:tcPr>
          <w:p>
            <w:pPr>
              <w:spacing w:after="0"/>
              <w:rPr>
                <w:sz w:val="20"/>
                <w:szCs w:val="20"/>
                <w:color w:val="auto"/>
              </w:rPr>
            </w:pPr>
            <w:r>
              <w:rPr>
                <w:rFonts w:ascii="Arial" w:cs="Arial" w:eastAsia="Arial" w:hAnsi="Arial"/>
                <w:sz w:val="18"/>
                <w:szCs w:val="18"/>
                <w:color w:val="auto"/>
                <w:w w:val="95"/>
              </w:rPr>
              <w:t>Clearstream</w:t>
            </w:r>
          </w:p>
        </w:tc>
        <w:tc>
          <w:tcPr>
            <w:tcW w:w="960" w:type="dxa"/>
            <w:vAlign w:val="bottom"/>
          </w:tcPr>
          <w:p>
            <w:pPr>
              <w:ind w:left="180"/>
              <w:spacing w:after="0"/>
              <w:rPr>
                <w:sz w:val="20"/>
                <w:szCs w:val="20"/>
                <w:color w:val="auto"/>
              </w:rPr>
            </w:pPr>
            <w:r>
              <w:rPr>
                <w:rFonts w:ascii="Arial" w:cs="Arial" w:eastAsia="Arial" w:hAnsi="Arial"/>
                <w:sz w:val="18"/>
                <w:szCs w:val="18"/>
                <w:color w:val="auto"/>
              </w:rPr>
              <w:t>Banking,</w:t>
            </w:r>
          </w:p>
        </w:tc>
        <w:tc>
          <w:tcPr>
            <w:tcW w:w="460" w:type="dxa"/>
            <w:vAlign w:val="bottom"/>
          </w:tcPr>
          <w:p>
            <w:pPr>
              <w:jc w:val="right"/>
              <w:spacing w:after="0"/>
              <w:rPr>
                <w:sz w:val="20"/>
                <w:szCs w:val="20"/>
                <w:color w:val="auto"/>
              </w:rPr>
            </w:pPr>
            <w:r>
              <w:rPr>
                <w:rFonts w:ascii="Arial" w:cs="Arial" w:eastAsia="Arial" w:hAnsi="Arial"/>
                <w:sz w:val="18"/>
                <w:szCs w:val="18"/>
                <w:color w:val="auto"/>
              </w:rPr>
              <w:t>S.A.</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9"/>
              </w:rPr>
              <w:t>("Clearstream"), if they are participants in such systems, or</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6"/>
              </w:rPr>
              <w:t>indirectly through organizations that are participants in</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7"/>
              </w:rPr>
              <w:t>such systems. Euroclear and Clearstream will hold interests</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0"/>
              </w:rPr>
              <w:t>in a global note on behalf of their participants through their</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4"/>
              </w:rPr>
              <w:t>respective  depositaries,  which  in  turn  will  hold  such</w:t>
            </w:r>
          </w:p>
        </w:tc>
      </w:tr>
      <w:tr>
        <w:trPr>
          <w:trHeight w:val="216"/>
        </w:trPr>
        <w:tc>
          <w:tcPr>
            <w:tcW w:w="3560" w:type="dxa"/>
            <w:vAlign w:val="bottom"/>
          </w:tcPr>
          <w:p>
            <w:pPr>
              <w:spacing w:after="0"/>
              <w:rPr>
                <w:sz w:val="18"/>
                <w:szCs w:val="18"/>
                <w:color w:val="auto"/>
              </w:rPr>
            </w:pP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87"/>
              </w:rPr>
              <w:t>interests in the global note in customers' securities accounts</w:t>
            </w:r>
          </w:p>
        </w:tc>
      </w:tr>
      <w:tr>
        <w:trPr>
          <w:trHeight w:val="222"/>
        </w:trPr>
        <w:tc>
          <w:tcPr>
            <w:tcW w:w="3560" w:type="dxa"/>
            <w:vAlign w:val="bottom"/>
          </w:tcPr>
          <w:p>
            <w:pPr>
              <w:spacing w:after="0"/>
              <w:rPr>
                <w:sz w:val="19"/>
                <w:szCs w:val="19"/>
                <w:color w:val="auto"/>
              </w:rPr>
            </w:pPr>
          </w:p>
        </w:tc>
        <w:tc>
          <w:tcPr>
            <w:tcW w:w="4720" w:type="dxa"/>
            <w:vAlign w:val="bottom"/>
            <w:gridSpan w:val="4"/>
          </w:tcPr>
          <w:p>
            <w:pPr>
              <w:ind w:left="980"/>
              <w:spacing w:after="0"/>
              <w:rPr>
                <w:sz w:val="20"/>
                <w:szCs w:val="20"/>
                <w:color w:val="auto"/>
              </w:rPr>
            </w:pPr>
            <w:r>
              <w:rPr>
                <w:rFonts w:ascii="Arial" w:cs="Arial" w:eastAsia="Arial" w:hAnsi="Arial"/>
                <w:sz w:val="18"/>
                <w:szCs w:val="18"/>
                <w:color w:val="auto"/>
                <w:w w:val="96"/>
              </w:rPr>
              <w:t>in the depositaries' names on the books of DTC.</w:t>
            </w:r>
          </w:p>
        </w:tc>
        <w:tc>
          <w:tcPr>
            <w:tcW w:w="460" w:type="dxa"/>
            <w:vAlign w:val="bottom"/>
          </w:tcPr>
          <w:p>
            <w:pPr>
              <w:spacing w:after="0"/>
              <w:rPr>
                <w:sz w:val="19"/>
                <w:szCs w:val="19"/>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Trustee, Registrar and Paying Agent</w:t>
            </w:r>
          </w:p>
        </w:tc>
        <w:tc>
          <w:tcPr>
            <w:tcW w:w="3760" w:type="dxa"/>
            <w:vAlign w:val="bottom"/>
            <w:gridSpan w:val="3"/>
          </w:tcPr>
          <w:p>
            <w:pPr>
              <w:ind w:left="980"/>
              <w:spacing w:after="0"/>
              <w:rPr>
                <w:sz w:val="20"/>
                <w:szCs w:val="20"/>
                <w:color w:val="auto"/>
              </w:rPr>
            </w:pPr>
            <w:r>
              <w:rPr>
                <w:rFonts w:ascii="Arial" w:cs="Arial" w:eastAsia="Arial" w:hAnsi="Arial"/>
                <w:sz w:val="18"/>
                <w:szCs w:val="18"/>
                <w:color w:val="auto"/>
              </w:rPr>
              <w:t>U.S. Bank National Association.</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26"/>
        </w:trPr>
        <w:tc>
          <w:tcPr>
            <w:tcW w:w="3560" w:type="dxa"/>
            <w:vAlign w:val="bottom"/>
          </w:tcPr>
          <w:p>
            <w:pPr>
              <w:spacing w:after="0"/>
              <w:rPr>
                <w:sz w:val="20"/>
                <w:szCs w:val="20"/>
                <w:color w:val="auto"/>
              </w:rPr>
            </w:pPr>
            <w:r>
              <w:rPr>
                <w:rFonts w:ascii="Arial" w:cs="Arial" w:eastAsia="Arial" w:hAnsi="Arial"/>
                <w:sz w:val="18"/>
                <w:szCs w:val="18"/>
                <w:color w:val="auto"/>
              </w:rPr>
              <w:t>Governing Law</w:t>
            </w:r>
          </w:p>
        </w:tc>
        <w:tc>
          <w:tcPr>
            <w:tcW w:w="5180" w:type="dxa"/>
            <w:vAlign w:val="bottom"/>
            <w:gridSpan w:val="5"/>
          </w:tcPr>
          <w:p>
            <w:pPr>
              <w:ind w:left="980"/>
              <w:spacing w:after="0"/>
              <w:rPr>
                <w:sz w:val="20"/>
                <w:szCs w:val="20"/>
                <w:color w:val="auto"/>
              </w:rPr>
            </w:pPr>
            <w:r>
              <w:rPr>
                <w:rFonts w:ascii="Arial" w:cs="Arial" w:eastAsia="Arial" w:hAnsi="Arial"/>
                <w:sz w:val="18"/>
                <w:szCs w:val="18"/>
                <w:color w:val="auto"/>
                <w:w w:val="91"/>
              </w:rPr>
              <w:t>The indenture and the notes will be governed by the laws</w:t>
            </w:r>
          </w:p>
        </w:tc>
      </w:tr>
      <w:tr>
        <w:trPr>
          <w:trHeight w:val="222"/>
        </w:trPr>
        <w:tc>
          <w:tcPr>
            <w:tcW w:w="3560" w:type="dxa"/>
            <w:vAlign w:val="bottom"/>
          </w:tcPr>
          <w:p>
            <w:pPr>
              <w:spacing w:after="0"/>
              <w:rPr>
                <w:sz w:val="19"/>
                <w:szCs w:val="19"/>
                <w:color w:val="auto"/>
              </w:rPr>
            </w:pPr>
          </w:p>
        </w:tc>
        <w:tc>
          <w:tcPr>
            <w:tcW w:w="2800" w:type="dxa"/>
            <w:vAlign w:val="bottom"/>
            <w:gridSpan w:val="2"/>
          </w:tcPr>
          <w:p>
            <w:pPr>
              <w:ind w:left="980"/>
              <w:spacing w:after="0"/>
              <w:rPr>
                <w:sz w:val="20"/>
                <w:szCs w:val="20"/>
                <w:color w:val="auto"/>
              </w:rPr>
            </w:pPr>
            <w:r>
              <w:rPr>
                <w:rFonts w:ascii="Arial" w:cs="Arial" w:eastAsia="Arial" w:hAnsi="Arial"/>
                <w:sz w:val="18"/>
                <w:szCs w:val="18"/>
                <w:color w:val="auto"/>
                <w:w w:val="89"/>
              </w:rPr>
              <w:t>of the State of New York.</w:t>
            </w: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1440" w:gutter="0" w:footer="0" w:header="0"/>
        </w:sectPr>
      </w:pPr>
    </w:p>
    <w:p>
      <w:pPr>
        <w:spacing w:after="0" w:line="25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235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23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jc w:val="both"/>
        <w:ind w:left="240" w:right="240" w:firstLine="423"/>
        <w:spacing w:after="0" w:line="288" w:lineRule="auto"/>
        <w:rPr>
          <w:sz w:val="20"/>
          <w:szCs w:val="20"/>
          <w:color w:val="auto"/>
        </w:rPr>
      </w:pPr>
      <w:r>
        <w:rPr>
          <w:rFonts w:ascii="Arial" w:cs="Arial" w:eastAsia="Arial" w:hAnsi="Arial"/>
          <w:sz w:val="16"/>
          <w:szCs w:val="16"/>
          <w:color w:val="auto"/>
        </w:rPr>
        <w:t>Our summary consolidated financial information presented below as of and for the three fiscal years ended August 30, 2018 has been derived from our audited consolidated financial statements. The summary consolidated statement of operations data below for the three month periods ended November 29, 2018 and November 30, 2017, and the summary consolidated balance sheet data as of November 29, 2018, have been derived from our unaudited consolidated financial statements that are incorporated by reference herein. In the opinion of management, such unaudited interim financial data contains all adjustments necessary for the fair statement of our financial position and results of operations as of and for such periods. Our historical results, including our operating results for the three months ended November 29, 2018, are not necessarily indicative of results that may be expected for future periods or for the full year. Our summary consolidated financial information set forth below should be read in conjunction with our consolidated financial statements, including the notes thereto, and "Management's Discussion and Analysis of Financial Condition and Results of Operations," both of which can be found in our Annual Report on Form 10-K for the fiscal year ended August 30, 2018, which is incorporated by reference herein.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jc w:val="right"/>
              <w:ind w:right="79"/>
              <w:spacing w:after="0"/>
              <w:rPr>
                <w:sz w:val="20"/>
                <w:szCs w:val="20"/>
                <w:color w:val="auto"/>
              </w:rPr>
            </w:pPr>
            <w:r>
              <w:rPr>
                <w:rFonts w:ascii="Arial" w:cs="Arial" w:eastAsia="Arial" w:hAnsi="Arial"/>
                <w:sz w:val="14"/>
                <w:szCs w:val="14"/>
                <w:b w:val="1"/>
                <w:bCs w:val="1"/>
                <w:color w:val="auto"/>
                <w:w w:val="87"/>
              </w:rPr>
              <w:t>Fiscal Year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13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4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94"/>
              </w:rPr>
              <w:t>August 30,</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4"/>
              </w:rPr>
              <w:t>August 31,</w:t>
            </w: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September 1,</w:t>
            </w:r>
          </w:p>
        </w:tc>
        <w:tc>
          <w:tcPr>
            <w:tcW w:w="16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November 29,</w:t>
            </w:r>
          </w:p>
        </w:tc>
        <w:tc>
          <w:tcPr>
            <w:tcW w:w="9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November 30,</w:t>
            </w:r>
          </w:p>
        </w:tc>
        <w:tc>
          <w:tcPr>
            <w:tcW w:w="1460" w:type="dxa"/>
            <w:vAlign w:val="bottom"/>
            <w:gridSpan w:val="2"/>
          </w:tcPr>
          <w:p>
            <w:pPr>
              <w:spacing w:after="0"/>
              <w:rPr>
                <w:sz w:val="11"/>
                <w:szCs w:val="11"/>
                <w:color w:val="auto"/>
              </w:rPr>
            </w:pPr>
          </w:p>
        </w:tc>
      </w:tr>
      <w:tr>
        <w:trPr>
          <w:trHeight w:val="161"/>
        </w:trPr>
        <w:tc>
          <w:tcPr>
            <w:tcW w:w="134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0"/>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Consolidated Statement of Operations Data:</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30,391</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20,322</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12,399</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7,913</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6,803</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3,056</w:t>
            </w:r>
          </w:p>
        </w:tc>
        <w:tc>
          <w:tcPr>
            <w:tcW w:w="130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30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3,097</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30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30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Equity in net income (loss) of equity method</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investees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0" w:type="dxa"/>
            <w:vAlign w:val="bottom"/>
            <w:gridSpan w:val="3"/>
          </w:tcPr>
          <w:p>
            <w:pPr>
              <w:jc w:val="right"/>
              <w:ind w:right="1460"/>
              <w:spacing w:after="0"/>
              <w:rPr>
                <w:sz w:val="20"/>
                <w:szCs w:val="20"/>
                <w:color w:val="auto"/>
              </w:rPr>
            </w:pPr>
            <w:r>
              <w:rPr>
                <w:rFonts w:ascii="Arial" w:cs="Arial" w:eastAsia="Arial" w:hAnsi="Arial"/>
                <w:sz w:val="18"/>
                <w:szCs w:val="18"/>
                <w:color w:val="auto"/>
              </w:rPr>
              <w:t>—</w:t>
            </w:r>
          </w:p>
        </w:tc>
      </w:tr>
      <w:tr>
        <w:trPr>
          <w:trHeight w:val="20"/>
        </w:trPr>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1"/>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2,678</w:t>
            </w:r>
          </w:p>
        </w:tc>
        <w:tc>
          <w:tcPr>
            <w:tcW w:w="130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Net income attributable to noncontrolling</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200" w:type="dxa"/>
            <w:vAlign w:val="bottom"/>
            <w:gridSpan w:val="3"/>
          </w:tcPr>
          <w:p>
            <w:pPr>
              <w:jc w:val="right"/>
              <w:ind w:right="1460"/>
              <w:spacing w:after="0"/>
              <w:rPr>
                <w:sz w:val="20"/>
                <w:szCs w:val="20"/>
                <w:color w:val="auto"/>
              </w:rPr>
            </w:pPr>
            <w:r>
              <w:rPr>
                <w:rFonts w:ascii="Arial" w:cs="Arial" w:eastAsia="Arial" w:hAnsi="Arial"/>
                <w:sz w:val="18"/>
                <w:szCs w:val="18"/>
                <w:color w:val="auto"/>
              </w:rPr>
              <w:t>—</w:t>
            </w:r>
          </w:p>
        </w:tc>
      </w:tr>
      <w:tr>
        <w:trPr>
          <w:trHeight w:val="20"/>
        </w:trPr>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1"/>
        </w:trPr>
        <w:tc>
          <w:tcPr>
            <w:tcW w:w="1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14,135</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2,678</w:t>
            </w:r>
          </w:p>
        </w:tc>
        <w:tc>
          <w:tcPr>
            <w:tcW w:w="130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7"/>
        </w:trPr>
        <w:tc>
          <w:tcPr>
            <w:tcW w:w="13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427"/>
        </w:trPr>
        <w:tc>
          <w:tcPr>
            <w:tcW w:w="1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right"/>
              <w:ind w:right="132"/>
              <w:spacing w:after="0"/>
              <w:rPr>
                <w:sz w:val="20"/>
                <w:szCs w:val="20"/>
                <w:color w:val="auto"/>
              </w:rPr>
            </w:pPr>
            <w:r>
              <w:rPr>
                <w:rFonts w:ascii="Arial" w:cs="Arial" w:eastAsia="Arial" w:hAnsi="Arial"/>
                <w:sz w:val="18"/>
                <w:szCs w:val="18"/>
                <w:color w:val="auto"/>
              </w:rPr>
              <w:t>S-5</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084"/>
        </w:trPr>
        <w:tc>
          <w:tcPr>
            <w:tcW w:w="1340" w:type="dxa"/>
            <w:vAlign w:val="bottom"/>
            <w:tcBorders>
              <w:top w:val="single" w:sz="8" w:color="auto"/>
              <w:left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gridSpan w:val="3"/>
            <w:vMerge w:val="restart"/>
          </w:tcPr>
          <w:p>
            <w:pPr>
              <w:jc w:val="center"/>
              <w:ind w:right="17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29"/>
        </w:trPr>
        <w:tc>
          <w:tcPr>
            <w:tcW w:w="1340" w:type="dxa"/>
            <w:vAlign w:val="bottom"/>
            <w:tcBorders>
              <w:left w:val="single" w:sz="8" w:color="auto"/>
            </w:tcBorders>
          </w:tcPr>
          <w:p>
            <w:pPr>
              <w:spacing w:after="0"/>
              <w:rPr>
                <w:sz w:val="11"/>
                <w:szCs w:val="11"/>
                <w:color w:val="auto"/>
              </w:rPr>
            </w:pPr>
          </w:p>
        </w:tc>
        <w:tc>
          <w:tcPr>
            <w:tcW w:w="3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3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August 30,</w:t>
            </w: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August 31,</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September 1,</w:t>
            </w:r>
          </w:p>
        </w:tc>
        <w:tc>
          <w:tcPr>
            <w:tcW w:w="2460" w:type="dxa"/>
            <w:vAlign w:val="bottom"/>
            <w:tcBorders>
              <w:right w:val="single" w:sz="8" w:color="auto"/>
            </w:tcBorders>
            <w:gridSpan w:val="4"/>
          </w:tcPr>
          <w:p>
            <w:pPr>
              <w:jc w:val="center"/>
              <w:ind w:right="1500"/>
              <w:spacing w:after="0" w:line="149" w:lineRule="exact"/>
              <w:rPr>
                <w:sz w:val="20"/>
                <w:szCs w:val="20"/>
                <w:color w:val="auto"/>
              </w:rPr>
            </w:pPr>
            <w:r>
              <w:rPr>
                <w:rFonts w:ascii="Arial" w:cs="Arial" w:eastAsia="Arial" w:hAnsi="Arial"/>
                <w:sz w:val="14"/>
                <w:szCs w:val="14"/>
                <w:b w:val="1"/>
                <w:bCs w:val="1"/>
                <w:color w:val="auto"/>
                <w:w w:val="87"/>
              </w:rPr>
              <w:t>November 29,</w:t>
            </w: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tcBorders>
          </w:tcPr>
          <w:p>
            <w:pPr>
              <w:spacing w:after="0"/>
              <w:rPr>
                <w:sz w:val="14"/>
                <w:szCs w:val="14"/>
                <w:color w:val="auto"/>
              </w:rPr>
            </w:pPr>
          </w:p>
        </w:tc>
        <w:tc>
          <w:tcPr>
            <w:tcW w:w="38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6"/>
              </w:rPr>
              <w:t>Cash and equivalents and short-term investments</w:t>
            </w:r>
          </w:p>
        </w:tc>
        <w:tc>
          <w:tcPr>
            <w:tcW w:w="10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6,802</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5,428</w:t>
            </w: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4,398</w:t>
            </w: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5,563</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9,476</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1,565</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35,336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44,595</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Current debt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3,734</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Micron shareholders' equity</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32,294</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18,621</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12,080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33,869</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20" w:type="dxa"/>
            <w:vAlign w:val="bottom"/>
            <w:gridSpan w:val="2"/>
          </w:tcPr>
          <w:p>
            <w:pPr>
              <w:jc w:val="right"/>
              <w:ind w:right="292"/>
              <w:spacing w:after="0"/>
              <w:rPr>
                <w:sz w:val="20"/>
                <w:szCs w:val="20"/>
                <w:color w:val="auto"/>
              </w:rPr>
            </w:pPr>
            <w:r>
              <w:rPr>
                <w:rFonts w:ascii="Arial" w:cs="Arial" w:eastAsia="Arial" w:hAnsi="Arial"/>
                <w:sz w:val="18"/>
                <w:szCs w:val="18"/>
                <w:color w:val="auto"/>
              </w:rPr>
              <w:t>S-6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-1682115</wp:posOffset>
            </wp:positionV>
            <wp:extent cx="55568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-1407795</wp:posOffset>
            </wp:positionV>
            <wp:extent cx="555688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-1133475</wp:posOffset>
            </wp:positionV>
            <wp:extent cx="55568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56885" cy="13716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-859155</wp:posOffset>
            </wp:positionV>
            <wp:extent cx="55568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56885" cy="13716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 this prospectus supplement and the accompanying prospectus. In particular, you should carefully consider the risk factors in our Quarterly Report on Form 10-Q for the quarter ended November 29, 2018 as well as the risk factors described below, which are not exhaustive. In this section, references to "Micron," "us," "we," or "our" refer only to Micron Technology, Inc. and not to any of its subsidiaries.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hereby incorporate by reference the risk factors in Item 1A of our Quarterly Report on Form 10-Q for the fiscal quarter ended November 29, 2018.</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We may not be able to generate sufficient cash to service our debt obligations, including our obligations under the notes.</w:t>
      </w:r>
    </w:p>
    <w:p>
      <w:pPr>
        <w:spacing w:after="0" w:line="225" w:lineRule="exact"/>
        <w:rPr>
          <w:sz w:val="20"/>
          <w:szCs w:val="20"/>
          <w:color w:val="auto"/>
        </w:rPr>
      </w:pPr>
    </w:p>
    <w:p>
      <w:pPr>
        <w:jc w:val="both"/>
        <w:ind w:firstLine="414"/>
        <w:spacing w:after="0" w:line="306" w:lineRule="auto"/>
        <w:rPr>
          <w:sz w:val="20"/>
          <w:szCs w:val="20"/>
          <w:color w:val="auto"/>
        </w:rPr>
      </w:pPr>
      <w:r>
        <w:rPr>
          <w:rFonts w:ascii="Arial" w:cs="Arial" w:eastAsia="Arial" w:hAnsi="Arial"/>
          <w:sz w:val="16"/>
          <w:szCs w:val="16"/>
          <w:color w:val="auto"/>
        </w:rPr>
        <w:t>Our ability to make payments on and to refinance our indebtedness, including the notes,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premium, if any, and interest on our indebtedness, including the notes.</w:t>
      </w:r>
    </w:p>
    <w:p>
      <w:pPr>
        <w:spacing w:after="0" w:line="161"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investments and capital expenditures, or to sell assets, seek additional capital or restructure or refinance our indebtedness, including the notes. These alternative measures may not be successful and may not permit us to meet our scheduled debt service obligations. We cannot assure you that we would be able to implement any of these alternatives on satisfactory terms or at all. In the absence of such operating results and resources,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w:t>
      </w:r>
    </w:p>
    <w:p>
      <w:pPr>
        <w:spacing w:after="0" w:line="174"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If we are unable to service our debt obligations from cash flows, we may need to refinance all or a portion of our debt obligations prior to maturity. Our ability to refinance or restructure our debt will depend upon the condition of the capital markets and our financial condition at such time. Any refinancing of our debt could be at higher interest rates and may require us to comply with more onerous covenants, which could further restrict our business operations. We may not be able to refinance any of our indebtedness on commercially reasonable terms or at all.</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Despite current indebtedness levels, we are able to incur substantially more debt. This could further exacerbate the risks described herein.</w:t>
      </w:r>
    </w:p>
    <w:p>
      <w:pPr>
        <w:spacing w:after="0" w:line="248" w:lineRule="exact"/>
        <w:rPr>
          <w:sz w:val="20"/>
          <w:szCs w:val="20"/>
          <w:color w:val="auto"/>
        </w:rPr>
      </w:pPr>
    </w:p>
    <w:p>
      <w:pPr>
        <w:jc w:val="both"/>
        <w:ind w:firstLine="438"/>
        <w:spacing w:after="0" w:line="291" w:lineRule="auto"/>
        <w:rPr>
          <w:sz w:val="20"/>
          <w:szCs w:val="20"/>
          <w:color w:val="auto"/>
        </w:rPr>
      </w:pPr>
      <w:r>
        <w:rPr>
          <w:rFonts w:ascii="Arial" w:cs="Arial" w:eastAsia="Arial" w:hAnsi="Arial"/>
          <w:sz w:val="16"/>
          <w:szCs w:val="16"/>
          <w:color w:val="auto"/>
        </w:rPr>
        <w:t>We and our subsidiaries are able to incur substantial additional indebtedness in the future, including secured indebtedness, and the terms of the indenture governing each series of notes offered hereby will not fully prohibit us or our subsidiaries from incurring secured indebtedness. If we incur any secured indebtedness without equally and ratably securing the notes offered hereby (as is permitted in certain circumstances), the holders of any such additional secured indebtedness would have payment priority, to the extent of the value of the assets securing such indebtedness (but not the notes), in connection with any insolvency, liquidation, reorganization, dissolution or other winding up of us. These payment priorities may have the effect of reducing the amount of proceeds paid to you. If we incur any additional indebtedness that ranks pari passu with the notes, the holders of that debt will be entitled to share ratably with you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proceeds distributed in connection with any insolvency, liquidation, reorganization, dissolution or other winding-up of us. If new debt is added to our current debt levels, the related risks that we and our subsidiaries now face could intensify. See "Description of the Notes."</w:t>
      </w:r>
    </w:p>
    <w:p>
      <w:pPr>
        <w:spacing w:after="0" w:line="186"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i w:val="1"/>
          <w:iCs w:val="1"/>
          <w:color w:val="auto"/>
        </w:rPr>
        <w:t>The indenture governing each series of notes will contain negative covenants that may have a limited effect but these covenants may still restrict the operation of our business.</w:t>
      </w:r>
    </w:p>
    <w:p>
      <w:pPr>
        <w:spacing w:after="0" w:line="18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The indenture governing each series of notes will contain limited covenants. These covenants will restrict our ability and/or the ability of our restricted subsidiaries (which are generally domestic subsidiaries in which we own at least 80% of the voting stock and which own Principal Property) to create certain liens on Principal Property owned by us or a restricted subsidiary and shares of capital stock of any restricted subsidiary, enter into certain sale and lease-back transactions with respect to Principal Property and consolidate or merge with or into, or sell substantially all of our assets to, another person. A substantial portion of our assets are owned by and a substantial portion of our operations are conducted through our foreign subsidiaries and joint ventures, none of which are subject to these restrictions. In addition, these limited covenants contain exceptions that will allow us and our restricted subsidiaries to incur liens on Principal Property owned by us or a restricted subsidiary and shares of capital stock of a restricted subsidiary and to enter into sale and lease-back transactions with respect to Principal Property. See "Description of the Notes—Certain Covenants." In light of these exceptions, holders of the notes may be structurally or contractually subordinated to new lenders or other creditors.</w:t>
      </w:r>
    </w:p>
    <w:p>
      <w:pPr>
        <w:spacing w:after="0" w:line="174"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auto"/>
        </w:rPr>
        <w:t>Despite the limited effect of the covenants in the indenture governing each series of notes, existing or additional indebtedness that we incur in the future may subject us to other restrictions or covenants. Our failure to comply with these restrictions or covenants could result in a default under the agreements governing the relevant indebtedness. If a default under the indenture or any such debt agreement is not cured or waived, the default could result in the acceleration of debt under our debt agreements that contain cross-acceleration or cross-default provisions, which could require us to repurchase or repay debt prior to the date it is otherwise due and that could adversely affect our financial condition. The indenture governing each series of notes does not have cross-acceleration or cross-default provisions.</w:t>
      </w:r>
    </w:p>
    <w:p>
      <w:pPr>
        <w:spacing w:after="0" w:line="198" w:lineRule="exact"/>
        <w:rPr>
          <w:sz w:val="20"/>
          <w:szCs w:val="20"/>
          <w:color w:val="auto"/>
        </w:rPr>
      </w:pPr>
    </w:p>
    <w:p>
      <w:pPr>
        <w:jc w:val="both"/>
        <w:ind w:firstLine="383"/>
        <w:spacing w:after="0" w:line="298" w:lineRule="auto"/>
        <w:rPr>
          <w:sz w:val="20"/>
          <w:szCs w:val="20"/>
          <w:color w:val="auto"/>
        </w:rPr>
      </w:pPr>
      <w:r>
        <w:rPr>
          <w:rFonts w:ascii="Arial" w:cs="Arial" w:eastAsia="Arial" w:hAnsi="Arial"/>
          <w:sz w:val="16"/>
          <w:szCs w:val="16"/>
          <w:color w:val="auto"/>
        </w:rPr>
        <w:t>Our ability to comply with covenants contained in the indenture and any other debt agreements to which we may become a party may be affected by events beyond our control, including prevailing economic, financial and industry conditions. Even if we are able to comply with all of the applicable covenants, the restrictions on our ability to manage our business in our sole discretion could adversely affect our business by, among other things, limiting our ability to take advantage of financings, mergers, acquisitions and other corporate opportunities that we believe would be beneficial to us.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Claims of noteholders will be structurally subordinated to claims of creditors of our subsidiaries.</w:t>
      </w:r>
    </w:p>
    <w:p>
      <w:pPr>
        <w:spacing w:after="0" w:line="225" w:lineRule="exact"/>
        <w:rPr>
          <w:sz w:val="20"/>
          <w:szCs w:val="20"/>
          <w:color w:val="auto"/>
        </w:rPr>
      </w:pPr>
    </w:p>
    <w:p>
      <w:pPr>
        <w:jc w:val="both"/>
        <w:ind w:firstLine="355"/>
        <w:spacing w:after="0" w:line="287" w:lineRule="auto"/>
        <w:rPr>
          <w:sz w:val="20"/>
          <w:szCs w:val="20"/>
          <w:color w:val="auto"/>
        </w:rPr>
      </w:pPr>
      <w:r>
        <w:rPr>
          <w:rFonts w:ascii="Arial" w:cs="Arial" w:eastAsia="Arial" w:hAnsi="Arial"/>
          <w:sz w:val="16"/>
          <w:szCs w:val="16"/>
          <w:color w:val="auto"/>
        </w:rPr>
        <w:t>The notes are not required to be guaranteed by any of our subsidiaries. Accordingly, claims of holders of the notes generally will be structurally subordinated to the claims of creditors of our subsidiaries, including trade creditors. The indenture governing each series of notes does not restrict the ability of our subsidiaries to incur additional unsecured indebtedness, and does not contain any limitations on the amount of other liabilities (such as trade payables) that may be incurred by our subsidiaries. All obligations of our subsidiaries will have to be satisfied before any of the assets of these subsidiaries would be available for distribution, upon a liquidation or otherwise, to us. In the event of the liquidation, dissolution, reorganization, bankruptcy or similar proceeding of the business of a subsidiary, creditors of that subsidiary would generally have the right to be paid in full before any distribution is made to us or the holders of the notes. In any of these events, the assets of that subsidiary that are available to us may not be sufficient to pay amounts due on the notes. As of November 29, 2018 our subsidiaries had outstanding liabilities (including trade payables and indebtedness to third parties at the full stated amount thereof but excluding intercompany indebtedness and other obligations and liabilities of a type not required to be reflected on a balance sheet of such subsidiaries in accordance with GAAP) of approximately $6.2 billion,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which will be structurally senior to the notes with respect to claims on the assets and cash flows of our subsidiaries.</w:t>
      </w:r>
    </w:p>
    <w:p>
      <w:pPr>
        <w:spacing w:after="0" w:line="225" w:lineRule="exact"/>
        <w:rPr>
          <w:sz w:val="20"/>
          <w:szCs w:val="20"/>
          <w:color w:val="auto"/>
        </w:rPr>
      </w:pPr>
    </w:p>
    <w:p>
      <w:pPr>
        <w:jc w:val="both"/>
        <w:ind w:right="20" w:firstLine="476"/>
        <w:spacing w:after="0" w:line="268" w:lineRule="auto"/>
        <w:rPr>
          <w:sz w:val="20"/>
          <w:szCs w:val="20"/>
          <w:color w:val="auto"/>
        </w:rPr>
      </w:pPr>
      <w:r>
        <w:rPr>
          <w:rFonts w:ascii="Arial" w:cs="Arial" w:eastAsia="Arial" w:hAnsi="Arial"/>
          <w:sz w:val="18"/>
          <w:szCs w:val="18"/>
          <w:b w:val="1"/>
          <w:bCs w:val="1"/>
          <w:i w:val="1"/>
          <w:iCs w:val="1"/>
          <w:color w:val="auto"/>
        </w:rPr>
        <w:t>The notes will be unsecured and effectively subordinated to our existing and future secured indebtedness to the extent of the collateral securing such indebtedness (unless the notes are equally and ratably secured with such indebtedness).</w:t>
      </w:r>
    </w:p>
    <w:p>
      <w:pPr>
        <w:spacing w:after="0" w:line="186" w:lineRule="exact"/>
        <w:rPr>
          <w:sz w:val="20"/>
          <w:szCs w:val="20"/>
          <w:color w:val="auto"/>
        </w:rPr>
      </w:pPr>
    </w:p>
    <w:p>
      <w:pPr>
        <w:jc w:val="both"/>
        <w:ind w:firstLine="416"/>
        <w:spacing w:after="0" w:line="289" w:lineRule="auto"/>
        <w:rPr>
          <w:sz w:val="20"/>
          <w:szCs w:val="20"/>
          <w:color w:val="auto"/>
        </w:rPr>
      </w:pPr>
      <w:r>
        <w:rPr>
          <w:rFonts w:ascii="Arial" w:cs="Arial" w:eastAsia="Arial" w:hAnsi="Arial"/>
          <w:sz w:val="16"/>
          <w:szCs w:val="16"/>
          <w:color w:val="auto"/>
        </w:rPr>
        <w:t>The notes will be general unsecured obligations ranking effectively junior in right of payment to all of our existing and future secured indebtedness to the extent of the collateral securing such indebtedness (unless the notes are equally and ratably secured with such indebtedness). Additionally, the indenture governing each series of notes does not restrict our foreign subsidiaries, joint ventures or certain domestic subsidiaries from incurring secured indebtedness in the future. Additionally, the indenture permits us and our restricted subsidiaries to incur certain kinds of additional secured indebtedness without equally and ratably securing the notes. In the event that we are declared bankrupt, become insolvent or are liquidated or reorganized, any secured indebtedness that is effectively senior to the notes will be entitled to be paid in full from our assets securing such indebtedness before any payment may be made with respect to the notes. Holders of the notes will participate ratably with all holders of our unsecured indebtedness that is deemed to be of the same class as the notes, and potentially with all of our other general creditors, based upon the respective amounts owed to each holder or creditor, in our remaining assets.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225" w:lineRule="exact"/>
        <w:rPr>
          <w:sz w:val="20"/>
          <w:szCs w:val="20"/>
          <w:color w:val="auto"/>
        </w:rPr>
      </w:pPr>
    </w:p>
    <w:p>
      <w:pPr>
        <w:jc w:val="both"/>
        <w:ind w:firstLine="382"/>
        <w:spacing w:after="0" w:line="294" w:lineRule="auto"/>
        <w:rPr>
          <w:sz w:val="20"/>
          <w:szCs w:val="20"/>
          <w:color w:val="auto"/>
        </w:rPr>
      </w:pPr>
      <w:r>
        <w:rPr>
          <w:rFonts w:ascii="Arial" w:cs="Arial" w:eastAsia="Arial" w:hAnsi="Arial"/>
          <w:sz w:val="16"/>
          <w:szCs w:val="16"/>
          <w:color w:val="auto"/>
        </w:rPr>
        <w:t>Our credit rating, any rating that may be assigned to the notes, and the credit ratings assigned to our outstanding debt, including our outstanding convertible notes, reflect the rating agencies' assessments of our ability to make payments on our debt when due. Actual or anticipated changes or downgrades in our credit ratings or those of the notes if issued, including any announcement that our ratings are under further review for a downgrade, with respect to the issuance of the notes or our other outstanding debt could increase our corporate borrowing costs and affect the market value of your notes. Also, our credit ratings may not reflect the potential impact of risks related to structure, market or other factors related to the value of the notes.</w:t>
      </w:r>
    </w:p>
    <w:p>
      <w:pPr>
        <w:spacing w:after="0" w:line="170" w:lineRule="exact"/>
        <w:rPr>
          <w:sz w:val="20"/>
          <w:szCs w:val="20"/>
          <w:color w:val="auto"/>
        </w:rPr>
      </w:pPr>
    </w:p>
    <w:p>
      <w:pPr>
        <w:jc w:val="both"/>
        <w:ind w:firstLine="422"/>
        <w:spacing w:after="0" w:line="306" w:lineRule="auto"/>
        <w:rPr>
          <w:sz w:val="20"/>
          <w:szCs w:val="20"/>
          <w:color w:val="auto"/>
        </w:rPr>
      </w:pPr>
      <w:r>
        <w:rPr>
          <w:rFonts w:ascii="Arial" w:cs="Arial" w:eastAsia="Arial" w:hAnsi="Arial"/>
          <w:sz w:val="16"/>
          <w:szCs w:val="16"/>
          <w:color w:val="auto"/>
        </w:rPr>
        <w:t>A rating is not a recommendation to buy, sell or hold the notes, and there is no assurance that any rating will apply for any given period of time or that a rating may not be adjusted or withdrawn. We cannot be sure that rating agencies will rate the notes or maintain their ratings once issued. Neither we nor any underwriter undertakes any obligation to obtain a rating, maintain the ratings once issued or to advise holders of the notes of any change in ratings.</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Your ability to transfer the notes may be limited by the absence of an active trading market, and an active trading market may not develop for the notes.</w:t>
      </w:r>
    </w:p>
    <w:p>
      <w:pPr>
        <w:spacing w:after="0" w:line="260" w:lineRule="exact"/>
        <w:rPr>
          <w:sz w:val="20"/>
          <w:szCs w:val="20"/>
          <w:color w:val="auto"/>
        </w:rPr>
      </w:pPr>
    </w:p>
    <w:p>
      <w:pPr>
        <w:jc w:val="both"/>
        <w:ind w:firstLine="429"/>
        <w:spacing w:after="0" w:line="291" w:lineRule="auto"/>
        <w:rPr>
          <w:sz w:val="20"/>
          <w:szCs w:val="20"/>
          <w:color w:val="auto"/>
        </w:rPr>
      </w:pPr>
      <w:r>
        <w:rPr>
          <w:rFonts w:ascii="Arial" w:cs="Arial" w:eastAsia="Arial" w:hAnsi="Arial"/>
          <w:sz w:val="16"/>
          <w:szCs w:val="16"/>
          <w:color w:val="auto"/>
        </w:rPr>
        <w:t>The notes are a new issue of securities for which there is no established trading market. We do not intend to have the notes listed on a national securities exchange or to arrange for quotation on any automated dealer quotation systems. The underwriters have advised us that they intend to make a market in the notes, as permitted by applicable laws and regulations; however, the underwriters are not obligated to make a market in the notes, and they may discontinue their market-making activities with respect to the notes at any time, for any reason or for no reason, and without notice. If the underwriters cease to act as market makers for the notes, we cannot assure you that another firm or person will make a market in the notes. Therefore, we cannot assure you as to the development or liquidity of any trading market for the notes. The liquidity of any market for the notes will depend on a number of factors, including:</w:t>
      </w:r>
    </w:p>
    <w:p>
      <w:pPr>
        <w:spacing w:after="0" w:line="18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holders of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operating performance and financial condition;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in the notes;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25" w:lineRule="exact"/>
        <w:rPr>
          <w:sz w:val="20"/>
          <w:szCs w:val="20"/>
          <w:color w:val="auto"/>
        </w:rPr>
      </w:pPr>
    </w:p>
    <w:p>
      <w:pPr>
        <w:jc w:val="both"/>
        <w:ind w:firstLine="415"/>
        <w:spacing w:after="0" w:line="298" w:lineRule="auto"/>
        <w:rPr>
          <w:sz w:val="20"/>
          <w:szCs w:val="20"/>
          <w:color w:val="auto"/>
        </w:rPr>
      </w:pPr>
      <w:r>
        <w:rPr>
          <w:rFonts w:ascii="Arial" w:cs="Arial" w:eastAsia="Arial" w:hAnsi="Arial"/>
          <w:sz w:val="16"/>
          <w:szCs w:val="16"/>
          <w:color w:val="auto"/>
        </w:rPr>
        <w:t>Historically, the market for investment grade debt has been subject to disruptions that have caused volatility in the prices of securities similar to the notes. The market, if any, for the notes may face similar disruptions that may adversely affect the prices at which you may sell your notes. For instance, an increase in market interest rates may lead potential purchasers of our securities to demand a higher annual yield, which could adversely affect the market price of the notes. Therefore, you may not be able to sell your notes at a particular time and the price that you receive when you sell may not be favorable.</w:t>
      </w:r>
    </w:p>
    <w:p>
      <w:pPr>
        <w:spacing w:after="0" w:line="167" w:lineRule="exact"/>
        <w:rPr>
          <w:sz w:val="20"/>
          <w:szCs w:val="20"/>
          <w:color w:val="auto"/>
        </w:rPr>
      </w:pPr>
    </w:p>
    <w:p>
      <w:pPr>
        <w:jc w:val="both"/>
        <w:ind w:firstLine="503"/>
        <w:spacing w:after="0" w:line="268" w:lineRule="auto"/>
        <w:rPr>
          <w:sz w:val="20"/>
          <w:szCs w:val="20"/>
          <w:color w:val="auto"/>
        </w:rPr>
      </w:pPr>
      <w:r>
        <w:rPr>
          <w:rFonts w:ascii="Arial" w:cs="Arial" w:eastAsia="Arial" w:hAnsi="Arial"/>
          <w:sz w:val="18"/>
          <w:szCs w:val="18"/>
          <w:b w:val="1"/>
          <w:bCs w:val="1"/>
          <w:i w:val="1"/>
          <w:iCs w:val="1"/>
          <w:color w:val="auto"/>
        </w:rPr>
        <w:t>Upon a Change of Control Triggering Event, we may not have the funds necessary to finance the change of control offer required by the indenture governing each series of notes, which would violate the terms of such indenture.</w:t>
      </w:r>
    </w:p>
    <w:p>
      <w:pPr>
        <w:spacing w:after="0" w:line="186" w:lineRule="exact"/>
        <w:rPr>
          <w:sz w:val="20"/>
          <w:szCs w:val="20"/>
          <w:color w:val="auto"/>
        </w:rPr>
      </w:pPr>
    </w:p>
    <w:p>
      <w:pPr>
        <w:jc w:val="both"/>
        <w:ind w:firstLine="358"/>
        <w:spacing w:after="0" w:line="288" w:lineRule="auto"/>
        <w:rPr>
          <w:sz w:val="20"/>
          <w:szCs w:val="20"/>
          <w:color w:val="auto"/>
        </w:rPr>
      </w:pPr>
      <w:r>
        <w:rPr>
          <w:rFonts w:ascii="Arial" w:cs="Arial" w:eastAsia="Arial" w:hAnsi="Arial"/>
          <w:sz w:val="16"/>
          <w:szCs w:val="16"/>
          <w:color w:val="auto"/>
        </w:rPr>
        <w:t>Upon the occurrence of a Change of Control Triggering Event (as defined in the indenture governing each series of notes), holders of each series of the notes will have the right to require us to purchase such notes at a price equal to 101% of the principal amount, plus accrued and unpaid interest, if any, to but excluding the date of purchase as described in "Description of the Notes—Repurchase of Notes upon a Change of Control Triggering Event." The indentures governing our existing convertible senior notes and our existing senior notes and certain other agreements governing our other indebtedness contain a similar provision and agreements governing indebtedness that we may incur in the future may contain similar provisions or provide that a change of control will be a default that permits the lenders to accelerate the maturity of the borrowings thereunder. We may not have sufficient financial resources available to satisfy all of our obligations under the notes in the event of a change of control. Our failure to purchase the notes of a series as required under the indenture would result in a default under such indenture, which could have material adverse consequences for us and the holders of the notes. See "Description of the Notes—Repurchase of Notes upon a Change of Control Triggering Event."</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The provisions of the notes will not necessarily protect you in the event of certain highly leveraged transactions.</w:t>
      </w:r>
    </w:p>
    <w:p>
      <w:pPr>
        <w:spacing w:after="0" w:line="225" w:lineRule="exact"/>
        <w:rPr>
          <w:sz w:val="20"/>
          <w:szCs w:val="20"/>
          <w:color w:val="auto"/>
        </w:rPr>
      </w:pPr>
    </w:p>
    <w:p>
      <w:pPr>
        <w:jc w:val="both"/>
        <w:ind w:firstLine="485"/>
        <w:spacing w:after="0" w:line="289" w:lineRule="auto"/>
        <w:rPr>
          <w:sz w:val="20"/>
          <w:szCs w:val="20"/>
          <w:color w:val="auto"/>
        </w:rPr>
      </w:pPr>
      <w:r>
        <w:rPr>
          <w:rFonts w:ascii="Arial" w:cs="Arial" w:eastAsia="Arial" w:hAnsi="Arial"/>
          <w:sz w:val="16"/>
          <w:szCs w:val="16"/>
          <w:color w:val="auto"/>
        </w:rPr>
        <w:t>Upon the occurrence of a Change of Control Triggering Event, you will have the right to require us to purchase the notes as provided in the indenture governing each series of notes, and on the terms set forth in the notes. However, the Change of Control Triggering Event provisions will not afford you protection in the event of certain highly leveraged transactions that may adversely affect you. For example, any leveraged recapitalization, refinancing, restructuring or acquisition initiated by us generally will not constitute a Change of Control that would potentially lead to a Change of Control Triggering Event. As a result, we could enter into any such transaction even though the transaction could increase the total amount of our outstanding indebtedness, adversely affect our capital structure or credit rating or otherwise adversely affect the holders of the notes.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If any such transaction were to occur, the value of your notes could decline.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estimate that the net proceeds of the offering, after deducting underwriter discounts and other estimated offering expenses, will be approximately</w:t>
      </w:r>
    </w:p>
    <w:p>
      <w:pPr>
        <w:spacing w:after="0" w:line="38"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billion.</w:t>
      </w:r>
    </w:p>
    <w:p>
      <w:pPr>
        <w:spacing w:after="0" w:line="219"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We intend to use the net proceeds from this offering primarily to pay the cost of extinguishing our obligations with respect to $1,019 million aggregate outstanding principal amount of our 3.00% Convertible Senior Notes due 2043 (the "2043 Notes"), which may include payments in settlement of conversion or redemption of such notes. Promptly following the closing of this offering, we intend to call for redemption all outstanding 2043 Notes and we will redeem such notes unless the holders thereof elect to convert their 2043 Notes prior to such redemption. Based on the current conversion rate of 34.2936 shares per $1,000 principal amount of 2043 Notes and, assuming for purposes of calculating settlement value under the indenture for the 2043 Notes that the volume weighted average price of our common stock is $39.60 per share, which is the closing price of our common stock on February 1, 2019, for each trading day of the applicable measurement period, if all of the 2043 Notes were converted prior to the redemption date for such notes, we would be required to pay approximately $1.38 billion in the aggregate if we elected to pay solely cash upon conversion, which is our current intent. We intend to use any remaining net proceeds of the offering for general corporate purposes, which may include capital expenditures, working capital and the repayment, repurchase, redemption or other retirement of our other existing indebtedness.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AND CAPITALIZATION</w:t>
      </w:r>
    </w:p>
    <w:p>
      <w:pPr>
        <w:spacing w:after="0" w:line="231" w:lineRule="exact"/>
        <w:rPr>
          <w:sz w:val="20"/>
          <w:szCs w:val="20"/>
          <w:color w:val="auto"/>
        </w:rPr>
      </w:pPr>
    </w:p>
    <w:p>
      <w:pPr>
        <w:jc w:val="both"/>
        <w:ind w:firstLine="472"/>
        <w:spacing w:after="0" w:line="254" w:lineRule="auto"/>
        <w:rPr>
          <w:sz w:val="20"/>
          <w:szCs w:val="20"/>
          <w:color w:val="auto"/>
        </w:rPr>
      </w:pPr>
      <w:r>
        <w:rPr>
          <w:rFonts w:ascii="Arial" w:cs="Arial" w:eastAsia="Arial" w:hAnsi="Arial"/>
          <w:sz w:val="18"/>
          <w:szCs w:val="18"/>
          <w:color w:val="auto"/>
        </w:rPr>
        <w:t>The following table sets forth a summary of our consolidated cash, cash equivalents, short-term investments and long-term marketable investments and capitalization on an actual and as adjusted basis as of November 29, 2018. Our consolidated capitalization, as adjusted, gives effect to the issuance of the notes offered by this prospectus supplement as if the offering had occurred on November 29, 2018 and to the use of proceeds therefrom as described in "Use of Proceeds" to pay the costs of extinguishing our obligations with respect to our outstanding 3.00% Convertible Senior Notes due 2043, which we expect to settle solely in cash upon conversion. This table should be read in conjunction with our Consolidated Financial Statements incorporated by reference in this prospectus supplement.</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5"/>
              </w:rPr>
              <w:t>As of</w:t>
            </w: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6"/>
              </w:rPr>
              <w:t>November 29, 2018</w:t>
            </w: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3"/>
              </w:rPr>
              <w:t>Actual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60" w:type="dxa"/>
            <w:vAlign w:val="bottom"/>
          </w:tcPr>
          <w:p>
            <w:pPr>
              <w:ind w:left="80"/>
              <w:spacing w:after="0"/>
              <w:rPr>
                <w:sz w:val="20"/>
                <w:szCs w:val="20"/>
                <w:color w:val="auto"/>
              </w:rPr>
            </w:pPr>
            <w:r>
              <w:rPr>
                <w:rFonts w:ascii="Arial" w:cs="Arial" w:eastAsia="Arial" w:hAnsi="Arial"/>
                <w:sz w:val="9"/>
                <w:szCs w:val="9"/>
                <w:b w:val="1"/>
                <w:bCs w:val="1"/>
                <w:color w:val="auto"/>
                <w:w w:val="74"/>
              </w:rPr>
              <w:t>in</w:t>
            </w:r>
          </w:p>
        </w:tc>
        <w:tc>
          <w:tcPr>
            <w:tcW w:w="880" w:type="dxa"/>
            <w:vAlign w:val="bottom"/>
          </w:tcPr>
          <w:p>
            <w:pPr>
              <w:jc w:val="right"/>
              <w:ind w:right="243"/>
              <w:spacing w:after="0" w:line="142" w:lineRule="exact"/>
              <w:rPr>
                <w:sz w:val="20"/>
                <w:szCs w:val="20"/>
                <w:color w:val="auto"/>
              </w:rPr>
            </w:pPr>
            <w:r>
              <w:rPr>
                <w:rFonts w:ascii="Arial" w:cs="Arial" w:eastAsia="Arial" w:hAnsi="Arial"/>
                <w:sz w:val="14"/>
                <w:szCs w:val="14"/>
                <w:b w:val="1"/>
                <w:bCs w:val="1"/>
                <w:color w:val="auto"/>
                <w:w w:val="93"/>
              </w:rPr>
              <w:t>millions)</w:t>
            </w: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2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Cash and equivalents</w:t>
            </w:r>
            <w:r>
              <w:rPr>
                <w:rFonts w:ascii="Arial" w:cs="Arial" w:eastAsia="Arial" w:hAnsi="Arial"/>
                <w:sz w:val="29"/>
                <w:szCs w:val="29"/>
                <w:color w:val="auto"/>
                <w:vertAlign w:val="superscript"/>
              </w:rPr>
              <w:t>(1)</w:t>
            </w:r>
          </w:p>
        </w:tc>
        <w:tc>
          <w:tcPr>
            <w:tcW w:w="45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40" w:type="dxa"/>
            <w:vAlign w:val="bottom"/>
            <w:gridSpan w:val="2"/>
            <w:shd w:val="clear" w:color="auto" w:fill="CCEEFF"/>
          </w:tcPr>
          <w:p>
            <w:pPr>
              <w:jc w:val="right"/>
              <w:ind w:right="72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marketable investments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w w:val="95"/>
              </w:rPr>
              <w:t>Cash and equivalents, short-term investments and long-term marketable investments</w:t>
            </w: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Long-term debt and capital lease obligations, excluding current portion:</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w w:val="90"/>
              </w:rPr>
              <w:t>% senior notes due 20</w:t>
            </w:r>
          </w:p>
        </w:tc>
        <w:tc>
          <w:tcPr>
            <w:tcW w:w="4500" w:type="dxa"/>
            <w:vAlign w:val="bottom"/>
          </w:tcPr>
          <w:p>
            <w:pPr>
              <w:ind w:left="80"/>
              <w:spacing w:after="0"/>
              <w:rPr>
                <w:sz w:val="20"/>
                <w:szCs w:val="20"/>
                <w:color w:val="auto"/>
              </w:rPr>
            </w:pPr>
            <w:r>
              <w:rPr>
                <w:rFonts w:ascii="Arial" w:cs="Arial" w:eastAsia="Arial" w:hAnsi="Arial"/>
                <w:sz w:val="18"/>
                <w:szCs w:val="18"/>
                <w:color w:val="auto"/>
              </w:rPr>
              <w:t>offered hereby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0"/>
              </w:rPr>
              <w:t>% senior notes due 20</w:t>
            </w: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offered hereby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ind w:left="520"/>
              <w:spacing w:after="0"/>
              <w:rPr>
                <w:sz w:val="20"/>
                <w:szCs w:val="20"/>
                <w:color w:val="auto"/>
              </w:rPr>
            </w:pPr>
            <w:r>
              <w:rPr>
                <w:rFonts w:ascii="Arial" w:cs="Arial" w:eastAsia="Arial" w:hAnsi="Arial"/>
                <w:sz w:val="18"/>
                <w:szCs w:val="18"/>
                <w:color w:val="auto"/>
                <w:w w:val="90"/>
              </w:rPr>
              <w:t>% senior notes due 20</w:t>
            </w:r>
          </w:p>
        </w:tc>
        <w:tc>
          <w:tcPr>
            <w:tcW w:w="4500" w:type="dxa"/>
            <w:vAlign w:val="bottom"/>
          </w:tcPr>
          <w:p>
            <w:pPr>
              <w:ind w:left="80"/>
              <w:spacing w:after="0"/>
              <w:rPr>
                <w:sz w:val="20"/>
                <w:szCs w:val="20"/>
                <w:color w:val="auto"/>
              </w:rPr>
            </w:pPr>
            <w:r>
              <w:rPr>
                <w:rFonts w:ascii="Arial" w:cs="Arial" w:eastAsia="Arial" w:hAnsi="Arial"/>
                <w:sz w:val="18"/>
                <w:szCs w:val="18"/>
                <w:color w:val="auto"/>
              </w:rPr>
              <w:t>offered hereby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66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IM Flash Technologies, LLC member debt</w:t>
            </w:r>
            <w:r>
              <w:rPr>
                <w:rFonts w:ascii="Arial" w:cs="Arial" w:eastAsia="Arial" w:hAnsi="Arial"/>
                <w:sz w:val="29"/>
                <w:szCs w:val="29"/>
                <w:color w:val="auto"/>
                <w:vertAlign w:val="superscript"/>
              </w:rPr>
              <w:t>(2)</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Capital lease obligations</w:t>
            </w:r>
          </w:p>
        </w:tc>
        <w:tc>
          <w:tcPr>
            <w:tcW w:w="4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Micron Memory Japan, Inc. creditor payments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Senior secured term loan B due 2022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5.500% senior notes due 2025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66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3.125% convertible senior notes due 2032</w:t>
            </w:r>
            <w:r>
              <w:rPr>
                <w:rFonts w:ascii="Arial" w:cs="Arial" w:eastAsia="Arial" w:hAnsi="Arial"/>
                <w:sz w:val="29"/>
                <w:szCs w:val="29"/>
                <w:color w:val="auto"/>
                <w:vertAlign w:val="superscript"/>
              </w:rPr>
              <w:t>(3)</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66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3.00% convertible senior notes due 2043</w:t>
            </w:r>
            <w:r>
              <w:rPr>
                <w:rFonts w:ascii="Arial" w:cs="Arial" w:eastAsia="Arial" w:hAnsi="Arial"/>
                <w:sz w:val="29"/>
                <w:szCs w:val="29"/>
                <w:color w:val="auto"/>
                <w:vertAlign w:val="superscript"/>
              </w:rPr>
              <w:t>(1)(3)</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660" w:type="dxa"/>
            <w:vAlign w:val="bottom"/>
            <w:gridSpan w:val="3"/>
          </w:tcPr>
          <w:p>
            <w:pPr>
              <w:ind w:left="340"/>
              <w:spacing w:after="0"/>
              <w:rPr>
                <w:sz w:val="20"/>
                <w:szCs w:val="20"/>
                <w:color w:val="auto"/>
              </w:rPr>
            </w:pPr>
            <w:r>
              <w:rPr>
                <w:rFonts w:ascii="Arial" w:cs="Arial" w:eastAsia="Arial" w:hAnsi="Arial"/>
                <w:sz w:val="18"/>
                <w:szCs w:val="18"/>
                <w:color w:val="auto"/>
              </w:rPr>
              <w:t>Total long-term debt and capital lease obligations, excluding current portion</w:t>
            </w:r>
          </w:p>
        </w:tc>
        <w:tc>
          <w:tcPr>
            <w:tcW w:w="5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Redeemable convertible notes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ind w:left="160"/>
              <w:spacing w:after="0"/>
              <w:rPr>
                <w:sz w:val="20"/>
                <w:szCs w:val="20"/>
                <w:color w:val="auto"/>
              </w:rPr>
            </w:pPr>
            <w:r>
              <w:rPr>
                <w:rFonts w:ascii="Arial" w:cs="Arial" w:eastAsia="Arial" w:hAnsi="Arial"/>
                <w:sz w:val="18"/>
                <w:szCs w:val="18"/>
                <w:color w:val="auto"/>
              </w:rPr>
              <w:t>Redeemable noncontrolling interest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6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Total Micron shareholders' equity</w:t>
            </w:r>
            <w:r>
              <w:rPr>
                <w:rFonts w:ascii="Arial" w:cs="Arial" w:eastAsia="Arial" w:hAnsi="Arial"/>
                <w:sz w:val="29"/>
                <w:szCs w:val="29"/>
                <w:color w:val="auto"/>
                <w:vertAlign w:val="superscript"/>
              </w:rPr>
              <w:t>(1)</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33,186</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Noncontrolling interests in subsidiaries</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4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38,572</w:t>
            </w:r>
          </w:p>
        </w:tc>
        <w:tc>
          <w:tcPr>
            <w:tcW w:w="1040" w:type="dxa"/>
            <w:vAlign w:val="bottom"/>
            <w:gridSpan w:val="2"/>
            <w:shd w:val="clear" w:color="auto" w:fill="CCEEFF"/>
          </w:tcPr>
          <w:p>
            <w:pPr>
              <w:jc w:val="right"/>
              <w:ind w:right="72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4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1680" w:hanging="531"/>
        <w:spacing w:after="0" w:line="290"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Assumes conversion and cash settlement of all of our outstanding 3.00% convertible senior notes due 2043 based on the current conversion rate of 34.2936 shares per $1,000 principal amount and assuming, for purposes of calculating the settlement value under the indenture, that the volume weighted average price of our common stock is $39.60 per share for each trading day of the applicable measurement period prior to the redemption date for such notes. The "As Adjusted" amounts reflect an assumed reduction in (i) cash aggregating $1.38 billion, (ii) long-term debt of $686 million and (iii) total Micron shareholders' equity aggregating $683 million as a result of the conversion of these notes. Based on such assumptions, the reduction in total Micron shareholders' equity reflects a reduction in retained earnings of $325 million for the expected non-operating loss on the conversion and settlement of these notes.</w:t>
      </w:r>
    </w:p>
    <w:p>
      <w:pPr>
        <w:spacing w:after="0" w:line="199" w:lineRule="exact"/>
        <w:rPr>
          <w:rFonts w:ascii="Arial" w:cs="Arial" w:eastAsia="Arial" w:hAnsi="Arial"/>
          <w:sz w:val="16"/>
          <w:szCs w:val="16"/>
          <w:color w:val="auto"/>
        </w:rPr>
      </w:pPr>
    </w:p>
    <w:p>
      <w:pPr>
        <w:ind w:left="1680" w:hanging="531"/>
        <w:spacing w:after="0" w:line="332"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Does not reflect the exercise of our call option on January 14, 2019 to purchase Intel's interest in IM Flash, which will cause the member debt to be classified as current debt, or the closing of the call option, which will reduce available cash and eliminate such member debt.</w:t>
      </w:r>
    </w:p>
    <w:p>
      <w:pPr>
        <w:spacing w:after="0" w:line="152" w:lineRule="exact"/>
        <w:rPr>
          <w:rFonts w:ascii="Arial" w:cs="Arial" w:eastAsia="Arial" w:hAnsi="Arial"/>
          <w:sz w:val="16"/>
          <w:szCs w:val="16"/>
          <w:color w:val="auto"/>
        </w:rPr>
      </w:pPr>
    </w:p>
    <w:p>
      <w:pPr>
        <w:ind w:left="1680" w:right="20" w:hanging="531"/>
        <w:spacing w:after="0" w:line="268"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amounts of $134 million for our 3.125% convertible senior notes due 2032 and $1,019 million for our 3.00% convertible senior notes due 2043 are presented net of discounts of $10 million and $333 million,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451"/>
        </w:trPr>
        <w:tc>
          <w:tcPr>
            <w:tcW w:w="1260" w:type="dxa"/>
            <w:vAlign w:val="bottom"/>
            <w:tcBorders>
              <w:top w:val="single" w:sz="8" w:color="0000EE"/>
            </w:tcBorders>
          </w:tcPr>
          <w:p>
            <w:pPr>
              <w:spacing w:after="0"/>
              <w:rPr>
                <w:sz w:val="24"/>
                <w:szCs w:val="24"/>
                <w:color w:val="auto"/>
              </w:rPr>
            </w:pPr>
          </w:p>
        </w:tc>
        <w:tc>
          <w:tcPr>
            <w:tcW w:w="5940" w:type="dxa"/>
            <w:vAlign w:val="bottom"/>
          </w:tcPr>
          <w:p>
            <w:pPr>
              <w:ind w:left="3180"/>
              <w:spacing w:after="0"/>
              <w:rPr>
                <w:sz w:val="20"/>
                <w:szCs w:val="20"/>
                <w:color w:val="auto"/>
              </w:rPr>
            </w:pPr>
            <w:r>
              <w:rPr>
                <w:rFonts w:ascii="Arial" w:cs="Arial" w:eastAsia="Arial" w:hAnsi="Arial"/>
                <w:sz w:val="18"/>
                <w:szCs w:val="18"/>
                <w:b w:val="1"/>
                <w:bCs w:val="1"/>
                <w:color w:val="auto"/>
              </w:rPr>
              <w:t>DESCRIPTION OF THE NOTES</w:t>
            </w:r>
          </w:p>
        </w:tc>
        <w:tc>
          <w:tcPr>
            <w:tcW w:w="10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26"/>
        </w:trPr>
        <w:tc>
          <w:tcPr>
            <w:tcW w:w="7200" w:type="dxa"/>
            <w:vAlign w:val="bottom"/>
            <w:gridSpan w:val="2"/>
          </w:tcPr>
          <w:p>
            <w:pPr>
              <w:ind w:left="420"/>
              <w:spacing w:after="0"/>
              <w:rPr>
                <w:sz w:val="20"/>
                <w:szCs w:val="20"/>
                <w:color w:val="auto"/>
              </w:rPr>
            </w:pPr>
            <w:r>
              <w:rPr>
                <w:rFonts w:ascii="Arial" w:cs="Arial" w:eastAsia="Arial" w:hAnsi="Arial"/>
                <w:sz w:val="18"/>
                <w:szCs w:val="18"/>
                <w:color w:val="auto"/>
                <w:w w:val="95"/>
              </w:rPr>
              <w:t>The notes will be issued under a base indenture (the "Base Indenture"), to be dated as of</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w w:val="94"/>
              </w:rPr>
              <w:t>, 2019, between Micron Technology, Inc. and U.S. Bank</w:t>
            </w:r>
          </w:p>
        </w:tc>
      </w:tr>
      <w:tr>
        <w:trPr>
          <w:trHeight w:val="216"/>
        </w:trPr>
        <w:tc>
          <w:tcPr>
            <w:tcW w:w="8240" w:type="dxa"/>
            <w:vAlign w:val="bottom"/>
            <w:gridSpan w:val="3"/>
          </w:tcPr>
          <w:p>
            <w:pPr>
              <w:spacing w:after="0"/>
              <w:rPr>
                <w:sz w:val="20"/>
                <w:szCs w:val="20"/>
                <w:color w:val="auto"/>
              </w:rPr>
            </w:pPr>
            <w:r>
              <w:rPr>
                <w:rFonts w:ascii="Arial" w:cs="Arial" w:eastAsia="Arial" w:hAnsi="Arial"/>
                <w:sz w:val="18"/>
                <w:szCs w:val="18"/>
                <w:color w:val="auto"/>
                <w:w w:val="96"/>
              </w:rPr>
              <w:t>National Association, as trustee (the "Trustee"), as supplemented by a supplemental indenture, to be dated</w:t>
            </w:r>
          </w:p>
        </w:tc>
        <w:tc>
          <w:tcPr>
            <w:tcW w:w="3180" w:type="dxa"/>
            <w:vAlign w:val="bottom"/>
          </w:tcPr>
          <w:p>
            <w:pPr>
              <w:jc w:val="right"/>
              <w:spacing w:after="0"/>
              <w:rPr>
                <w:sz w:val="20"/>
                <w:szCs w:val="20"/>
                <w:color w:val="auto"/>
              </w:rPr>
            </w:pPr>
            <w:r>
              <w:rPr>
                <w:rFonts w:ascii="Arial" w:cs="Arial" w:eastAsia="Arial" w:hAnsi="Arial"/>
                <w:sz w:val="18"/>
                <w:szCs w:val="18"/>
                <w:color w:val="auto"/>
              </w:rPr>
              <w:t>, 2019, with respect to the notes (the</w:t>
            </w: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"Supplemental Indenture" and, together with the Base Indenture, the "Indenture").</w:t>
            </w:r>
          </w:p>
        </w:tc>
        <w:tc>
          <w:tcPr>
            <w:tcW w:w="1040" w:type="dxa"/>
            <w:vAlign w:val="bottom"/>
          </w:tcPr>
          <w:p>
            <w:pPr>
              <w:spacing w:after="0"/>
              <w:rPr>
                <w:sz w:val="19"/>
                <w:szCs w:val="19"/>
                <w:color w:val="auto"/>
              </w:rPr>
            </w:pPr>
          </w:p>
        </w:tc>
        <w:tc>
          <w:tcPr>
            <w:tcW w:w="3180" w:type="dxa"/>
            <w:vAlign w:val="bottom"/>
          </w:tcPr>
          <w:p>
            <w:pPr>
              <w:spacing w:after="0"/>
              <w:rPr>
                <w:sz w:val="19"/>
                <w:szCs w:val="19"/>
                <w:color w:val="auto"/>
              </w:rPr>
            </w:pPr>
          </w:p>
        </w:tc>
      </w:tr>
    </w:tbl>
    <w:p>
      <w:pPr>
        <w:spacing w:after="0" w:line="210"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The following description is a summary of the material provisions of the Indenture, and does not restate the terms of the Indenture in its entirety. We urge you to read the Indenture because it, and not this description, define your rights as holders of the notes. Defined terms used but not defined in this description have the meanings assigned to them in the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holder of a note will be treated as the owner of such note for all purposes. Only registered holders will have rights under the Indenture.</w:t>
      </w:r>
    </w:p>
    <w:p>
      <w:pPr>
        <w:spacing w:after="0" w:line="248"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8"/>
          <w:szCs w:val="18"/>
          <w:color w:val="auto"/>
        </w:rPr>
        <w:t>The definition of certain terms used in this description are summarized under the subheading "—Certain Definitions." In this description, references to "Micron," "us," "we," "our" or the "Company" refer only to Micron Technology, Inc. and not to any of its subsidiaries.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w w:val="89"/>
              </w:rPr>
              <w:t>General</w:t>
            </w:r>
          </w:p>
        </w:tc>
        <w:tc>
          <w:tcPr>
            <w:tcW w:w="1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6"/>
        </w:trPr>
        <w:tc>
          <w:tcPr>
            <w:tcW w:w="1760" w:type="dxa"/>
            <w:vAlign w:val="bottom"/>
            <w:gridSpan w:val="2"/>
          </w:tcPr>
          <w:p>
            <w:pPr>
              <w:ind w:left="360"/>
              <w:spacing w:after="0"/>
              <w:rPr>
                <w:sz w:val="20"/>
                <w:szCs w:val="20"/>
                <w:color w:val="auto"/>
              </w:rPr>
            </w:pPr>
            <w:r>
              <w:rPr>
                <w:rFonts w:ascii="Arial" w:cs="Arial" w:eastAsia="Arial" w:hAnsi="Arial"/>
                <w:sz w:val="18"/>
                <w:szCs w:val="18"/>
                <w:color w:val="auto"/>
              </w:rPr>
              <w:t>We will issue $</w:t>
            </w:r>
          </w:p>
        </w:tc>
        <w:tc>
          <w:tcPr>
            <w:tcW w:w="2580" w:type="dxa"/>
            <w:vAlign w:val="bottom"/>
          </w:tcPr>
          <w:p>
            <w:pPr>
              <w:ind w:left="120"/>
              <w:spacing w:after="0"/>
              <w:rPr>
                <w:sz w:val="20"/>
                <w:szCs w:val="20"/>
                <w:color w:val="auto"/>
              </w:rPr>
            </w:pPr>
            <w:r>
              <w:rPr>
                <w:rFonts w:ascii="Arial" w:cs="Arial" w:eastAsia="Arial" w:hAnsi="Arial"/>
                <w:sz w:val="18"/>
                <w:szCs w:val="18"/>
                <w:color w:val="auto"/>
                <w:w w:val="92"/>
              </w:rPr>
              <w:t>aggregate principal amount of 20</w:t>
            </w:r>
          </w:p>
        </w:tc>
        <w:tc>
          <w:tcPr>
            <w:tcW w:w="1100" w:type="dxa"/>
            <w:vAlign w:val="bottom"/>
          </w:tcPr>
          <w:p>
            <w:pPr>
              <w:ind w:left="60"/>
              <w:spacing w:after="0"/>
              <w:rPr>
                <w:sz w:val="20"/>
                <w:szCs w:val="20"/>
                <w:color w:val="auto"/>
              </w:rPr>
            </w:pPr>
            <w:r>
              <w:rPr>
                <w:rFonts w:ascii="Arial" w:cs="Arial" w:eastAsia="Arial" w:hAnsi="Arial"/>
                <w:sz w:val="18"/>
                <w:szCs w:val="18"/>
                <w:color w:val="auto"/>
                <w:w w:val="92"/>
              </w:rPr>
              <w:t>notes. The 20</w:t>
            </w:r>
          </w:p>
        </w:tc>
        <w:tc>
          <w:tcPr>
            <w:tcW w:w="1860" w:type="dxa"/>
            <w:vAlign w:val="bottom"/>
          </w:tcPr>
          <w:p>
            <w:pPr>
              <w:ind w:left="80"/>
              <w:spacing w:after="0"/>
              <w:rPr>
                <w:sz w:val="20"/>
                <w:szCs w:val="20"/>
                <w:color w:val="auto"/>
              </w:rPr>
            </w:pPr>
            <w:r>
              <w:rPr>
                <w:rFonts w:ascii="Arial" w:cs="Arial" w:eastAsia="Arial" w:hAnsi="Arial"/>
                <w:sz w:val="18"/>
                <w:szCs w:val="18"/>
                <w:color w:val="auto"/>
              </w:rPr>
              <w:t>notes will mature on</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 20  . Interest on the 20  notes will accrue at the</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rate of</w:t>
            </w:r>
          </w:p>
        </w:tc>
        <w:tc>
          <w:tcPr>
            <w:tcW w:w="1140" w:type="dxa"/>
            <w:vAlign w:val="bottom"/>
          </w:tcPr>
          <w:p>
            <w:pPr>
              <w:ind w:left="20"/>
              <w:spacing w:after="0"/>
              <w:rPr>
                <w:sz w:val="20"/>
                <w:szCs w:val="20"/>
                <w:color w:val="auto"/>
              </w:rPr>
            </w:pPr>
            <w:r>
              <w:rPr>
                <w:rFonts w:ascii="Arial" w:cs="Arial" w:eastAsia="Arial" w:hAnsi="Arial"/>
                <w:sz w:val="18"/>
                <w:szCs w:val="18"/>
                <w:color w:val="auto"/>
                <w:w w:val="98"/>
              </w:rPr>
              <w:t>% per annum.</w:t>
            </w:r>
          </w:p>
        </w:tc>
        <w:tc>
          <w:tcPr>
            <w:tcW w:w="2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6"/>
        </w:trPr>
        <w:tc>
          <w:tcPr>
            <w:tcW w:w="1760" w:type="dxa"/>
            <w:vAlign w:val="bottom"/>
            <w:gridSpan w:val="2"/>
          </w:tcPr>
          <w:p>
            <w:pPr>
              <w:ind w:left="360"/>
              <w:spacing w:after="0"/>
              <w:rPr>
                <w:sz w:val="20"/>
                <w:szCs w:val="20"/>
                <w:color w:val="auto"/>
              </w:rPr>
            </w:pPr>
            <w:r>
              <w:rPr>
                <w:rFonts w:ascii="Arial" w:cs="Arial" w:eastAsia="Arial" w:hAnsi="Arial"/>
                <w:sz w:val="18"/>
                <w:szCs w:val="18"/>
                <w:color w:val="auto"/>
              </w:rPr>
              <w:t>We will issue $</w:t>
            </w:r>
          </w:p>
        </w:tc>
        <w:tc>
          <w:tcPr>
            <w:tcW w:w="2580" w:type="dxa"/>
            <w:vAlign w:val="bottom"/>
          </w:tcPr>
          <w:p>
            <w:pPr>
              <w:ind w:left="120"/>
              <w:spacing w:after="0"/>
              <w:rPr>
                <w:sz w:val="20"/>
                <w:szCs w:val="20"/>
                <w:color w:val="auto"/>
              </w:rPr>
            </w:pPr>
            <w:r>
              <w:rPr>
                <w:rFonts w:ascii="Arial" w:cs="Arial" w:eastAsia="Arial" w:hAnsi="Arial"/>
                <w:sz w:val="18"/>
                <w:szCs w:val="18"/>
                <w:color w:val="auto"/>
                <w:w w:val="92"/>
              </w:rPr>
              <w:t>aggregate principal amount of 20</w:t>
            </w:r>
          </w:p>
        </w:tc>
        <w:tc>
          <w:tcPr>
            <w:tcW w:w="1100" w:type="dxa"/>
            <w:vAlign w:val="bottom"/>
          </w:tcPr>
          <w:p>
            <w:pPr>
              <w:ind w:left="60"/>
              <w:spacing w:after="0"/>
              <w:rPr>
                <w:sz w:val="20"/>
                <w:szCs w:val="20"/>
                <w:color w:val="auto"/>
              </w:rPr>
            </w:pPr>
            <w:r>
              <w:rPr>
                <w:rFonts w:ascii="Arial" w:cs="Arial" w:eastAsia="Arial" w:hAnsi="Arial"/>
                <w:sz w:val="18"/>
                <w:szCs w:val="18"/>
                <w:color w:val="auto"/>
                <w:w w:val="92"/>
              </w:rPr>
              <w:t>notes. The 20</w:t>
            </w:r>
          </w:p>
        </w:tc>
        <w:tc>
          <w:tcPr>
            <w:tcW w:w="1860" w:type="dxa"/>
            <w:vAlign w:val="bottom"/>
          </w:tcPr>
          <w:p>
            <w:pPr>
              <w:ind w:left="80"/>
              <w:spacing w:after="0"/>
              <w:rPr>
                <w:sz w:val="20"/>
                <w:szCs w:val="20"/>
                <w:color w:val="auto"/>
              </w:rPr>
            </w:pPr>
            <w:r>
              <w:rPr>
                <w:rFonts w:ascii="Arial" w:cs="Arial" w:eastAsia="Arial" w:hAnsi="Arial"/>
                <w:sz w:val="18"/>
                <w:szCs w:val="18"/>
                <w:color w:val="auto"/>
              </w:rPr>
              <w:t>notes will mature on</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 20</w:t>
            </w:r>
          </w:p>
        </w:tc>
        <w:tc>
          <w:tcPr>
            <w:tcW w:w="3480" w:type="dxa"/>
            <w:vAlign w:val="bottom"/>
          </w:tcPr>
          <w:p>
            <w:pPr>
              <w:jc w:val="right"/>
              <w:spacing w:after="0"/>
              <w:rPr>
                <w:sz w:val="20"/>
                <w:szCs w:val="20"/>
                <w:color w:val="auto"/>
              </w:rPr>
            </w:pPr>
            <w:r>
              <w:rPr>
                <w:rFonts w:ascii="Arial" w:cs="Arial" w:eastAsia="Arial" w:hAnsi="Arial"/>
                <w:sz w:val="18"/>
                <w:szCs w:val="18"/>
                <w:color w:val="auto"/>
                <w:w w:val="90"/>
              </w:rPr>
              <w:t>. Interest on the 20   notes will accrue at the rate</w:t>
            </w:r>
          </w:p>
        </w:tc>
      </w:tr>
      <w:tr>
        <w:trPr>
          <w:trHeight w:val="222"/>
        </w:trPr>
        <w:tc>
          <w:tcPr>
            <w:tcW w:w="1760" w:type="dxa"/>
            <w:vAlign w:val="bottom"/>
            <w:gridSpan w:val="2"/>
          </w:tcPr>
          <w:p>
            <w:pPr>
              <w:spacing w:after="0"/>
              <w:rPr>
                <w:sz w:val="20"/>
                <w:szCs w:val="20"/>
                <w:color w:val="auto"/>
              </w:rPr>
            </w:pPr>
            <w:r>
              <w:rPr>
                <w:rFonts w:ascii="Arial" w:cs="Arial" w:eastAsia="Arial" w:hAnsi="Arial"/>
                <w:sz w:val="18"/>
                <w:szCs w:val="18"/>
                <w:color w:val="auto"/>
              </w:rPr>
              <w:t>of  % per annum.</w:t>
            </w:r>
          </w:p>
        </w:tc>
        <w:tc>
          <w:tcPr>
            <w:tcW w:w="2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26"/>
        </w:trPr>
        <w:tc>
          <w:tcPr>
            <w:tcW w:w="1760" w:type="dxa"/>
            <w:vAlign w:val="bottom"/>
            <w:gridSpan w:val="2"/>
          </w:tcPr>
          <w:p>
            <w:pPr>
              <w:ind w:left="380"/>
              <w:spacing w:after="0"/>
              <w:rPr>
                <w:sz w:val="20"/>
                <w:szCs w:val="20"/>
                <w:color w:val="auto"/>
              </w:rPr>
            </w:pPr>
            <w:r>
              <w:rPr>
                <w:rFonts w:ascii="Arial" w:cs="Arial" w:eastAsia="Arial" w:hAnsi="Arial"/>
                <w:sz w:val="18"/>
                <w:szCs w:val="18"/>
                <w:color w:val="auto"/>
              </w:rPr>
              <w:t>We will issue $</w:t>
            </w:r>
          </w:p>
        </w:tc>
        <w:tc>
          <w:tcPr>
            <w:tcW w:w="2580" w:type="dxa"/>
            <w:vAlign w:val="bottom"/>
          </w:tcPr>
          <w:p>
            <w:pPr>
              <w:ind w:left="180"/>
              <w:spacing w:after="0"/>
              <w:rPr>
                <w:sz w:val="20"/>
                <w:szCs w:val="20"/>
                <w:color w:val="auto"/>
              </w:rPr>
            </w:pPr>
            <w:r>
              <w:rPr>
                <w:rFonts w:ascii="Arial" w:cs="Arial" w:eastAsia="Arial" w:hAnsi="Arial"/>
                <w:sz w:val="18"/>
                <w:szCs w:val="18"/>
                <w:color w:val="auto"/>
                <w:w w:val="90"/>
              </w:rPr>
              <w:t>aggregate principal amount of 20</w:t>
            </w:r>
          </w:p>
        </w:tc>
        <w:tc>
          <w:tcPr>
            <w:tcW w:w="2960" w:type="dxa"/>
            <w:vAlign w:val="bottom"/>
            <w:gridSpan w:val="2"/>
          </w:tcPr>
          <w:p>
            <w:pPr>
              <w:ind w:left="140"/>
              <w:spacing w:after="0"/>
              <w:rPr>
                <w:sz w:val="20"/>
                <w:szCs w:val="20"/>
                <w:color w:val="auto"/>
              </w:rPr>
            </w:pPr>
            <w:r>
              <w:rPr>
                <w:rFonts w:ascii="Arial" w:cs="Arial" w:eastAsia="Arial" w:hAnsi="Arial"/>
                <w:sz w:val="18"/>
                <w:szCs w:val="18"/>
                <w:color w:val="auto"/>
                <w:w w:val="99"/>
              </w:rPr>
              <w:t>notes. The 20  notes will mature on</w:t>
            </w:r>
          </w:p>
        </w:tc>
        <w:tc>
          <w:tcPr>
            <w:tcW w:w="640" w:type="dxa"/>
            <w:vAlign w:val="bottom"/>
          </w:tcPr>
          <w:p>
            <w:pPr>
              <w:jc w:val="right"/>
              <w:spacing w:after="0"/>
              <w:rPr>
                <w:sz w:val="20"/>
                <w:szCs w:val="20"/>
                <w:color w:val="auto"/>
              </w:rPr>
            </w:pPr>
            <w:r>
              <w:rPr>
                <w:rFonts w:ascii="Arial" w:cs="Arial" w:eastAsia="Arial" w:hAnsi="Arial"/>
                <w:sz w:val="18"/>
                <w:szCs w:val="18"/>
                <w:color w:val="auto"/>
              </w:rPr>
              <w:t>, 20</w:t>
            </w:r>
          </w:p>
        </w:tc>
        <w:tc>
          <w:tcPr>
            <w:tcW w:w="3480" w:type="dxa"/>
            <w:vAlign w:val="bottom"/>
          </w:tcPr>
          <w:p>
            <w:pPr>
              <w:jc w:val="right"/>
              <w:spacing w:after="0"/>
              <w:rPr>
                <w:sz w:val="20"/>
                <w:szCs w:val="20"/>
                <w:color w:val="auto"/>
              </w:rPr>
            </w:pPr>
            <w:r>
              <w:rPr>
                <w:rFonts w:ascii="Arial" w:cs="Arial" w:eastAsia="Arial" w:hAnsi="Arial"/>
                <w:sz w:val="18"/>
                <w:szCs w:val="18"/>
                <w:color w:val="auto"/>
                <w:w w:val="99"/>
              </w:rPr>
              <w:t>. Interest on the 20   notes will accrue at the</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rate of</w:t>
            </w:r>
          </w:p>
        </w:tc>
        <w:tc>
          <w:tcPr>
            <w:tcW w:w="1140" w:type="dxa"/>
            <w:vAlign w:val="bottom"/>
          </w:tcPr>
          <w:p>
            <w:pPr>
              <w:ind w:left="20"/>
              <w:spacing w:after="0"/>
              <w:rPr>
                <w:sz w:val="20"/>
                <w:szCs w:val="20"/>
                <w:color w:val="auto"/>
              </w:rPr>
            </w:pPr>
            <w:r>
              <w:rPr>
                <w:rFonts w:ascii="Arial" w:cs="Arial" w:eastAsia="Arial" w:hAnsi="Arial"/>
                <w:sz w:val="18"/>
                <w:szCs w:val="18"/>
                <w:color w:val="auto"/>
                <w:w w:val="98"/>
              </w:rPr>
              <w:t>% per annum.</w:t>
            </w:r>
          </w:p>
        </w:tc>
        <w:tc>
          <w:tcPr>
            <w:tcW w:w="2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210" w:lineRule="exact"/>
        <w:rPr>
          <w:sz w:val="20"/>
          <w:szCs w:val="20"/>
          <w:color w:val="auto"/>
        </w:rPr>
      </w:pPr>
    </w:p>
    <w:p>
      <w:pPr>
        <w:ind w:left="360"/>
        <w:spacing w:after="0"/>
        <w:tabs>
          <w:tab w:leader="none" w:pos="1000" w:val="left"/>
          <w:tab w:leader="none" w:pos="2080" w:val="left"/>
          <w:tab w:leader="none" w:pos="3400" w:val="left"/>
        </w:tabs>
        <w:rPr>
          <w:sz w:val="20"/>
          <w:szCs w:val="20"/>
          <w:color w:val="auto"/>
        </w:rPr>
      </w:pPr>
      <w:r>
        <w:rPr>
          <w:rFonts w:ascii="Arial" w:cs="Arial" w:eastAsia="Arial" w:hAnsi="Arial"/>
          <w:sz w:val="18"/>
          <w:szCs w:val="18"/>
          <w:color w:val="auto"/>
        </w:rPr>
        <w:t>The 20</w:t>
        <w:tab/>
        <w:t>notes, the 20</w:t>
        <w:tab/>
        <w:t>notes and the 20</w:t>
      </w:r>
      <w:r>
        <w:rPr>
          <w:sz w:val="20"/>
          <w:szCs w:val="20"/>
          <w:color w:val="auto"/>
        </w:rPr>
        <w:tab/>
      </w:r>
      <w:r>
        <w:rPr>
          <w:rFonts w:ascii="Arial" w:cs="Arial" w:eastAsia="Arial" w:hAnsi="Arial"/>
          <w:sz w:val="15"/>
          <w:szCs w:val="15"/>
          <w:color w:val="auto"/>
        </w:rPr>
        <w:t>notes are collectively referred to as the "notes."</w:t>
      </w:r>
    </w:p>
    <w:p>
      <w:pPr>
        <w:spacing w:after="0" w:line="225" w:lineRule="exact"/>
        <w:rPr>
          <w:sz w:val="20"/>
          <w:szCs w:val="20"/>
          <w:color w:val="auto"/>
        </w:rPr>
      </w:pPr>
    </w:p>
    <w:p>
      <w:pPr>
        <w:jc w:val="both"/>
        <w:ind w:firstLine="502"/>
        <w:spacing w:after="0" w:line="290" w:lineRule="auto"/>
        <w:rPr>
          <w:sz w:val="20"/>
          <w:szCs w:val="20"/>
          <w:color w:val="auto"/>
        </w:rPr>
      </w:pPr>
      <w:r>
        <w:rPr>
          <w:rFonts w:ascii="Arial" w:cs="Arial" w:eastAsia="Arial" w:hAnsi="Arial"/>
          <w:sz w:val="16"/>
          <w:szCs w:val="16"/>
          <w:color w:val="auto"/>
        </w:rPr>
        <w:t>The notes will be senior unsecured obligations and will rank on the same basis with all of our other senior unsecured indebtedness from time to time outstanding. Each series of the notes will be a separate series of senior debt securities under the Indenture. The Indenture does not limit the aggregate principal amount of securities that may be issued under the Indenture. Without the consent of the holders, we may increase the aggregate principal amount of the notes of any series in the future on the same terms and conditions (except for issuance date, price and, in some cases, the initial interest payment date) as the notes of the series being offered hereby. Securities may be issued under the Indenture from time to time as a single series or in two or more separate series up to the aggregate principal amount authorized by us from time to time for the notes of any series. Additional notes of a series may only bear the same CUSIP number if they would be fungible for United States federal tax purposes with the existing notes of that series.</w:t>
      </w:r>
    </w:p>
    <w:p>
      <w:pPr>
        <w:spacing w:after="0" w:line="172"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color w:val="auto"/>
        </w:rPr>
        <w:t>If the maturity date of any notes falls on a day that is not a Business Day, payment of principal, premium, if any, and interest for such notes then due will be paid on the next Business Day. No interest on that payment will accrue from and after the maturity date. Payments of principal, premium, if any, and interest on the notes will be made by us through the Trustee to DTC. Each series of notes will be issued in the form of one or more fully registered global securities in minimum denominations of $2,000 and integral multiples of $1,000 in excess thereof.</w:t>
      </w:r>
    </w:p>
    <w:p>
      <w:pPr>
        <w:sectPr>
          <w:pgSz w:w="11900" w:h="16838" w:orient="portrait"/>
          <w:cols w:equalWidth="0" w:num="1">
            <w:col w:w="11420"/>
          </w:cols>
          <w:pgMar w:left="240" w:top="108" w:right="2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231" w:lineRule="exact"/>
        <w:rPr>
          <w:sz w:val="20"/>
          <w:szCs w:val="20"/>
          <w:color w:val="auto"/>
        </w:rPr>
      </w:pPr>
    </w:p>
    <w:p>
      <w:pPr>
        <w:ind w:firstLine="402"/>
        <w:spacing w:after="0" w:line="332" w:lineRule="auto"/>
        <w:rPr>
          <w:sz w:val="20"/>
          <w:szCs w:val="20"/>
          <w:color w:val="auto"/>
        </w:rPr>
      </w:pPr>
      <w:r>
        <w:rPr>
          <w:rFonts w:ascii="Arial" w:cs="Arial" w:eastAsia="Arial" w:hAnsi="Arial"/>
          <w:sz w:val="16"/>
          <w:szCs w:val="16"/>
          <w:color w:val="auto"/>
        </w:rPr>
        <w:t>The 20 notes will bear interest at a rate of % per annum, the 20 interest at a rate of % per annum. Interest on the notes will accrue 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hanging="230"/>
        <w:spacing w:after="0" w:line="268" w:lineRule="auto"/>
        <w:rPr>
          <w:sz w:val="20"/>
          <w:szCs w:val="20"/>
          <w:color w:val="auto"/>
        </w:rPr>
      </w:pPr>
      <w:r>
        <w:rPr>
          <w:rFonts w:ascii="Arial" w:cs="Arial" w:eastAsia="Arial" w:hAnsi="Arial"/>
          <w:sz w:val="18"/>
          <w:szCs w:val="18"/>
          <w:color w:val="auto"/>
        </w:rPr>
        <w:t>notes will accrue interest at a rate of</w:t>
      </w:r>
      <w:r>
        <w:rPr>
          <w:sz w:val="20"/>
          <w:szCs w:val="20"/>
          <w:color w:val="auto"/>
        </w:rPr>
        <w:t xml:space="preserve"> </w:t>
      </w:r>
      <w:r>
        <w:rPr>
          <w:rFonts w:ascii="Arial" w:cs="Arial" w:eastAsia="Arial" w:hAnsi="Arial"/>
          <w:sz w:val="18"/>
          <w:szCs w:val="18"/>
          <w:color w:val="auto"/>
        </w:rPr>
        <w:t>% per annum and the 20 notes will bear , 2019, or from the most recent interest payment date to which interest has</w:t>
      </w:r>
    </w:p>
    <w:p>
      <w:pPr>
        <w:spacing w:after="0" w:line="185" w:lineRule="exact"/>
        <w:rPr>
          <w:sz w:val="20"/>
          <w:szCs w:val="20"/>
          <w:color w:val="auto"/>
        </w:rPr>
      </w:pPr>
    </w:p>
    <w:p>
      <w:pPr>
        <w:sectPr>
          <w:pgSz w:w="11900" w:h="16838" w:orient="portrait"/>
          <w:cols w:equalWidth="0" w:num="2">
            <w:col w:w="5240" w:space="420"/>
            <w:col w:w="5760"/>
          </w:cols>
          <w:pgMar w:left="240" w:top="108"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been paid or provided for, to, but excluding, the relevant interest payment date. The Company will make interest payments on each series of notes semi-annually</w:t>
      </w:r>
    </w:p>
    <w:p>
      <w:pPr>
        <w:spacing w:after="0" w:line="38" w:lineRule="exact"/>
        <w:rPr>
          <w:sz w:val="20"/>
          <w:szCs w:val="20"/>
          <w:color w:val="auto"/>
        </w:rPr>
      </w:pPr>
    </w:p>
    <w:p>
      <w:pPr>
        <w:spacing w:after="0"/>
        <w:tabs>
          <w:tab w:leader="none" w:pos="1460" w:val="left"/>
          <w:tab w:leader="none" w:pos="2360" w:val="left"/>
          <w:tab w:leader="none" w:pos="4840" w:val="left"/>
        </w:tabs>
        <w:rPr>
          <w:sz w:val="20"/>
          <w:szCs w:val="20"/>
          <w:color w:val="auto"/>
        </w:rPr>
      </w:pPr>
      <w:r>
        <w:rPr>
          <w:rFonts w:ascii="Arial" w:cs="Arial" w:eastAsia="Arial" w:hAnsi="Arial"/>
          <w:sz w:val="18"/>
          <w:szCs w:val="18"/>
          <w:color w:val="auto"/>
        </w:rPr>
        <w:t>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5"/>
          <w:szCs w:val="15"/>
          <w:color w:val="auto"/>
        </w:rPr>
        <w:t>, 2019, to the Person in whose name such notes are registered at the close of business on the</w:t>
      </w:r>
    </w:p>
    <w:p>
      <w:pPr>
        <w:spacing w:after="0" w:line="9" w:lineRule="exact"/>
        <w:rPr>
          <w:sz w:val="20"/>
          <w:szCs w:val="20"/>
          <w:color w:val="auto"/>
        </w:rPr>
      </w:pPr>
    </w:p>
    <w:p>
      <w:pPr>
        <w:spacing w:after="0"/>
        <w:tabs>
          <w:tab w:leader="none" w:pos="2120" w:val="left"/>
          <w:tab w:leader="none" w:pos="2840" w:val="left"/>
        </w:tabs>
        <w:rPr>
          <w:sz w:val="20"/>
          <w:szCs w:val="20"/>
          <w:color w:val="auto"/>
        </w:rPr>
      </w:pPr>
      <w:r>
        <w:rPr>
          <w:rFonts w:ascii="Arial" w:cs="Arial" w:eastAsia="Arial" w:hAnsi="Arial"/>
          <w:sz w:val="18"/>
          <w:szCs w:val="18"/>
          <w:color w:val="auto"/>
        </w:rPr>
        <w:t>immediately preceding</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5"/>
          <w:szCs w:val="15"/>
          <w:color w:val="auto"/>
        </w:rPr>
        <w:t>, as applicable.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on the notes will be computed on the basis of a 360-day year of twelve 30-day months.</w:t>
      </w:r>
    </w:p>
    <w:p>
      <w:pPr>
        <w:spacing w:after="0" w:line="22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If an interest payment date for an applicable series of notes falls on a day that is not a Business Day, the interest payment shall be postponed to the next succeeding Business Day as if made on the date such payment was due, and no interest on such payment shall accrue for the period from and after such interest payment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20" w:firstLine="372"/>
        <w:spacing w:after="0" w:line="268" w:lineRule="auto"/>
        <w:rPr>
          <w:sz w:val="20"/>
          <w:szCs w:val="20"/>
          <w:color w:val="auto"/>
        </w:rPr>
      </w:pPr>
      <w:r>
        <w:rPr>
          <w:rFonts w:ascii="Arial" w:cs="Arial" w:eastAsia="Arial" w:hAnsi="Arial"/>
          <w:sz w:val="18"/>
          <w:szCs w:val="18"/>
          <w:color w:val="auto"/>
        </w:rPr>
        <w:t>Except as otherwise described below, the notes of each series will be redeemable in whole at any time or in part from time to time, at the Company's option, prior to the applicable Par Call Date, at a redemption price as calculated by the Company equal to the greater of:</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of that series to be redeemed; or</w:t>
      </w:r>
    </w:p>
    <w:p>
      <w:pPr>
        <w:spacing w:after="0" w:line="252" w:lineRule="exact"/>
        <w:rPr>
          <w:rFonts w:ascii="Arial" w:cs="Arial" w:eastAsia="Arial" w:hAnsi="Arial"/>
          <w:sz w:val="18"/>
          <w:szCs w:val="18"/>
          <w:color w:val="auto"/>
        </w:rPr>
      </w:pPr>
    </w:p>
    <w:p>
      <w:pPr>
        <w:jc w:val="both"/>
        <w:ind w:left="1080" w:hanging="532"/>
        <w:spacing w:after="0" w:line="28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w:t>
      </w:r>
    </w:p>
    <w:p>
      <w:pPr>
        <w:ind w:left="1080"/>
        <w:spacing w:after="0"/>
        <w:tabs>
          <w:tab w:leader="none" w:pos="9980" w:val="left"/>
        </w:tabs>
        <w:rPr>
          <w:sz w:val="20"/>
          <w:szCs w:val="20"/>
          <w:color w:val="auto"/>
        </w:rPr>
      </w:pPr>
      <w:r>
        <w:rPr>
          <w:rFonts w:ascii="Arial" w:cs="Arial" w:eastAsia="Arial" w:hAnsi="Arial"/>
          <w:sz w:val="18"/>
          <w:szCs w:val="18"/>
          <w:color w:val="auto"/>
        </w:rPr>
        <w:t>annual basis (assuming a 360-day year consisting of twelve 30-day months) at the then current Treasury Rate plus</w:t>
      </w:r>
      <w:r>
        <w:rPr>
          <w:sz w:val="20"/>
          <w:szCs w:val="20"/>
          <w:color w:val="auto"/>
        </w:rPr>
        <w:tab/>
      </w:r>
      <w:r>
        <w:rPr>
          <w:rFonts w:ascii="Arial" w:cs="Arial" w:eastAsia="Arial" w:hAnsi="Arial"/>
          <w:sz w:val="16"/>
          <w:szCs w:val="16"/>
          <w:color w:val="auto"/>
        </w:rPr>
        <w:t>basis points for the</w:t>
      </w:r>
    </w:p>
    <w:p>
      <w:pPr>
        <w:spacing w:after="0" w:line="9" w:lineRule="exact"/>
        <w:rPr>
          <w:sz w:val="20"/>
          <w:szCs w:val="20"/>
          <w:color w:val="auto"/>
        </w:rPr>
      </w:pPr>
    </w:p>
    <w:p>
      <w:pPr>
        <w:ind w:left="1080"/>
        <w:spacing w:after="0"/>
        <w:tabs>
          <w:tab w:leader="none" w:pos="1420" w:val="left"/>
          <w:tab w:leader="none" w:pos="2180" w:val="left"/>
          <w:tab w:leader="none" w:pos="3920" w:val="left"/>
          <w:tab w:leader="none" w:pos="4880" w:val="left"/>
          <w:tab w:leader="none" w:pos="6700" w:val="left"/>
        </w:tabs>
        <w:rPr>
          <w:sz w:val="20"/>
          <w:szCs w:val="20"/>
          <w:color w:val="auto"/>
        </w:rPr>
      </w:pPr>
      <w:r>
        <w:rPr>
          <w:rFonts w:ascii="Arial" w:cs="Arial" w:eastAsia="Arial" w:hAnsi="Arial"/>
          <w:sz w:val="18"/>
          <w:szCs w:val="18"/>
          <w:color w:val="auto"/>
        </w:rPr>
        <w:t>20</w:t>
        <w:tab/>
        <w:t>notes,</w:t>
      </w:r>
      <w:r>
        <w:rPr>
          <w:sz w:val="20"/>
          <w:szCs w:val="20"/>
          <w:color w:val="auto"/>
        </w:rPr>
        <w:tab/>
      </w:r>
      <w:r>
        <w:rPr>
          <w:rFonts w:ascii="Arial" w:cs="Arial" w:eastAsia="Arial" w:hAnsi="Arial"/>
          <w:sz w:val="18"/>
          <w:szCs w:val="18"/>
          <w:color w:val="auto"/>
        </w:rPr>
        <w:t>basis points for the 20</w:t>
        <w:tab/>
        <w:t>notes and</w:t>
      </w:r>
      <w:r>
        <w:rPr>
          <w:sz w:val="20"/>
          <w:szCs w:val="20"/>
          <w:color w:val="auto"/>
        </w:rPr>
        <w:tab/>
      </w:r>
      <w:r>
        <w:rPr>
          <w:rFonts w:ascii="Arial" w:cs="Arial" w:eastAsia="Arial" w:hAnsi="Arial"/>
          <w:sz w:val="18"/>
          <w:szCs w:val="18"/>
          <w:color w:val="auto"/>
        </w:rPr>
        <w:t>basis points for the 20</w:t>
      </w:r>
      <w:r>
        <w:rPr>
          <w:sz w:val="20"/>
          <w:szCs w:val="20"/>
          <w:color w:val="auto"/>
        </w:rPr>
        <w:tab/>
      </w:r>
      <w:r>
        <w:rPr>
          <w:rFonts w:ascii="Arial" w:cs="Arial" w:eastAsia="Arial" w:hAnsi="Arial"/>
          <w:sz w:val="15"/>
          <w:szCs w:val="15"/>
          <w:color w:val="auto"/>
        </w:rPr>
        <w:t>notes,</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plus, in each case, accrued and unpaid interest, if any, on the amount being redeemed to, but excluding, the date of redemption. We will calculate the redemption price.</w:t>
      </w:r>
    </w:p>
    <w:p>
      <w:pPr>
        <w:spacing w:after="0" w:line="186" w:lineRule="exact"/>
        <w:rPr>
          <w:sz w:val="20"/>
          <w:szCs w:val="20"/>
          <w:color w:val="auto"/>
        </w:rPr>
      </w:pPr>
    </w:p>
    <w:p>
      <w:pPr>
        <w:ind w:firstLine="367"/>
        <w:spacing w:after="0" w:line="268" w:lineRule="auto"/>
        <w:rPr>
          <w:sz w:val="20"/>
          <w:szCs w:val="20"/>
          <w:color w:val="auto"/>
        </w:rPr>
      </w:pPr>
      <w:r>
        <w:rPr>
          <w:rFonts w:ascii="Arial" w:cs="Arial" w:eastAsia="Arial" w:hAnsi="Arial"/>
          <w:sz w:val="18"/>
          <w:szCs w:val="18"/>
          <w:color w:val="auto"/>
        </w:rPr>
        <w:t>If we elect to redeem any 20 notes, 20 notes or 20 notes on or after the applicable Par Call Date, we will pay an amount equal to 100% of the principal amount of the notes redeemed, plus accrued and unpaid interest, if any, to, but excluding, the date of redemption.</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ind w:left="380"/>
        <w:spacing w:after="0"/>
        <w:tabs>
          <w:tab w:leader="none" w:pos="2660" w:val="left"/>
          <w:tab w:leader="none" w:pos="3120" w:val="left"/>
        </w:tabs>
        <w:rPr>
          <w:sz w:val="20"/>
          <w:szCs w:val="20"/>
          <w:color w:val="auto"/>
        </w:rPr>
      </w:pPr>
      <w:r>
        <w:rPr>
          <w:rFonts w:ascii="Arial" w:cs="Arial" w:eastAsia="Arial" w:hAnsi="Arial"/>
          <w:sz w:val="18"/>
          <w:szCs w:val="18"/>
          <w:color w:val="auto"/>
        </w:rPr>
        <w:t>"Par Call Date" means (i)</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with respect to any 20</w:t>
      </w:r>
    </w:p>
    <w:p>
      <w:pPr>
        <w:spacing w:after="0" w:line="1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 any 20 notes ( months prior to the maturity date of the 20 of the 20 notes).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20"/>
        <w:spacing w:after="0"/>
        <w:tabs>
          <w:tab w:leader="none" w:pos="940" w:val="left"/>
        </w:tabs>
        <w:rPr>
          <w:sz w:val="20"/>
          <w:szCs w:val="20"/>
          <w:color w:val="auto"/>
        </w:rPr>
      </w:pPr>
      <w:r>
        <w:rPr>
          <w:rFonts w:ascii="Arial" w:cs="Arial" w:eastAsia="Arial" w:hAnsi="Arial"/>
          <w:sz w:val="18"/>
          <w:szCs w:val="18"/>
          <w:color w:val="auto"/>
        </w:rPr>
        <w:t>notes (</w:t>
      </w:r>
      <w:r>
        <w:rPr>
          <w:sz w:val="20"/>
          <w:szCs w:val="20"/>
          <w:color w:val="auto"/>
        </w:rPr>
        <w:tab/>
      </w:r>
      <w:r>
        <w:rPr>
          <w:rFonts w:ascii="Arial" w:cs="Arial" w:eastAsia="Arial" w:hAnsi="Arial"/>
          <w:sz w:val="16"/>
          <w:szCs w:val="16"/>
          <w:color w:val="auto"/>
        </w:rPr>
        <w:t>months prior to the maturity date of the 20</w:t>
      </w:r>
    </w:p>
    <w:p>
      <w:pPr>
        <w:spacing w:after="0" w:line="15" w:lineRule="exact"/>
        <w:rPr>
          <w:sz w:val="20"/>
          <w:szCs w:val="20"/>
          <w:color w:val="auto"/>
        </w:rPr>
      </w:pPr>
    </w:p>
    <w:p>
      <w:pPr>
        <w:spacing w:after="0"/>
        <w:tabs>
          <w:tab w:leader="none" w:pos="1340" w:val="left"/>
          <w:tab w:leader="none" w:pos="1800" w:val="left"/>
          <w:tab w:leader="none" w:pos="3640" w:val="left"/>
        </w:tabs>
        <w:rPr>
          <w:sz w:val="20"/>
          <w:szCs w:val="20"/>
          <w:color w:val="auto"/>
        </w:rPr>
      </w:pPr>
      <w:r>
        <w:rPr>
          <w:rFonts w:ascii="Arial" w:cs="Arial" w:eastAsia="Arial" w:hAnsi="Arial"/>
          <w:sz w:val="18"/>
          <w:szCs w:val="18"/>
          <w:color w:val="auto"/>
        </w:rPr>
        <w:t>notes) and (iii)</w:t>
      </w:r>
      <w:r>
        <w:rPr>
          <w:sz w:val="20"/>
          <w:szCs w:val="20"/>
          <w:color w:val="auto"/>
        </w:rPr>
        <w:tab/>
      </w:r>
      <w:r>
        <w:rPr>
          <w:rFonts w:ascii="Arial" w:cs="Arial" w:eastAsia="Arial" w:hAnsi="Arial"/>
          <w:sz w:val="18"/>
          <w:szCs w:val="18"/>
          <w:color w:val="auto"/>
        </w:rPr>
        <w:t>, 20</w:t>
        <w:tab/>
        <w:t>with respect to any 20</w:t>
      </w:r>
      <w:r>
        <w:rPr>
          <w:sz w:val="20"/>
          <w:szCs w:val="20"/>
          <w:color w:val="auto"/>
        </w:rPr>
        <w:tab/>
      </w:r>
      <w:r>
        <w:rPr>
          <w:rFonts w:ascii="Arial" w:cs="Arial" w:eastAsia="Arial" w:hAnsi="Arial"/>
          <w:sz w:val="15"/>
          <w:szCs w:val="15"/>
          <w:color w:val="auto"/>
        </w:rPr>
        <w:t>notes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hanging="22"/>
        <w:spacing w:after="0" w:line="268" w:lineRule="auto"/>
        <w:rPr>
          <w:sz w:val="20"/>
          <w:szCs w:val="20"/>
          <w:color w:val="auto"/>
        </w:rPr>
      </w:pPr>
      <w:r>
        <w:rPr>
          <w:rFonts w:ascii="Arial" w:cs="Arial" w:eastAsia="Arial" w:hAnsi="Arial"/>
          <w:sz w:val="18"/>
          <w:szCs w:val="18"/>
          <w:color w:val="auto"/>
        </w:rPr>
        <w:t>notes), (ii)</w:t>
      </w:r>
      <w:r>
        <w:rPr>
          <w:sz w:val="20"/>
          <w:szCs w:val="20"/>
          <w:color w:val="auto"/>
        </w:rPr>
        <w:t xml:space="preserve"> </w:t>
      </w:r>
      <w:r>
        <w:rPr>
          <w:rFonts w:ascii="Arial" w:cs="Arial" w:eastAsia="Arial" w:hAnsi="Arial"/>
          <w:sz w:val="18"/>
          <w:szCs w:val="18"/>
          <w:color w:val="auto"/>
        </w:rPr>
        <w:t>, 20 with respect months prior to the maturity date</w:t>
      </w:r>
    </w:p>
    <w:p>
      <w:pPr>
        <w:spacing w:after="0" w:line="402" w:lineRule="exact"/>
        <w:rPr>
          <w:sz w:val="20"/>
          <w:szCs w:val="20"/>
          <w:color w:val="auto"/>
        </w:rPr>
      </w:pPr>
    </w:p>
    <w:p>
      <w:pPr>
        <w:sectPr>
          <w:pgSz w:w="11900" w:h="16838" w:orient="portrait"/>
          <w:cols w:equalWidth="0" w:num="3">
            <w:col w:w="4700" w:space="60"/>
            <w:col w:w="4140" w:space="180"/>
            <w:col w:w="2340"/>
          </w:cols>
          <w:pgMar w:left="240" w:top="131" w:right="239" w:bottom="1440" w:gutter="0" w:footer="0" w:header="0"/>
          <w:type w:val="continuous"/>
        </w:sectPr>
      </w:pPr>
    </w:p>
    <w:p>
      <w:pPr>
        <w:jc w:val="both"/>
        <w:ind w:firstLine="385"/>
        <w:spacing w:after="0" w:line="290" w:lineRule="auto"/>
        <w:rPr>
          <w:sz w:val="20"/>
          <w:szCs w:val="20"/>
          <w:color w:val="auto"/>
        </w:rPr>
      </w:pPr>
      <w:r>
        <w:rPr>
          <w:rFonts w:ascii="Arial" w:cs="Arial" w:eastAsia="Arial" w:hAnsi="Arial"/>
          <w:sz w:val="16"/>
          <w:szCs w:val="16"/>
          <w:color w:val="auto"/>
        </w:rPr>
        <w:t>The Company will prepare and send, or cause to be sent, a notice of redemption to each holder of notes to be redeemed (with a copy to the Trustee) at least 30 and not more than 60 calendar days prior to the date fixed for redemption. On and after a redemption date, interest will cease to accrue on the notes called for redemption (unless the Company defaults in the payment of the redemption price and accrued interest). On or before a redemption date, the Company will deposit with a paying agent (or the trustee) money sufficient to pay the redemption price of and accrued interest on the notes to be redeemed on that date. If less than all of the notes of a series are to be redeemed, the notes of such series to be redeemed shall be selected by the trustee pro rata or by lot or by a method the trustee deems to be fair and appropriate and, in respect of global notes, in accordance with the procedures of The Depository Trust Company ("DTC"). Any redemption or notice of redemption may, at the Company's discretion, be subject to one or more conditions precedent.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 Offers To Purchase; Open Market Purchases</w:t>
      </w:r>
    </w:p>
    <w:p>
      <w:pPr>
        <w:spacing w:after="0" w:line="231" w:lineRule="exact"/>
        <w:rPr>
          <w:sz w:val="20"/>
          <w:szCs w:val="20"/>
          <w:color w:val="auto"/>
        </w:rPr>
      </w:pPr>
    </w:p>
    <w:p>
      <w:pPr>
        <w:jc w:val="both"/>
        <w:ind w:right="20" w:firstLine="362"/>
        <w:spacing w:after="0" w:line="370" w:lineRule="auto"/>
        <w:rPr>
          <w:sz w:val="20"/>
          <w:szCs w:val="20"/>
          <w:color w:val="auto"/>
        </w:rPr>
      </w:pPr>
      <w:r>
        <w:rPr>
          <w:rFonts w:ascii="Arial" w:cs="Arial" w:eastAsia="Arial" w:hAnsi="Arial"/>
          <w:sz w:val="15"/>
          <w:szCs w:val="15"/>
          <w:color w:val="auto"/>
        </w:rPr>
        <w:t>The Company is not required to make any mandatory redemption or sinking fund payments with respect to the notes. However, under certain circumstances, the Company may be required to offer to purchase each series of notes as described under the caption "—Repurchase of Notes upon a Change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Control Triggering Event." The Company may at any time and from time to time purchase notes in the open market or otherwise.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general unsecured obligations of the Company. As a result, the notes rank:</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pari passu in right of payment with all existing and future unsecured unsubordinated indebtedness of the Company;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subordinated to secured indebtedness of the Company, to the extent of the value of such assets securing such indebtedness or other obligations (unless the notes are equally and ratably secured with such indebtedness);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structurally subordinated to any indebtedness and other liabilities of the Company's Subsidiaries.</w:t>
      </w:r>
    </w:p>
    <w:p>
      <w:pPr>
        <w:spacing w:after="0" w:line="225"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auto"/>
        </w:rPr>
        <w:t>A substantial portion of our assets are owned by and a substantial portion of our operations are conducted through our subsidiaries, particularly our foreign subsidiaries. The Company's existing and future subsidiaries will not guarantee the notes. Claims of creditors of such subsidiaries, including trade creditors, and creditors holding debt and guarantees issued by those subsidiaries, and claims of preferred stockholders (if any) of those subsidiaries generally will have priority with respect to the assets and earnings of those subsidiaries over the claims of creditors of the Company, including holders of the notes. Accordingly, the notes are effectively subordinated to the claims of such creditors and preferred stockholders, if any, of the Company's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Notes upon a Change of Control Triggering Event</w:t>
      </w:r>
    </w:p>
    <w:p>
      <w:pPr>
        <w:spacing w:after="0" w:line="231"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6"/>
          <w:szCs w:val="16"/>
          <w:color w:val="auto"/>
        </w:rPr>
        <w:t>Not later than 60 days following a Change of Control Triggering Event, unless the Company has exercised its right to redeem all of the notes of a series as described under "—Optional Redemption," the Company will make an Offer to Purchase all of the outstanding notes of such series at a purchase price equal to 101% of the principal amount thereof plus accrued and unpaid interest, if any, to, but excluding, the date of purchase.</w:t>
      </w:r>
    </w:p>
    <w:p>
      <w:pPr>
        <w:spacing w:after="0" w:line="161" w:lineRule="exact"/>
        <w:rPr>
          <w:sz w:val="20"/>
          <w:szCs w:val="20"/>
          <w:color w:val="auto"/>
        </w:rPr>
      </w:pPr>
    </w:p>
    <w:p>
      <w:pPr>
        <w:jc w:val="both"/>
        <w:ind w:firstLine="357"/>
        <w:spacing w:after="0" w:line="294" w:lineRule="auto"/>
        <w:rPr>
          <w:sz w:val="20"/>
          <w:szCs w:val="20"/>
          <w:color w:val="auto"/>
        </w:rPr>
      </w:pPr>
      <w:r>
        <w:rPr>
          <w:rFonts w:ascii="Arial" w:cs="Arial" w:eastAsia="Arial" w:hAnsi="Arial"/>
          <w:sz w:val="16"/>
          <w:szCs w:val="16"/>
          <w:color w:val="auto"/>
        </w:rPr>
        <w:t>An "Offer to Purchase"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will also contain instructions and materials necessary to enable holders to tender notes pursuant to the offer. The offer shall, if delivered prior to the date of consummation of the Change of Control, state that the Offer to Purchase is conditioned on the Change of Control Triggering Event occurring on or prior to the purchase date.</w:t>
      </w:r>
    </w:p>
    <w:p>
      <w:pPr>
        <w:spacing w:after="0" w:line="170" w:lineRule="exact"/>
        <w:rPr>
          <w:sz w:val="20"/>
          <w:szCs w:val="20"/>
          <w:color w:val="auto"/>
        </w:rPr>
      </w:pPr>
    </w:p>
    <w:p>
      <w:pPr>
        <w:jc w:val="both"/>
        <w:ind w:right="20" w:firstLine="347"/>
        <w:spacing w:after="0" w:line="323" w:lineRule="auto"/>
        <w:rPr>
          <w:sz w:val="20"/>
          <w:szCs w:val="20"/>
          <w:color w:val="auto"/>
        </w:rPr>
      </w:pPr>
      <w:r>
        <w:rPr>
          <w:rFonts w:ascii="Arial" w:cs="Arial" w:eastAsia="Arial" w:hAnsi="Arial"/>
          <w:sz w:val="15"/>
          <w:szCs w:val="15"/>
          <w:color w:val="auto"/>
        </w:rPr>
        <w:t>A holder may tender all or any portion of its notes pursuant to an Offer to Purchase, subject to the requirement that any portion of a Note tendered must be in a minimum denomination of $2,000 and integral multiples of $1,000 in excess thereof. Holders are entitled to withdraw notes tendered up to the close of business on the expiration date. On the purchase date the purchase price will become due and payable on each note accepted for purchase pursuant to the Offer to Purchase, and, unless the Company defaults in the payment of the purchase price, interest on notes purchased will cease to accrue on and after the purchase date.</w:t>
      </w:r>
    </w:p>
    <w:p>
      <w:pPr>
        <w:spacing w:after="0" w:line="152"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w:t>
      </w:r>
    </w:p>
    <w:p>
      <w:pPr>
        <w:spacing w:after="0" w:line="186" w:lineRule="exact"/>
        <w:rPr>
          <w:sz w:val="20"/>
          <w:szCs w:val="20"/>
          <w:color w:val="auto"/>
        </w:rPr>
      </w:pPr>
    </w:p>
    <w:p>
      <w:pPr>
        <w:jc w:val="both"/>
        <w:ind w:right="20" w:firstLine="363"/>
        <w:spacing w:after="0" w:line="268" w:lineRule="auto"/>
        <w:rPr>
          <w:sz w:val="20"/>
          <w:szCs w:val="20"/>
          <w:color w:val="auto"/>
        </w:rPr>
      </w:pPr>
      <w:r>
        <w:rPr>
          <w:rFonts w:ascii="Arial" w:cs="Arial" w:eastAsia="Arial" w:hAnsi="Arial"/>
          <w:sz w:val="18"/>
          <w:szCs w:val="18"/>
          <w:color w:val="auto"/>
        </w:rPr>
        <w:t>The Company will not be required to make an Offer to Purchase following a Change of Control Triggering Event with respect to the notes of a series if (1) a third party makes the Offer to Purchase in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manner, at the times and otherwise in compliance with the requirements set forth in the Indenture applicable to an Offer to Purchase made by the Company and purchases all such notes validly tendered and not withdrawn under such Offer to Purchase or (2) a notice of redemption has been given pursuant to the Indenture as described above under the caption "—Optional Redemption." 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97"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auto"/>
        </w:rPr>
        <w:t>If holders of not less than 90% in aggregate principal amount of the outstanding notes of a series validly tender and do not withdraw such notes in a change of control offer and the Company, or any third party approved in writing by the Company making a change of control offer in lieu of the Company as described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"second change of control payment date") at a purchase price equal to 101% of the principal amount thereof plus accrued and unpaid interest, if any, to, but excluding, the second change of control payment date.</w:t>
      </w:r>
    </w:p>
    <w:p>
      <w:pPr>
        <w:spacing w:after="0" w:line="172"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Other indebtedness to which the Company or its Subsidiaries are or may in the future be subject to may have prohibitions on changes of control or provide that a change of control event is an event of default or the trigger of another right of repayment. If the exercise by the holders of their right to require the Company to repurchase the notes upon a Change of Control Triggering Event occurred at the same time as a change of control event under one or more of the Company's other debt agreements, the Company's ability to pay cash to the holders upon a repurchase may be further limited by the Company's then-existing financial resources. See "Risk Factors—Risks Related to the Notes—Upon a Change of Control Triggering Event, we may not have the funds necessary to finance the change of control offer required by the indenture governing the notes, which would violate the terms of the indenture."</w:t>
      </w:r>
    </w:p>
    <w:p>
      <w:pPr>
        <w:spacing w:after="0" w:line="174" w:lineRule="exact"/>
        <w:rPr>
          <w:sz w:val="20"/>
          <w:szCs w:val="20"/>
          <w:color w:val="auto"/>
        </w:rPr>
      </w:pPr>
    </w:p>
    <w:p>
      <w:pPr>
        <w:jc w:val="both"/>
        <w:ind w:firstLine="526"/>
        <w:spacing w:after="0" w:line="255" w:lineRule="auto"/>
        <w:rPr>
          <w:sz w:val="20"/>
          <w:szCs w:val="20"/>
          <w:color w:val="auto"/>
        </w:rPr>
      </w:pPr>
      <w:r>
        <w:rPr>
          <w:rFonts w:ascii="Arial" w:cs="Arial" w:eastAsia="Arial" w:hAnsi="Arial"/>
          <w:sz w:val="18"/>
          <w:szCs w:val="18"/>
          <w:color w:val="auto"/>
        </w:rPr>
        <w:t>The phrase "all or substantially all," as used with respect to the assets of the Company in the definition of "Change of Control" and in the covenant summarized below under "—Certain Covenants—Consolidation, Merger and Conveyance, Transfer and Lease of All or Substantially All Assets," is subject to interpretation under applicable state law, and its applicability in a given instance would depend upon the facts and circumstances. As a result, there may be a degree of uncertainty in ascertaining whether a sale or transfer of "all or substantially all" the assets of the Company has occurred in a particular instance, in which case a holder's ability to obtain the benefit of these provisions could be unclear.</w:t>
      </w:r>
    </w:p>
    <w:p>
      <w:pPr>
        <w:spacing w:after="0" w:line="197" w:lineRule="exact"/>
        <w:rPr>
          <w:sz w:val="20"/>
          <w:szCs w:val="20"/>
          <w:color w:val="auto"/>
        </w:rPr>
      </w:pPr>
    </w:p>
    <w:p>
      <w:pPr>
        <w:jc w:val="both"/>
        <w:ind w:firstLine="364"/>
        <w:spacing w:after="0" w:line="287" w:lineRule="auto"/>
        <w:rPr>
          <w:sz w:val="20"/>
          <w:szCs w:val="20"/>
          <w:color w:val="auto"/>
        </w:rPr>
      </w:pPr>
      <w:r>
        <w:rPr>
          <w:rFonts w:ascii="Arial" w:cs="Arial" w:eastAsia="Arial" w:hAnsi="Arial"/>
          <w:sz w:val="16"/>
          <w:szCs w:val="16"/>
          <w:color w:val="auto"/>
        </w:rPr>
        <w:t>The Change of Control purchase feature of the notes may in certain circumstances make more difficult or discourage a sale or takeover of the Company and, thus, the removal of incumbent management. The Change of Control purchase feature is a result of negotiations between the initial purchasers and the Company. After the original issuance date of the notes,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additional secured Indebtedness are contained in the covenants described under "—Certain Covenants—Limitation on Liens" and "—Certain Covenants—Limitation on Sale and Lease-Back Transactions." Such restrictions in the Indenture can be waived with respect to a series of notes only with the consent of the holders of a majority in principal amount of such series of notes then outstanding. Except for the limitations contained in such covenants, however, the Indenture will not contain any covenants or provisions that may afford holders of the notes protection in the event of a highly leveraged transaction.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75"/>
        <w:spacing w:after="0" w:line="332" w:lineRule="auto"/>
        <w:rPr>
          <w:sz w:val="20"/>
          <w:szCs w:val="20"/>
          <w:color w:val="auto"/>
        </w:rPr>
      </w:pPr>
      <w:r>
        <w:rPr>
          <w:rFonts w:ascii="Arial" w:cs="Arial" w:eastAsia="Arial" w:hAnsi="Arial"/>
          <w:sz w:val="16"/>
          <w:szCs w:val="16"/>
          <w:color w:val="auto"/>
        </w:rPr>
        <w:t>The provisions under the Indenture relating to the Company's obligation to make an offer to repurchase the notes of a series as a result of a Change of Control Triggering Event may be waived or modified with the written consent of the holders of a majority in principal amount of the notes of such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notes of a series generally will be able to exchange notes of such series for other notes with the same total principal amount and the same terms.</w:t>
      </w:r>
    </w:p>
    <w:p>
      <w:pPr>
        <w:spacing w:after="0" w:line="248"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Holders may present notes for exchange or for registration of transfer at the office of the security registrar or at the office of any transfer agent designated by the Company for that purpose. The security registrar or designated transfer agent will exchange or transfer the notes if it is satisfied with the documents of title and identity of the Person making the request. The Company will not charge a service charge for any exchange or registration of transfer of notes. However, the Company and the security registrar may require payment of a sum sufficient to cover any tax or other governmental charge payable for the registration of transfer or exchange. The Company has initially appointed the trustee as security registrar. At any time the Company may:</w:t>
      </w:r>
    </w:p>
    <w:p>
      <w:pPr>
        <w:spacing w:after="0" w:line="183"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designate additional transfer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rescind the designation of any transfer agent;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 a change in the office of any transfer agent.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Company is required to maintain a transfer agent in each place of payment for the notes at all times.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elects to redeem the notes of a series or makes an Offer to Purchase, neither the Company nor the trustee will be required to:</w:t>
      </w:r>
    </w:p>
    <w:p>
      <w:pPr>
        <w:spacing w:after="0" w:line="262" w:lineRule="exact"/>
        <w:rPr>
          <w:sz w:val="20"/>
          <w:szCs w:val="20"/>
          <w:color w:val="auto"/>
        </w:rPr>
      </w:pPr>
    </w:p>
    <w:p>
      <w:pPr>
        <w:jc w:val="both"/>
        <w:ind w:left="108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the period beginning at the opening of business 15 days before the day the Company sends the notice of redemption or makes the Offer to Purchase and ending at the close of business on the day the notice is sent or the Offer to Purchase is made;</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register the transfer or exchange of any note of such series so selected for redemption or subject to purchase in such Offer to Purchase, except for any portion not to be redeemed or subject to purchase; or</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or exchange of any note on or after the regular record date and before the date of redemption or purchase.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Under the Indenture, the Company will pay interest on the notes to the Persons in whose names the notes are registered at the close of business on the regular record date for each interest payment. However, the Company will pay the interest payable on the notes at their stated maturity to the Persons to whom the Company pays the principal amount of the notes.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94"/>
        <w:spacing w:after="0" w:line="268" w:lineRule="auto"/>
        <w:rPr>
          <w:sz w:val="20"/>
          <w:szCs w:val="20"/>
          <w:color w:val="auto"/>
        </w:rPr>
      </w:pPr>
      <w:r>
        <w:rPr>
          <w:rFonts w:ascii="Arial" w:cs="Arial" w:eastAsia="Arial" w:hAnsi="Arial"/>
          <w:sz w:val="18"/>
          <w:szCs w:val="18"/>
          <w:color w:val="auto"/>
        </w:rPr>
        <w:t>The Company will pay principal, premium, if any, and interest on the notes at the offices of the designated paying agents. However, except in the case of a global security, the Company will pay interest by:</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jc w:val="both"/>
        <w:ind w:firstLine="355"/>
        <w:spacing w:after="0" w:line="259" w:lineRule="auto"/>
        <w:rPr>
          <w:sz w:val="20"/>
          <w:szCs w:val="20"/>
          <w:color w:val="auto"/>
        </w:rPr>
      </w:pPr>
      <w:r>
        <w:rPr>
          <w:rFonts w:ascii="Arial" w:cs="Arial" w:eastAsia="Arial" w:hAnsi="Arial"/>
          <w:sz w:val="18"/>
          <w:szCs w:val="18"/>
          <w:color w:val="auto"/>
        </w:rPr>
        <w:t>The Company will initially designate the trustee as the sole paying agent for each series of notes. At any time, the Company may designate additional paying agents or rescind the designation of any paying agents. However, the Company is required to maintain a paying agent in each place of payment for the notes at all times.</w:t>
      </w:r>
    </w:p>
    <w:p>
      <w:pPr>
        <w:spacing w:after="0" w:line="194"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auto"/>
        </w:rPr>
        <w:t>Subject to applicable abandoned property law, any money deposited with the trustee or any paying agent for the payment of principal, premium, if any, and interest on the notes that remains unclaimed for two years after the date the payments became due, may be repaid to the Company upon its request. After the Company has been repaid, holders entitled to those payments may only look to the Company for payment as its unsecured general creditors. Neither the trustee nor any paying agent will be liable for those payments after the Company has been repaid.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jc w:val="both"/>
        <w:ind w:firstLine="384"/>
        <w:spacing w:after="0" w:line="294" w:lineRule="auto"/>
        <w:rPr>
          <w:sz w:val="20"/>
          <w:szCs w:val="20"/>
          <w:color w:val="auto"/>
        </w:rPr>
      </w:pPr>
      <w:r>
        <w:rPr>
          <w:rFonts w:ascii="Arial" w:cs="Arial" w:eastAsia="Arial" w:hAnsi="Arial"/>
          <w:sz w:val="16"/>
          <w:szCs w:val="16"/>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70"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Notwithstanding the foregoing,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 this or the preceding sentence.</w:t>
      </w:r>
    </w:p>
    <w:p>
      <w:pPr>
        <w:spacing w:after="0" w:line="177" w:lineRule="exact"/>
        <w:rPr>
          <w:sz w:val="20"/>
          <w:szCs w:val="20"/>
          <w:color w:val="auto"/>
        </w:rPr>
      </w:pPr>
    </w:p>
    <w:p>
      <w:pPr>
        <w:jc w:val="both"/>
        <w:ind w:firstLine="394"/>
        <w:spacing w:after="0" w:line="332" w:lineRule="auto"/>
        <w:rPr>
          <w:sz w:val="20"/>
          <w:szCs w:val="20"/>
          <w:color w:val="auto"/>
        </w:rPr>
      </w:pPr>
      <w:r>
        <w:rPr>
          <w:rFonts w:ascii="Arial" w:cs="Arial" w:eastAsia="Arial" w:hAnsi="Arial"/>
          <w:sz w:val="16"/>
          <w:szCs w:val="16"/>
          <w:color w:val="auto"/>
        </w:rPr>
        <w:t>For purposes of the foregoing covenant, (i) the creation of a Lien to secure Indebtedness which existed prior to the creation of such Lien will be deemed to involve Indebtedness in an amount equal to the lesser of (x) the fair value (as determined in good faith by a Senior Officer of the Company) of the asset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the immediately preceding paragraph,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72"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Any Lien created for the benefit of the holders of the notes of a series pursuant to the first paragraph under this covenant may provide by its terms that such Lien shall be automatically and unconditionally released and discharged upon the release and discharge of the Lien that gave rise to the obligation to secure the notes of such series.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225"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The Company will not, and will not permit any of its Restricted Subsidiaries, to enter into any Sale and Lease-Back Transaction with respect to any Principal Property owned by the Company or any Restricted Subsidiary, whether now owned or hereafter acquired, unless: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Restricted Subsidiary by the Company or any Subsidiary of any Principal Property;</w:t>
      </w:r>
    </w:p>
    <w:p>
      <w:pPr>
        <w:spacing w:after="0" w:line="199" w:lineRule="exact"/>
        <w:rPr>
          <w:rFonts w:ascii="Arial" w:cs="Arial" w:eastAsia="Arial" w:hAnsi="Arial"/>
          <w:sz w:val="18"/>
          <w:szCs w:val="18"/>
          <w:color w:val="auto"/>
        </w:rPr>
      </w:pPr>
    </w:p>
    <w:p>
      <w:pPr>
        <w:jc w:val="both"/>
        <w:ind w:left="1080" w:hanging="532"/>
        <w:spacing w:after="0" w:line="25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 (ii) the placing into commercial operation of such Principal Property after the acquisition or completion of any such development, operation, construction, alteration, repair or improvement;</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Lease-Back Transaction without equally and ratably securing the notes pursuant to the first paragraph of "—Limitation on Liens" above; or</w:t>
      </w:r>
    </w:p>
    <w:p>
      <w:pPr>
        <w:spacing w:after="0" w:line="207"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70" w:lineRule="exact"/>
        <w:rPr>
          <w:sz w:val="20"/>
          <w:szCs w:val="20"/>
          <w:color w:val="auto"/>
        </w:rPr>
      </w:pPr>
    </w:p>
    <w:p>
      <w:pPr>
        <w:ind w:firstLine="374"/>
        <w:spacing w:after="0" w:line="332" w:lineRule="auto"/>
        <w:rPr>
          <w:sz w:val="20"/>
          <w:szCs w:val="20"/>
          <w:color w:val="auto"/>
        </w:rPr>
      </w:pPr>
      <w:r>
        <w:rPr>
          <w:rFonts w:ascii="Arial" w:cs="Arial" w:eastAsia="Arial" w:hAnsi="Arial"/>
          <w:sz w:val="16"/>
          <w:szCs w:val="16"/>
          <w:color w:val="auto"/>
        </w:rPr>
        <w:t>Notwithstanding the foregoing, the Company and its Restricted Subsidiaries may enter into any Sale and Lease-Back Transaction which would otherwise be subject to the foregoing restrictions if after giving effect thereto and at the time of determination, Aggregate Debt does not exceed an amount equal to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greater of (a) $5.6 billion, and (b) 15% of Consolidated Net Tangible Assets of the Company immediately preceding the closing date of the Sale and Lease-Back Transaction.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Consolidation, Merger and Conveyance, Transfer and Lease of All or Substantially All Assets</w:t>
      </w:r>
    </w:p>
    <w:p>
      <w:pPr>
        <w:spacing w:after="0" w:line="225" w:lineRule="exact"/>
        <w:rPr>
          <w:sz w:val="20"/>
          <w:szCs w:val="20"/>
          <w:color w:val="auto"/>
        </w:rPr>
      </w:pPr>
    </w:p>
    <w:p>
      <w:pPr>
        <w:ind w:right="20" w:firstLine="360"/>
        <w:spacing w:after="0" w:line="268" w:lineRule="auto"/>
        <w:rPr>
          <w:sz w:val="20"/>
          <w:szCs w:val="20"/>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(a "successor person") unless:</w:t>
      </w:r>
    </w:p>
    <w:p>
      <w:pPr>
        <w:spacing w:after="0" w:line="186" w:lineRule="exact"/>
        <w:rPr>
          <w:sz w:val="20"/>
          <w:szCs w:val="20"/>
          <w:color w:val="auto"/>
        </w:rPr>
      </w:pPr>
    </w:p>
    <w:p>
      <w:pPr>
        <w:ind w:left="540" w:firstLine="372"/>
        <w:spacing w:after="0" w:line="332" w:lineRule="auto"/>
        <w:tabs>
          <w:tab w:leader="none" w:pos="1245" w:val="left"/>
        </w:tabs>
        <w:numPr>
          <w:ilvl w:val="1"/>
          <w:numId w:val="14"/>
        </w:numPr>
        <w:rPr>
          <w:rFonts w:ascii="Arial" w:cs="Arial" w:eastAsia="Arial" w:hAnsi="Arial"/>
          <w:sz w:val="16"/>
          <w:szCs w:val="16"/>
          <w:color w:val="auto"/>
        </w:rPr>
      </w:pPr>
      <w:r>
        <w:rPr>
          <w:rFonts w:ascii="Arial" w:cs="Arial" w:eastAsia="Arial" w:hAnsi="Arial"/>
          <w:sz w:val="16"/>
          <w:szCs w:val="16"/>
          <w:color w:val="auto"/>
        </w:rPr>
        <w:t>it is the surviving corporation or the successor person (if other than the Company) is a corporation organized and validly existing under the laws of any U.S. domestic jurisdiction and expressly assumes by a supplemental indenture the Company's obligations on the notes and under the Indenture;</w:t>
      </w:r>
    </w:p>
    <w:p>
      <w:pPr>
        <w:spacing w:after="0" w:line="139" w:lineRule="exact"/>
        <w:rPr>
          <w:rFonts w:ascii="Arial" w:cs="Arial" w:eastAsia="Arial" w:hAnsi="Arial"/>
          <w:sz w:val="16"/>
          <w:szCs w:val="16"/>
          <w:color w:val="auto"/>
        </w:rPr>
      </w:pPr>
    </w:p>
    <w:p>
      <w:pPr>
        <w:ind w:left="540" w:right="20" w:firstLine="393"/>
        <w:spacing w:after="0" w:line="268" w:lineRule="auto"/>
        <w:tabs>
          <w:tab w:leader="none" w:pos="1274" w:val="left"/>
        </w:tabs>
        <w:numPr>
          <w:ilvl w:val="2"/>
          <w:numId w:val="1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225" w:lineRule="exact"/>
        <w:rPr>
          <w:sz w:val="20"/>
          <w:szCs w:val="20"/>
          <w:color w:val="auto"/>
        </w:rPr>
      </w:pPr>
    </w:p>
    <w:p>
      <w:pPr>
        <w:jc w:val="both"/>
        <w:ind w:right="20" w:firstLine="416"/>
        <w:spacing w:after="0" w:line="268" w:lineRule="auto"/>
        <w:rPr>
          <w:sz w:val="20"/>
          <w:szCs w:val="20"/>
          <w:color w:val="auto"/>
        </w:rPr>
      </w:pPr>
      <w:r>
        <w:rPr>
          <w:rFonts w:ascii="Arial" w:cs="Arial" w:eastAsia="Arial" w:hAnsi="Arial"/>
          <w:sz w:val="18"/>
          <w:szCs w:val="18"/>
          <w:color w:val="auto"/>
        </w:rPr>
        <w:t>Notwithstanding the above, any subsidiary of the Company may consolidate with or merge into the Company if the Company is the surviving corporation and any subsidiary of the Company may transfer all or part of its properties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of Financial Information</w:t>
      </w:r>
    </w:p>
    <w:p>
      <w:pPr>
        <w:spacing w:after="0" w:line="231" w:lineRule="exact"/>
        <w:rPr>
          <w:sz w:val="20"/>
          <w:szCs w:val="20"/>
          <w:color w:val="auto"/>
        </w:rPr>
      </w:pPr>
    </w:p>
    <w:p>
      <w:pPr>
        <w:jc w:val="both"/>
        <w:ind w:firstLine="515"/>
        <w:spacing w:after="0" w:line="253" w:lineRule="auto"/>
        <w:rPr>
          <w:sz w:val="20"/>
          <w:szCs w:val="20"/>
          <w:color w:val="auto"/>
        </w:rPr>
      </w:pPr>
      <w:r>
        <w:rPr>
          <w:rFonts w:ascii="Arial" w:cs="Arial" w:eastAsia="Arial" w:hAnsi="Arial"/>
          <w:sz w:val="18"/>
          <w:szCs w:val="18"/>
          <w:color w:val="auto"/>
        </w:rPr>
        <w:t>The Company will file with the trustee, within 15 days after it has filed the same with the SEC, copies of the annual reports and of the information, documents and other reports (or copies of such portions of any of the foregoing as the SEC may prescribe) that it may be required to file with the SEC pursuant to Section 13 or Section 15(d) of the Exchange Act (other than confidential filings, documents subject to confidential treatment and correspondence with the SEC) and the Company shall comply with the provisions of Section 314(a) of the Trust Indenture Act of 1939, as amended (the "Trust Indenture Act"); provided that the delivery of materials to the trustee by electronic means or filing of documents via the EDGAR system (or any successor electronic filing system) shall be deemed to be filed with the trustee as of the time such documents are filed via EDGAR (or such successor system), it being understood that the trustee shall have no responsibility whatsoever to determine if such filings have been made, and that the trustee shall not be deemed to have knowledge of the information contained therein.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225" w:lineRule="exact"/>
        <w:rPr>
          <w:sz w:val="20"/>
          <w:szCs w:val="20"/>
          <w:color w:val="auto"/>
        </w:rPr>
      </w:pPr>
    </w:p>
    <w:p>
      <w:pPr>
        <w:jc w:val="both"/>
        <w:ind w:firstLine="459"/>
        <w:spacing w:after="0" w:line="287" w:lineRule="auto"/>
        <w:rPr>
          <w:sz w:val="20"/>
          <w:szCs w:val="20"/>
          <w:color w:val="auto"/>
        </w:rPr>
      </w:pPr>
      <w:r>
        <w:rPr>
          <w:rFonts w:ascii="Arial" w:cs="Arial" w:eastAsia="Arial" w:hAnsi="Arial"/>
          <w:sz w:val="16"/>
          <w:szCs w:val="16"/>
          <w:color w:val="auto"/>
        </w:rPr>
        <w:t>"Aggregate Debt" means the sum of the following as of the date of determination: (1) the then aggregate outstanding amount of the Indebtedness of the Company and its Restricted Subsidiaries, without duplication, incurred after the Issue Date and secured by Liens not otherwise permitted by the first paragraph under "—Certain Covenants—Limitation on Liens" above (determined in accordance with such covenant); and (2) the then existing Attributable Debt of the Company and its Restricted Subsidiaries in respect of Sale and Lease-Back Transactions, without duplication, entered into after the Issue Date pursuant to the second paragraph of "—Certain Covenants—Limitation on Sale and Lease-Back Transactions" above; provided that any such Attributable Debt will be excluded from this clause (2) to the extent of Indebtedness relating thereto is included in clause (1) of this definition, provided further, in no event will the amount of any Indebtedness be required to be included in the calculation of Aggregate Debt more than once despite the fact more than one Person is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w:t>
      </w:r>
    </w:p>
    <w:p>
      <w:pPr>
        <w:spacing w:after="0" w:line="1" w:lineRule="exact"/>
        <w:rPr>
          <w:sz w:val="20"/>
          <w:szCs w:val="20"/>
          <w:color w:val="auto"/>
        </w:rPr>
      </w:pPr>
    </w:p>
    <w:p>
      <w:pPr>
        <w:jc w:val="both"/>
        <w:ind w:firstLine="8"/>
        <w:spacing w:after="0" w:line="288" w:lineRule="auto"/>
        <w:tabs>
          <w:tab w:leader="none" w:pos="2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the covenant entitled "—Certain Covenants—Limitation on Liens"),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77"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"Attributable Debt"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67" w:lineRule="exact"/>
        <w:rPr>
          <w:sz w:val="20"/>
          <w:szCs w:val="20"/>
          <w:color w:val="auto"/>
        </w:rPr>
      </w:pPr>
    </w:p>
    <w:p>
      <w:pPr>
        <w:jc w:val="both"/>
        <w:ind w:firstLine="390"/>
        <w:spacing w:after="0" w:line="287" w:lineRule="auto"/>
        <w:rPr>
          <w:sz w:val="20"/>
          <w:szCs w:val="20"/>
          <w:color w:val="auto"/>
        </w:rPr>
      </w:pPr>
      <w:r>
        <w:rPr>
          <w:rFonts w:ascii="Arial" w:cs="Arial" w:eastAsia="Arial" w:hAnsi="Arial"/>
          <w:sz w:val="16"/>
          <w:szCs w:val="16"/>
          <w:color w:val="auto"/>
        </w:rPr>
        <w:t>"Below Investment Grade Rating Event" means, with respect to each series of the notes, the rating on the notes of such series is lowered by two or more of the Rating Agencies within 60 days from the earlier of (1) the date of the first public notice of an arrangement that could result in a Change of Control or (2) the occurrence of a Change of Control (which period shall be extended so long as the rating of such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 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is rated Investment Grade by two or more of the Rating Agencies.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"Board of Directors" means the board of directors of the Company or any committee thereof duly authorized to act on behalf of such board.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"Business Day" means each day that is not a Legal Holiday.</w:t>
      </w:r>
    </w:p>
    <w:p>
      <w:pPr>
        <w:spacing w:after="0" w:line="225"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"Capital Stock"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means:</w:t>
      </w:r>
    </w:p>
    <w:p>
      <w:pPr>
        <w:spacing w:after="0" w:line="225" w:lineRule="exact"/>
        <w:rPr>
          <w:sz w:val="20"/>
          <w:szCs w:val="20"/>
          <w:color w:val="auto"/>
        </w:rPr>
      </w:pPr>
    </w:p>
    <w:p>
      <w:pPr>
        <w:ind w:left="540" w:firstLine="403"/>
        <w:spacing w:after="0" w:line="332" w:lineRule="auto"/>
        <w:tabs>
          <w:tab w:leader="none" w:pos="12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spacing w:after="0" w:line="308" w:lineRule="auto"/>
        <w:rPr>
          <w:sz w:val="20"/>
          <w:szCs w:val="20"/>
          <w:color w:val="auto"/>
        </w:rPr>
      </w:pPr>
      <w:r>
        <w:rPr>
          <w:rFonts w:ascii="Arial" w:cs="Arial" w:eastAsia="Arial" w:hAnsi="Arial"/>
          <w:sz w:val="15"/>
          <w:szCs w:val="15"/>
          <w:color w:val="auto"/>
        </w:rPr>
        <w:t>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63" w:lineRule="exact"/>
        <w:rPr>
          <w:sz w:val="20"/>
          <w:szCs w:val="20"/>
          <w:color w:val="auto"/>
        </w:rPr>
      </w:pPr>
    </w:p>
    <w:p>
      <w:pPr>
        <w:jc w:val="both"/>
        <w:ind w:left="540" w:firstLine="407"/>
        <w:spacing w:after="0" w:line="255" w:lineRule="auto"/>
        <w:tabs>
          <w:tab w:leader="none" w:pos="1293"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96" w:lineRule="exact"/>
        <w:rPr>
          <w:rFonts w:ascii="Arial" w:cs="Arial" w:eastAsia="Arial" w:hAnsi="Arial"/>
          <w:sz w:val="18"/>
          <w:szCs w:val="18"/>
          <w:color w:val="auto"/>
        </w:rPr>
      </w:pPr>
    </w:p>
    <w:p>
      <w:pPr>
        <w:ind w:left="1240" w:hanging="341"/>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 Event.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"Comparable Treasury Issue" means the United States Treasury security selected by a Reference Treasury Dealer (as defined below) as having an actual or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gridSpan w:val="3"/>
          </w:tcPr>
          <w:p>
            <w:pPr>
              <w:spacing w:after="0"/>
              <w:rPr>
                <w:sz w:val="20"/>
                <w:szCs w:val="20"/>
                <w:color w:val="auto"/>
              </w:rPr>
            </w:pPr>
            <w:r>
              <w:rPr>
                <w:rFonts w:ascii="Arial" w:cs="Arial" w:eastAsia="Arial" w:hAnsi="Arial"/>
                <w:sz w:val="18"/>
                <w:szCs w:val="18"/>
                <w:color w:val="auto"/>
                <w:w w:val="96"/>
              </w:rPr>
              <w:t>interpolated maturity comparable to the period from the redemption date to</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 20</w:t>
            </w:r>
          </w:p>
        </w:tc>
        <w:tc>
          <w:tcPr>
            <w:tcW w:w="1840" w:type="dxa"/>
            <w:vAlign w:val="bottom"/>
          </w:tcPr>
          <w:p>
            <w:pPr>
              <w:ind w:left="160"/>
              <w:spacing w:after="0"/>
              <w:rPr>
                <w:sz w:val="20"/>
                <w:szCs w:val="20"/>
                <w:color w:val="auto"/>
              </w:rPr>
            </w:pPr>
            <w:r>
              <w:rPr>
                <w:rFonts w:ascii="Arial" w:cs="Arial" w:eastAsia="Arial" w:hAnsi="Arial"/>
                <w:sz w:val="18"/>
                <w:szCs w:val="18"/>
                <w:color w:val="auto"/>
                <w:w w:val="96"/>
              </w:rPr>
              <w:t>, in the case of the 20</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notes,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 20   , in the case of the</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  notes, and</w:t>
            </w:r>
          </w:p>
        </w:tc>
        <w:tc>
          <w:tcPr>
            <w:tcW w:w="2340" w:type="dxa"/>
            <w:vAlign w:val="bottom"/>
          </w:tcPr>
          <w:p>
            <w:pPr>
              <w:ind w:left="260"/>
              <w:spacing w:after="0"/>
              <w:rPr>
                <w:sz w:val="20"/>
                <w:szCs w:val="20"/>
                <w:color w:val="auto"/>
              </w:rPr>
            </w:pPr>
            <w:r>
              <w:rPr>
                <w:rFonts w:ascii="Arial" w:cs="Arial" w:eastAsia="Arial" w:hAnsi="Arial"/>
                <w:sz w:val="18"/>
                <w:szCs w:val="18"/>
                <w:color w:val="auto"/>
                <w:w w:val="97"/>
              </w:rPr>
              <w:t>, 20  , in the case of the 20</w:t>
            </w:r>
          </w:p>
        </w:tc>
        <w:tc>
          <w:tcPr>
            <w:tcW w:w="7740" w:type="dxa"/>
            <w:vAlign w:val="bottom"/>
            <w:gridSpan w:val="6"/>
          </w:tcPr>
          <w:p>
            <w:pPr>
              <w:jc w:val="right"/>
              <w:spacing w:after="0"/>
              <w:rPr>
                <w:sz w:val="20"/>
                <w:szCs w:val="20"/>
                <w:color w:val="auto"/>
              </w:rPr>
            </w:pPr>
            <w:r>
              <w:rPr>
                <w:rFonts w:ascii="Arial" w:cs="Arial" w:eastAsia="Arial" w:hAnsi="Arial"/>
                <w:sz w:val="18"/>
                <w:szCs w:val="18"/>
                <w:color w:val="auto"/>
                <w:w w:val="90"/>
              </w:rPr>
              <w:t>notes, that would be utilized, at the time of selection and in accordance with customary financial practice, in</w:t>
            </w:r>
          </w:p>
        </w:tc>
      </w:tr>
      <w:tr>
        <w:trPr>
          <w:trHeight w:val="216"/>
        </w:trPr>
        <w:tc>
          <w:tcPr>
            <w:tcW w:w="8340" w:type="dxa"/>
            <w:vAlign w:val="bottom"/>
            <w:gridSpan w:val="5"/>
          </w:tcPr>
          <w:p>
            <w:pPr>
              <w:spacing w:after="0"/>
              <w:rPr>
                <w:sz w:val="20"/>
                <w:szCs w:val="20"/>
                <w:color w:val="auto"/>
              </w:rPr>
            </w:pPr>
            <w:r>
              <w:rPr>
                <w:rFonts w:ascii="Arial" w:cs="Arial" w:eastAsia="Arial" w:hAnsi="Arial"/>
                <w:sz w:val="18"/>
                <w:szCs w:val="18"/>
                <w:color w:val="auto"/>
                <w:w w:val="93"/>
              </w:rPr>
              <w:t>pricing new issues of corporate debt securities of comparable maturity to the period from the redemption date to</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 20  ,</w:t>
            </w:r>
          </w:p>
        </w:tc>
        <w:tc>
          <w:tcPr>
            <w:tcW w:w="1380" w:type="dxa"/>
            <w:vAlign w:val="bottom"/>
          </w:tcPr>
          <w:p>
            <w:pPr>
              <w:ind w:left="400"/>
              <w:spacing w:after="0"/>
              <w:rPr>
                <w:sz w:val="20"/>
                <w:szCs w:val="20"/>
                <w:color w:val="auto"/>
              </w:rPr>
            </w:pPr>
            <w:r>
              <w:rPr>
                <w:rFonts w:ascii="Arial" w:cs="Arial" w:eastAsia="Arial" w:hAnsi="Arial"/>
                <w:sz w:val="18"/>
                <w:szCs w:val="18"/>
                <w:color w:val="auto"/>
              </w:rPr>
              <w:t>, 20  and</w:t>
            </w:r>
          </w:p>
        </w:tc>
        <w:tc>
          <w:tcPr>
            <w:tcW w:w="760" w:type="dxa"/>
            <w:vAlign w:val="bottom"/>
          </w:tcPr>
          <w:p>
            <w:pPr>
              <w:jc w:val="right"/>
              <w:spacing w:after="0"/>
              <w:rPr>
                <w:sz w:val="20"/>
                <w:szCs w:val="20"/>
                <w:color w:val="auto"/>
              </w:rPr>
            </w:pPr>
            <w:r>
              <w:rPr>
                <w:rFonts w:ascii="Arial" w:cs="Arial" w:eastAsia="Arial" w:hAnsi="Arial"/>
                <w:sz w:val="18"/>
                <w:szCs w:val="18"/>
                <w:color w:val="auto"/>
              </w:rPr>
              <w:t>, 20  ,</w:t>
            </w: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respectively.</w:t>
            </w:r>
          </w:p>
        </w:tc>
        <w:tc>
          <w:tcPr>
            <w:tcW w:w="2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10" w:lineRule="exact"/>
        <w:rPr>
          <w:sz w:val="20"/>
          <w:szCs w:val="20"/>
          <w:color w:val="auto"/>
        </w:rPr>
      </w:pPr>
    </w:p>
    <w:p>
      <w:pPr>
        <w:jc w:val="both"/>
        <w:ind w:firstLine="489"/>
        <w:spacing w:after="0" w:line="306" w:lineRule="auto"/>
        <w:rPr>
          <w:sz w:val="20"/>
          <w:szCs w:val="20"/>
          <w:color w:val="auto"/>
        </w:rPr>
      </w:pPr>
      <w:r>
        <w:rPr>
          <w:rFonts w:ascii="Arial" w:cs="Arial" w:eastAsia="Arial" w:hAnsi="Arial"/>
          <w:sz w:val="16"/>
          <w:szCs w:val="16"/>
          <w:color w:val="auto"/>
        </w:rPr>
        <w:t>"Comparable Treasury Price"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61"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"Consolidated Net Tangible Assets" means, with respect to any Person, the total amount of assets of such Person and its Consolidated Subsidiaries after deducting therefrom (a) all current liabilities of such Person and its Consolidated Subsidiaries (excluding (i) any notes or loans payable within 12 months, the current portion of long-term debt, the current portion of deferred revenue and of obligations under capital leases and, following the adoption of ASU 2016-02— Leases, of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86" w:lineRule="exact"/>
        <w:rPr>
          <w:sz w:val="20"/>
          <w:szCs w:val="20"/>
          <w:color w:val="auto"/>
        </w:rPr>
      </w:pPr>
    </w:p>
    <w:p>
      <w:pPr>
        <w:jc w:val="both"/>
        <w:ind w:right="20" w:firstLine="372"/>
        <w:spacing w:after="0" w:line="268" w:lineRule="auto"/>
        <w:rPr>
          <w:sz w:val="20"/>
          <w:szCs w:val="20"/>
          <w:color w:val="auto"/>
        </w:rPr>
      </w:pPr>
      <w:r>
        <w:rPr>
          <w:rFonts w:ascii="Arial" w:cs="Arial" w:eastAsia="Arial" w:hAnsi="Arial"/>
          <w:sz w:val="18"/>
          <w:szCs w:val="18"/>
          <w:color w:val="auto"/>
        </w:rPr>
        <w:t>"Consolidated Subsidiaries" means, as of any date of determination and with respect to any Person, those subsidiaries of that Person whose financial data is, in accordance with GAAP, reflected in that Person's consolidated financial statements.</w:t>
      </w:r>
    </w:p>
    <w:p>
      <w:pPr>
        <w:spacing w:after="0" w:line="186" w:lineRule="exact"/>
        <w:rPr>
          <w:sz w:val="20"/>
          <w:szCs w:val="20"/>
          <w:color w:val="auto"/>
        </w:rPr>
      </w:pPr>
    </w:p>
    <w:p>
      <w:pPr>
        <w:jc w:val="both"/>
        <w:ind w:right="20" w:firstLine="383"/>
        <w:spacing w:after="0" w:line="268" w:lineRule="auto"/>
        <w:rPr>
          <w:sz w:val="20"/>
          <w:szCs w:val="20"/>
          <w:color w:val="auto"/>
        </w:rPr>
      </w:pPr>
      <w:r>
        <w:rPr>
          <w:rFonts w:ascii="Arial" w:cs="Arial" w:eastAsia="Arial" w:hAnsi="Arial"/>
          <w:sz w:val="18"/>
          <w:szCs w:val="18"/>
          <w:color w:val="auto"/>
        </w:rPr>
        <w:t>"Equity Interests" means all Capital Stock and all warrants or options with respect to, or other rights to purchase, Capital Stock, but excluding Indebtedness convertible into or exchangeable for equity.</w:t>
      </w:r>
    </w:p>
    <w:p>
      <w:pPr>
        <w:spacing w:after="0" w:line="186" w:lineRule="exact"/>
        <w:rPr>
          <w:sz w:val="20"/>
          <w:szCs w:val="20"/>
          <w:color w:val="auto"/>
        </w:rPr>
      </w:pPr>
    </w:p>
    <w:p>
      <w:pPr>
        <w:jc w:val="both"/>
        <w:ind w:firstLine="522"/>
        <w:spacing w:after="0" w:line="294" w:lineRule="auto"/>
        <w:rPr>
          <w:sz w:val="20"/>
          <w:szCs w:val="20"/>
          <w:color w:val="auto"/>
        </w:rPr>
      </w:pPr>
      <w:r>
        <w:rPr>
          <w:rFonts w:ascii="Arial" w:cs="Arial" w:eastAsia="Arial" w:hAnsi="Arial"/>
          <w:sz w:val="16"/>
          <w:szCs w:val="16"/>
          <w:color w:val="auto"/>
        </w:rPr>
        <w:t>"Existing Credit Facilities" means (1) that certain Credit Agreement, dated as of April 26, 2016 (as the same may be amended, restated, modified or supplemented from time to time), by and among the Company, Morgan Stanley Senior Funding, Inc. as administrative agent and collateral agent, and the other agents party thereto and each financial institution party from time to time thereto, and (2) that certain Credit Agreement, dated as of July 3, 2018 (as the same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"Fitch" means Fitch Ratings Inc. and any successor to its rating agency business.</w:t>
      </w:r>
    </w:p>
    <w:p>
      <w:pPr>
        <w:spacing w:after="0" w:line="225"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8"/>
          <w:szCs w:val="18"/>
          <w:color w:val="auto"/>
        </w:rPr>
        <w:t>"Foreign Subsidiary" means, with respect to any Person, any Subsidiary of such Person other than one that is organized or existing under the laws of the United States, any state thereof or the District of Columbia.</w:t>
      </w:r>
    </w:p>
    <w:p>
      <w:pPr>
        <w:spacing w:after="0" w:line="186" w:lineRule="exact"/>
        <w:rPr>
          <w:sz w:val="20"/>
          <w:szCs w:val="20"/>
          <w:color w:val="auto"/>
        </w:rPr>
      </w:pPr>
    </w:p>
    <w:p>
      <w:pPr>
        <w:jc w:val="both"/>
        <w:ind w:firstLine="424"/>
        <w:spacing w:after="0" w:line="259" w:lineRule="auto"/>
        <w:rPr>
          <w:sz w:val="20"/>
          <w:szCs w:val="20"/>
          <w:color w:val="auto"/>
        </w:rPr>
      </w:pPr>
      <w:r>
        <w:rPr>
          <w:rFonts w:ascii="Arial" w:cs="Arial" w:eastAsia="Arial" w:hAnsi="Arial"/>
          <w:sz w:val="18"/>
          <w:szCs w:val="18"/>
          <w:color w:val="auto"/>
        </w:rPr>
        <w:t>"GAAP"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94" w:lineRule="exact"/>
        <w:rPr>
          <w:sz w:val="20"/>
          <w:szCs w:val="20"/>
          <w:color w:val="auto"/>
        </w:rPr>
      </w:pPr>
    </w:p>
    <w:p>
      <w:pPr>
        <w:jc w:val="both"/>
        <w:ind w:firstLine="355"/>
        <w:spacing w:after="0" w:line="298" w:lineRule="auto"/>
        <w:rPr>
          <w:sz w:val="20"/>
          <w:szCs w:val="20"/>
          <w:color w:val="auto"/>
        </w:rPr>
      </w:pPr>
      <w:r>
        <w:rPr>
          <w:rFonts w:ascii="Arial" w:cs="Arial" w:eastAsia="Arial" w:hAnsi="Arial"/>
          <w:sz w:val="16"/>
          <w:szCs w:val="16"/>
          <w:color w:val="auto"/>
        </w:rPr>
        <w:t>"Indebtedness"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240" w:hanging="341"/>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that does not require the current payment of interest;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jc w:val="both"/>
        <w:ind w:left="540" w:firstLine="527"/>
        <w:spacing w:after="0" w:line="259" w:lineRule="auto"/>
        <w:tabs>
          <w:tab w:leader="none" w:pos="14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94" w:lineRule="exact"/>
        <w:rPr>
          <w:sz w:val="20"/>
          <w:szCs w:val="20"/>
          <w:color w:val="auto"/>
        </w:rPr>
      </w:pPr>
    </w:p>
    <w:p>
      <w:pPr>
        <w:ind w:right="20" w:firstLine="490"/>
        <w:spacing w:after="0" w:line="268"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the Indenture.</w:t>
      </w:r>
    </w:p>
    <w:p>
      <w:pPr>
        <w:spacing w:after="0" w:line="186" w:lineRule="exact"/>
        <w:rPr>
          <w:sz w:val="20"/>
          <w:szCs w:val="20"/>
          <w:color w:val="auto"/>
        </w:rPr>
      </w:pPr>
    </w:p>
    <w:p>
      <w:pPr>
        <w:ind w:right="20" w:firstLine="387"/>
        <w:spacing w:after="0" w:line="332" w:lineRule="auto"/>
        <w:rPr>
          <w:sz w:val="20"/>
          <w:szCs w:val="20"/>
          <w:color w:val="auto"/>
        </w:rPr>
      </w:pPr>
      <w:r>
        <w:rPr>
          <w:rFonts w:ascii="Arial" w:cs="Arial" w:eastAsia="Arial" w:hAnsi="Arial"/>
          <w:sz w:val="16"/>
          <w:szCs w:val="16"/>
          <w:color w:val="auto"/>
        </w:rPr>
        <w:t>"Investment Grade" means a rating of BBB– or better by Fitch (or its equivalent under any successor rating categories of Fitch), Baa3 or better by Moody's (or its equivalent under any successor rating categories of Moody's) and a rating of BBB– or better by S&amp;P (or its equivalent under any successor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rating categories of S&amp;P) or the equivalent investment grade credit rating from any additional Rating Agency or Rating Agencies selected by 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"Issue Date" means the date of original issuance of the notes under the Indenture.</w:t>
      </w:r>
    </w:p>
    <w:p>
      <w:pPr>
        <w:spacing w:after="0" w:line="225" w:lineRule="exact"/>
        <w:rPr>
          <w:sz w:val="20"/>
          <w:szCs w:val="20"/>
          <w:color w:val="auto"/>
        </w:rPr>
      </w:pPr>
    </w:p>
    <w:p>
      <w:pPr>
        <w:jc w:val="both"/>
        <w:ind w:firstLine="413"/>
        <w:spacing w:after="0" w:line="268" w:lineRule="auto"/>
        <w:rPr>
          <w:sz w:val="20"/>
          <w:szCs w:val="20"/>
          <w:color w:val="auto"/>
        </w:rPr>
      </w:pPr>
      <w:r>
        <w:rPr>
          <w:rFonts w:ascii="Arial" w:cs="Arial" w:eastAsia="Arial" w:hAnsi="Arial"/>
          <w:sz w:val="18"/>
          <w:szCs w:val="18"/>
          <w:color w:val="auto"/>
        </w:rPr>
        <w:t>"Joint Venture" means, with respect to any Person, any partnership, corporation or other entity in which up to and including 50% of the Equity Interests is owned, directly or indirectly, by such Person and/or one or more of its Subsidiaries.</w:t>
      </w:r>
    </w:p>
    <w:p>
      <w:pPr>
        <w:spacing w:after="0" w:line="186"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8"/>
          <w:szCs w:val="18"/>
          <w:color w:val="auto"/>
        </w:rPr>
        <w:t>"Legal Holiday" means a Saturday, a Sunday or a day on which commercial banking institutions or the corporate trust office are not required to be open in the State of New York or the place of payment.</w:t>
      </w:r>
    </w:p>
    <w:p>
      <w:pPr>
        <w:spacing w:after="0" w:line="186" w:lineRule="exact"/>
        <w:rPr>
          <w:sz w:val="20"/>
          <w:szCs w:val="20"/>
          <w:color w:val="auto"/>
        </w:rPr>
      </w:pPr>
    </w:p>
    <w:p>
      <w:pPr>
        <w:jc w:val="both"/>
        <w:ind w:firstLine="383"/>
        <w:spacing w:after="0" w:line="332" w:lineRule="auto"/>
        <w:rPr>
          <w:sz w:val="20"/>
          <w:szCs w:val="20"/>
          <w:color w:val="auto"/>
        </w:rPr>
      </w:pPr>
      <w:r>
        <w:rPr>
          <w:rFonts w:ascii="Arial" w:cs="Arial" w:eastAsia="Arial" w:hAnsi="Arial"/>
          <w:sz w:val="16"/>
          <w:szCs w:val="16"/>
          <w:color w:val="auto"/>
        </w:rPr>
        <w:t>"Lien"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"Moody's" means Moody's Investors Service, Inc. and any successor to its rating agency business.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"Nonrecourse Obligation"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"Permitted Liens" means:</w:t>
      </w:r>
    </w:p>
    <w:p>
      <w:pPr>
        <w:spacing w:after="0" w:line="239" w:lineRule="exact"/>
        <w:rPr>
          <w:sz w:val="20"/>
          <w:szCs w:val="20"/>
          <w:color w:val="auto"/>
        </w:rPr>
      </w:pPr>
    </w:p>
    <w:p>
      <w:pPr>
        <w:ind w:left="1080" w:right="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including the Existing Credit Facilities;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238"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87" w:lineRule="exact"/>
        <w:rPr>
          <w:rFonts w:ascii="Arial" w:cs="Arial" w:eastAsia="Arial" w:hAnsi="Arial"/>
          <w:sz w:val="16"/>
          <w:szCs w:val="16"/>
          <w:color w:val="auto"/>
        </w:rPr>
      </w:pPr>
    </w:p>
    <w:p>
      <w:pPr>
        <w:jc w:val="both"/>
        <w:ind w:left="1080" w:hanging="532"/>
        <w:spacing w:after="0" w:line="290"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199" w:lineRule="exact"/>
        <w:rPr>
          <w:rFonts w:ascii="Arial" w:cs="Arial" w:eastAsia="Arial" w:hAnsi="Arial"/>
          <w:sz w:val="16"/>
          <w:szCs w:val="16"/>
          <w:color w:val="auto"/>
        </w:rPr>
      </w:pPr>
    </w:p>
    <w:p>
      <w:pPr>
        <w:jc w:val="both"/>
        <w:ind w:left="1080" w:hanging="532"/>
        <w:spacing w:after="0" w:line="37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88" w:lineRule="auto"/>
        <w:rPr>
          <w:sz w:val="20"/>
          <w:szCs w:val="20"/>
          <w:color w:val="auto"/>
        </w:rPr>
      </w:pPr>
      <w:r>
        <w:rPr>
          <w:rFonts w:ascii="Arial" w:cs="Arial" w:eastAsia="Arial" w:hAnsi="Arial"/>
          <w:sz w:val="16"/>
          <w:szCs w:val="16"/>
          <w:color w:val="auto"/>
        </w:rPr>
        <w:t>Subsidiaries arising in connection with the purchase or acquisition thereof or of an interest therein by the Company or any of its Subsidiaries,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187" w:lineRule="exact"/>
        <w:rPr>
          <w:sz w:val="20"/>
          <w:szCs w:val="20"/>
          <w:color w:val="auto"/>
        </w:rPr>
      </w:pPr>
    </w:p>
    <w:p>
      <w:pPr>
        <w:jc w:val="both"/>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212"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11"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80"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created, incurred or assumed in connection with an industrial revenue bond, pollution control bond or similar financing between the Company or any of its Subsidiary and any federal, state or municipal government or other government body or quasi-governmental agency;</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created in connection with the acquisition of assets or a project financed with, and created to secure a Nonrecourse Obligation; and</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extension, renewal, substitution, reinstatement or replacement (or successive extensions, renewals, substitutions, reinstatements or replacements), in whole or in part, of any Lien referred to in this or the preceding bullet points, and any Liens that secure an extension, renewal,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spacing w:after="0" w:line="298" w:lineRule="auto"/>
        <w:rPr>
          <w:sz w:val="20"/>
          <w:szCs w:val="20"/>
          <w:color w:val="auto"/>
        </w:rPr>
      </w:pPr>
      <w:r>
        <w:rPr>
          <w:rFonts w:ascii="Arial" w:cs="Arial" w:eastAsia="Arial" w:hAnsi="Arial"/>
          <w:sz w:val="16"/>
          <w:szCs w:val="16"/>
          <w:color w:val="auto"/>
        </w:rPr>
        <w:t>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bullet points.</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86"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auto"/>
        </w:rPr>
        <w:t>"Person" means any individual, corporation, partnership, joint venture, association, limited liability company, joint-stock company, trust, unincorporated organization or government or any agency or political subdivision thereof.</w:t>
      </w:r>
    </w:p>
    <w:p>
      <w:pPr>
        <w:spacing w:after="0" w:line="186" w:lineRule="exact"/>
        <w:rPr>
          <w:sz w:val="20"/>
          <w:szCs w:val="20"/>
          <w:color w:val="auto"/>
        </w:rPr>
      </w:pPr>
    </w:p>
    <w:p>
      <w:pPr>
        <w:jc w:val="both"/>
        <w:ind w:firstLine="532"/>
        <w:spacing w:after="0" w:line="253" w:lineRule="auto"/>
        <w:rPr>
          <w:sz w:val="20"/>
          <w:szCs w:val="20"/>
          <w:color w:val="auto"/>
        </w:rPr>
      </w:pPr>
      <w:r>
        <w:rPr>
          <w:rFonts w:ascii="Arial" w:cs="Arial" w:eastAsia="Arial" w:hAnsi="Arial"/>
          <w:sz w:val="18"/>
          <w:szCs w:val="18"/>
          <w:color w:val="auto"/>
        </w:rPr>
        <w:t>"Principal Property" means any single parcel (or group of contiguous parcels that comprise the same facility, office or plant) of real property or any 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201" w:lineRule="exact"/>
        <w:rPr>
          <w:sz w:val="20"/>
          <w:szCs w:val="20"/>
          <w:color w:val="auto"/>
        </w:rPr>
      </w:pPr>
    </w:p>
    <w:p>
      <w:pPr>
        <w:jc w:val="both"/>
        <w:ind w:firstLine="368"/>
        <w:spacing w:after="0" w:line="306" w:lineRule="auto"/>
        <w:rPr>
          <w:sz w:val="20"/>
          <w:szCs w:val="20"/>
          <w:color w:val="auto"/>
        </w:rPr>
      </w:pPr>
      <w:r>
        <w:rPr>
          <w:rFonts w:ascii="Arial" w:cs="Arial" w:eastAsia="Arial" w:hAnsi="Arial"/>
          <w:sz w:val="16"/>
          <w:szCs w:val="16"/>
          <w:color w:val="auto"/>
        </w:rPr>
        <w:t>"Rating Agency" means (1) each of Fitch, Moody's and S&amp;P; and (2) if any of Fitch, Moody's or S&amp;P ceases to rate the notes or fails to make a rating of the notes publicly available for reasons outside of the Company's control, a "nationally recognized statistical rating organization" within the meaning of Section 3(a) (62) of the Exchange Act, selected by the Company as a replacement agency for Fitch, Moody's or S&amp;P, or all of them, as the case may be.</w:t>
      </w:r>
    </w:p>
    <w:p>
      <w:pPr>
        <w:spacing w:after="0" w:line="161" w:lineRule="exact"/>
        <w:rPr>
          <w:sz w:val="20"/>
          <w:szCs w:val="20"/>
          <w:color w:val="auto"/>
        </w:rPr>
      </w:pPr>
    </w:p>
    <w:p>
      <w:pPr>
        <w:jc w:val="both"/>
        <w:ind w:firstLine="422"/>
        <w:spacing w:after="0" w:line="256" w:lineRule="auto"/>
        <w:rPr>
          <w:sz w:val="20"/>
          <w:szCs w:val="20"/>
          <w:color w:val="auto"/>
        </w:rPr>
      </w:pPr>
      <w:r>
        <w:rPr>
          <w:rFonts w:ascii="Arial" w:cs="Arial" w:eastAsia="Arial" w:hAnsi="Arial"/>
          <w:sz w:val="18"/>
          <w:szCs w:val="18"/>
          <w:color w:val="auto"/>
        </w:rPr>
        <w:t>"Reference Treasury Dealer" means at least two primary U.S. Government securities dealers selected by the Company, which may include any of Morgan Stanley &amp; Co. LLC, BNP Paribas Securities Corp. or Credit Suisse Securities (USA)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197"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"Reference Treasury Dealer Quotations"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94"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"Restricted Subsidiary" shall mean each Subsidiary of the Company (1) that is organized or existing under the laws of the United States, any state thereof or the District of Columbia other than any such Subsidiary that is a direct or indirect Subsidiary of one or more Foreign Subsidiaries of the Company, (2) 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"S&amp;P" means S&amp;P Global Ratings, and any successor to its rating agency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"Sale and Lease-Back Transaction" means an arrangement with any lender or investor or to which such lender or investor is a party providing for the leasing by us or any of our Subsidiaries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us or our Subsidiary to such lender or investor or to any person to whom funds have been or are to be advanced by such lender on the security of such Principal Property.</w:t>
      </w:r>
    </w:p>
    <w:p>
      <w:pPr>
        <w:spacing w:after="0" w:line="170" w:lineRule="exact"/>
        <w:rPr>
          <w:sz w:val="20"/>
          <w:szCs w:val="20"/>
          <w:color w:val="auto"/>
        </w:rPr>
      </w:pPr>
    </w:p>
    <w:p>
      <w:pPr>
        <w:jc w:val="both"/>
        <w:ind w:firstLine="434"/>
        <w:spacing w:after="0" w:line="268" w:lineRule="auto"/>
        <w:rPr>
          <w:sz w:val="20"/>
          <w:szCs w:val="20"/>
          <w:color w:val="auto"/>
        </w:rPr>
      </w:pPr>
      <w:r>
        <w:rPr>
          <w:rFonts w:ascii="Arial" w:cs="Arial" w:eastAsia="Arial" w:hAnsi="Arial"/>
          <w:sz w:val="18"/>
          <w:szCs w:val="18"/>
          <w:color w:val="auto"/>
        </w:rPr>
        <w:t>"Senior Officer" of any specified Person means the chief executive officer, any president, any vice president, the chief financial officer, the treasurer, any assistant treasurer, the secretary or any assistant secretary.</w:t>
      </w:r>
    </w:p>
    <w:p>
      <w:pPr>
        <w:spacing w:after="0" w:line="186" w:lineRule="exact"/>
        <w:rPr>
          <w:sz w:val="20"/>
          <w:szCs w:val="20"/>
          <w:color w:val="auto"/>
        </w:rPr>
      </w:pPr>
    </w:p>
    <w:p>
      <w:pPr>
        <w:jc w:val="both"/>
        <w:ind w:firstLine="417"/>
        <w:spacing w:after="0" w:line="259" w:lineRule="auto"/>
        <w:rPr>
          <w:sz w:val="20"/>
          <w:szCs w:val="20"/>
          <w:color w:val="auto"/>
        </w:rPr>
      </w:pPr>
      <w:r>
        <w:rPr>
          <w:rFonts w:ascii="Arial" w:cs="Arial" w:eastAsia="Arial" w:hAnsi="Arial"/>
          <w:sz w:val="18"/>
          <w:szCs w:val="18"/>
          <w:color w:val="auto"/>
        </w:rPr>
        <w:t>"Subsidiary"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94"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6"/>
          <w:szCs w:val="16"/>
          <w:color w:val="auto"/>
        </w:rPr>
        <w:t>"Treasury Rate"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61" w:lineRule="exact"/>
        <w:rPr>
          <w:sz w:val="20"/>
          <w:szCs w:val="20"/>
          <w:color w:val="auto"/>
        </w:rPr>
      </w:pPr>
    </w:p>
    <w:p>
      <w:pPr>
        <w:jc w:val="both"/>
        <w:ind w:firstLine="362"/>
        <w:spacing w:after="0" w:line="332" w:lineRule="auto"/>
        <w:rPr>
          <w:sz w:val="20"/>
          <w:szCs w:val="20"/>
          <w:color w:val="auto"/>
        </w:rPr>
      </w:pPr>
      <w:r>
        <w:rPr>
          <w:rFonts w:ascii="Arial" w:cs="Arial" w:eastAsia="Arial" w:hAnsi="Arial"/>
          <w:sz w:val="16"/>
          <w:szCs w:val="16"/>
          <w:color w:val="auto"/>
        </w:rPr>
        <w:t>"Voting Stock"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will be an event of default under the Indenture for each series of notes:</w:t>
      </w:r>
    </w:p>
    <w:p>
      <w:pPr>
        <w:spacing w:after="0" w:line="239" w:lineRule="exact"/>
        <w:rPr>
          <w:sz w:val="20"/>
          <w:szCs w:val="20"/>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of that series when it becomes due and payable, and continuance of that default for a period of 30 days;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note of that series when due and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the Company to comply with the requirement to make an Offer to Purchase in connection with a Change of Control Triggering Event for 30 calendar days;</w:t>
      </w:r>
    </w:p>
    <w:p>
      <w:pPr>
        <w:spacing w:after="0" w:line="199"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of the Company in the Indenture, which default continues uncured for a period of 90 days after the Company receives written notice from the trustee or the Company and the trustee receive written notice from the holders of not less than 25% in principal amount of the outstanding notes of that series as provided in the Indenture;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voluntary and involuntary events of bankruptcy, insolvency or reorganization of the Company.</w:t>
      </w:r>
    </w:p>
    <w:p>
      <w:pPr>
        <w:spacing w:after="0" w:line="225"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auto"/>
        </w:rPr>
        <w:t>No event of default with respect to a series of notes (except as to certain events of bankruptcy, insolvency or reorganization involving the Company) necessarily constitutes an event of default with respect to any other series of notes. The occurrence of certain events of default or an acceleration under the Indenture may constitute an event of default under certain of our other indebtedness outstanding from time to time.</w:t>
      </w:r>
    </w:p>
    <w:p>
      <w:pPr>
        <w:spacing w:after="0" w:line="194"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If an event of default with respect to notes of a series at the time outstanding occurs and is continuing, then the trustee or the holders of not less than 25% in principal amount of the outstanding notes of that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series may, by a notice in writing to the Company (and to the trustee if given by the holders), declare to be due and payable immediately the principal of and accrued and unpaid interest, if any, on all notes of that series. In the case of an event of default resulting from certain events of bankruptcy, insolvency or reorganization, the principal of and accrued and unpaid interest, if any, on all outstanding notes of a series will become and be immediately due and payable without any declaration or other act on the part of the trustee or any holder of outstanding notes of such series. At any time after a declaration of acceleration with respect to notes of any series has been made, but before a judgment or decree for payment of the money due has been obtained by the trustee, the holders of a majority in principal amount of the outstanding notes of that series may rescind and annul the acceleration if all events of default, other than the non-payment of the principal and interest with respect to notes of that series which have become due solely by such declaration of acceleration, have been cured or waived as provided in the Indenture and the trustee's fees and expenses have been paid in full.</w:t>
      </w:r>
    </w:p>
    <w:p>
      <w:pPr>
        <w:spacing w:after="0" w:line="172"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unless the trustee receives security or indemnity satisfactory to it against any loss, cost, liability or expense. Subject to certain rights of the trustee, the holders of a majority in principal amount of the outstanding notes of any series will have the right to direct the time, method and place of conducting any proceeding for any remedy available to the trustee or exercising any trust or power conferred on the trustee with respect to the notes of that series.</w:t>
      </w:r>
    </w:p>
    <w:p>
      <w:pPr>
        <w:spacing w:after="0" w:line="167" w:lineRule="exact"/>
        <w:rPr>
          <w:sz w:val="20"/>
          <w:szCs w:val="20"/>
          <w:color w:val="auto"/>
        </w:rPr>
      </w:pPr>
    </w:p>
    <w:p>
      <w:pPr>
        <w:jc w:val="both"/>
        <w:ind w:firstLine="367"/>
        <w:spacing w:after="0" w:line="268" w:lineRule="auto"/>
        <w:rPr>
          <w:sz w:val="20"/>
          <w:szCs w:val="20"/>
          <w:color w:val="auto"/>
        </w:rPr>
      </w:pPr>
      <w:r>
        <w:rPr>
          <w:rFonts w:ascii="Arial" w:cs="Arial" w:eastAsia="Arial" w:hAnsi="Arial"/>
          <w:sz w:val="18"/>
          <w:szCs w:val="18"/>
          <w:color w:val="auto"/>
        </w:rPr>
        <w:t>No holder of any note of any series will have any right to institute any proceeding, judicial or otherwise, with respect to the indenture or for the appointment of a receiver or trustee, or for any remedy under the indenture, unless:</w:t>
      </w:r>
    </w:p>
    <w:p>
      <w:pPr>
        <w:spacing w:after="0" w:line="186" w:lineRule="exact"/>
        <w:rPr>
          <w:sz w:val="20"/>
          <w:szCs w:val="20"/>
          <w:color w:val="auto"/>
        </w:rPr>
      </w:pPr>
    </w:p>
    <w:p>
      <w:pPr>
        <w:ind w:left="1240" w:hanging="341"/>
        <w:spacing w:after="0"/>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notes of that series; and</w:t>
      </w:r>
    </w:p>
    <w:p>
      <w:pPr>
        <w:spacing w:after="0" w:line="248" w:lineRule="exact"/>
        <w:rPr>
          <w:rFonts w:ascii="Arial" w:cs="Arial" w:eastAsia="Arial" w:hAnsi="Arial"/>
          <w:sz w:val="16"/>
          <w:szCs w:val="16"/>
          <w:color w:val="auto"/>
        </w:rPr>
      </w:pPr>
    </w:p>
    <w:p>
      <w:pPr>
        <w:jc w:val="both"/>
        <w:ind w:left="540" w:firstLine="423"/>
        <w:spacing w:after="0" w:line="256" w:lineRule="auto"/>
        <w:tabs>
          <w:tab w:leader="none" w:pos="13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of that series have made written request, and offered reasonable indemnity, to the trustee to institute the proceeding as trustee, and after receipt of such request the trustee has not received from the holders of a majority in principal amount of the outstanding notes of that series a direction inconsistent with that request and has failed to institute the proceeding within 60 days.</w:t>
      </w:r>
    </w:p>
    <w:p>
      <w:pPr>
        <w:spacing w:after="0" w:line="197"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Notwithstanding the foregoing, the holder of any note will have an absolute and unconditional right to receive payment of the principal of, any premium and any interest on that note on or after the due date expressed in that note (or, in the case of redemption, on the redemption date) and to institute suit for the enforcement of any such payment, and such rights shall not be impaired without the consent of such holder.</w:t>
      </w:r>
    </w:p>
    <w:p>
      <w:pPr>
        <w:spacing w:after="0" w:line="194"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The Indenture provides that the trustee may withhold notice to the holders of notes of any series of any default or event of default (except in payment on any notes of that series) with respect to notes of that series if it in good faith determines that withholding notice is in the interest of the holders of those notes. Additionally, 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jc w:val="both"/>
        <w:ind w:firstLine="370"/>
        <w:spacing w:after="0" w:line="268" w:lineRule="auto"/>
        <w:rPr>
          <w:sz w:val="20"/>
          <w:szCs w:val="20"/>
          <w:color w:val="auto"/>
        </w:rPr>
      </w:pPr>
      <w:r>
        <w:rPr>
          <w:rFonts w:ascii="Arial" w:cs="Arial" w:eastAsia="Arial" w:hAnsi="Arial"/>
          <w:sz w:val="18"/>
          <w:szCs w:val="18"/>
          <w:color w:val="auto"/>
        </w:rPr>
        <w:t>The Company or the trustee may amend or supplement the Indenture or the notes of one or more series without the consent of the holders of the outstanding notes under the Indenture:</w:t>
      </w:r>
    </w:p>
    <w:p>
      <w:pPr>
        <w:spacing w:after="0" w:line="199" w:lineRule="exact"/>
        <w:rPr>
          <w:sz w:val="20"/>
          <w:szCs w:val="20"/>
          <w:color w:val="auto"/>
        </w:rPr>
      </w:pPr>
    </w:p>
    <w:p>
      <w:pPr>
        <w:ind w:left="5540" w:right="3780" w:hanging="4992"/>
        <w:spacing w:after="0" w:line="51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cure any ambiguity, defect or inconsistency under the Indenture or the notes of such series; 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Company or successive successions and the assumption of the covenants, agreements and obligations of the Company by a successor;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guarantees with respect to notes of any series or secure notes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notes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notes of such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notes of any series as permitted by the Indenture;</w:t>
      </w:r>
    </w:p>
    <w:p>
      <w:pPr>
        <w:spacing w:after="0" w:line="275"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evidence and provide for the acceptance of an appointment hereunder by a successor trustee with respect to the notes of one or more series and to add to or change any of the provisions of the indenture as shall be necessary to provide for or facilitate the administration of the trusts under the Indenture by more than one trustee;</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 to, change or eliminate any provisions of the Indenture in accordance with the Trust Indenture Act, or to comply with the provisions of the DTC, Euroclear or Clearstream or the trustee with respect to provisions of the Indenture or the notes relating to transfers or exchanges of notes or beneficial interests in the notes; or</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conform any provision of the Indenture, insofar as it relates to a series of notes, to the description of such series of notes in this "Description of the Notes."</w:t>
      </w:r>
    </w:p>
    <w:p>
      <w:pPr>
        <w:spacing w:after="0" w:line="186" w:lineRule="exact"/>
        <w:rPr>
          <w:sz w:val="20"/>
          <w:szCs w:val="20"/>
          <w:color w:val="auto"/>
        </w:rPr>
      </w:pPr>
    </w:p>
    <w:p>
      <w:pPr>
        <w:jc w:val="both"/>
        <w:ind w:firstLine="462"/>
        <w:spacing w:after="0" w:line="306" w:lineRule="auto"/>
        <w:rPr>
          <w:sz w:val="20"/>
          <w:szCs w:val="20"/>
          <w:color w:val="auto"/>
        </w:rPr>
      </w:pPr>
      <w:r>
        <w:rPr>
          <w:rFonts w:ascii="Arial" w:cs="Arial" w:eastAsia="Arial" w:hAnsi="Arial"/>
          <w:sz w:val="16"/>
          <w:szCs w:val="16"/>
          <w:color w:val="auto"/>
        </w:rPr>
        <w:t>In addition, the Company may modify and amend the Indenture as to all other matters with the consent of the holders of at least a majority in principal amount of the outstanding notes of each series affected by the modifications or amendments, provided however that the Company may not make any modification or amendment without the consent of the holders of each affected note then outstanding if that amendment:</w:t>
      </w:r>
    </w:p>
    <w:p>
      <w:pPr>
        <w:spacing w:after="0" w:line="18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rates of or extends the time for payment of interest on any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principal amount of, or changes the stated maturity of, any notes;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redemption price, including upon a Change of Control Triggering Event, of any notes or amends or modifies in any manner adverse to the holders thereof the Company's obligation to make such payments;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the currency of payment of principal, premium, if any, or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quorum requirements under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reduces the principal amount of notes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affects the ranking of the notes;</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waives any default or Event of Default in the payment of principal, premium, if any, or interest (except a rescission of acceleration of notes of any series by the holders of at least a majority in principal amount of the outstanding notes of such series and a waiver of the payment default that resulted from such acceleration)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impairs the right to institute suit for the enforcement of any payment on the notes.</w:t>
      </w:r>
    </w:p>
    <w:p>
      <w:pPr>
        <w:spacing w:after="0" w:line="225" w:lineRule="exact"/>
        <w:rPr>
          <w:sz w:val="20"/>
          <w:szCs w:val="20"/>
          <w:color w:val="auto"/>
        </w:rPr>
      </w:pPr>
    </w:p>
    <w:p>
      <w:pPr>
        <w:ind w:firstLine="450"/>
        <w:spacing w:after="0" w:line="332"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notes of any series may on behalf of the holders of all notes of that series waive the Company's compliance with provisions of the Indenture. The holders of a majority in principal amount of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outstanding notes of any series may on behalf of the holders of all the notes of such series waive any past default under the Indenture with respect to that series and its consequences, except a default in the payment of the principal of, any premium or any interest on any note of that series; provided, however, that the holders of a majority in principal amount of the outstanding notes of any series may rescind an acceleration and its consequences, including any related payment default that resulted from the acceleration.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Notes and Certain Covenants in Certain Circumstances</w:t>
      </w:r>
    </w:p>
    <w:p>
      <w:pPr>
        <w:spacing w:after="0" w:line="23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provides that the Company may be discharged from any and all obligations in respect of the notes of any series (except</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obligations, including to register the transfer or exchange of notes of such series, to replace stolen, lost or mutilated notes of such series, and to maintain paying agencies and certain provisions relating to the treatment of funds held by paying agents). The Company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the notes of that series on the stated maturity of those payments in accordance with the terms of the Indenture and those notes.</w:t>
      </w:r>
    </w:p>
    <w:p>
      <w:pPr>
        <w:spacing w:after="0" w:line="174" w:lineRule="exact"/>
        <w:rPr>
          <w:sz w:val="20"/>
          <w:szCs w:val="20"/>
          <w:color w:val="auto"/>
        </w:rPr>
      </w:pPr>
    </w:p>
    <w:p>
      <w:pPr>
        <w:jc w:val="both"/>
        <w:ind w:firstLine="415"/>
        <w:spacing w:after="0" w:line="254" w:lineRule="auto"/>
        <w:rPr>
          <w:sz w:val="20"/>
          <w:szCs w:val="20"/>
          <w:color w:val="auto"/>
        </w:rPr>
      </w:pPr>
      <w:r>
        <w:rPr>
          <w:rFonts w:ascii="Arial" w:cs="Arial" w:eastAsia="Arial" w:hAnsi="Arial"/>
          <w:sz w:val="18"/>
          <w:szCs w:val="18"/>
          <w:color w:val="auto"/>
        </w:rPr>
        <w:t>This discharge may occur only if, among other things, the Company has delivered to the trustee an opinion of counsel stating that it has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notes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98" w:lineRule="exact"/>
        <w:rPr>
          <w:sz w:val="20"/>
          <w:szCs w:val="20"/>
          <w:color w:val="auto"/>
        </w:rPr>
      </w:pPr>
    </w:p>
    <w:p>
      <w:pPr>
        <w:ind w:left="360"/>
        <w:spacing w:after="0"/>
        <w:tabs>
          <w:tab w:leader="none" w:pos="2920" w:val="left"/>
        </w:tabs>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Indenture provides that, upon compliance with certain conditions:</w:t>
      </w:r>
    </w:p>
    <w:p>
      <w:pPr>
        <w:spacing w:after="0" w:line="225" w:lineRule="exact"/>
        <w:rPr>
          <w:sz w:val="20"/>
          <w:szCs w:val="20"/>
          <w:color w:val="auto"/>
        </w:rPr>
      </w:pPr>
    </w:p>
    <w:p>
      <w:pPr>
        <w:ind w:left="540" w:firstLine="401"/>
        <w:spacing w:after="0" w:line="268" w:lineRule="auto"/>
        <w:tabs>
          <w:tab w:leader="none" w:pos="12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may omit to comply with the covenants described under the heading "—Certain Covenants" and "—Repurchase of Notes upon a Change of Control Triggering Event" and certain other covenants set forth in the Indenture; and</w:t>
      </w:r>
    </w:p>
    <w:p>
      <w:pPr>
        <w:spacing w:after="0" w:line="185" w:lineRule="exact"/>
        <w:rPr>
          <w:rFonts w:ascii="Arial" w:cs="Arial" w:eastAsia="Arial" w:hAnsi="Arial"/>
          <w:sz w:val="18"/>
          <w:szCs w:val="18"/>
          <w:color w:val="auto"/>
        </w:rPr>
      </w:pPr>
    </w:p>
    <w:p>
      <w:pPr>
        <w:ind w:left="540" w:firstLine="538"/>
        <w:spacing w:after="0" w:line="268" w:lineRule="auto"/>
        <w:tabs>
          <w:tab w:leader="none" w:pos="14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notes of that series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jc w:val="both"/>
        <w:ind w:left="540" w:firstLine="421"/>
        <w:spacing w:after="0" w:line="256" w:lineRule="auto"/>
        <w:tabs>
          <w:tab w:leader="none" w:pos="13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the notes of that series on the stated maturity of those payments in accordance with the terms of the Indenture and those notes; and</w:t>
      </w:r>
    </w:p>
    <w:p>
      <w:pPr>
        <w:spacing w:after="0" w:line="197" w:lineRule="exact"/>
        <w:rPr>
          <w:rFonts w:ascii="Arial" w:cs="Arial" w:eastAsia="Arial" w:hAnsi="Arial"/>
          <w:sz w:val="18"/>
          <w:szCs w:val="18"/>
          <w:color w:val="auto"/>
        </w:rPr>
      </w:pPr>
    </w:p>
    <w:p>
      <w:pPr>
        <w:jc w:val="both"/>
        <w:ind w:left="540" w:firstLine="470"/>
        <w:spacing w:after="0" w:line="256" w:lineRule="auto"/>
        <w:tabs>
          <w:tab w:leader="none" w:pos="13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delivering to the trustee an opinion of counsel stating that the holders of the notes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97" w:lineRule="exact"/>
        <w:rPr>
          <w:sz w:val="20"/>
          <w:szCs w:val="20"/>
          <w:color w:val="auto"/>
        </w:rPr>
      </w:pPr>
    </w:p>
    <w:p>
      <w:pPr>
        <w:ind w:firstLine="443"/>
        <w:spacing w:after="0" w:line="370" w:lineRule="auto"/>
        <w:rPr>
          <w:sz w:val="20"/>
          <w:szCs w:val="20"/>
          <w:color w:val="auto"/>
        </w:rPr>
      </w:pPr>
      <w:r>
        <w:rPr>
          <w:rFonts w:ascii="Arial" w:cs="Arial" w:eastAsia="Arial" w:hAnsi="Arial"/>
          <w:sz w:val="15"/>
          <w:szCs w:val="15"/>
          <w:i w:val="1"/>
          <w:iCs w:val="1"/>
          <w:color w:val="auto"/>
        </w:rPr>
        <w:t>Covenant Defeasance and Events of Default</w:t>
      </w:r>
      <w:r>
        <w:rPr>
          <w:rFonts w:ascii="Arial" w:cs="Arial" w:eastAsia="Arial" w:hAnsi="Arial"/>
          <w:sz w:val="15"/>
          <w:szCs w:val="15"/>
          <w:color w:val="auto"/>
        </w:rPr>
        <w:t>. In the event the Company exercises its option to effect covenant defeasance with respect to any series of</w:t>
      </w:r>
      <w:r>
        <w:rPr>
          <w:rFonts w:ascii="Arial" w:cs="Arial" w:eastAsia="Arial" w:hAnsi="Arial"/>
          <w:sz w:val="15"/>
          <w:szCs w:val="15"/>
          <w:i w:val="1"/>
          <w:iCs w:val="1"/>
          <w:color w:val="auto"/>
        </w:rPr>
        <w:t xml:space="preserve"> </w:t>
      </w:r>
      <w:r>
        <w:rPr>
          <w:rFonts w:ascii="Arial" w:cs="Arial" w:eastAsia="Arial" w:hAnsi="Arial"/>
          <w:sz w:val="15"/>
          <w:szCs w:val="15"/>
          <w:color w:val="auto"/>
        </w:rPr>
        <w:t>notes and the notes of that series are declared due and payable because of the occurrence of any event of default, the amount of money and/or U.S. Government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Obligations on deposit with the trustee should be sufficient to pay amounts due on the notes of that series at the time of their stated maturity but may not be sufficient to pay amounts due on the notes of that series at the time of the acceleration resulting from the event of default. However, the Company shall remain liable for those payments.</w:t>
      </w:r>
    </w:p>
    <w:p>
      <w:pPr>
        <w:spacing w:after="0" w:line="194"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that are direct obligations of, or guaranteed by, the United States for the payment of which its full faith and credit is pledged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jc w:val="both"/>
        <w:ind w:firstLine="396"/>
        <w:spacing w:after="0" w:line="291" w:lineRule="auto"/>
        <w:rPr>
          <w:sz w:val="20"/>
          <w:szCs w:val="20"/>
          <w:color w:val="auto"/>
        </w:rPr>
      </w:pPr>
      <w:r>
        <w:rPr>
          <w:rFonts w:ascii="Arial" w:cs="Arial" w:eastAsia="Arial" w:hAnsi="Arial"/>
          <w:sz w:val="16"/>
          <w:szCs w:val="16"/>
          <w:color w:val="auto"/>
        </w:rPr>
        <w:t>The Company has the right at any time to satisfy and discharge its obligations, other than certain specified obligations, under all notes of a series under the Indenture by depositing in trust with the trustee money and/or U.S. Government Obligations. The Company's exercise of this right is subject to certain conditions including that either (1) all notes of a series under the Indenture (subject to certain exceptions) have been delivered to the trustee for cancellation or (2) all notes of a series under the Indenture not previously delivered to the trustee for cancellation have become due and payable by reason of a notice of redemption or otherwise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If such deposit is sufficient (as determined by the Company), for the purpose of paying and discharging each installment of principal of and interest on all the notes of a series on the dates such installments of principal or interest are due, all the obligations of the Company under the Indenture with respect to such notes of a series will be discharged and terminated except as otherwise provided in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 Denomination and Delivery of Notes</w:t>
      </w:r>
    </w:p>
    <w:p>
      <w:pPr>
        <w:spacing w:after="0" w:line="231" w:lineRule="exact"/>
        <w:rPr>
          <w:sz w:val="20"/>
          <w:szCs w:val="20"/>
          <w:color w:val="auto"/>
        </w:rPr>
      </w:pPr>
    </w:p>
    <w:p>
      <w:pPr>
        <w:jc w:val="both"/>
        <w:ind w:firstLine="386"/>
        <w:spacing w:after="0" w:line="332" w:lineRule="auto"/>
        <w:rPr>
          <w:sz w:val="20"/>
          <w:szCs w:val="20"/>
          <w:color w:val="auto"/>
        </w:rPr>
      </w:pPr>
      <w:r>
        <w:rPr>
          <w:rFonts w:ascii="Arial" w:cs="Arial" w:eastAsia="Arial" w:hAnsi="Arial"/>
          <w:sz w:val="16"/>
          <w:szCs w:val="16"/>
          <w:color w:val="auto"/>
        </w:rPr>
        <w:t>The notes of each series will be initially issued in registered form, without interest coupons, in minimum denominations of $2,000 and integral multiples of $1,000 in excess thereof, in the form of global notes and, in certain circumstances after the initial issuance, certificated notes, as further provided below.</w:t>
      </w:r>
    </w:p>
    <w:p>
      <w:pPr>
        <w:spacing w:after="0" w:line="139" w:lineRule="exact"/>
        <w:rPr>
          <w:sz w:val="20"/>
          <w:szCs w:val="20"/>
          <w:color w:val="auto"/>
        </w:rPr>
      </w:pPr>
    </w:p>
    <w:p>
      <w:pPr>
        <w:jc w:val="both"/>
        <w:ind w:firstLine="442"/>
        <w:spacing w:after="0" w:line="253" w:lineRule="auto"/>
        <w:rPr>
          <w:sz w:val="20"/>
          <w:szCs w:val="20"/>
          <w:color w:val="auto"/>
        </w:rPr>
      </w:pPr>
      <w:r>
        <w:rPr>
          <w:rFonts w:ascii="Arial" w:cs="Arial" w:eastAsia="Arial" w:hAnsi="Arial"/>
          <w:sz w:val="18"/>
          <w:szCs w:val="18"/>
          <w:color w:val="auto"/>
        </w:rPr>
        <w:t>Neither the trustee nor the Company is required (i) to issue, register the transfer of or exchange any note of any series for a period of 15 days before the sending of a notice of redemption of notes of such series to be redeemed or the making of an Offer to Purchase applicable to such series, (ii) to register the transfer of or exchange any note of any series so selected for redemption or subject to purchase in an Offer to Purchase in whole or in part, except, in the case of a partial redemption or purchase, that portion of any of the notes of such series not being redeemed or purchased, or (iii) if a redemption or a purchase pursuant to an Offer to Purchase with respect to a series of notes is to occur after a regular record date but on or before the corresponding interest payment date applicable to such series of notes, to register the transfer or exchange of any note of such series on or after the regular record date and before the date of such redemption or purchase.</w:t>
      </w:r>
    </w:p>
    <w:p>
      <w:pPr>
        <w:spacing w:after="0" w:line="20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No service charge will be imposed in connection with any transfer or exchange of any note, but the Company may in general require payment of a sum sufficient to cover any transfer tax or similar governmental charge payable in connection therewith.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Depository Procedures</w:t>
      </w:r>
    </w:p>
    <w:p>
      <w:pPr>
        <w:spacing w:after="0" w:line="225" w:lineRule="exact"/>
        <w:rPr>
          <w:sz w:val="20"/>
          <w:szCs w:val="20"/>
          <w:color w:val="auto"/>
        </w:rPr>
      </w:pPr>
    </w:p>
    <w:p>
      <w:pPr>
        <w:jc w:val="both"/>
        <w:ind w:firstLine="527"/>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is provided solely as a matter of convenience. These operations and procedures are solely within the control of the respective settlement systems and are subject to changes by them. The Company and the trustee take no responsibility for these operations and procedures and urge investors to contact the system or their participants directly to discuss these matters.</w:t>
      </w:r>
    </w:p>
    <w:p>
      <w:pPr>
        <w:spacing w:after="0" w:line="161" w:lineRule="exact"/>
        <w:rPr>
          <w:sz w:val="20"/>
          <w:szCs w:val="20"/>
          <w:color w:val="auto"/>
        </w:rPr>
      </w:pPr>
    </w:p>
    <w:p>
      <w:pPr>
        <w:jc w:val="both"/>
        <w:ind w:firstLine="412"/>
        <w:spacing w:after="0" w:line="287" w:lineRule="auto"/>
        <w:rPr>
          <w:sz w:val="20"/>
          <w:szCs w:val="20"/>
          <w:color w:val="auto"/>
        </w:rPr>
      </w:pPr>
      <w:r>
        <w:rPr>
          <w:rFonts w:ascii="Arial" w:cs="Arial" w:eastAsia="Arial" w:hAnsi="Arial"/>
          <w:sz w:val="16"/>
          <w:szCs w:val="16"/>
          <w:color w:val="auto"/>
        </w:rPr>
        <w:t>DTC has advised the Company that DTC is a limited-purpose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(including the initial purchasers),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Company that, pursuant to procedures established by it:</w:t>
      </w:r>
    </w:p>
    <w:p>
      <w:pPr>
        <w:spacing w:after="0" w:line="239" w:lineRule="exact"/>
        <w:rPr>
          <w:sz w:val="20"/>
          <w:szCs w:val="20"/>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194"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Investors in the U.S. global note who are Participants may hold their interests therein directly through DTC. Investors in the U.S. global note who are not Participants may hold their interests therein indirectly through organizations (including Euroclear and Clearstream) that are Participants. Euroclear and Clearstream will hold interests in the offshore global note on behalf of their participants through customers' securities accounts in their respective names on the books of their respective depositories, which in turn hold such interests in customers' securities accounts in the depositaries' names on the books of DTC. Citibank, N.A. acts as depositary for Clearstream, and JPMorgan Chase Bank, N.A. acts as depositary for Euroclear.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5" w:lineRule="exact"/>
        <w:rPr>
          <w:sz w:val="20"/>
          <w:szCs w:val="20"/>
          <w:color w:val="auto"/>
        </w:rPr>
      </w:pPr>
    </w:p>
    <w:p>
      <w:pPr>
        <w:jc w:val="both"/>
        <w:ind w:right="20" w:firstLine="378"/>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Payments in respect of the principal of, and interest and premium, if any, on a global note registered in the name of DTC or its nominee will be payable to DTC in its capacity as the registered holder under the Indenture.</w:t>
      </w:r>
    </w:p>
    <w:p>
      <w:pPr>
        <w:spacing w:after="0" w:line="186"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Under the terms of the Indenture, the Company and the trustee will treat the persons in whose names the notes, including the global notes, are registered as the owners of the notes for the purpose of receiving payments and for all other purposes. Consequently, neither the Company, the trustee, the securities registrar, nor any agent of the Company, the trustee or the securities registrar has or will have any responsibility or liability for:</w:t>
      </w:r>
    </w:p>
    <w:p>
      <w:pPr>
        <w:spacing w:after="0" w:line="174" w:lineRule="exact"/>
        <w:rPr>
          <w:sz w:val="20"/>
          <w:szCs w:val="20"/>
          <w:color w:val="auto"/>
        </w:rPr>
      </w:pPr>
    </w:p>
    <w:p>
      <w:pPr>
        <w:ind w:left="108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aspect of DTC's records or any Participant's or Indirect Participant's records relating to, or supervising or reviewing any of DTC's records or any Participant's or Indirect Participant's records relating to the beneficial ownership interests in the global notes; or</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jc w:val="both"/>
        <w:ind w:firstLine="483"/>
        <w:spacing w:after="0" w:line="289" w:lineRule="auto"/>
        <w:rPr>
          <w:sz w:val="20"/>
          <w:szCs w:val="20"/>
          <w:color w:val="auto"/>
        </w:rPr>
      </w:pPr>
      <w:r>
        <w:rPr>
          <w:rFonts w:ascii="Arial" w:cs="Arial" w:eastAsia="Arial" w:hAnsi="Arial"/>
          <w:sz w:val="16"/>
          <w:szCs w:val="16"/>
          <w:color w:val="auto"/>
        </w:rPr>
        <w:t>DTC has advised the Company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Company's responsibility or the responsibility of DTC or the trustee. Neither the Company nor the trustee will be liable for any delay by DTC or any of the Participants or the Indirect Participants in identifying the beneficial owners of the notes, and the Company and the trustee may conclusively rely on and will be protected in relying on instructions from DTC or its nominee for all purposes.</w:t>
      </w:r>
    </w:p>
    <w:p>
      <w:pPr>
        <w:spacing w:after="0" w:line="172" w:lineRule="exact"/>
        <w:rPr>
          <w:sz w:val="20"/>
          <w:szCs w:val="20"/>
          <w:color w:val="auto"/>
        </w:rPr>
      </w:pPr>
    </w:p>
    <w:p>
      <w:pPr>
        <w:jc w:val="both"/>
        <w:ind w:firstLine="501"/>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139"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Cross-market transfers between the Participants,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from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72" w:lineRule="exact"/>
        <w:rPr>
          <w:sz w:val="20"/>
          <w:szCs w:val="20"/>
          <w:color w:val="auto"/>
        </w:rPr>
      </w:pPr>
    </w:p>
    <w:p>
      <w:pPr>
        <w:jc w:val="both"/>
        <w:ind w:firstLine="445"/>
        <w:spacing w:after="0" w:line="298" w:lineRule="auto"/>
        <w:rPr>
          <w:sz w:val="20"/>
          <w:szCs w:val="20"/>
          <w:color w:val="auto"/>
        </w:rPr>
      </w:pPr>
      <w:r>
        <w:rPr>
          <w:rFonts w:ascii="Arial" w:cs="Arial" w:eastAsia="Arial" w:hAnsi="Arial"/>
          <w:sz w:val="16"/>
          <w:szCs w:val="16"/>
          <w:color w:val="auto"/>
        </w:rPr>
        <w:t>DTC has advised the Company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67" w:lineRule="exact"/>
        <w:rPr>
          <w:sz w:val="20"/>
          <w:szCs w:val="20"/>
          <w:color w:val="auto"/>
        </w:rPr>
      </w:pPr>
    </w:p>
    <w:p>
      <w:pPr>
        <w:jc w:val="both"/>
        <w:ind w:firstLine="359"/>
        <w:spacing w:after="0" w:line="268"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U.S. global note and the offshore global note among participants in DTC,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Euroclear and Clearstream they are under no obligation to perform or to continue to perform such procedures, and may discontinue such procedures at any time. Neither the Company nor the trustee nor any of the Company or its agents will have any responsibility for the performance by DTC, Euroclear or Clearstream or their respective participants or indirect participants of their respective obligations under the rules and procedures governing their operations.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Global notes will be deposited with a custodian for DTC, and registered in the name of a nominee of DTC.</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Beneficial interests in the global notes will be shown on records maintained by DTC and its direct and indirect participants. So long as DTC or its nominee is the registered owner or holder of a global note, DTC or such nominee will be considered the sole owner or holder of the notes represented by such global note for all purposes under the Indenture and the notes. No owner of a beneficial interest in a global note will be able to transfer such interest except in accordance with DTC's applicable procedures and the applicable procedures of its direct and indirect participants.</w:t>
      </w:r>
    </w:p>
    <w:p>
      <w:pPr>
        <w:spacing w:after="0" w:line="167" w:lineRule="exact"/>
        <w:rPr>
          <w:sz w:val="20"/>
          <w:szCs w:val="20"/>
          <w:color w:val="auto"/>
        </w:rPr>
      </w:pPr>
    </w:p>
    <w:p>
      <w:pPr>
        <w:jc w:val="both"/>
        <w:ind w:firstLine="402"/>
        <w:spacing w:after="0" w:line="332" w:lineRule="auto"/>
        <w:rPr>
          <w:sz w:val="20"/>
          <w:szCs w:val="20"/>
          <w:color w:val="auto"/>
        </w:rPr>
      </w:pPr>
      <w:r>
        <w:rPr>
          <w:rFonts w:ascii="Arial" w:cs="Arial" w:eastAsia="Arial" w:hAnsi="Arial"/>
          <w:sz w:val="16"/>
          <w:szCs w:val="16"/>
          <w:color w:val="auto"/>
        </w:rPr>
        <w:t>The Company will apply to DTC for acceptance of the global notes in its book-entry settlement system. Investors may hold their beneficial interests in the global notes directly through DTC if they are participants in DTC, or indirectly through organizations which are participants in DTC.</w:t>
      </w:r>
    </w:p>
    <w:p>
      <w:pPr>
        <w:spacing w:after="0" w:line="139"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Payments of principal and interest under each global note will be made to DTC's nominee as the registered owner of such global note. The Company expects that the nominee, upon receipt of any such payment, will immediately credit DTC participants' accounts with payments proportional to their respective beneficial interests in the principal amount of the relevant global note as shown on the records of DTC. The Company also expects that payments by DTC participants to owners of beneficial interests will be governed by standing instructions and customary practices, as is now the case with securities held for the accounts of customers registered in the names of nominees for such customers. Such payments will be the responsibility of such participants, and none of the Company, the trustee, the custodian or any paying agent or registrar will have any responsibility or liability for any aspect of the records relating to or payments made on account of beneficial interests in any global note or for maintaining or reviewing any records relating to such beneficial interests.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25" w:lineRule="exact"/>
        <w:rPr>
          <w:sz w:val="20"/>
          <w:szCs w:val="20"/>
          <w:color w:val="auto"/>
        </w:rPr>
      </w:pPr>
    </w:p>
    <w:p>
      <w:pPr>
        <w:jc w:val="both"/>
        <w:ind w:right="20" w:firstLine="444"/>
        <w:spacing w:after="0" w:line="306" w:lineRule="auto"/>
        <w:rPr>
          <w:sz w:val="20"/>
          <w:szCs w:val="20"/>
          <w:color w:val="auto"/>
        </w:rPr>
      </w:pPr>
      <w:r>
        <w:rPr>
          <w:rFonts w:ascii="Arial" w:cs="Arial" w:eastAsia="Arial" w:hAnsi="Arial"/>
          <w:sz w:val="16"/>
          <w:szCs w:val="16"/>
          <w:color w:val="auto"/>
        </w:rPr>
        <w:t>If DTC notifies the Company that it is unwilling or unable to continue as depositary for a global note and a successor depositary is not appointed by the Company within 90 days of such notice, or an Event of Default has occurred and the trustee has received a request from DTC, the trustee will exchange each beneficial interest in that global note for one or more certificated notes registered in the name of the owner of such beneficial interest, as identified by DTC.</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Same Day Settlement and Payment</w:t>
      </w:r>
    </w:p>
    <w:p>
      <w:pPr>
        <w:spacing w:after="0" w:line="225" w:lineRule="exact"/>
        <w:rPr>
          <w:sz w:val="20"/>
          <w:szCs w:val="20"/>
          <w:color w:val="auto"/>
        </w:rPr>
      </w:pPr>
    </w:p>
    <w:p>
      <w:pPr>
        <w:jc w:val="both"/>
        <w:ind w:right="20" w:firstLine="391"/>
        <w:spacing w:after="0" w:line="332" w:lineRule="auto"/>
        <w:rPr>
          <w:sz w:val="20"/>
          <w:szCs w:val="20"/>
          <w:color w:val="auto"/>
        </w:rPr>
      </w:pPr>
      <w:r>
        <w:rPr>
          <w:rFonts w:ascii="Arial" w:cs="Arial" w:eastAsia="Arial" w:hAnsi="Arial"/>
          <w:sz w:val="16"/>
          <w:szCs w:val="16"/>
          <w:color w:val="auto"/>
        </w:rPr>
        <w:t>The Indenture will require that payments in respect of the notes represented by the global notes be made by wire transfer of immediately available funds to the accounts specified by holders of the global notes. With respect to notes in certificated form, the Company will make all payments by:</w:t>
      </w:r>
    </w:p>
    <w:p>
      <w:pPr>
        <w:spacing w:after="0" w:line="153"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mailed to the address of the Person entitled to the payment as it appears in the security register; or</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you are a holder with an aggregate principal amount in excess of $5.0 million, by wire transfer in immediately available funds to the place and account designated in writing at least 15 days prior to the interest payment date by the Person entitled to the payment as specified in the security register.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The notes represented by the global notes are expected to trade in DTC's Same-Day Funds Settlement System, and any permitted secondary market trading activity in such notes will, therefore, be required by DTC to be settled in immediately available funds. The Company expects that secondary trading in any certificated notes will also be settled in immediately available funds.</w:t>
      </w:r>
    </w:p>
    <w:p>
      <w:pPr>
        <w:spacing w:after="0" w:line="194"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Because of time-zone differences, credits of interests in the global notes received in Clearstream or Euroclear as a result of a transaction with a DTC Participant will be made during subsequent securities settlement processing and dated the Business Day following the DTC settlement date. Such credits or any transactions involving interests in such global notes settled during such processing will be reported to the relevant Clearstream or Euroclear participants on such Business Day. Cash received in Clearstream or Euroclear as a result of sales of interests in the global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will receive notices at their addresses as they appear in the security register or in accordance with DTC's applicable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3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Company may treat the Person in whose name a Note is registered on the applicable record date as the owner of the Note for all purposes, whether or not it is overdue.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31" w:lineRule="exact"/>
        <w:rPr>
          <w:sz w:val="20"/>
          <w:szCs w:val="20"/>
          <w:color w:val="auto"/>
        </w:rPr>
      </w:pPr>
    </w:p>
    <w:p>
      <w:pPr>
        <w:jc w:val="both"/>
        <w:ind w:firstLine="491"/>
        <w:spacing w:after="0" w:line="255"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 However, this waiver and release may not be effective to waive liabilities under U.S. federal securities laws,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law will govern the Indenture and each series of the notes.</w:t>
      </w:r>
    </w:p>
    <w:p>
      <w:pPr>
        <w:spacing w:after="0" w:line="225" w:lineRule="exact"/>
        <w:rPr>
          <w:sz w:val="20"/>
          <w:szCs w:val="20"/>
          <w:color w:val="auto"/>
        </w:rPr>
      </w:pPr>
    </w:p>
    <w:p>
      <w:pPr>
        <w:jc w:val="both"/>
        <w:ind w:firstLine="377"/>
        <w:spacing w:after="0" w:line="259" w:lineRule="auto"/>
        <w:rPr>
          <w:sz w:val="20"/>
          <w:szCs w:val="20"/>
          <w:color w:val="auto"/>
        </w:rPr>
      </w:pPr>
      <w:r>
        <w:rPr>
          <w:rFonts w:ascii="Arial" w:cs="Arial" w:eastAsia="Arial" w:hAnsi="Arial"/>
          <w:sz w:val="18"/>
          <w:szCs w:val="18"/>
          <w:color w:val="auto"/>
        </w:rPr>
        <w:t>The Indenture provides that the Company, the trustee and the holders of the notes of each series (by their acceptance of the notes of such series) irrevocably waive, to the fullest extent permitted by applicable law, any and all right to trial by jury in any legal proceeding arising out of or relating to the Indenture, the notes of such series or the transactions contemplated thereby.</w:t>
      </w:r>
    </w:p>
    <w:p>
      <w:pPr>
        <w:spacing w:after="0" w:line="194"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The Indenture provides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the Company, the trustee and the holder of the notes of each series (by their acceptance of the notes of such series) irrevocably submit to the non-exclusive jurisdiction of such courts in any such suit, action or proceeding. The Indenture further provides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further provides that the Company, the trustee and the holders of the notes of each series (by their acceptance of the notes of such series) irrevocably and unconditionally waive any objection to the laying of venue of any suit, action or other proceeding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courts specified above and irrevocably and unconditionally waive and agree not to plead or claim any such suit, action or other proceeding has been brought in an inconvenient forum.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Regarding the Trustee</w:t>
      </w:r>
    </w:p>
    <w:p>
      <w:pPr>
        <w:spacing w:after="0" w:line="231" w:lineRule="exact"/>
        <w:rPr>
          <w:sz w:val="20"/>
          <w:szCs w:val="20"/>
          <w:color w:val="auto"/>
        </w:rPr>
      </w:pPr>
    </w:p>
    <w:p>
      <w:pPr>
        <w:jc w:val="both"/>
        <w:ind w:right="20" w:firstLine="486"/>
        <w:spacing w:after="0" w:line="332" w:lineRule="auto"/>
        <w:rPr>
          <w:sz w:val="20"/>
          <w:szCs w:val="20"/>
          <w:color w:val="auto"/>
        </w:rPr>
      </w:pPr>
      <w:r>
        <w:rPr>
          <w:rFonts w:ascii="Arial" w:cs="Arial" w:eastAsia="Arial" w:hAnsi="Arial"/>
          <w:sz w:val="16"/>
          <w:szCs w:val="16"/>
          <w:color w:val="auto"/>
        </w:rPr>
        <w:t>U.S. Bank National Association will act as trustee under the Indenture. The Company maintains various commercial and service relationships with the trustee and its affiliates in the ordinary course of business. In particular, affiliates of the trustee provide services to the Company and its affiliates.</w:t>
      </w:r>
    </w:p>
    <w:p>
      <w:pPr>
        <w:spacing w:after="0" w:line="13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8"/>
          <w:szCs w:val="18"/>
          <w:color w:val="auto"/>
        </w:rPr>
        <w:t>If an event of default occurs under the Indenture with respect to a series of notes and is continuing, the trustee will be required to use the degree of care and skill of a prudent Person in the conduct of that Person's own affairs. The trustee will become obligated to exercise any of its powers under the Indenture at the request of any of the holders of the notes of a series only after those holders have offered (and, if requested, provided) the trustee indemnity or security satisfactory to it.</w:t>
      </w:r>
    </w:p>
    <w:p>
      <w:pPr>
        <w:spacing w:after="0" w:line="197"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If the trustee becomes a creditor of the Company, the trustee's rights to obtain payment of claims in specified circumstances, or to realize for its own account on certain property received in respect of any such claim as security or otherwise will be limited under the terms of the Indenture. The trustee may engage in certain other transactions; however, if the trustee acquires any conflicting interest (within the meaning specified under the Trust Indenture Act), it will be required to eliminate the conflict or resign.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This section is a discussion of the material U.S. federal income tax considerations relating to the purchase, ownership, and disposition of the notes. This summary does not provide a complete analysis of all potential tax considerations. The information provided below is based on the Internal Revenue Code of 1986, as amended, or the Code, and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and we have not obtained, nor do we intend to obtain, a ruling from the IRS with respect to the U.S. federal income tax consequences of purchasing, owning or disposing of the notes.</w:t>
      </w:r>
    </w:p>
    <w:p>
      <w:pPr>
        <w:spacing w:after="0" w:line="174" w:lineRule="exact"/>
        <w:rPr>
          <w:sz w:val="20"/>
          <w:szCs w:val="20"/>
          <w:color w:val="auto"/>
        </w:rPr>
      </w:pPr>
    </w:p>
    <w:p>
      <w:pPr>
        <w:jc w:val="both"/>
        <w:ind w:firstLine="391"/>
        <w:spacing w:after="0" w:line="306" w:lineRule="auto"/>
        <w:rPr>
          <w:sz w:val="20"/>
          <w:szCs w:val="20"/>
          <w:color w:val="auto"/>
        </w:rPr>
      </w:pPr>
      <w:r>
        <w:rPr>
          <w:rFonts w:ascii="Arial" w:cs="Arial" w:eastAsia="Arial" w:hAnsi="Arial"/>
          <w:sz w:val="15"/>
          <w:szCs w:val="15"/>
          <w:color w:val="auto"/>
        </w:rPr>
        <w:t>The summary generally applies only to beneficial owners of the notes that purchase their notes in this offering for an amount equal to the issue price of the notes, which is the first price at which a substantial amount of the notes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it is not intended to address all categories of investors, some of which may be subject to special rules (such as partnerships or other pass-through entities (or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former citizens or long-term residents of the United States, controlled foreign corporations, passive foreign investment companies, persons holding the notes as part of a hedging, conversion or integrated transaction for U.S. tax purposes or a straddle, persons deemed to sell the notes under the constructive sale provisions of the Code, or persons required under Section 451(b) of the Code to conform the timing of income accruals with respect to the notes to their financial statements). Finally, the summary does not describe the effects of any other U.S. federal tax laws such as the Medicare contribution tax on net investment income or estate and gift tax laws or the effects of any applicable non-U.S., state or local laws.</w:t>
      </w:r>
    </w:p>
    <w:p>
      <w:pPr>
        <w:spacing w:after="0" w:line="166"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INVESTORS CONSIDERING THE PURCHASE OF THE NOTES SHOULD CONSULT THEIR OWN TAX ADVISORS REGARDING THE APPLICATION OF THE U.S. FEDERAL INCOME TAX LAWS TO THEIR PARTICULAR SITUATIONS AND THE CONSEQUENCES OF OTHER U.S. FEDERAL TAX LAWS, NON-U.S., STATE AND LOCAL TAX LAWS, AND TAX TREATIES.</w:t>
      </w:r>
    </w:p>
    <w:p>
      <w:pPr>
        <w:spacing w:after="0" w:line="194"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As used herein, the term "U.S. holder" means a beneficial owner of a note that, for U.S. federal income tax purposes, is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it (x) is subject to the primary supervision of a U.S. court and the control of one of more U.S. persons or (y) has a valid election in effect under applicable U.S. Treasury regulations to be treated as a U.S. person.</w:t>
      </w:r>
    </w:p>
    <w:p>
      <w:pPr>
        <w:spacing w:after="0" w:line="170" w:lineRule="exact"/>
        <w:rPr>
          <w:sz w:val="20"/>
          <w:szCs w:val="20"/>
          <w:color w:val="auto"/>
        </w:rPr>
      </w:pPr>
    </w:p>
    <w:p>
      <w:pPr>
        <w:jc w:val="both"/>
        <w:ind w:firstLine="357"/>
        <w:spacing w:after="0" w:line="298" w:lineRule="auto"/>
        <w:rPr>
          <w:sz w:val="20"/>
          <w:szCs w:val="20"/>
          <w:color w:val="auto"/>
        </w:rPr>
      </w:pPr>
      <w:r>
        <w:rPr>
          <w:rFonts w:ascii="Arial" w:cs="Arial" w:eastAsia="Arial" w:hAnsi="Arial"/>
          <w:sz w:val="16"/>
          <w:szCs w:val="16"/>
          <w:color w:val="auto"/>
        </w:rPr>
        <w:t>A "non-U.S. holder" is a beneficial owner of a note (other than a partnership or an entity or arrangement (domestic or foreign) that is treated as a partnership for U.S. federal income tax purposes) that is not a U.S. holder. If a partnership (including any entity or arrangement (domestic or foreign) that is treated as a partnership for U.S. federal income tax purposes) is a beneficial owner of a note, the tax treatment of a partner in the partnership will depend upon the status of the partner and the activities of the partnership. A beneficial owner of a note that is a partnership, and partners in such partnership, should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consult their own tax advisors about the U.S. federal income tax consequences of purchasing, owning and disposing of the notes.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Additional payments</w:t>
      </w:r>
    </w:p>
    <w:p>
      <w:pPr>
        <w:spacing w:after="0" w:line="225" w:lineRule="exact"/>
        <w:rPr>
          <w:sz w:val="20"/>
          <w:szCs w:val="20"/>
          <w:color w:val="auto"/>
        </w:rPr>
      </w:pPr>
    </w:p>
    <w:p>
      <w:pPr>
        <w:jc w:val="both"/>
        <w:ind w:firstLine="444"/>
        <w:spacing w:after="0" w:line="312" w:lineRule="auto"/>
        <w:rPr>
          <w:sz w:val="20"/>
          <w:szCs w:val="20"/>
          <w:color w:val="auto"/>
        </w:rPr>
      </w:pPr>
      <w:r>
        <w:rPr>
          <w:rFonts w:ascii="Arial" w:cs="Arial" w:eastAsia="Arial" w:hAnsi="Arial"/>
          <w:sz w:val="15"/>
          <w:szCs w:val="15"/>
          <w:color w:val="auto"/>
        </w:rPr>
        <w:t>We may be required to make payments to holders of the notes in addition to payments of principal and stated interest. We believe there is only a remote possibility that we would be required to make any of these additional payments, that any of such additional payments, if made, would be an incidental amount, or that the possibility of such payments is otherwise disregarded for purposes of rules governing certain contingent payment debt instruments. Therefore, we do not intend to treat the notes as subject to the special rules governing certain contingent payment debt instruments. Our determination in this regard, while not binding on the IRS, is binding on U.S. holders unless they disclose their contrary position. If the IRS successfully asserted that the notes are subject to the rules governing certain contingent payment debt instruments, the timing, amount and character of income with respect to a note realized by a holder could be materially and adversely different from those described below. The discussion below generally assumes that the notes are not treated as contingent payment debt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8"/>
          <w:szCs w:val="18"/>
          <w:color w:val="auto"/>
        </w:rPr>
        <w:t>A U.S. holder will be required to recognize as ordinary income any stated interest paid or accrued on the notes, in accordance with such holder's regular method of tax accounting.</w:t>
      </w:r>
    </w:p>
    <w:p>
      <w:pPr>
        <w:spacing w:after="0" w:line="186"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8"/>
          <w:szCs w:val="18"/>
          <w:color w:val="auto"/>
        </w:rPr>
        <w:t>In general, if the terms of a debt instrument entitle a holder to receive payments (other than fixed periodic interest) that exceed the issue price of the instrument by more than a statutorily defined de minimis amount, the U.S. holder will be required to include such excess in income as "original issue discount" over the term of the instrument, irrespective of the U.S. holder's regular method of tax accounting. We expect, and the discussion below assumes, that the notes will not be issued with original issue discount for U.S. federal income tax purposes.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6"/>
          <w:szCs w:val="16"/>
          <w:color w:val="auto"/>
        </w:rPr>
        <w:t>A U.S. holder generally will recognize taxable gain or loss if the holder disposes of a note in a sale, exchange, redemption, retirement or other taxable disposition, including discharges and certain legal defeasances of the notes within one year of maturity or redemption, as described under "Description of the Notes—Defeasance of Notes and Certain Covenants in Certain Circumstances—Legal Defeasance" and "Description of the Notes—Satisfaction and Discharge." The U.S. holder's gain or loss generally will equal the difference between the proceeds received by the holder (other than amounts attributable to accrued but unpaid interest, which will be taxed as described below) and the holder's tax basis in the note. The U.S. holder's tax basis in the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Taxation of interest</w:t>
      </w:r>
    </w:p>
    <w:p>
      <w:pPr>
        <w:spacing w:after="0" w:line="225" w:lineRule="exact"/>
        <w:rPr>
          <w:sz w:val="20"/>
          <w:szCs w:val="20"/>
          <w:color w:val="auto"/>
        </w:rPr>
      </w:pPr>
    </w:p>
    <w:p>
      <w:pPr>
        <w:jc w:val="both"/>
        <w:ind w:firstLine="379"/>
        <w:spacing w:after="0" w:line="291" w:lineRule="auto"/>
        <w:rPr>
          <w:sz w:val="20"/>
          <w:szCs w:val="20"/>
          <w:color w:val="auto"/>
        </w:rPr>
      </w:pPr>
      <w:r>
        <w:rPr>
          <w:rFonts w:ascii="Arial" w:cs="Arial" w:eastAsia="Arial" w:hAnsi="Arial"/>
          <w:sz w:val="16"/>
          <w:szCs w:val="16"/>
          <w:color w:val="auto"/>
        </w:rPr>
        <w:t>Subject to the discussion below under "—Income or gains effectively connected with a U.S. trade or business," payments of interest to non-U.S. holders are generally subject to U.S. federal income tax at a rate of 30% (or a reduced or zero rate under the terms of an applicable income tax treaty between the United States and the non-U.S. holder's country of residence), collected by means of withholding by the payer. Payments of interest on the notes to most non-U.S. holders, however, will qualify as "portfolio interest," and thus will be exempt from U.S. federal income tax, including withholding of such tax, if the non-U.S. holders certify their nonresident status as described below, subject to the discussions below under "—Legislation and guidance relating to foreign accounts" and "—Backup withholding and information reporting". The portfolio interest exemption will not apply to payments of interest to a non-U.S. holder that:</w:t>
      </w:r>
    </w:p>
    <w:p>
      <w:pPr>
        <w:spacing w:after="0" w:line="188" w:lineRule="exact"/>
        <w:rPr>
          <w:sz w:val="20"/>
          <w:szCs w:val="20"/>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owns, actually or constructively (applying certain attribution rules), shares of our stock representing at least 10% of the total combined voting power of all classes of our stock entitled to vote; or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a "controlled foreign corporation" within the meaning of Section 957(a) of the Code that is related, directly or indirectly, to us through sufficient stock ownership.</w:t>
      </w:r>
    </w:p>
    <w:p>
      <w:pPr>
        <w:spacing w:after="0" w:line="186"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auto"/>
        </w:rPr>
        <w:t>In general, a foreign corporation is a controlled foreign corporation if more than 50% of its stock (by vote or value) is owned, actually or constructively, by one or more U.S. persons that each owns, actually or constructively, at least 10% of the corporation's stock (by vote or value).</w:t>
      </w:r>
    </w:p>
    <w:p>
      <w:pPr>
        <w:spacing w:after="0" w:line="139" w:lineRule="exact"/>
        <w:rPr>
          <w:sz w:val="20"/>
          <w:szCs w:val="20"/>
          <w:color w:val="auto"/>
        </w:rPr>
      </w:pPr>
    </w:p>
    <w:p>
      <w:pPr>
        <w:jc w:val="both"/>
        <w:ind w:firstLine="419"/>
        <w:spacing w:after="0" w:line="294" w:lineRule="auto"/>
        <w:rPr>
          <w:sz w:val="20"/>
          <w:szCs w:val="20"/>
          <w:color w:val="auto"/>
        </w:rPr>
      </w:pPr>
      <w:r>
        <w:rPr>
          <w:rFonts w:ascii="Arial" w:cs="Arial" w:eastAsia="Arial" w:hAnsi="Arial"/>
          <w:sz w:val="16"/>
          <w:szCs w:val="16"/>
          <w:color w:val="auto"/>
        </w:rPr>
        <w:t>The portfolio interest exemption and any reduction of the withholding tax rate pursuant to the terms of an applicable income tax treaty require a non-U.S. holder to certify its nonresident status. A non-U.S. holder can meet this certification requirement by providing a properly executed IRS Form W-8BEN, IRS Form W-8BEN-E or other appropriate form to us or our paying agent prior to the payment. If the non-U.S. holder holds the note through a financial institution or other agent acting on the holder's behalf, the holder will be required to provide appropriate documentation to the agent. The non-U.S. holder's agent will then be required to provide certification to us or our paying agent, either directly or through other intermediaries.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the notes</w:t>
      </w:r>
    </w:p>
    <w:p>
      <w:pPr>
        <w:spacing w:after="0" w:line="225" w:lineRule="exact"/>
        <w:rPr>
          <w:sz w:val="20"/>
          <w:szCs w:val="20"/>
          <w:color w:val="auto"/>
        </w:rPr>
      </w:pPr>
    </w:p>
    <w:p>
      <w:pPr>
        <w:jc w:val="both"/>
        <w:ind w:firstLine="455"/>
        <w:spacing w:after="0" w:line="256" w:lineRule="auto"/>
        <w:rPr>
          <w:sz w:val="20"/>
          <w:szCs w:val="20"/>
          <w:color w:val="auto"/>
        </w:rPr>
      </w:pPr>
      <w:r>
        <w:rPr>
          <w:rFonts w:ascii="Arial" w:cs="Arial" w:eastAsia="Arial" w:hAnsi="Arial"/>
          <w:sz w:val="18"/>
          <w:szCs w:val="18"/>
          <w:color w:val="auto"/>
        </w:rPr>
        <w:t>Subject to the discussion below under "—Backup withholding and information reporting," non-U.S. holders generally will not be subject to U.S. federal income or withholding tax on any gain realized on the sale, exchange, redemption, retirement or other disposition of notes (other than with respect to payments attributable to accrued but unpaid interest, which will be taxed as described under "—Taxation of interest" above). This general rule, however, is subject to several exceptions. For example, the gain would be subject to U.S. federal income tax if:</w:t>
      </w:r>
    </w:p>
    <w:p>
      <w:pPr>
        <w:spacing w:after="0" w:line="211" w:lineRule="exact"/>
        <w:rPr>
          <w:sz w:val="20"/>
          <w:szCs w:val="20"/>
          <w:color w:val="auto"/>
        </w:rPr>
      </w:pPr>
    </w:p>
    <w:p>
      <w:pPr>
        <w:jc w:val="both"/>
        <w:ind w:left="108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U.S. trade or business (and, generally, if an income tax treaty applies, the gain is attributable to a U.S. permanent establishment or fixed base maintained by the non-U.S. holder in the United States), in which case it would be subject to tax as described below under "—Income or gains effectively connected with a U.S. trade or business;" or</w:t>
      </w:r>
    </w:p>
    <w:p>
      <w:pPr>
        <w:spacing w:after="0" w:line="174"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tax, even though the individual is not considered a resident of the United States.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or gains effectively connected with a U.S. trade or business</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auto"/>
        </w:rPr>
        <w:t>The preceding discussion of the U.S. federal income and withholding tax considerations of the purchase, ownership and disposition of notes by a non-U.S. holder assumes that the holder is not engaged in a U.S. trade or business. If any interest on the notes or gain from the sale, exchange, redemption, retirement or other disposition of the notes is effectively connected with a U.S. trade or business conducted by the non-U.S. holder, then the income or gain will be subject to U.S. federal income tax on a net income basis at the regular graduated rates and generally in the same manner applicable to U.S. holders. If the non-U.S. holder is eligible for the benefits of a tax treaty between the United States and the holder's country of residence, any "effectively connected" income or gain generally will be subject to U.S. federal income tax only if it is also attributable to a permanent establishment or fixed base maintained by the holder in the United States. If the non-U.S. holder is a corporation (including for this purpose any entity treated as a corporation for U.S. federal income tax purposes), some portion of its earnings and profits that is effectively connected with its U.S. trade or business also would be subject to a "branch profits tax." The branch profits tax rate is generally 30%, although an applicable income tax treaty might provide for a lower rate. Payments of interest that are effectively connected with a U.S. trade or business generally will not be subject to the 30% withholding tax, provided that the holder claims exemption from withholding by timely filing a properly completed and executed IRS Form W-8ECI (or other appropriate form), or any successor form as the IRS designates, as applicable, prior to the payment.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Code and the Treasury regulations require those who make specified payments to report the payments to the IRS. Among the specified payments are interest and proceeds from a sale or other disposition of the notes paid by brokers to their customers. This reporting regime is reinforced by "backup withholding" rules, which require the payer to withhold from payments subject to information reporting if the recipient has failed to provide a correct taxpayer identification number to the payer, furnished an incorrect identification number, or repeatedly failed to report interest or dividends on tax returns. The backup withholding rate is currently 24%.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Payments of interest to U.S. holders generally will be subject to information reporting, and generally will be subject to backup withholding, unless the holder</w:t>
      </w:r>
    </w:p>
    <w:p>
      <w:pPr>
        <w:spacing w:after="0" w:line="38" w:lineRule="exact"/>
        <w:rPr>
          <w:sz w:val="20"/>
          <w:szCs w:val="20"/>
          <w:color w:val="auto"/>
        </w:rPr>
      </w:pPr>
    </w:p>
    <w:p>
      <w:pPr>
        <w:jc w:val="both"/>
        <w:ind w:firstLine="8"/>
        <w:spacing w:after="0" w:line="295" w:lineRule="auto"/>
        <w:tabs>
          <w:tab w:leader="none" w:pos="2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 an exempt payee, such as a corporation, or (2) provides the payer with a correct taxpayer identification number and complies with applicable certification requirements. Payments made to U.S. holders by a broker upon a sale or other disposition of notes will generally be subject to information reporting and backup withholding. If the sale is made through a foreign office of a foreign broker, however, the sale will generally not be subject to either information reporting or backup withholding. This exception may not apply if the foreign broker is owned or controlled by U.S. persons, or is engaged in a U.S. trade or business.</w:t>
      </w:r>
    </w:p>
    <w:p>
      <w:pPr>
        <w:spacing w:after="0" w:line="169" w:lineRule="exact"/>
        <w:rPr>
          <w:sz w:val="20"/>
          <w:szCs w:val="20"/>
          <w:color w:val="auto"/>
        </w:rPr>
      </w:pPr>
    </w:p>
    <w:p>
      <w:pPr>
        <w:jc w:val="both"/>
        <w:ind w:firstLine="438"/>
        <w:spacing w:after="0" w:line="291" w:lineRule="auto"/>
        <w:rPr>
          <w:sz w:val="20"/>
          <w:szCs w:val="20"/>
          <w:color w:val="auto"/>
        </w:rPr>
      </w:pPr>
      <w:r>
        <w:rPr>
          <w:rFonts w:ascii="Arial" w:cs="Arial" w:eastAsia="Arial" w:hAnsi="Arial"/>
          <w:sz w:val="16"/>
          <w:szCs w:val="16"/>
          <w:color w:val="auto"/>
        </w:rPr>
        <w:t>We must report annually to the IRS the interest paid to each non-U.S. holder and the tax withheld, if any, with respect to such interest, including any tax withheld pursuant to the rules described under "Non-U.S. Holders—Taxation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W-8BEN, IRS Form W-8BEN-E or other appropriate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w:t>
      </w:r>
    </w:p>
    <w:p>
      <w:pPr>
        <w:spacing w:after="0" w:line="174"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Any amounts withheld from a payment to a U.S. holder or non-U.S. holder of notes under the backup withholding rules generally can be credited against any U.S. federal income tax liability of the holder, provided the required information is timely furnished to the IRS.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and Guidance Relating to Foreign Accounts</w:t>
      </w:r>
    </w:p>
    <w:p>
      <w:pPr>
        <w:spacing w:after="0" w:line="231" w:lineRule="exact"/>
        <w:rPr>
          <w:sz w:val="20"/>
          <w:szCs w:val="20"/>
          <w:color w:val="auto"/>
        </w:rPr>
      </w:pPr>
    </w:p>
    <w:p>
      <w:pPr>
        <w:jc w:val="both"/>
        <w:ind w:firstLine="359"/>
        <w:spacing w:after="0" w:line="283" w:lineRule="auto"/>
        <w:rPr>
          <w:sz w:val="20"/>
          <w:szCs w:val="20"/>
          <w:color w:val="auto"/>
        </w:rPr>
      </w:pPr>
      <w:r>
        <w:rPr>
          <w:rFonts w:ascii="Arial" w:cs="Arial" w:eastAsia="Arial" w:hAnsi="Arial"/>
          <w:sz w:val="16"/>
          <w:szCs w:val="16"/>
          <w:color w:val="auto"/>
        </w:rPr>
        <w:t>Legislation and administrative guidance incorporating provisions referred to as the Foreign Account Tax Compliance Act, or FATCA, imposes a U.S. federal withholding tax on certain types of payments made to "foreign financial institutions" and certain other "non-financial foreign entities" as defined in the Code and applicable regulations. "Foreign financial institution" is defined to include, in addition to banks and traditional financial institutions, entities such as investment funds and certain holding companies. FATCA generally imposes a U.S. federal withholding tax of 30% on U.S. source interest income on a note and the gross proceeds of a disposition of a note paid to a foreign financial institution or other non-financial foreign entity (whether as beneficial owner or intermediary), unless</w:t>
      </w:r>
    </w:p>
    <w:p>
      <w:pPr>
        <w:spacing w:after="0" w:line="2" w:lineRule="exact"/>
        <w:rPr>
          <w:sz w:val="20"/>
          <w:szCs w:val="20"/>
          <w:color w:val="auto"/>
        </w:rPr>
      </w:pPr>
    </w:p>
    <w:p>
      <w:pPr>
        <w:jc w:val="both"/>
        <w:ind w:firstLine="8"/>
        <w:spacing w:after="0" w:line="281" w:lineRule="auto"/>
        <w:tabs>
          <w:tab w:leader="none" w:pos="21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w:t>
      </w:r>
    </w:p>
    <w:p>
      <w:pPr>
        <w:spacing w:after="0" w:line="1" w:lineRule="exact"/>
        <w:rPr>
          <w:rFonts w:ascii="Arial" w:cs="Arial" w:eastAsia="Arial" w:hAnsi="Arial"/>
          <w:sz w:val="16"/>
          <w:szCs w:val="16"/>
          <w:color w:val="auto"/>
        </w:rPr>
      </w:pPr>
    </w:p>
    <w:p>
      <w:pPr>
        <w:jc w:val="both"/>
        <w:ind w:firstLine="8"/>
        <w:spacing w:after="0" w:line="287" w:lineRule="auto"/>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exemption otherwise applies or (iv) otherwise provided by the Treasury Secretary.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certain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FATCA withholding generally applies to interest payments made on the notes. The Treasury Secretary has issued proposed regulations providing that the withholding provisions under FATCA do not apply with respect to payment of gross proceeds from a sale or other disposition of our common stock, which may be relied upon by taxpayers until final regulations are issued. Prospective investors should consult their tax advisors regarding FATCA.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ind w:firstLine="423"/>
        <w:spacing w:after="0" w:line="306" w:lineRule="auto"/>
        <w:rPr>
          <w:sz w:val="20"/>
          <w:szCs w:val="20"/>
          <w:color w:val="auto"/>
        </w:rPr>
      </w:pPr>
      <w:r>
        <w:rPr>
          <w:rFonts w:ascii="Arial" w:cs="Arial" w:eastAsia="Arial" w:hAnsi="Arial"/>
          <w:sz w:val="16"/>
          <w:szCs w:val="16"/>
          <w:color w:val="auto"/>
        </w:rPr>
        <w:t>Subject to the terms and conditions stated in the underwriting agreement dated the date of this prospectus supplement, each underwriter named below, for whom Morgan Stanley &amp; Co. LLC, BNP Paribas Securities Corp. and Credit Suisse Securities (USA) LLC are acting as representatives, has severally agreed to purchase, and we have agreed to sell to that underwriter, the aggregate principal amount of notes set forth opposite the underwriter's name in the following table:</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20  Notes</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  Notes</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20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8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5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67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65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reserve the right to withdraw, cancel or modify offers to the public and to reject orders in whole or in part. The underwriters are obligated to purchase all the notes if they purchase any of the notes. The underwriting agreement also provides that if an underwriter defaults, the purchase commitments of non-defaulting underwriters may be increased or the offering of Notes may be terminated.</w:t>
      </w:r>
    </w:p>
    <w:p>
      <w:pPr>
        <w:spacing w:after="0" w:line="167"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6"/>
          <w:szCs w:val="16"/>
          <w:color w:val="auto"/>
        </w:rPr>
        <w:t>The underwriters propose to offer the notes directly to the public at the public offering prices set forth on the cover page of this prospectus supplement and some of the notes to dealers at the public offering price less a concession not to exceed % of the principal amount of the 20 notes, % of the principal amount</w:t>
      </w:r>
    </w:p>
    <w:p>
      <w:pPr>
        <w:jc w:val="both"/>
        <w:spacing w:after="0" w:line="255" w:lineRule="auto"/>
        <w:rPr>
          <w:sz w:val="20"/>
          <w:szCs w:val="20"/>
          <w:color w:val="auto"/>
        </w:rPr>
      </w:pPr>
      <w:r>
        <w:rPr>
          <w:rFonts w:ascii="Arial" w:cs="Arial" w:eastAsia="Arial" w:hAnsi="Arial"/>
          <w:sz w:val="18"/>
          <w:szCs w:val="18"/>
          <w:color w:val="auto"/>
        </w:rPr>
        <w:t>of the 20 notes and % of the principal amount of the 20 notes. The underwriters may allow, and any such dealer may reallow, a concession not to exceed % of the principal amount of the 20 notes, % of the principal amount of the 20 notes and % of the principal amount of the 20 notes. After the initial offering of the notes to the public, the representatives may change the public offering price and other selling terms.</w:t>
      </w:r>
    </w:p>
    <w:p>
      <w:pPr>
        <w:spacing w:after="0" w:line="198"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 and in total).</w:t>
      </w:r>
    </w:p>
    <w:p>
      <w:pPr>
        <w:spacing w:after="0" w:line="16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80" w:type="dxa"/>
            <w:vAlign w:val="bottom"/>
            <w:gridSpan w:val="4"/>
          </w:tcPr>
          <w:p>
            <w:pPr>
              <w:ind w:left="100"/>
              <w:spacing w:after="0"/>
              <w:rPr>
                <w:sz w:val="20"/>
                <w:szCs w:val="20"/>
                <w:color w:val="auto"/>
              </w:rPr>
            </w:pPr>
            <w:r>
              <w:rPr>
                <w:rFonts w:ascii="Arial" w:cs="Arial" w:eastAsia="Arial" w:hAnsi="Arial"/>
                <w:sz w:val="14"/>
                <w:szCs w:val="14"/>
                <w:b w:val="1"/>
                <w:bCs w:val="1"/>
                <w:color w:val="auto"/>
              </w:rPr>
              <w:t>Paid by Micron</w:t>
            </w:r>
          </w:p>
        </w:tc>
      </w:tr>
      <w:tr>
        <w:trPr>
          <w:trHeight w:val="161"/>
        </w:trPr>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8"/>
              </w:rPr>
              <w:t>Technology, Inc.</w:t>
            </w:r>
          </w:p>
        </w:tc>
        <w:tc>
          <w:tcPr>
            <w:tcW w:w="2600" w:type="dxa"/>
            <w:vAlign w:val="bottom"/>
            <w:gridSpan w:val="2"/>
          </w:tcPr>
          <w:p>
            <w:pPr>
              <w:spacing w:after="0"/>
              <w:rPr>
                <w:sz w:val="14"/>
                <w:szCs w:val="14"/>
                <w:color w:val="auto"/>
              </w:rPr>
            </w:pPr>
          </w:p>
        </w:tc>
      </w:tr>
      <w:tr>
        <w:trPr>
          <w:trHeight w:val="210"/>
        </w:trPr>
        <w:tc>
          <w:tcPr>
            <w:tcW w:w="136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Per 20</w:t>
            </w: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2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20</w:t>
            </w: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Notes Total</w:t>
            </w:r>
          </w:p>
        </w:tc>
        <w:tc>
          <w:tcPr>
            <w:tcW w:w="30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Per 20</w:t>
            </w: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2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20</w:t>
            </w: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Notes Total</w:t>
            </w:r>
          </w:p>
        </w:tc>
        <w:tc>
          <w:tcPr>
            <w:tcW w:w="30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Per 20</w:t>
            </w: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w:t>
            </w:r>
          </w:p>
        </w:tc>
        <w:tc>
          <w:tcPr>
            <w:tcW w:w="2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22"/>
        </w:trPr>
        <w:tc>
          <w:tcPr>
            <w:tcW w:w="13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20</w:t>
            </w: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Notes Total</w:t>
            </w:r>
          </w:p>
        </w:tc>
        <w:tc>
          <w:tcPr>
            <w:tcW w:w="30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24"/>
        </w:trPr>
        <w:tc>
          <w:tcPr>
            <w:tcW w:w="8020" w:type="dxa"/>
            <w:vAlign w:val="bottom"/>
            <w:gridSpan w:val="6"/>
          </w:tcPr>
          <w:p>
            <w:pPr>
              <w:jc w:val="right"/>
              <w:ind w:right="92"/>
              <w:spacing w:after="0"/>
              <w:rPr>
                <w:sz w:val="20"/>
                <w:szCs w:val="20"/>
                <w:color w:val="auto"/>
              </w:rPr>
            </w:pPr>
            <w:r>
              <w:rPr>
                <w:rFonts w:ascii="Arial" w:cs="Arial" w:eastAsia="Arial" w:hAnsi="Arial"/>
                <w:sz w:val="18"/>
                <w:szCs w:val="18"/>
                <w:color w:val="auto"/>
                <w:w w:val="89"/>
              </w:rPr>
              <w:t>We estimate that our total expenses for this offering, other than underwriting discounts, will be approximately $</w:t>
            </w:r>
          </w:p>
        </w:tc>
        <w:tc>
          <w:tcPr>
            <w:tcW w:w="3040" w:type="dxa"/>
            <w:vAlign w:val="bottom"/>
            <w:gridSpan w:val="3"/>
          </w:tcPr>
          <w:p>
            <w:pPr>
              <w:ind w:left="160"/>
              <w:spacing w:after="0"/>
              <w:rPr>
                <w:sz w:val="20"/>
                <w:szCs w:val="20"/>
                <w:color w:val="auto"/>
              </w:rPr>
            </w:pPr>
            <w:r>
              <w:rPr>
                <w:rFonts w:ascii="Arial" w:cs="Arial" w:eastAsia="Arial" w:hAnsi="Arial"/>
                <w:sz w:val="18"/>
                <w:szCs w:val="18"/>
                <w:color w:val="auto"/>
                <w:w w:val="89"/>
              </w:rPr>
              <w:t>million. The underwriters have agreed to</w:t>
            </w:r>
          </w:p>
        </w:tc>
      </w:tr>
    </w:tbl>
    <w:p>
      <w:pPr>
        <w:spacing w:after="0"/>
        <w:rPr>
          <w:sz w:val="20"/>
          <w:szCs w:val="20"/>
          <w:color w:val="auto"/>
        </w:rPr>
      </w:pPr>
      <w:r>
        <w:rPr>
          <w:rFonts w:ascii="Arial" w:cs="Arial" w:eastAsia="Arial" w:hAnsi="Arial"/>
          <w:sz w:val="18"/>
          <w:szCs w:val="18"/>
          <w:color w:val="auto"/>
        </w:rPr>
        <w:t>reimburse us for certain expenses incurred in connection with this offering.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jc w:val="both"/>
        <w:ind w:firstLine="417"/>
        <w:spacing w:after="0" w:line="253" w:lineRule="auto"/>
        <w:rPr>
          <w:sz w:val="20"/>
          <w:szCs w:val="20"/>
          <w:color w:val="auto"/>
        </w:rPr>
      </w:pPr>
      <w:r>
        <w:rPr>
          <w:rFonts w:ascii="Arial" w:cs="Arial" w:eastAsia="Arial" w:hAnsi="Arial"/>
          <w:sz w:val="18"/>
          <w:szCs w:val="18"/>
          <w:color w:val="auto"/>
        </w:rPr>
        <w:t>There is currently no public trading market for the notes. We have not applied and do not intend to apply to list the notes on any securities exchange. The underwriters have advised us that they presently intend to make a market in the notes. However, they are not obligated to do so and may discontinue any market-making in the notes at any time in their sole discretion. Therefore, we cannot assure you that a liquid trading market for the notes will develop, that you will be able to sell your notes at a particular time or that the price you receive when you sell will be favorable. If an active trading market for the notes does not develop, the market price and liquidity of the notes may be adversely affected. If the notes are traded, they may trade at a discount from the initial offering price, depending on prevailing interest rates, the market for similar securities, our operating performance and financial condition, general economic conditions and other factors.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31" w:lineRule="exact"/>
        <w:rPr>
          <w:sz w:val="20"/>
          <w:szCs w:val="20"/>
          <w:color w:val="auto"/>
        </w:rPr>
      </w:pPr>
    </w:p>
    <w:p>
      <w:pPr>
        <w:jc w:val="both"/>
        <w:ind w:firstLine="515"/>
        <w:spacing w:after="0" w:line="255"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w:t>
      </w:r>
    </w:p>
    <w:p>
      <w:pPr>
        <w:spacing w:after="0" w:line="197"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the notes or preventing or retarding a decline in the market price of the notes. As a result, the price of the notes may be higher than the price that might otherwise exist in the open market.</w:t>
      </w:r>
    </w:p>
    <w:p>
      <w:pPr>
        <w:spacing w:after="0" w:line="194" w:lineRule="exact"/>
        <w:rPr>
          <w:sz w:val="20"/>
          <w:szCs w:val="20"/>
          <w:color w:val="auto"/>
        </w:rPr>
      </w:pPr>
    </w:p>
    <w:p>
      <w:pPr>
        <w:jc w:val="both"/>
        <w:ind w:firstLine="415"/>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jc w:val="both"/>
        <w:ind w:firstLine="399"/>
        <w:spacing w:after="0" w:line="259" w:lineRule="auto"/>
        <w:rPr>
          <w:sz w:val="20"/>
          <w:szCs w:val="20"/>
          <w:color w:val="auto"/>
        </w:rPr>
      </w:pPr>
      <w:r>
        <w:rPr>
          <w:rFonts w:ascii="Arial" w:cs="Arial" w:eastAsia="Arial" w:hAnsi="Arial"/>
          <w:sz w:val="18"/>
          <w:szCs w:val="18"/>
          <w:color w:val="auto"/>
        </w:rPr>
        <w:t>We have agreed that we will not, until the closing date, without first obtaining the prior written consent of the representatives, offer, sell, contract to sell or otherwise dispose of any debt securities of the Company or warrants to purchase debt securities of the Company, except for the notes sold to the underwriters pursuant to the underwriting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Certain of the underwriters and their affiliates have in the past provided, and may in the future provide, investment banking, commercial banking, derivative transactions and financial advisory services to us and our affiliates in the ordinary course of business for which they have received or will receive customary fees and reimbursement of expenses.</w:t>
      </w:r>
    </w:p>
    <w:p>
      <w:pPr>
        <w:spacing w:after="0" w:line="194" w:lineRule="exact"/>
        <w:rPr>
          <w:sz w:val="20"/>
          <w:szCs w:val="20"/>
          <w:color w:val="auto"/>
        </w:rPr>
      </w:pPr>
    </w:p>
    <w:p>
      <w:pPr>
        <w:jc w:val="both"/>
        <w:ind w:firstLine="496"/>
        <w:spacing w:after="0" w:line="29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54"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color w:val="auto"/>
        </w:rPr>
        <w:t>Certain of the underwriters and/or their affiliates may hold positions in certain of our outstanding notes and/or may be agents and/or lenders in our credit facility. For example, certain affiliates of Morgan Stanley &amp; Co. LLC are lenders under our senior secured Term Loan B notes and hold a portion of our 3.00% Convertible Senior Notes due 2043. As a result, they may receive a portion of any net proceeds of this offering used to repay such indebtedness. See "Use of Proceeds."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Bank National Association serves as the trustee for the indenture governing each series of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jc w:val="both"/>
        <w:ind w:firstLine="402"/>
        <w:spacing w:after="0" w:line="298" w:lineRule="auto"/>
        <w:rPr>
          <w:sz w:val="20"/>
          <w:szCs w:val="20"/>
          <w:color w:val="auto"/>
        </w:rPr>
      </w:pPr>
      <w:r>
        <w:rPr>
          <w:rFonts w:ascii="Arial" w:cs="Arial" w:eastAsia="Arial" w:hAnsi="Arial"/>
          <w:sz w:val="16"/>
          <w:szCs w:val="16"/>
          <w:color w:val="auto"/>
        </w:rPr>
        <w:t>The notes offered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 must be made in accordance with an exemption from, or in a transaction not subject to, the prospectus requirements of applicable securities laws.</w:t>
      </w:r>
    </w:p>
    <w:p>
      <w:pPr>
        <w:spacing w:after="0" w:line="167"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of Sales to EEA Retail Investors</w:t>
      </w:r>
    </w:p>
    <w:p>
      <w:pPr>
        <w:spacing w:after="0" w:line="231" w:lineRule="exact"/>
        <w:rPr>
          <w:sz w:val="20"/>
          <w:szCs w:val="20"/>
          <w:color w:val="auto"/>
        </w:rPr>
      </w:pPr>
    </w:p>
    <w:p>
      <w:pPr>
        <w:jc w:val="both"/>
        <w:ind w:firstLine="481"/>
        <w:spacing w:after="0" w:line="288"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or superseded, where that customer would not qualify as a professional client as defined in point (10) of Article 4(1) of MiFID II; or (iii) not a qualified investor as defined in Directive 2003/71/EC (as amended or superseded,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preliminary prospectus supplement has been prepared on the basis that any offer of notes in any member state of the EEA which has implemented the Prospectus Directive will be made pursuant to an exemption under the Prospectus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Directive from the requirement to publish a prospectus for offers of notes. This preliminary prospectus supplement is not a prospectus for the purposes of the Prospectus Directive.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jc w:val="both"/>
        <w:ind w:firstLine="446"/>
        <w:spacing w:after="0" w:line="298" w:lineRule="auto"/>
        <w:rPr>
          <w:sz w:val="20"/>
          <w:szCs w:val="20"/>
          <w:color w:val="auto"/>
        </w:rPr>
      </w:pPr>
      <w:r>
        <w:rPr>
          <w:rFonts w:ascii="Arial" w:cs="Arial" w:eastAsia="Arial" w:hAnsi="Arial"/>
          <w:sz w:val="16"/>
          <w:szCs w:val="16"/>
          <w:color w:val="auto"/>
        </w:rPr>
        <w:t>Each underwriter has represented and agreed that (i)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Company; and (ii) it has complied and will comply with all applicable provisions of the FSMA with respect to anything done by it in relation to the notes in, from or otherwise involving the United Kingdom.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jc w:val="both"/>
        <w:ind w:firstLine="438"/>
        <w:spacing w:after="0" w:line="289" w:lineRule="auto"/>
        <w:rPr>
          <w:sz w:val="20"/>
          <w:szCs w:val="20"/>
          <w:color w:val="auto"/>
        </w:rPr>
      </w:pPr>
      <w:r>
        <w:rPr>
          <w:rFonts w:ascii="Arial" w:cs="Arial" w:eastAsia="Arial" w:hAnsi="Arial"/>
          <w:sz w:val="16"/>
          <w:szCs w:val="16"/>
          <w:color w:val="auto"/>
        </w:rPr>
        <w:t>The notes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jc w:val="both"/>
        <w:ind w:firstLine="474"/>
        <w:spacing w:after="0" w:line="288" w:lineRule="auto"/>
        <w:rPr>
          <w:sz w:val="20"/>
          <w:szCs w:val="20"/>
          <w:color w:val="auto"/>
        </w:rPr>
      </w:pPr>
      <w:r>
        <w:rPr>
          <w:rFonts w:ascii="Arial" w:cs="Arial" w:eastAsia="Arial" w:hAnsi="Arial"/>
          <w:sz w:val="16"/>
          <w:szCs w:val="16"/>
          <w:color w:val="auto"/>
        </w:rPr>
        <w:t>This prospectus supplement and the accompanying prospectus have not been and will not be registered as a prospectus with the Monetary Authority of Singapore. Accordingly, this prospectus supplement and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is to hold investments and each beneficiary is an accredited investor, shares, debentures and units of shares and debentures of that corporation or the beneficiaries' rights and interest in that trust shall not be transferred within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or will be given for the transfer; or (3) the transfer is by operation of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Securities and Futures Act Product Classification</w:t>
      </w:r>
    </w:p>
    <w:p>
      <w:pPr>
        <w:spacing w:after="0" w:line="231" w:lineRule="exact"/>
        <w:rPr>
          <w:sz w:val="20"/>
          <w:szCs w:val="20"/>
          <w:color w:val="auto"/>
        </w:rPr>
      </w:pPr>
    </w:p>
    <w:p>
      <w:pPr>
        <w:jc w:val="both"/>
        <w:ind w:firstLine="410"/>
        <w:spacing w:after="0" w:line="256" w:lineRule="auto"/>
        <w:rPr>
          <w:sz w:val="20"/>
          <w:szCs w:val="20"/>
          <w:color w:val="auto"/>
        </w:rPr>
      </w:pPr>
      <w:r>
        <w:rPr>
          <w:rFonts w:ascii="Arial" w:cs="Arial" w:eastAsia="Arial" w:hAnsi="Arial"/>
          <w:sz w:val="18"/>
          <w:szCs w:val="18"/>
          <w:color w:val="auto"/>
        </w:rPr>
        <w:t>Solely for the purposes of its obligations pursuant to sections 309B(1)(a) and 309B(1)(c) of the SFA, the Company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color w:val="auto"/>
        </w:rPr>
        <w:t>This document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170" w:lineRule="exact"/>
        <w:rPr>
          <w:sz w:val="20"/>
          <w:szCs w:val="20"/>
          <w:color w:val="auto"/>
        </w:rPr>
      </w:pPr>
    </w:p>
    <w:p>
      <w:pPr>
        <w:jc w:val="both"/>
        <w:ind w:firstLine="430"/>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VALIDITY OF SECURITIES</w:t>
      </w:r>
    </w:p>
    <w:p>
      <w:pPr>
        <w:spacing w:after="0" w:line="231" w:lineRule="exact"/>
        <w:rPr>
          <w:sz w:val="20"/>
          <w:szCs w:val="20"/>
          <w:color w:val="auto"/>
        </w:rPr>
      </w:pPr>
    </w:p>
    <w:p>
      <w:pPr>
        <w:jc w:val="both"/>
        <w:ind w:firstLine="528"/>
        <w:spacing w:after="0" w:line="268" w:lineRule="auto"/>
        <w:rPr>
          <w:sz w:val="20"/>
          <w:szCs w:val="20"/>
          <w:color w:val="auto"/>
        </w:rPr>
      </w:pPr>
      <w:r>
        <w:rPr>
          <w:rFonts w:ascii="Arial" w:cs="Arial" w:eastAsia="Arial" w:hAnsi="Arial"/>
          <w:sz w:val="18"/>
          <w:szCs w:val="18"/>
          <w:color w:val="auto"/>
        </w:rPr>
        <w:t>The legality of the notes offered hereby will be passed upon for Micron by Wilson Sonsini Goodrich &amp; Rosati, Professional Corporation, Palo Alto, California. Simpson Thacher &amp; Bartlett LLP, Palo Alto, California, is acting as counsel to the underwriters.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30, 2018 have been so incorporated in reliance on the report of PricewaterhouseCoopers LLP, an independent registered public accounting firm, given on the authority of said firm as experts in auditing and accounting.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735"/>
        <w:spacing w:after="0" w:line="306"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The SEC maintains an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from which interested persons can electronically access any document we file electronically with the SEC, including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which this prospectus supplement and the accompanying prospectus form a part, including the exhibits and schedules to the registration statement.</w:t>
      </w:r>
    </w:p>
    <w:p>
      <w:pPr>
        <w:spacing w:after="0" w:line="161" w:lineRule="exact"/>
        <w:rPr>
          <w:sz w:val="20"/>
          <w:szCs w:val="20"/>
          <w:color w:val="auto"/>
        </w:rPr>
      </w:pPr>
    </w:p>
    <w:p>
      <w:pPr>
        <w:jc w:val="both"/>
        <w:ind w:firstLine="453"/>
        <w:spacing w:after="0" w:line="290" w:lineRule="auto"/>
        <w:rPr>
          <w:sz w:val="20"/>
          <w:szCs w:val="20"/>
          <w:color w:val="auto"/>
        </w:rPr>
      </w:pPr>
      <w:r>
        <w:rPr>
          <w:rFonts w:ascii="Arial" w:cs="Arial" w:eastAsia="Arial" w:hAnsi="Arial"/>
          <w:sz w:val="16"/>
          <w:szCs w:val="16"/>
          <w:color w:val="auto"/>
        </w:rPr>
        <w:t xml:space="preserve">As permitted by the SEC rules, this prospectus supplement and the accompanying prospectus do not contain all the information that you can find in the registration statement or the exhibits to that statement. 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supplement,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herein shall be deemed to incorporate information furnished to, but not filed with, the SEC, including under Item 2.02 or Item 7.01 of any Current Report on Form 8-K:</w:t>
      </w:r>
    </w:p>
    <w:p>
      <w:pPr>
        <w:spacing w:after="0" w:line="186"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30, 2018;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November 29, 2018;</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specifically incorporated by reference into our Annual Report on Form 10-K for the fiscal year ended August 30, 2018, from our Definitive Proxy Statement on Schedule 14A, filed with the SEC on December 6, 2018;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Reports on Form 8-K filed on September 20, 2018, October 17, 2018, October 18, 2018, November 14, 2018, December 6, 2018, January 14, 2019, January 22, 2019, and February 1, 2019.</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You may request a copy of these filings at no cost by contacting our Investor Relations department by visiting our Web site at </w:t>
      </w:r>
      <w:r>
        <w:rPr>
          <w:rFonts w:ascii="Arial" w:cs="Arial" w:eastAsia="Arial" w:hAnsi="Arial"/>
          <w:sz w:val="16"/>
          <w:szCs w:val="16"/>
          <w:i w:val="1"/>
          <w:iCs w:val="1"/>
          <w:color w:val="auto"/>
        </w:rPr>
        <w:t>www.micron.com</w:t>
      </w:r>
      <w:r>
        <w:rPr>
          <w:rFonts w:ascii="Arial" w:cs="Arial" w:eastAsia="Arial" w:hAnsi="Arial"/>
          <w:sz w:val="16"/>
          <w:szCs w:val="16"/>
          <w:color w:val="auto"/>
        </w:rPr>
        <w:t>, by calling</w:t>
      </w:r>
    </w:p>
    <w:p>
      <w:pPr>
        <w:spacing w:after="0" w:line="38" w:lineRule="exact"/>
        <w:rPr>
          <w:sz w:val="20"/>
          <w:szCs w:val="20"/>
          <w:color w:val="auto"/>
        </w:rPr>
      </w:pPr>
    </w:p>
    <w:p>
      <w:pPr>
        <w:ind w:firstLine="8"/>
        <w:spacing w:after="0" w:line="323"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368-4000, by writing to Investor Relations, Micron Technology, Inc., Mail Stop 407, 8000 South Federal Way, P.O. Box 6, Boise, ID 83707-0006. The information contained or incorporated in our website is not part of this prospectus supplement or the accompanying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152400</wp:posOffset>
            </wp:positionV>
            <wp:extent cx="3636010" cy="1012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MICRON TECHNOLOGY,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20" w:firstLine="351"/>
        <w:spacing w:after="0" w:line="239" w:lineRule="auto"/>
        <w:rPr>
          <w:sz w:val="20"/>
          <w:szCs w:val="20"/>
          <w:color w:val="auto"/>
        </w:rPr>
      </w:pPr>
      <w:r>
        <w:rPr>
          <w:rFonts w:ascii="Arial" w:cs="Arial" w:eastAsia="Arial" w:hAnsi="Arial"/>
          <w:sz w:val="22"/>
          <w:szCs w:val="22"/>
          <w:b w:val="1"/>
          <w:bCs w:val="1"/>
          <w:color w:val="auto"/>
        </w:rPr>
        <w:t>INVESTING IN OUR SECURITIES INVOLVES RISKS. SEE THE "RISK FACTORS" INCORPORATED BY REFERENCE IN THIS PROSPECTUS AND ANY SIMILAR SECTION CONTAINED IN OR INCORPORATED BY REFERENCE IN THE APPLICABLE PROSPECTUS SUPPLEMENT CONCERNING FACTORS YOU SHOULD CONSIDER BEFORE INVESTING IN OUR SECURITIES.</w:t>
      </w:r>
    </w:p>
    <w:p>
      <w:pPr>
        <w:spacing w:after="0" w:line="20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listed on The NASDAQ Global Select Market ("NASDAQ") under the symbol "MU." On October 9, 2017, the last reported sale price of our common stock on NASDAQ was $40.96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October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0"/>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ABOUT THIS PROSPECTUS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5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9"/>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THE COMPANY</w:t>
              </w:r>
            </w:hyperlink>
          </w:p>
        </w:tc>
        <w:tc>
          <w:tcPr>
            <w:tcW w:w="5360" w:type="dxa"/>
            <w:vAlign w:val="bottom"/>
            <w:gridSpan w:val="7"/>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2"/>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RISK FACTORS</w:t>
              </w:r>
            </w:hyperlink>
          </w:p>
        </w:tc>
        <w:tc>
          <w:tcPr>
            <w:tcW w:w="758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4"/>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USE OF PROCEEDS</w:t>
              </w:r>
            </w:hyperlink>
          </w:p>
        </w:tc>
        <w:tc>
          <w:tcPr>
            <w:tcW w:w="724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DESCRIPTION OF SECURITIES</w:t>
              </w:r>
            </w:hyperlink>
          </w:p>
        </w:tc>
        <w:tc>
          <w:tcPr>
            <w:tcW w:w="960" w:type="dxa"/>
            <w:vAlign w:val="bottom"/>
          </w:tcPr>
          <w:p>
            <w:pPr>
              <w:spacing w:after="0"/>
              <w:rPr>
                <w:sz w:val="17"/>
                <w:szCs w:val="17"/>
                <w:color w:val="auto"/>
              </w:rPr>
            </w:pPr>
          </w:p>
        </w:tc>
        <w:tc>
          <w:tcPr>
            <w:tcW w:w="53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634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gridSpan w:val="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LEGAL MATTERS</w:t>
              </w:r>
            </w:hyperlink>
          </w:p>
        </w:tc>
        <w:tc>
          <w:tcPr>
            <w:tcW w:w="680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38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4"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When we refer to "Micron," "we," "our," "us" and the "Company" in this prospectus, we mean Micron Technology, Inc. and our consolidated subsidiaries, unless the context indicates otherwise or unless otherwise specified. When we refer to "you," we mean the holders of the applicable series of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 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 site address is www.micron.com. The information on our web site, however, is not, and should not be deemed to be, a part of this prospectus.</w:t>
      </w:r>
    </w:p>
    <w:p>
      <w:pPr>
        <w:spacing w:after="0" w:line="24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6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1, 2016 (as updated by the Current Report on Form 8-K filed with the SEC on October 10, 2017).</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December 1, 2016, March 2, 2017 and June 1, 2017.</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Information specifically incorporated by reference into our Annual Report on Form 10-K for the fiscal year ended September 1, 2016 from our Definitive Proxy Statement on Schedule 14A filed on December 8,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September 2, 2016, October 11, 2016, October 24, 2016, October 27, 2016, November 9, 2016, November 18, 2016, December 6, 2016, January 19, 2017, February 3, 2017, February 16, 2017, March 27, 2017, April 10, 2017, April 28, 2017, May 17, 2017, June 28, 2017, July 27, 2017 and October 10, 2017.</w:t>
      </w:r>
    </w:p>
    <w:p>
      <w:pPr>
        <w:spacing w:after="0" w:line="221"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description of our common stock, par value $0.10 per share, contained in our registration statement on Form 8-A, filed with the SEC on November 28, 1990, including any subsequently filed amendments and reports updating such description.</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with the SEC on July 22, 2016, including any subsequently filed amendments and reports updating such description.</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94" w:lineRule="exact"/>
        <w:rPr>
          <w:sz w:val="20"/>
          <w:szCs w:val="20"/>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an industry leader in innovative memory and storage solutions. Through our global brands—Micron®, Crucial®, and Ballistix®—our broad portfolio of high-performance memory and storage technologies, including DRAM, NAND, NOR Flash, and 3D XPoint™ memory, is transforming how the world uses information to enrich life. Backed by more than 35 years of technology leadership, our memory and storage solutions enable disruptive trends, including artificial intelligence, machine learning, and autonomous vehicles in key market segments like cloud, data center, networking, and mobile.</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Micron, a Delaware corporation, was originally incorporated in 1978. Our executive offices are located at 8000 South Federal Way, Boise, Idaho 83716-9632 and our telephone number is (208) 368-4000. Our common stock is currently listed on NASDAQ under the symbol "MU."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Investing in our securities involves a high degree of risk. Before making a decision to invest in our securities, in addition to the other information contained in this prospectus, in any accompanying prospectus supplement, or incorporated by reference herein or therein, you should carefully consider the risks described under "Risk Factors" contained in the applicable prospectus supplement and any related free writing prospectus, and discussed under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Incorporation by Reference."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historical ratios of earnings to fixed charges for Micron and its consolidated subsidiaries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3"/>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Ended June 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7.4x</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8.3x</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6.2x</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55"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equity in net income (loss) of equity method investees and noncontrolling interests plus "fixed charges." Fixed charges consist of interest expense (net of capitalized portion), capitalized interest, amortization of debt discount and the portion of rental expense representative of interest expense. Earnings before fixed charges were inadequate to cover total fixed charges by $311 million and $752 million for fiscal years 2016 and 2012, respectively.</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of common stock, par value $0.10 per share,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debt securities, which may be senior or subordinated, and which may be convertible into our common stock or be non-convertible;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units.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Each share of common stock of the Company registered hereunder will include the right to acquire additional common stock of the Company under any shareholder rights plan then in effect, if applicable under the terms of any such plan.</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set forth in the applicable prospectus supplement and/or free writing prospectus a description of any common stock, debt securities,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the offered securities from time to time:</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Micron Technology, Inc. 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financial statements incorporated in this prospectus by reference to Micron Technology, Inc.'s Current Report on Form 8-K dated October 10, 2017 and management's assessment of the effectiveness of internal control over financial reporting (which is included in Management's Report on Internal Control over Financial Reporting) incorporated in this Prospectus by reference to the Annual Report on Form 10-K of Micron Technology, Inc. for the year ended September 1, 2016 have been so incorporated in reliance on the report of PricewaterhouseCoopers LLP, an independent registered public accounting firm, given on the authority of said firm as experts in auditing and accounting.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156210</wp:posOffset>
            </wp:positionV>
            <wp:extent cx="3636010" cy="10121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3601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60"/>
        <w:spacing w:after="0"/>
        <w:rPr>
          <w:sz w:val="20"/>
          <w:szCs w:val="20"/>
          <w:color w:val="auto"/>
        </w:rPr>
      </w:pPr>
      <w:r>
        <w:rPr>
          <w:rFonts w:ascii="Arial" w:cs="Arial" w:eastAsia="Arial" w:hAnsi="Arial"/>
          <w:sz w:val="32"/>
          <w:szCs w:val="32"/>
          <w:b w:val="1"/>
          <w:bCs w:val="1"/>
          <w:i w:val="1"/>
          <w:iCs w:val="1"/>
          <w:color w:val="auto"/>
        </w:rPr>
        <w:t>Micron Technology, Inc.</w:t>
      </w:r>
    </w:p>
    <w:p>
      <w:pPr>
        <w:spacing w:after="0" w:line="224" w:lineRule="exact"/>
        <w:rPr>
          <w:sz w:val="20"/>
          <w:szCs w:val="20"/>
          <w:color w:val="auto"/>
        </w:rPr>
      </w:pPr>
    </w:p>
    <w:tbl>
      <w:tblPr>
        <w:tblLayout w:type="fixed"/>
        <w:tblInd w:w="3840" w:type="dxa"/>
        <w:tblCellMar>
          <w:top w:w="0" w:type="dxa"/>
          <w:left w:w="0" w:type="dxa"/>
          <w:bottom w:w="0" w:type="dxa"/>
          <w:right w:w="0" w:type="dxa"/>
        </w:tblCellMar>
      </w:tblPr>
      <w:tr>
        <w:trPr>
          <w:trHeight w:val="275"/>
        </w:trPr>
        <w:tc>
          <w:tcPr>
            <w:tcW w:w="660" w:type="dxa"/>
            <w:vAlign w:val="bottom"/>
          </w:tcPr>
          <w:p>
            <w:pPr>
              <w:jc w:val="right"/>
              <w:ind w:right="463"/>
              <w:spacing w:after="0"/>
              <w:rPr>
                <w:sz w:val="20"/>
                <w:szCs w:val="20"/>
                <w:color w:val="auto"/>
              </w:rPr>
            </w:pPr>
            <w:r>
              <w:rPr>
                <w:rFonts w:ascii="Arial" w:cs="Arial" w:eastAsia="Arial" w:hAnsi="Arial"/>
                <w:sz w:val="19"/>
                <w:szCs w:val="19"/>
                <w:b w:val="1"/>
                <w:bCs w:val="1"/>
                <w:i w:val="1"/>
                <w:iCs w:val="1"/>
                <w:color w:val="auto"/>
                <w:w w:val="75"/>
              </w:rPr>
              <w:t>$</w:t>
            </w:r>
          </w:p>
        </w:tc>
        <w:tc>
          <w:tcPr>
            <w:tcW w:w="2820" w:type="dxa"/>
            <w:vAlign w:val="bottom"/>
            <w:gridSpan w:val="2"/>
          </w:tcPr>
          <w:p>
            <w:pPr>
              <w:ind w:left="800"/>
              <w:spacing w:after="0"/>
              <w:rPr>
                <w:sz w:val="20"/>
                <w:szCs w:val="20"/>
                <w:color w:val="auto"/>
              </w:rPr>
            </w:pPr>
            <w:r>
              <w:rPr>
                <w:rFonts w:ascii="Arial" w:cs="Arial" w:eastAsia="Arial" w:hAnsi="Arial"/>
                <w:sz w:val="22"/>
                <w:szCs w:val="22"/>
                <w:b w:val="1"/>
                <w:bCs w:val="1"/>
                <w:i w:val="1"/>
                <w:iCs w:val="1"/>
                <w:color w:val="auto"/>
                <w:w w:val="84"/>
              </w:rPr>
              <w:t>% Senior Notes due 20</w:t>
            </w:r>
          </w:p>
        </w:tc>
      </w:tr>
      <w:tr>
        <w:trPr>
          <w:trHeight w:val="459"/>
        </w:trPr>
        <w:tc>
          <w:tcPr>
            <w:tcW w:w="660" w:type="dxa"/>
            <w:vAlign w:val="bottom"/>
          </w:tcPr>
          <w:p>
            <w:pPr>
              <w:jc w:val="right"/>
              <w:ind w:right="463"/>
              <w:spacing w:after="0"/>
              <w:rPr>
                <w:sz w:val="20"/>
                <w:szCs w:val="20"/>
                <w:color w:val="auto"/>
              </w:rPr>
            </w:pPr>
            <w:r>
              <w:rPr>
                <w:rFonts w:ascii="Arial" w:cs="Arial" w:eastAsia="Arial" w:hAnsi="Arial"/>
                <w:sz w:val="19"/>
                <w:szCs w:val="19"/>
                <w:b w:val="1"/>
                <w:bCs w:val="1"/>
                <w:i w:val="1"/>
                <w:iCs w:val="1"/>
                <w:color w:val="auto"/>
                <w:w w:val="75"/>
              </w:rPr>
              <w:t>$</w:t>
            </w:r>
          </w:p>
        </w:tc>
        <w:tc>
          <w:tcPr>
            <w:tcW w:w="2820" w:type="dxa"/>
            <w:vAlign w:val="bottom"/>
            <w:gridSpan w:val="2"/>
          </w:tcPr>
          <w:p>
            <w:pPr>
              <w:ind w:left="800"/>
              <w:spacing w:after="0"/>
              <w:rPr>
                <w:sz w:val="20"/>
                <w:szCs w:val="20"/>
                <w:color w:val="auto"/>
              </w:rPr>
            </w:pPr>
            <w:r>
              <w:rPr>
                <w:rFonts w:ascii="Arial" w:cs="Arial" w:eastAsia="Arial" w:hAnsi="Arial"/>
                <w:sz w:val="22"/>
                <w:szCs w:val="22"/>
                <w:b w:val="1"/>
                <w:bCs w:val="1"/>
                <w:i w:val="1"/>
                <w:iCs w:val="1"/>
                <w:color w:val="auto"/>
                <w:w w:val="84"/>
              </w:rPr>
              <w:t>% Senior Notes due 20</w:t>
            </w:r>
          </w:p>
        </w:tc>
      </w:tr>
      <w:tr>
        <w:trPr>
          <w:trHeight w:val="459"/>
        </w:trPr>
        <w:tc>
          <w:tcPr>
            <w:tcW w:w="660" w:type="dxa"/>
            <w:vAlign w:val="bottom"/>
          </w:tcPr>
          <w:p>
            <w:pPr>
              <w:jc w:val="right"/>
              <w:ind w:right="463"/>
              <w:spacing w:after="0"/>
              <w:rPr>
                <w:sz w:val="20"/>
                <w:szCs w:val="20"/>
                <w:color w:val="auto"/>
              </w:rPr>
            </w:pPr>
            <w:r>
              <w:rPr>
                <w:rFonts w:ascii="Arial" w:cs="Arial" w:eastAsia="Arial" w:hAnsi="Arial"/>
                <w:sz w:val="19"/>
                <w:szCs w:val="19"/>
                <w:b w:val="1"/>
                <w:bCs w:val="1"/>
                <w:i w:val="1"/>
                <w:iCs w:val="1"/>
                <w:color w:val="auto"/>
                <w:w w:val="75"/>
              </w:rPr>
              <w:t>$</w:t>
            </w:r>
          </w:p>
        </w:tc>
        <w:tc>
          <w:tcPr>
            <w:tcW w:w="2820" w:type="dxa"/>
            <w:vAlign w:val="bottom"/>
            <w:gridSpan w:val="2"/>
          </w:tcPr>
          <w:p>
            <w:pPr>
              <w:ind w:left="800"/>
              <w:spacing w:after="0"/>
              <w:rPr>
                <w:sz w:val="20"/>
                <w:szCs w:val="20"/>
                <w:color w:val="auto"/>
              </w:rPr>
            </w:pPr>
            <w:r>
              <w:rPr>
                <w:rFonts w:ascii="Arial" w:cs="Arial" w:eastAsia="Arial" w:hAnsi="Arial"/>
                <w:sz w:val="22"/>
                <w:szCs w:val="22"/>
                <w:b w:val="1"/>
                <w:bCs w:val="1"/>
                <w:i w:val="1"/>
                <w:iCs w:val="1"/>
                <w:color w:val="auto"/>
                <w:w w:val="84"/>
              </w:rPr>
              <w:t>% Senior Notes due 20</w:t>
            </w:r>
          </w:p>
        </w:tc>
      </w:tr>
      <w:tr>
        <w:trPr>
          <w:trHeight w:val="206"/>
        </w:trPr>
        <w:tc>
          <w:tcPr>
            <w:tcW w:w="660" w:type="dxa"/>
            <w:vAlign w:val="bottom"/>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bl>
    <w:p>
      <w:pPr>
        <w:spacing w:after="0" w:line="200" w:lineRule="exact"/>
        <w:rPr>
          <w:sz w:val="20"/>
          <w:szCs w:val="20"/>
          <w:color w:val="auto"/>
        </w:rPr>
      </w:pPr>
    </w:p>
    <w:p>
      <w:pPr>
        <w:spacing w:after="0" w:line="346" w:lineRule="exact"/>
        <w:rPr>
          <w:sz w:val="20"/>
          <w:szCs w:val="20"/>
          <w:color w:val="auto"/>
        </w:rPr>
      </w:pPr>
    </w:p>
    <w:p>
      <w:pPr>
        <w:ind w:left="4280"/>
        <w:spacing w:after="0"/>
        <w:rPr>
          <w:sz w:val="20"/>
          <w:szCs w:val="20"/>
          <w:color w:val="auto"/>
        </w:rPr>
      </w:pPr>
      <w:r>
        <w:rPr>
          <w:rFonts w:ascii="Arial" w:cs="Arial" w:eastAsia="Arial" w:hAnsi="Arial"/>
          <w:sz w:val="22"/>
          <w:szCs w:val="22"/>
          <w:b w:val="1"/>
          <w:bCs w:val="1"/>
          <w:i w:val="1"/>
          <w:iCs w:val="1"/>
          <w:color w:val="auto"/>
        </w:rPr>
        <w:t>PROSPECTUS SUPPLEMENT</w:t>
      </w:r>
    </w:p>
    <w:p>
      <w:pPr>
        <w:spacing w:after="0" w:line="219" w:lineRule="exact"/>
        <w:rPr>
          <w:sz w:val="20"/>
          <w:szCs w:val="20"/>
          <w:color w:val="auto"/>
        </w:rPr>
      </w:pPr>
    </w:p>
    <w:p>
      <w:pPr>
        <w:ind w:left="6020"/>
        <w:spacing w:after="0"/>
        <w:rPr>
          <w:sz w:val="20"/>
          <w:szCs w:val="20"/>
          <w:color w:val="auto"/>
        </w:rPr>
      </w:pPr>
      <w:r>
        <w:rPr>
          <w:rFonts w:ascii="Arial" w:cs="Arial" w:eastAsia="Arial" w:hAnsi="Arial"/>
          <w:sz w:val="18"/>
          <w:szCs w:val="18"/>
          <w:b w:val="1"/>
          <w:bCs w:val="1"/>
          <w:i w:val="1"/>
          <w:i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Joint Book-Running Managers</w:t>
      </w:r>
    </w:p>
    <w:p>
      <w:pPr>
        <w:spacing w:after="0" w:line="213" w:lineRule="exact"/>
        <w:rPr>
          <w:sz w:val="20"/>
          <w:szCs w:val="20"/>
          <w:color w:val="auto"/>
        </w:rPr>
      </w:pPr>
    </w:p>
    <w:p>
      <w:pPr>
        <w:jc w:val="right"/>
        <w:spacing w:after="0"/>
        <w:tabs>
          <w:tab w:leader="none" w:pos="5340" w:val="left"/>
          <w:tab w:leader="none" w:pos="1300" w:val="left"/>
        </w:tabs>
        <w:rPr>
          <w:sz w:val="20"/>
          <w:szCs w:val="20"/>
          <w:color w:val="auto"/>
        </w:rPr>
      </w:pPr>
      <w:r>
        <w:rPr>
          <w:rFonts w:ascii="Arial" w:cs="Arial" w:eastAsia="Arial" w:hAnsi="Arial"/>
          <w:sz w:val="24"/>
          <w:szCs w:val="24"/>
          <w:b w:val="1"/>
          <w:bCs w:val="1"/>
          <w:i w:val="1"/>
          <w:iCs w:val="1"/>
          <w:color w:val="auto"/>
        </w:rPr>
        <w:t>Morgan Stanley</w:t>
      </w:r>
      <w:r>
        <w:rPr>
          <w:sz w:val="20"/>
          <w:szCs w:val="20"/>
          <w:color w:val="auto"/>
        </w:rPr>
        <w:tab/>
      </w:r>
      <w:r>
        <w:rPr>
          <w:rFonts w:ascii="Arial" w:cs="Arial" w:eastAsia="Arial" w:hAnsi="Arial"/>
          <w:sz w:val="24"/>
          <w:szCs w:val="24"/>
          <w:b w:val="1"/>
          <w:bCs w:val="1"/>
          <w:i w:val="1"/>
          <w:iCs w:val="1"/>
          <w:color w:val="auto"/>
        </w:rPr>
        <w:t>BNP PARIBAS</w:t>
      </w:r>
      <w:r>
        <w:rPr>
          <w:sz w:val="20"/>
          <w:szCs w:val="20"/>
          <w:color w:val="auto"/>
        </w:rPr>
        <w:tab/>
      </w:r>
      <w:r>
        <w:rPr>
          <w:rFonts w:ascii="Arial" w:cs="Arial" w:eastAsia="Arial" w:hAnsi="Arial"/>
          <w:sz w:val="20"/>
          <w:szCs w:val="20"/>
          <w:b w:val="1"/>
          <w:bCs w:val="1"/>
          <w:i w:val="1"/>
          <w:iCs w:val="1"/>
          <w:color w:val="auto"/>
        </w:rPr>
        <w:t>Credit Suisse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2"/>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4">
    <w:nsid w:val="3A95F874"/>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15">
    <w:nsid w:val="8138641"/>
    <w:multiLevelType w:val="hybridMultilevel"/>
    <w:lvl w:ilvl="0">
      <w:lvlJc w:val="left"/>
      <w:lvlText w:val="(%1)"/>
      <w:numFmt w:val="lowerRoman"/>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lvl w:ilvl="1">
      <w:lvlJc w:val="left"/>
      <w:lvlText w:val="(%2)"/>
      <w:numFmt w:val="decimal"/>
      <w:start w:val="2"/>
    </w:lvl>
  </w:abstractNum>
  <w:abstractNum w:abstractNumId="18">
    <w:nsid w:val="737B8DDC"/>
    <w:multiLevelType w:val="hybridMultilevel"/>
    <w:lvl w:ilvl="0">
      <w:lvlJc w:val="left"/>
      <w:lvlText w:val="(%1)"/>
      <w:numFmt w:val="decimal"/>
      <w:start w:val="3"/>
    </w:lvl>
    <w:lvl w:ilvl="1">
      <w:lvlJc w:val="left"/>
      <w:lvlText w:val="%2"/>
      <w:numFmt w:val="decimal"/>
      <w:start w:val="1"/>
    </w:lvl>
  </w:abstractNum>
  <w:abstractNum w:abstractNumId="19">
    <w:nsid w:val="6CEAF087"/>
    <w:multiLevelType w:val="hybridMultilevel"/>
    <w:lvl w:ilvl="0">
      <w:lvlJc w:val="left"/>
      <w:lvlText w:val="(%1)"/>
      <w:numFmt w:val="decimal"/>
      <w:start w:val="1"/>
    </w:lvl>
    <w:lvl w:ilvl="1">
      <w:lvlJc w:val="left"/>
      <w:lvlText w:val="(%2)"/>
      <w:numFmt w:val="decimal"/>
      <w:start w:val="3"/>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lvl w:ilvl="1">
      <w:lvlJc w:val="left"/>
      <w:lvlText w:val="(%2)"/>
      <w:numFmt w:val="decimal"/>
      <w:start w:val="2"/>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lvl w:ilvl="1">
      <w:lvlJc w:val="left"/>
      <w:lvlText w:val="(%2)"/>
      <w:numFmt w:val="decimal"/>
      <w:start w:val="2"/>
    </w:lvl>
  </w:abstractNum>
  <w:abstractNum w:abstractNumId="28">
    <w:nsid w:val="3804823E"/>
    <w:multiLevelType w:val="hybridMultilevel"/>
    <w:lvl w:ilvl="0">
      <w:lvlJc w:val="left"/>
      <w:lvlText w:val="(%1)"/>
      <w:numFmt w:val="decimal"/>
      <w:start w:val="1"/>
    </w:lvl>
    <w:lvl w:ilvl="1">
      <w:lvlJc w:val="left"/>
      <w:lvlText w:val="(%2)"/>
      <w:numFmt w:val="decimal"/>
      <w:start w:val="2"/>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1)"/>
      <w:numFmt w:val="lowerRoman"/>
      <w:start w:val="3"/>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208"/>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2019-12-04T23:49:25Z</dcterms:created>
  <dcterms:modified xsi:type="dcterms:W3CDTF">2019-12-04T23:49:25Z</dcterms:modified>
</cp:coreProperties>
</file>