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Mail Stop 0306</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16, 2004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Via Facsimile and U.S. Mail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Mr. Wilbur G. Stover, Jr.</w:t>
      </w:r>
    </w:p>
    <w:p>
      <w:pPr>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37" w:lineRule="auto"/>
        <w:rPr>
          <w:sz w:val="20"/>
          <w:szCs w:val="20"/>
          <w:color w:val="auto"/>
        </w:rPr>
      </w:pPr>
      <w:r>
        <w:rPr>
          <w:rFonts w:ascii="Courier New" w:cs="Courier New" w:eastAsia="Courier New" w:hAnsi="Courier New"/>
          <w:sz w:val="18"/>
          <w:szCs w:val="18"/>
          <w:color w:val="auto"/>
        </w:rPr>
        <w:t>8000 S. Federal Way</w:t>
      </w:r>
    </w:p>
    <w:p>
      <w:pPr>
        <w:spacing w:after="0" w:line="238" w:lineRule="auto"/>
        <w:rPr>
          <w:sz w:val="20"/>
          <w:szCs w:val="20"/>
          <w:color w:val="auto"/>
        </w:rPr>
      </w:pPr>
      <w:r>
        <w:rPr>
          <w:rFonts w:ascii="Courier New" w:cs="Courier New" w:eastAsia="Courier New" w:hAnsi="Courier New"/>
          <w:sz w:val="18"/>
          <w:szCs w:val="18"/>
          <w:color w:val="auto"/>
        </w:rPr>
        <w:t>Boise, Idaho 83716-9632</w:t>
      </w:r>
    </w:p>
    <w:p>
      <w:pPr>
        <w:spacing w:after="0" w:line="202" w:lineRule="exact"/>
        <w:rPr>
          <w:sz w:val="24"/>
          <w:szCs w:val="24"/>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Micron Technology, Inc.</w:t>
      </w:r>
    </w:p>
    <w:p>
      <w:pPr>
        <w:spacing w:after="0" w:line="4" w:lineRule="exact"/>
        <w:rPr>
          <w:sz w:val="24"/>
          <w:szCs w:val="24"/>
          <w:color w:val="auto"/>
        </w:rPr>
      </w:pPr>
    </w:p>
    <w:p>
      <w:pPr>
        <w:ind w:left="640" w:right="2939" w:firstLine="1054"/>
        <w:spacing w:after="0" w:line="235" w:lineRule="auto"/>
        <w:rPr>
          <w:sz w:val="20"/>
          <w:szCs w:val="20"/>
          <w:color w:val="auto"/>
        </w:rPr>
      </w:pPr>
      <w:r>
        <w:rPr>
          <w:rFonts w:ascii="Courier New" w:cs="Courier New" w:eastAsia="Courier New" w:hAnsi="Courier New"/>
          <w:sz w:val="18"/>
          <w:szCs w:val="18"/>
          <w:color w:val="auto"/>
        </w:rPr>
        <w:t>Form 10-K for the fiscal year ended September 2, 2004 SEC File No. 1-10658</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Mr. Stover:</w:t>
      </w:r>
    </w:p>
    <w:p>
      <w:pPr>
        <w:spacing w:after="0" w:line="207" w:lineRule="exact"/>
        <w:rPr>
          <w:sz w:val="24"/>
          <w:szCs w:val="24"/>
          <w:color w:val="auto"/>
        </w:rPr>
      </w:pPr>
    </w:p>
    <w:p>
      <w:pPr>
        <w:ind w:right="4099" w:firstLine="632"/>
        <w:spacing w:after="0" w:line="235" w:lineRule="auto"/>
        <w:rPr>
          <w:sz w:val="20"/>
          <w:szCs w:val="20"/>
          <w:color w:val="auto"/>
        </w:rPr>
      </w:pPr>
      <w:r>
        <w:rPr>
          <w:rFonts w:ascii="Courier New" w:cs="Courier New" w:eastAsia="Courier New" w:hAnsi="Courier New"/>
          <w:sz w:val="18"/>
          <w:szCs w:val="18"/>
          <w:color w:val="auto"/>
        </w:rPr>
        <w:t>We have reviewed your filings and have the following comment.</w:t>
      </w:r>
    </w:p>
    <w:p>
      <w:pPr>
        <w:spacing w:after="0" w:line="6"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We have limited our review to matters related to the issue raised in</w:t>
      </w:r>
    </w:p>
    <w:p>
      <w:pPr>
        <w:spacing w:after="0" w:line="6" w:lineRule="exact"/>
        <w:rPr>
          <w:sz w:val="24"/>
          <w:szCs w:val="24"/>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our comment. Where indicated, we think you should revise your future</w:t>
      </w:r>
    </w:p>
    <w:p>
      <w:pPr>
        <w:spacing w:after="0" w:line="6" w:lineRule="exact"/>
        <w:rPr>
          <w:sz w:val="24"/>
          <w:szCs w:val="24"/>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filings in response to these comment. If you disagree, we will consider your explanation as to why our comment is inapplicable or a</w:t>
      </w:r>
    </w:p>
    <w:p>
      <w:pPr>
        <w:spacing w:after="0" w:line="6" w:lineRule="exact"/>
        <w:rPr>
          <w:sz w:val="24"/>
          <w:szCs w:val="24"/>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revision is unnecessary. Please be as detailed as necessary in your</w:t>
      </w:r>
    </w:p>
    <w:p>
      <w:pPr>
        <w:spacing w:after="0" w:line="6"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explanation. After reviewing this information, we may or may not raise additional comments.</w:t>
      </w: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Please understand that the purpose of our review process is</w:t>
      </w:r>
    </w:p>
    <w:p>
      <w:pPr>
        <w:spacing w:after="0" w:line="238" w:lineRule="auto"/>
        <w:rPr>
          <w:sz w:val="20"/>
          <w:szCs w:val="20"/>
          <w:color w:val="auto"/>
        </w:rPr>
      </w:pPr>
      <w:r>
        <w:rPr>
          <w:rFonts w:ascii="Courier New" w:cs="Courier New" w:eastAsia="Courier New" w:hAnsi="Courier New"/>
          <w:sz w:val="18"/>
          <w:szCs w:val="18"/>
          <w:color w:val="auto"/>
        </w:rPr>
        <w:t>to</w:t>
      </w:r>
    </w:p>
    <w:p>
      <w:pPr>
        <w:spacing w:after="0" w:line="5"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assist you in your compliance with the applicable disclosure requirements and to enhance the overall disclosure in your filing. We look forward to working with you in these respects. We welcome any questions you may have about our comments or on any other aspect</w:t>
      </w:r>
    </w:p>
    <w:p>
      <w:pPr>
        <w:spacing w:after="0" w:line="6" w:lineRule="exact"/>
        <w:rPr>
          <w:sz w:val="24"/>
          <w:szCs w:val="24"/>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of our review. Feel free to call us at the telephone numbers listed</w:t>
      </w:r>
    </w:p>
    <w:p>
      <w:pPr>
        <w:spacing w:after="0"/>
        <w:rPr>
          <w:sz w:val="20"/>
          <w:szCs w:val="20"/>
          <w:color w:val="auto"/>
        </w:rPr>
      </w:pPr>
      <w:r>
        <w:rPr>
          <w:rFonts w:ascii="Courier New" w:cs="Courier New" w:eastAsia="Courier New" w:hAnsi="Courier New"/>
          <w:sz w:val="18"/>
          <w:szCs w:val="18"/>
          <w:color w:val="auto"/>
        </w:rPr>
        <w:t>at the end of this letter.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Form 10-K for the fiscal year ended September 2, 2004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7. Management`s Discussion and Analysis of Financial</w:t>
      </w:r>
    </w:p>
    <w:p>
      <w:pPr>
        <w:spacing w:after="0" w:line="238" w:lineRule="auto"/>
        <w:rPr>
          <w:sz w:val="20"/>
          <w:szCs w:val="20"/>
          <w:color w:val="auto"/>
        </w:rPr>
      </w:pPr>
      <w:r>
        <w:rPr>
          <w:rFonts w:ascii="Courier New" w:cs="Courier New" w:eastAsia="Courier New" w:hAnsi="Courier New"/>
          <w:sz w:val="18"/>
          <w:szCs w:val="18"/>
          <w:color w:val="auto"/>
        </w:rPr>
        <w:t>Condition</w:t>
      </w:r>
    </w:p>
    <w:p>
      <w:pPr>
        <w:spacing w:after="0"/>
        <w:rPr>
          <w:sz w:val="20"/>
          <w:szCs w:val="20"/>
          <w:color w:val="auto"/>
        </w:rPr>
      </w:pPr>
      <w:r>
        <w:rPr>
          <w:rFonts w:ascii="Courier New" w:cs="Courier New" w:eastAsia="Courier New" w:hAnsi="Courier New"/>
          <w:sz w:val="18"/>
          <w:szCs w:val="18"/>
          <w:color w:val="auto"/>
        </w:rPr>
        <w:t>and Results of Operations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Inventory write-downs - page 16</w:t>
      </w:r>
    </w:p>
    <w:p>
      <w:pPr>
        <w:spacing w:after="0" w:line="207" w:lineRule="exact"/>
        <w:rPr>
          <w:sz w:val="24"/>
          <w:szCs w:val="24"/>
          <w:color w:val="auto"/>
        </w:rPr>
      </w:pPr>
    </w:p>
    <w:p>
      <w:pPr>
        <w:ind w:right="4099" w:firstLine="8"/>
        <w:spacing w:after="0" w:line="235"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that we issued comments regarding this non-GAAP financial</w:t>
      </w:r>
    </w:p>
    <w:p>
      <w:pPr>
        <w:spacing w:after="0" w:line="5" w:lineRule="exact"/>
        <w:rPr>
          <w:rFonts w:ascii="Courier New" w:cs="Courier New" w:eastAsia="Courier New" w:hAnsi="Courier New"/>
          <w:sz w:val="18"/>
          <w:szCs w:val="18"/>
          <w:color w:val="auto"/>
        </w:rPr>
      </w:pPr>
    </w:p>
    <w:p>
      <w:pPr>
        <w:ind w:right="4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measure related to adjusted gross margin. This disclosure represents</w:t>
      </w:r>
    </w:p>
    <w:p>
      <w:pPr>
        <w:spacing w:after="0" w:line="5" w:lineRule="exact"/>
        <w:rPr>
          <w:rFonts w:ascii="Courier New" w:cs="Courier New" w:eastAsia="Courier New" w:hAnsi="Courier New"/>
          <w:sz w:val="18"/>
          <w:szCs w:val="18"/>
          <w:color w:val="auto"/>
        </w:rPr>
      </w:pPr>
    </w:p>
    <w:p>
      <w:pPr>
        <w:ind w:right="3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non-GAAP financial measure and, in light of the issuance of FR-65,</w:t>
      </w:r>
    </w:p>
    <w:p>
      <w:pPr>
        <w:spacing w:after="0" w:line="5" w:lineRule="exact"/>
        <w:rPr>
          <w:rFonts w:ascii="Courier New" w:cs="Courier New" w:eastAsia="Courier New" w:hAnsi="Courier New"/>
          <w:sz w:val="18"/>
          <w:szCs w:val="18"/>
          <w:color w:val="auto"/>
        </w:rPr>
      </w:pPr>
    </w:p>
    <w:p>
      <w:pPr>
        <w:ind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 appears that your presentation of adjusted gross margin is not appropriate. In this regard, we believe this non-GAAP financial measure cannot be reconciled, as required by FR-65, because the adjustment related to sales of written down inventory is not reflected in your financial statements. Generally, non-GAAP financial measures exclude one or more "non-recurring" items or can</w:t>
      </w:r>
    </w:p>
    <w:p>
      <w:pPr>
        <w:spacing w:after="0" w:line="8" w:lineRule="exact"/>
        <w:rPr>
          <w:rFonts w:ascii="Courier New" w:cs="Courier New" w:eastAsia="Courier New" w:hAnsi="Courier New"/>
          <w:sz w:val="18"/>
          <w:szCs w:val="18"/>
          <w:color w:val="auto"/>
        </w:rPr>
      </w:pPr>
    </w:p>
    <w:p>
      <w:pPr>
        <w:jc w:val="both"/>
        <w:ind w:right="3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 calculated using elements derived from financial presentations. In accordance with Item 303 of Regulation S-K, we would not object to</w:t>
      </w:r>
    </w:p>
    <w:p>
      <w:pPr>
        <w:spacing w:after="0" w:line="6" w:lineRule="exact"/>
        <w:rPr>
          <w:rFonts w:ascii="Courier New" w:cs="Courier New" w:eastAsia="Courier New" w:hAnsi="Courier New"/>
          <w:sz w:val="18"/>
          <w:szCs w:val="18"/>
          <w:color w:val="auto"/>
        </w:rPr>
      </w:pPr>
    </w:p>
    <w:p>
      <w:pPr>
        <w:ind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you discussing the sale of previously written down inventory and the</w:t>
      </w:r>
    </w:p>
    <w:p>
      <w:pPr>
        <w:sectPr>
          <w:pgSz w:w="11900" w:h="16853" w:orient="portrait"/>
          <w:cols w:equalWidth="0" w:num="1">
            <w:col w:w="10219"/>
          </w:cols>
          <w:pgMar w:left="240" w:top="852" w:right="1440" w:bottom="0" w:gutter="0" w:footer="0" w:header="0"/>
        </w:sectPr>
      </w:pPr>
    </w:p>
    <w:bookmarkStart w:id="1" w:name="page2"/>
    <w:bookmarkEnd w:id="1"/>
    <w:p>
      <w:pPr>
        <w:ind w:right="3579"/>
        <w:spacing w:after="0" w:line="237" w:lineRule="auto"/>
        <w:rPr>
          <w:sz w:val="20"/>
          <w:szCs w:val="20"/>
          <w:color w:val="auto"/>
        </w:rPr>
      </w:pPr>
      <w:r>
        <w:rPr>
          <w:rFonts w:ascii="Courier New" w:cs="Courier New" w:eastAsia="Courier New" w:hAnsi="Courier New"/>
          <w:sz w:val="18"/>
          <w:szCs w:val="18"/>
          <w:color w:val="auto"/>
        </w:rPr>
        <w:t>impact on COGS in a narrative format. In future filings please remove the non-GAAP financial measure. For reference see the Frequently Asked Questions and Item 10(e) of Regulation S-K regarding</w:t>
      </w:r>
    </w:p>
    <w:p>
      <w:pPr>
        <w:spacing w:after="0"/>
        <w:rPr>
          <w:sz w:val="20"/>
          <w:szCs w:val="20"/>
          <w:color w:val="auto"/>
        </w:rPr>
      </w:pPr>
      <w:r>
        <w:rPr>
          <w:rFonts w:ascii="Courier New" w:cs="Courier New" w:eastAsia="Courier New" w:hAnsi="Courier New"/>
          <w:sz w:val="18"/>
          <w:szCs w:val="18"/>
          <w:color w:val="auto"/>
        </w:rPr>
        <w:t>the use of non-GAAP financial measures.</w:t>
      </w:r>
    </w:p>
    <w:p>
      <w:pPr>
        <w:spacing w:after="0" w:line="200" w:lineRule="exact"/>
        <w:rPr>
          <w:sz w:val="20"/>
          <w:szCs w:val="20"/>
          <w:color w:val="auto"/>
        </w:rPr>
      </w:pPr>
    </w:p>
    <w:p>
      <w:pPr>
        <w:spacing w:after="0" w:line="203" w:lineRule="exact"/>
        <w:rPr>
          <w:sz w:val="20"/>
          <w:szCs w:val="20"/>
          <w:color w:val="auto"/>
        </w:rPr>
      </w:pPr>
    </w:p>
    <w:p>
      <w:pPr>
        <w:spacing w:after="0"/>
        <w:tabs>
          <w:tab w:leader="none" w:pos="520" w:val="left"/>
          <w:tab w:leader="none" w:pos="1040" w:val="left"/>
          <w:tab w:leader="none" w:pos="15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7" w:lineRule="exact"/>
        <w:rPr>
          <w:sz w:val="20"/>
          <w:szCs w:val="20"/>
          <w:color w:val="auto"/>
        </w:rPr>
      </w:pPr>
    </w:p>
    <w:p>
      <w:pPr>
        <w:ind w:right="3259" w:firstLine="632"/>
        <w:spacing w:after="0" w:line="237" w:lineRule="auto"/>
        <w:rPr>
          <w:sz w:val="20"/>
          <w:szCs w:val="20"/>
          <w:color w:val="auto"/>
        </w:rPr>
      </w:pPr>
      <w:r>
        <w:rPr>
          <w:rFonts w:ascii="Courier New" w:cs="Courier New" w:eastAsia="Courier New" w:hAnsi="Courier New"/>
          <w:sz w:val="18"/>
          <w:szCs w:val="18"/>
          <w:color w:val="auto"/>
        </w:rPr>
        <w:t>As appropriate, please respond to this comment within 10 business days or tell us when you will provide us with a response. Please furnish a cover letter that keys your response to our comment</w:t>
      </w:r>
    </w:p>
    <w:p>
      <w:pPr>
        <w:spacing w:after="0" w:line="5"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and provides any requested supplemental information. Detailed cover</w:t>
      </w:r>
    </w:p>
    <w:p>
      <w:pPr>
        <w:spacing w:after="0" w:line="6"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letters greatly facilitate our review. Please file your cover letter</w:t>
      </w:r>
    </w:p>
    <w:p>
      <w:pPr>
        <w:spacing w:after="0" w:line="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on EDGAR. Please understand that we may have additional comments after reviewing your response to our comment.</w:t>
      </w:r>
    </w:p>
    <w:p>
      <w:pPr>
        <w:spacing w:after="0" w:line="208"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We urge all persons who are responsible for the accuracy and adequacy</w:t>
      </w:r>
    </w:p>
    <w:p>
      <w:pPr>
        <w:spacing w:after="0" w:line="6"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of the disclosure in the filings reviewed by the staff to be certain</w:t>
      </w:r>
    </w:p>
    <w:p>
      <w:pPr>
        <w:spacing w:after="0" w:line="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that they have provided all information investors require. Since the</w:t>
      </w:r>
    </w:p>
    <w:p>
      <w:pPr>
        <w:spacing w:after="0" w:line="6"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company and its management are in possession of all facts relating to</w:t>
      </w:r>
    </w:p>
    <w:p>
      <w:pPr>
        <w:spacing w:after="0" w:line="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a company`s disclosure, they are responsible for the accuracy and adequacy of the disclosures they have made.</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 connection with responding to our comments, please</w:t>
      </w:r>
    </w:p>
    <w:p>
      <w:pPr>
        <w:spacing w:after="0" w:line="238" w:lineRule="auto"/>
        <w:rPr>
          <w:sz w:val="20"/>
          <w:szCs w:val="20"/>
          <w:color w:val="auto"/>
        </w:rPr>
      </w:pPr>
      <w:r>
        <w:rPr>
          <w:rFonts w:ascii="Courier New" w:cs="Courier New" w:eastAsia="Courier New" w:hAnsi="Courier New"/>
          <w:sz w:val="18"/>
          <w:szCs w:val="18"/>
          <w:color w:val="auto"/>
        </w:rPr>
        <w:t>provide,</w:t>
      </w:r>
    </w:p>
    <w:p>
      <w:pPr>
        <w:spacing w:after="0"/>
        <w:rPr>
          <w:sz w:val="20"/>
          <w:szCs w:val="20"/>
          <w:color w:val="auto"/>
        </w:rPr>
      </w:pPr>
      <w:r>
        <w:rPr>
          <w:rFonts w:ascii="Courier New" w:cs="Courier New" w:eastAsia="Courier New" w:hAnsi="Courier New"/>
          <w:sz w:val="18"/>
          <w:szCs w:val="18"/>
          <w:color w:val="auto"/>
        </w:rPr>
        <w:t>in writing, a statement from the company acknowledging that:</w:t>
      </w:r>
    </w:p>
    <w:p>
      <w:pPr>
        <w:spacing w:after="0" w:line="206" w:lineRule="exact"/>
        <w:rPr>
          <w:sz w:val="20"/>
          <w:szCs w:val="20"/>
          <w:color w:val="auto"/>
        </w:rPr>
      </w:pPr>
    </w:p>
    <w:p>
      <w:pPr>
        <w:ind w:right="3359" w:firstLine="8"/>
        <w:spacing w:after="0" w:line="235"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responsible for the adequacy and accuracy of the disclosure in the filings;</w:t>
      </w:r>
    </w:p>
    <w:p>
      <w:pPr>
        <w:spacing w:after="0" w:line="5" w:lineRule="exact"/>
        <w:rPr>
          <w:rFonts w:ascii="Courier New" w:cs="Courier New" w:eastAsia="Courier New" w:hAnsi="Courier New"/>
          <w:sz w:val="18"/>
          <w:szCs w:val="18"/>
          <w:color w:val="auto"/>
        </w:rPr>
      </w:pPr>
    </w:p>
    <w:p>
      <w:pPr>
        <w:ind w:right="3259" w:firstLine="8"/>
        <w:spacing w:after="0" w:line="268" w:lineRule="auto"/>
        <w:tabs>
          <w:tab w:leader="none" w:pos="21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staff comments or changes to disclosure in response to staff comments in the filings reviewed by the staff do not foreclose the Commission from taking any action with respect to the filing; and</w:t>
      </w:r>
    </w:p>
    <w:p>
      <w:pPr>
        <w:ind w:right="3579" w:firstLine="8"/>
        <w:spacing w:after="0" w:line="236"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not assert staff comments as a defense in any proceeding initiated by the Commission or any person under the federal securities laws of the United States.</w:t>
      </w:r>
    </w:p>
    <w:p>
      <w:pPr>
        <w:spacing w:after="0" w:line="209" w:lineRule="exact"/>
        <w:rPr>
          <w:sz w:val="20"/>
          <w:szCs w:val="20"/>
          <w:color w:val="auto"/>
        </w:rPr>
      </w:pPr>
    </w:p>
    <w:p>
      <w:pPr>
        <w:ind w:right="4199" w:firstLine="632"/>
        <w:spacing w:after="0" w:line="235" w:lineRule="auto"/>
        <w:rPr>
          <w:sz w:val="20"/>
          <w:szCs w:val="20"/>
          <w:color w:val="auto"/>
        </w:rPr>
      </w:pPr>
      <w:r>
        <w:rPr>
          <w:rFonts w:ascii="Courier New" w:cs="Courier New" w:eastAsia="Courier New" w:hAnsi="Courier New"/>
          <w:sz w:val="18"/>
          <w:szCs w:val="18"/>
          <w:color w:val="auto"/>
        </w:rPr>
        <w:t>In addition, please be advised that the Division of Enforcement</w:t>
      </w:r>
    </w:p>
    <w:p>
      <w:pPr>
        <w:spacing w:after="0" w:line="6"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has access to all information you provide to the staff of the Division of Corporation Finance in our review of your filing or in response to our comments on your filing.</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You may contact Heather Tress, Staff Accountant, at (202)</w:t>
      </w:r>
    </w:p>
    <w:p>
      <w:pPr>
        <w:spacing w:after="0" w:line="238" w:lineRule="auto"/>
        <w:rPr>
          <w:sz w:val="20"/>
          <w:szCs w:val="20"/>
          <w:color w:val="auto"/>
        </w:rPr>
      </w:pPr>
      <w:r>
        <w:rPr>
          <w:rFonts w:ascii="Courier New" w:cs="Courier New" w:eastAsia="Courier New" w:hAnsi="Courier New"/>
          <w:sz w:val="18"/>
          <w:szCs w:val="18"/>
          <w:color w:val="auto"/>
        </w:rPr>
        <w:t>824-</w:t>
      </w:r>
    </w:p>
    <w:p>
      <w:pPr>
        <w:spacing w:after="0" w:line="5"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5263 or me at (202) 942-2813 if you have questions regarding comments</w:t>
      </w:r>
    </w:p>
    <w:p>
      <w:pPr>
        <w:spacing w:after="0" w:line="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on the financial statements and related matters. In this regard, do</w:t>
      </w:r>
    </w:p>
    <w:p>
      <w:pPr>
        <w:spacing w:after="0" w:line="6"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not hesitate to contact Martin James, the Senior Assistant Chief Accountant, at (202) 942-1984.</w:t>
      </w:r>
    </w:p>
    <w:p>
      <w:pPr>
        <w:spacing w:after="0" w:line="200" w:lineRule="exact"/>
        <w:rPr>
          <w:sz w:val="20"/>
          <w:szCs w:val="20"/>
          <w:color w:val="auto"/>
        </w:rPr>
      </w:pPr>
    </w:p>
    <w:p>
      <w:pPr>
        <w:spacing w:after="0" w:line="205"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Daniel Gordon</w:t>
      </w:r>
    </w:p>
    <w:p>
      <w:pPr>
        <w:spacing w:after="0" w:line="4"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Accounting Branch Chief</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Wilbur G. Stover, Jr.</w:t>
      </w:r>
    </w:p>
    <w:p>
      <w:pPr>
        <w:spacing w:after="0" w:line="238" w:lineRule="auto"/>
        <w:rPr>
          <w:sz w:val="20"/>
          <w:szCs w:val="20"/>
          <w:color w:val="auto"/>
        </w:rPr>
      </w:pPr>
      <w:r>
        <w:rPr>
          <w:rFonts w:ascii="Courier New" w:cs="Courier New" w:eastAsia="Courier New" w:hAnsi="Courier New"/>
          <w:sz w:val="18"/>
          <w:szCs w:val="18"/>
          <w:color w:val="auto"/>
        </w:rPr>
        <w:t>Micron Technology, Inc.</w:t>
      </w:r>
    </w:p>
    <w:p>
      <w:pPr>
        <w:spacing w:after="0"/>
        <w:rPr>
          <w:sz w:val="20"/>
          <w:szCs w:val="20"/>
          <w:color w:val="auto"/>
        </w:rPr>
      </w:pPr>
      <w:r>
        <w:rPr>
          <w:rFonts w:ascii="Courier New" w:cs="Courier New" w:eastAsia="Courier New" w:hAnsi="Courier New"/>
          <w:sz w:val="18"/>
          <w:szCs w:val="18"/>
          <w:color w:val="auto"/>
        </w:rPr>
        <w:t>December 16, 2004</w:t>
      </w:r>
    </w:p>
    <w:p>
      <w:pPr>
        <w:spacing w:after="0" w:line="237" w:lineRule="auto"/>
        <w:rPr>
          <w:sz w:val="20"/>
          <w:szCs w:val="20"/>
          <w:color w:val="auto"/>
        </w:rPr>
      </w:pPr>
      <w:r>
        <w:rPr>
          <w:rFonts w:ascii="Courier New" w:cs="Courier New" w:eastAsia="Courier New" w:hAnsi="Courier New"/>
          <w:sz w:val="18"/>
          <w:szCs w:val="18"/>
          <w:color w:val="auto"/>
        </w:rPr>
        <w:t>Page 3 of 3</w:t>
      </w:r>
    </w:p>
    <w:p>
      <w:pPr>
        <w:sectPr>
          <w:pgSz w:w="11900" w:h="16838" w:orient="portrait"/>
          <w:cols w:equalWidth="0" w:num="1">
            <w:col w:w="10219"/>
          </w:cols>
          <w:pgMar w:left="240" w:top="142" w:right="1440" w:bottom="132"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2019-12-11T19:56:38Z</dcterms:created>
  <dcterms:modified xsi:type="dcterms:W3CDTF">2019-12-11T19:56:38Z</dcterms:modified>
</cp:coreProperties>
</file>