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1" w:lineRule="auto"/>
        <w:framePr w:w="220" w:h="145" w:wrap="auto" w:vAnchor="page" w:hAnchor="page" w:x="10800" w:y="10436"/>
        <w:rPr>
          <w:rFonts w:ascii="MS PGothic" w:cs="MS PGothic" w:eastAsia="MS PGothic" w:hAnsi="MS PGothic"/>
          <w:sz w:val="14"/>
          <w:szCs w:val="14"/>
          <w:color w:val="auto"/>
        </w:rPr>
      </w:pPr>
      <w:r>
        <w:rPr>
          <w:rFonts w:ascii="MS PGothic" w:cs="MS PGothic" w:eastAsia="MS PGothic" w:hAnsi="MS PGothic"/>
          <w:sz w:val="14"/>
          <w:szCs w:val="14"/>
          <w:color w:val="auto"/>
        </w:rPr>
        <w:t>☐</w:t>
      </w:r>
    </w:p>
    <w:p>
      <w:pPr>
        <w:spacing w:after="0" w:line="-145" w:lineRule="auto"/>
        <w:framePr w:w="460" w:h="145" w:wrap="auto" w:vAnchor="page" w:hAnchor="page" w:x="10560" w:y="10748"/>
        <w:rPr>
          <w:rFonts w:ascii="Arial" w:cs="Arial" w:eastAsia="Arial" w:hAnsi="Arial"/>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jc w:val="center"/>
        <w:ind w:right="-19"/>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15"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6"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38"/>
          <w:szCs w:val="38"/>
          <w:b w:val="1"/>
          <w:bCs w:val="1"/>
          <w:color w:val="auto"/>
        </w:rPr>
        <w:t>FORM 10-K</w:t>
      </w:r>
    </w:p>
    <w:p>
      <w:pPr>
        <w:spacing w:after="0" w:line="95" w:lineRule="exact"/>
        <w:rPr>
          <w:rFonts w:ascii="Arial" w:cs="Arial" w:eastAsia="Arial" w:hAnsi="Arial"/>
          <w:sz w:val="14"/>
          <w:szCs w:val="14"/>
          <w:color w:val="auto"/>
        </w:rPr>
      </w:pPr>
    </w:p>
    <w:p>
      <w:pPr>
        <w:ind w:left="440"/>
        <w:spacing w:after="0"/>
        <w:rPr>
          <w:sz w:val="20"/>
          <w:szCs w:val="20"/>
          <w:color w:val="auto"/>
        </w:rPr>
      </w:pPr>
      <w:r>
        <w:rPr>
          <w:rFonts w:ascii="Arial" w:cs="Arial" w:eastAsia="Arial" w:hAnsi="Arial"/>
          <w:sz w:val="14"/>
          <w:szCs w:val="14"/>
          <w:b w:val="1"/>
          <w:bCs w:val="1"/>
          <w:color w:val="auto"/>
        </w:rPr>
        <w:t>(Mark One)</w:t>
      </w:r>
    </w:p>
    <w:p>
      <w:pPr>
        <w:spacing w:after="0" w:line="54" w:lineRule="exact"/>
        <w:rPr>
          <w:rFonts w:ascii="Arial" w:cs="Arial" w:eastAsia="Arial" w:hAnsi="Arial"/>
          <w:sz w:val="14"/>
          <w:szCs w:val="14"/>
          <w:color w:val="auto"/>
        </w:rPr>
      </w:pPr>
    </w:p>
    <w:p>
      <w:pPr>
        <w:ind w:left="1620" w:hanging="876"/>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8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August 28, 2025</w:t>
      </w:r>
    </w:p>
    <w:p>
      <w:pPr>
        <w:spacing w:after="0" w:line="10"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29" w:lineRule="exact"/>
        <w:rPr>
          <w:rFonts w:ascii="Arial" w:cs="Arial" w:eastAsia="Arial" w:hAnsi="Arial"/>
          <w:sz w:val="14"/>
          <w:szCs w:val="14"/>
          <w:color w:val="auto"/>
        </w:rPr>
      </w:pPr>
    </w:p>
    <w:p>
      <w:pPr>
        <w:ind w:left="1560" w:hanging="846"/>
        <w:spacing w:after="0"/>
        <w:tabs>
          <w:tab w:leader="none" w:pos="15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0" w:lineRule="exact"/>
        <w:rPr>
          <w:rFonts w:ascii="Arial" w:cs="Arial" w:eastAsia="Arial" w:hAnsi="Arial"/>
          <w:sz w:val="14"/>
          <w:szCs w:val="14"/>
          <w:color w:val="auto"/>
        </w:rPr>
      </w:pPr>
    </w:p>
    <w:p>
      <w:pPr>
        <w:ind w:left="3860"/>
        <w:spacing w:after="0"/>
        <w:tabs>
          <w:tab w:leader="none" w:pos="6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 w:lineRule="exact"/>
        <w:rPr>
          <w:rFonts w:ascii="Arial" w:cs="Arial" w:eastAsia="Arial" w:hAnsi="Arial"/>
          <w:sz w:val="14"/>
          <w:szCs w:val="1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1-10658</w:t>
      </w:r>
    </w:p>
    <w:p>
      <w:pPr>
        <w:spacing w:after="0" w:line="195" w:lineRule="exact"/>
        <w:rPr>
          <w:rFonts w:ascii="Arial" w:cs="Arial" w:eastAsia="Arial" w:hAnsi="Arial"/>
          <w:sz w:val="14"/>
          <w:szCs w:val="14"/>
          <w:color w:val="auto"/>
        </w:rPr>
      </w:pPr>
    </w:p>
    <w:tbl>
      <w:tblPr>
        <w:tblLayout w:type="fixed"/>
        <w:tblInd w:w="40" w:type="dxa"/>
        <w:tblCellMar>
          <w:top w:w="0" w:type="dxa"/>
          <w:left w:w="0" w:type="dxa"/>
          <w:bottom w:w="0" w:type="dxa"/>
          <w:right w:w="0" w:type="dxa"/>
        </w:tblCellMar>
      </w:tblPr>
      <w:tr>
        <w:trPr>
          <w:trHeight w:val="350"/>
        </w:trPr>
        <w:tc>
          <w:tcPr>
            <w:tcW w:w="10520" w:type="dxa"/>
            <w:vAlign w:val="bottom"/>
            <w:gridSpan w:val="5"/>
          </w:tcPr>
          <w:p>
            <w:pPr>
              <w:ind w:left="3600"/>
              <w:spacing w:after="0"/>
              <w:rPr>
                <w:sz w:val="20"/>
                <w:szCs w:val="20"/>
                <w:color w:val="auto"/>
              </w:rPr>
            </w:pPr>
            <w:r>
              <w:rPr>
                <w:rFonts w:ascii="Arial" w:cs="Arial" w:eastAsia="Arial" w:hAnsi="Arial"/>
                <w:sz w:val="29"/>
                <w:szCs w:val="29"/>
                <w:b w:val="1"/>
                <w:bCs w:val="1"/>
                <w:color w:val="auto"/>
              </w:rPr>
              <w:t>Micron Technology, Inc.</w:t>
            </w:r>
          </w:p>
        </w:tc>
      </w:tr>
      <w:tr>
        <w:trPr>
          <w:trHeight w:val="190"/>
        </w:trPr>
        <w:tc>
          <w:tcPr>
            <w:tcW w:w="10520" w:type="dxa"/>
            <w:vAlign w:val="bottom"/>
            <w:gridSpan w:val="5"/>
          </w:tcPr>
          <w:p>
            <w:pPr>
              <w:ind w:left="3620"/>
              <w:spacing w:after="0"/>
              <w:rPr>
                <w:sz w:val="20"/>
                <w:szCs w:val="20"/>
                <w:color w:val="auto"/>
              </w:rPr>
            </w:pPr>
            <w:r>
              <w:rPr>
                <w:rFonts w:ascii="Arial" w:cs="Arial" w:eastAsia="Arial" w:hAnsi="Arial"/>
                <w:sz w:val="14"/>
                <w:szCs w:val="14"/>
                <w:color w:val="auto"/>
              </w:rPr>
              <w:t>(Exact name of registrant as specified in its charter)</w:t>
            </w:r>
          </w:p>
        </w:tc>
      </w:tr>
      <w:tr>
        <w:trPr>
          <w:trHeight w:val="207"/>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20" w:type="dxa"/>
            <w:vAlign w:val="bottom"/>
            <w:gridSpan w:val="2"/>
          </w:tcPr>
          <w:p>
            <w:pPr>
              <w:jc w:val="right"/>
              <w:ind w:right="1711"/>
              <w:spacing w:after="0"/>
              <w:rPr>
                <w:sz w:val="20"/>
                <w:szCs w:val="20"/>
                <w:color w:val="auto"/>
              </w:rPr>
            </w:pPr>
            <w:r>
              <w:rPr>
                <w:rFonts w:ascii="Arial" w:cs="Arial" w:eastAsia="Arial" w:hAnsi="Arial"/>
                <w:sz w:val="14"/>
                <w:szCs w:val="14"/>
                <w:b w:val="1"/>
                <w:bCs w:val="1"/>
                <w:color w:val="auto"/>
              </w:rPr>
              <w:t>75-1618004</w:t>
            </w:r>
          </w:p>
        </w:tc>
      </w:tr>
      <w:tr>
        <w:trPr>
          <w:trHeight w:val="173"/>
        </w:trPr>
        <w:tc>
          <w:tcPr>
            <w:tcW w:w="4460" w:type="dxa"/>
            <w:vAlign w:val="bottom"/>
          </w:tcPr>
          <w:p>
            <w:pPr>
              <w:jc w:val="center"/>
              <w:spacing w:after="0"/>
              <w:rPr>
                <w:sz w:val="20"/>
                <w:szCs w:val="20"/>
                <w:color w:val="auto"/>
              </w:rPr>
            </w:pPr>
            <w:r>
              <w:rPr>
                <w:rFonts w:ascii="Arial" w:cs="Arial" w:eastAsia="Arial" w:hAnsi="Arial"/>
                <w:sz w:val="13"/>
                <w:szCs w:val="13"/>
                <w:color w:val="auto"/>
              </w:rPr>
              <w:t>(State or other jurisdiction of incorporation or organization)</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rPr>
              <w:t>(IRS Employer Identification No.)</w:t>
            </w:r>
          </w:p>
        </w:tc>
      </w:tr>
      <w:tr>
        <w:trPr>
          <w:trHeight w:val="199"/>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rPr>
              <w:t>8000 S. Federal Way, Boise, Idaho 83716-9632</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20" w:type="dxa"/>
            <w:vAlign w:val="bottom"/>
            <w:gridSpan w:val="2"/>
          </w:tcPr>
          <w:p>
            <w:pPr>
              <w:jc w:val="right"/>
              <w:ind w:right="1611"/>
              <w:spacing w:after="0"/>
              <w:rPr>
                <w:sz w:val="20"/>
                <w:szCs w:val="20"/>
                <w:color w:val="auto"/>
              </w:rPr>
            </w:pPr>
            <w:r>
              <w:rPr>
                <w:rFonts w:ascii="Arial" w:cs="Arial" w:eastAsia="Arial" w:hAnsi="Arial"/>
                <w:sz w:val="14"/>
                <w:szCs w:val="14"/>
                <w:b w:val="1"/>
                <w:bCs w:val="1"/>
                <w:color w:val="auto"/>
              </w:rPr>
              <w:t>(208) 368-4000</w:t>
            </w:r>
          </w:p>
        </w:tc>
      </w:tr>
      <w:tr>
        <w:trPr>
          <w:trHeight w:val="173"/>
        </w:trPr>
        <w:tc>
          <w:tcPr>
            <w:tcW w:w="4460" w:type="dxa"/>
            <w:vAlign w:val="bottom"/>
          </w:tcPr>
          <w:p>
            <w:pPr>
              <w:jc w:val="center"/>
              <w:spacing w:after="0"/>
              <w:rPr>
                <w:sz w:val="20"/>
                <w:szCs w:val="20"/>
                <w:color w:val="auto"/>
              </w:rPr>
            </w:pPr>
            <w:r>
              <w:rPr>
                <w:rFonts w:ascii="Arial" w:cs="Arial" w:eastAsia="Arial" w:hAnsi="Arial"/>
                <w:sz w:val="13"/>
                <w:szCs w:val="13"/>
                <w:color w:val="auto"/>
              </w:rPr>
              <w:t>Address of principal executive offices, including zip code</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rPr>
              <w:t>Registrant’s telephone number, including area code</w:t>
            </w:r>
          </w:p>
        </w:tc>
      </w:tr>
      <w:tr>
        <w:trPr>
          <w:trHeight w:val="268"/>
        </w:trPr>
        <w:tc>
          <w:tcPr>
            <w:tcW w:w="44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19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2"/>
        </w:trPr>
        <w:tc>
          <w:tcPr>
            <w:tcW w:w="4460" w:type="dxa"/>
            <w:vAlign w:val="bottom"/>
          </w:tcPr>
          <w:p>
            <w:pPr>
              <w:jc w:val="center"/>
              <w:spacing w:after="0"/>
              <w:rPr>
                <w:sz w:val="20"/>
                <w:szCs w:val="20"/>
                <w:color w:val="auto"/>
              </w:rPr>
            </w:pPr>
            <w:r>
              <w:rPr>
                <w:rFonts w:ascii="Arial" w:cs="Arial" w:eastAsia="Arial" w:hAnsi="Arial"/>
                <w:sz w:val="14"/>
                <w:szCs w:val="14"/>
                <w:color w:val="auto"/>
              </w:rPr>
              <w:t>Common Stock, par value $0.10 per share</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MU</w:t>
            </w:r>
          </w:p>
        </w:tc>
        <w:tc>
          <w:tcPr>
            <w:tcW w:w="10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0"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ectPr>
          <w:pgSz w:w="11900" w:h="16840" w:orient="portrait"/>
          <w:cols w:equalWidth="0" w:num="1">
            <w:col w:w="10560"/>
          </w:cols>
          <w:pgMar w:left="660" w:top="1277" w:right="680" w:bottom="1440" w:gutter="0" w:footer="0" w:header="0"/>
        </w:sectPr>
      </w:pPr>
    </w:p>
    <w:p>
      <w:pPr>
        <w:spacing w:after="0" w:line="54" w:lineRule="exact"/>
        <w:rPr>
          <w:rFonts w:ascii="Arial" w:cs="Arial" w:eastAsia="Arial" w:hAnsi="Arial"/>
          <w:sz w:val="14"/>
          <w:szCs w:val="14"/>
          <w:color w:val="auto"/>
        </w:rPr>
      </w:pPr>
    </w:p>
    <w:p>
      <w:pPr>
        <w:ind w:left="8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43" w:lineRule="exact"/>
        <w:rPr>
          <w:rFonts w:ascii="Arial" w:cs="Arial" w:eastAsia="Arial" w:hAnsi="Arial"/>
          <w:sz w:val="14"/>
          <w:szCs w:val="14"/>
          <w:color w:val="auto"/>
        </w:rPr>
      </w:pPr>
    </w:p>
    <w:p>
      <w:pPr>
        <w:ind w:left="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31" w:lineRule="exact"/>
        <w:rPr>
          <w:rFonts w:ascii="Arial" w:cs="Arial" w:eastAsia="Arial" w:hAnsi="Arial"/>
          <w:sz w:val="14"/>
          <w:szCs w:val="14"/>
          <w:color w:val="auto"/>
        </w:rPr>
      </w:pPr>
    </w:p>
    <w:p>
      <w:pPr>
        <w:ind w:left="80"/>
        <w:spacing w:after="0" w:line="23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 w:lineRule="exact"/>
        <w:rPr>
          <w:rFonts w:ascii="Arial" w:cs="Arial" w:eastAsia="Arial" w:hAnsi="Arial"/>
          <w:sz w:val="14"/>
          <w:szCs w:val="14"/>
          <w:color w:val="auto"/>
        </w:rPr>
      </w:pPr>
    </w:p>
    <w:p>
      <w:pPr>
        <w:ind w:left="80" w:right="20"/>
        <w:spacing w:after="0" w:line="27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0" w:lineRule="exact"/>
        <w:rPr>
          <w:rFonts w:ascii="Arial" w:cs="Arial" w:eastAsia="Arial" w:hAnsi="Arial"/>
          <w:sz w:val="14"/>
          <w:szCs w:val="14"/>
          <w:color w:val="auto"/>
        </w:rPr>
      </w:pPr>
    </w:p>
    <w:p>
      <w:pPr>
        <w:spacing w:after="0" w:line="184" w:lineRule="exact"/>
        <w:tabs>
          <w:tab w:leader="none" w:pos="8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43" w:lineRule="exact"/>
        <w:rPr>
          <w:rFonts w:ascii="Arial" w:cs="Arial" w:eastAsia="Arial" w:hAnsi="Arial"/>
          <w:sz w:val="14"/>
          <w:szCs w:val="14"/>
          <w:color w:val="auto"/>
        </w:rPr>
      </w:pPr>
    </w:p>
    <w:p>
      <w:pPr>
        <w:spacing w:after="0" w:line="184" w:lineRule="exact"/>
        <w:tabs>
          <w:tab w:leader="none" w:pos="8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50" w:lineRule="exact"/>
        <w:rPr>
          <w:rFonts w:ascii="Arial" w:cs="Arial" w:eastAsia="Arial" w:hAnsi="Arial"/>
          <w:sz w:val="14"/>
          <w:szCs w:val="1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rFonts w:ascii="Arial" w:cs="Arial" w:eastAsia="Arial" w:hAnsi="Arial"/>
          <w:sz w:val="14"/>
          <w:szCs w:val="14"/>
          <w:color w:val="auto"/>
        </w:rPr>
      </w:pPr>
    </w:p>
    <w:p>
      <w:pPr>
        <w:spacing w:after="0" w:line="264" w:lineRule="exact"/>
        <w:rPr>
          <w:rFonts w:ascii="Arial" w:cs="Arial" w:eastAsia="Arial" w:hAnsi="Arial"/>
          <w:sz w:val="14"/>
          <w:szCs w:val="1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9" w:lineRule="exact"/>
        <w:rPr>
          <w:rFonts w:ascii="Arial" w:cs="Arial" w:eastAsia="Arial" w:hAnsi="Arial"/>
          <w:sz w:val="14"/>
          <w:szCs w:val="14"/>
          <w:color w:val="auto"/>
        </w:rPr>
      </w:pPr>
    </w:p>
    <w:p>
      <w:pPr>
        <w:sectPr>
          <w:pgSz w:w="11900" w:h="16840" w:orient="portrait"/>
          <w:cols w:equalWidth="0" w:num="2">
            <w:col w:w="8880" w:space="240"/>
            <w:col w:w="1440"/>
          </w:cols>
          <w:pgMar w:left="660" w:top="1277" w:right="680" w:bottom="1440" w:gutter="0" w:footer="0" w:header="0"/>
          <w:type w:val="continuous"/>
        </w:sectPr>
      </w:pPr>
    </w:p>
    <w:p>
      <w:pPr>
        <w:jc w:val="both"/>
        <w:ind w:left="80" w:right="16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rFonts w:ascii="Arial" w:cs="Arial" w:eastAsia="Arial" w:hAnsi="Arial"/>
          <w:sz w:val="14"/>
          <w:szCs w:val="14"/>
          <w:color w:val="auto"/>
        </w:rPr>
      </w:pPr>
    </w:p>
    <w:tbl>
      <w:tblPr>
        <w:tblLayout w:type="fixed"/>
        <w:tblInd w:w="260" w:type="dxa"/>
        <w:tblCellMar>
          <w:top w:w="0" w:type="dxa"/>
          <w:left w:w="0" w:type="dxa"/>
          <w:bottom w:w="0" w:type="dxa"/>
          <w:right w:w="0" w:type="dxa"/>
        </w:tblCellMar>
      </w:tblPr>
      <w:tr>
        <w:trPr>
          <w:trHeight w:val="182"/>
        </w:trPr>
        <w:tc>
          <w:tcPr>
            <w:tcW w:w="1860" w:type="dxa"/>
            <w:vAlign w:val="bottom"/>
          </w:tcPr>
          <w:p>
            <w:pPr>
              <w:jc w:val="center"/>
              <w:ind w:right="285"/>
              <w:spacing w:after="0"/>
              <w:rPr>
                <w:sz w:val="20"/>
                <w:szCs w:val="20"/>
                <w:color w:val="auto"/>
              </w:rPr>
            </w:pPr>
            <w:r>
              <w:rPr>
                <w:rFonts w:ascii="Arial" w:cs="Arial" w:eastAsia="Arial" w:hAnsi="Arial"/>
                <w:sz w:val="14"/>
                <w:szCs w:val="14"/>
                <w:color w:val="auto"/>
              </w:rPr>
              <w:t>Large Accelerated Filer</w:t>
            </w:r>
          </w:p>
        </w:tc>
        <w:tc>
          <w:tcPr>
            <w:tcW w:w="1900" w:type="dxa"/>
            <w:vAlign w:val="bottom"/>
          </w:tcPr>
          <w:p>
            <w:pPr>
              <w:jc w:val="center"/>
              <w:ind w:right="25"/>
              <w:spacing w:after="0"/>
              <w:rPr>
                <w:sz w:val="20"/>
                <w:szCs w:val="20"/>
                <w:color w:val="auto"/>
              </w:rPr>
            </w:pPr>
            <w:r>
              <w:rPr>
                <w:rFonts w:ascii="Arial" w:cs="Arial" w:eastAsia="Arial" w:hAnsi="Arial"/>
                <w:sz w:val="14"/>
                <w:szCs w:val="14"/>
                <w:color w:val="auto"/>
              </w:rPr>
              <w:t>Accelerated Filer</w:t>
            </w:r>
          </w:p>
        </w:tc>
        <w:tc>
          <w:tcPr>
            <w:tcW w:w="2120" w:type="dxa"/>
            <w:vAlign w:val="bottom"/>
          </w:tcPr>
          <w:p>
            <w:pPr>
              <w:jc w:val="center"/>
              <w:ind w:left="105"/>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jc w:val="center"/>
              <w:ind w:left="5"/>
              <w:spacing w:after="0"/>
              <w:rPr>
                <w:sz w:val="20"/>
                <w:szCs w:val="20"/>
                <w:color w:val="auto"/>
              </w:rPr>
            </w:pPr>
            <w:r>
              <w:rPr>
                <w:rFonts w:ascii="Arial" w:cs="Arial" w:eastAsia="Arial" w:hAnsi="Arial"/>
                <w:sz w:val="14"/>
                <w:szCs w:val="14"/>
                <w:color w:val="auto"/>
              </w:rPr>
              <w:t>Smaller Reporting Company</w:t>
            </w:r>
          </w:p>
        </w:tc>
        <w:tc>
          <w:tcPr>
            <w:tcW w:w="1940" w:type="dxa"/>
            <w:vAlign w:val="bottom"/>
          </w:tcPr>
          <w:p>
            <w:pPr>
              <w:jc w:val="center"/>
              <w:ind w:left="105"/>
              <w:spacing w:after="0"/>
              <w:rPr>
                <w:sz w:val="20"/>
                <w:szCs w:val="20"/>
                <w:color w:val="auto"/>
              </w:rPr>
            </w:pPr>
            <w:r>
              <w:rPr>
                <w:rFonts w:ascii="Arial" w:cs="Arial" w:eastAsia="Arial" w:hAnsi="Arial"/>
                <w:sz w:val="14"/>
                <w:szCs w:val="14"/>
                <w:color w:val="auto"/>
              </w:rPr>
              <w:t>Emerging Growth Company</w:t>
            </w:r>
          </w:p>
        </w:tc>
      </w:tr>
      <w:tr>
        <w:trPr>
          <w:trHeight w:val="263"/>
        </w:trPr>
        <w:tc>
          <w:tcPr>
            <w:tcW w:w="1860" w:type="dxa"/>
            <w:vAlign w:val="bottom"/>
          </w:tcPr>
          <w:p>
            <w:pPr>
              <w:jc w:val="center"/>
              <w:ind w:right="305"/>
              <w:spacing w:after="0" w:line="161" w:lineRule="exact"/>
              <w:rPr>
                <w:sz w:val="20"/>
                <w:szCs w:val="20"/>
                <w:color w:val="auto"/>
              </w:rPr>
            </w:pPr>
            <w:r>
              <w:rPr>
                <w:rFonts w:ascii="MS PGothic" w:cs="MS PGothic" w:eastAsia="MS PGothic" w:hAnsi="MS PGothic"/>
                <w:sz w:val="16"/>
                <w:szCs w:val="16"/>
                <w:color w:val="auto"/>
                <w:w w:val="74"/>
              </w:rPr>
              <w:t>☒</w:t>
            </w:r>
          </w:p>
        </w:tc>
        <w:tc>
          <w:tcPr>
            <w:tcW w:w="1900" w:type="dxa"/>
            <w:vAlign w:val="bottom"/>
          </w:tcPr>
          <w:p>
            <w:pPr>
              <w:jc w:val="center"/>
              <w:ind w:right="45"/>
              <w:spacing w:after="0" w:line="161" w:lineRule="exact"/>
              <w:rPr>
                <w:sz w:val="20"/>
                <w:szCs w:val="20"/>
                <w:color w:val="auto"/>
              </w:rPr>
            </w:pPr>
            <w:r>
              <w:rPr>
                <w:rFonts w:ascii="MS PGothic" w:cs="MS PGothic" w:eastAsia="MS PGothic" w:hAnsi="MS PGothic"/>
                <w:sz w:val="16"/>
                <w:szCs w:val="16"/>
                <w:color w:val="auto"/>
                <w:w w:val="87"/>
              </w:rPr>
              <w:t>☐</w:t>
            </w:r>
          </w:p>
        </w:tc>
        <w:tc>
          <w:tcPr>
            <w:tcW w:w="2120" w:type="dxa"/>
            <w:vAlign w:val="bottom"/>
          </w:tcPr>
          <w:p>
            <w:pPr>
              <w:jc w:val="center"/>
              <w:ind w:left="65"/>
              <w:spacing w:after="0" w:line="161" w:lineRule="exact"/>
              <w:rPr>
                <w:sz w:val="20"/>
                <w:szCs w:val="20"/>
                <w:color w:val="auto"/>
              </w:rPr>
            </w:pPr>
            <w:r>
              <w:rPr>
                <w:rFonts w:ascii="MS PGothic" w:cs="MS PGothic" w:eastAsia="MS PGothic" w:hAnsi="MS PGothic"/>
                <w:sz w:val="16"/>
                <w:szCs w:val="16"/>
                <w:color w:val="auto"/>
                <w:w w:val="87"/>
              </w:rPr>
              <w:t>☐</w:t>
            </w:r>
          </w:p>
        </w:tc>
        <w:tc>
          <w:tcPr>
            <w:tcW w:w="22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940" w:type="dxa"/>
            <w:vAlign w:val="bottom"/>
          </w:tcPr>
          <w:p>
            <w:pPr>
              <w:jc w:val="center"/>
              <w:ind w:left="85"/>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8" w:lineRule="exact"/>
        <w:rPr>
          <w:rFonts w:ascii="Arial" w:cs="Arial" w:eastAsia="Arial" w:hAnsi="Arial"/>
          <w:sz w:val="14"/>
          <w:szCs w:val="14"/>
          <w:color w:val="auto"/>
        </w:rPr>
      </w:pPr>
    </w:p>
    <w:p>
      <w:pPr>
        <w:sectPr>
          <w:pgSz w:w="11900" w:h="16840" w:orient="portrait"/>
          <w:cols w:equalWidth="0" w:num="1">
            <w:col w:w="10560"/>
          </w:cols>
          <w:pgMar w:left="660" w:top="1277" w:right="680" w:bottom="1440" w:gutter="0" w:footer="0" w:header="0"/>
          <w:type w:val="continuous"/>
        </w:sectPr>
      </w:pPr>
    </w:p>
    <w:p>
      <w:pPr>
        <w:ind w:left="80" w:right="80"/>
        <w:spacing w:after="0" w:line="29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6" w:lineRule="exact"/>
        <w:rPr>
          <w:rFonts w:ascii="Arial" w:cs="Arial" w:eastAsia="Arial" w:hAnsi="Arial"/>
          <w:sz w:val="14"/>
          <w:szCs w:val="14"/>
          <w:color w:val="auto"/>
        </w:rPr>
      </w:pPr>
    </w:p>
    <w:p>
      <w:pPr>
        <w:jc w:val="both"/>
        <w:ind w:left="80"/>
        <w:spacing w:after="0" w:line="27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5" w:lineRule="exact"/>
        <w:rPr>
          <w:rFonts w:ascii="Arial" w:cs="Arial" w:eastAsia="Arial" w:hAnsi="Arial"/>
          <w:sz w:val="14"/>
          <w:szCs w:val="14"/>
          <w:color w:val="auto"/>
        </w:rPr>
      </w:pPr>
    </w:p>
    <w:p>
      <w:pPr>
        <w:jc w:val="both"/>
        <w:ind w:left="80"/>
        <w:spacing w:after="0" w:line="286"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80" w:right="40"/>
        <w:spacing w:after="0" w:line="286"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80"/>
        <w:spacing w:after="0" w:line="194" w:lineRule="auto"/>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ind w:left="91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9" w:lineRule="exact"/>
        <w:rPr>
          <w:rFonts w:ascii="Arial" w:cs="Arial" w:eastAsia="Arial" w:hAnsi="Arial"/>
          <w:sz w:val="14"/>
          <w:szCs w:val="1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rFonts w:ascii="Arial" w:cs="Arial" w:eastAsia="Arial" w:hAnsi="Arial"/>
          <w:sz w:val="14"/>
          <w:szCs w:val="14"/>
          <w:color w:val="auto"/>
        </w:rPr>
      </w:pPr>
    </w:p>
    <w:p>
      <w:pPr>
        <w:spacing w:after="0" w:line="212" w:lineRule="exact"/>
        <w:rPr>
          <w:rFonts w:ascii="Arial" w:cs="Arial" w:eastAsia="Arial" w:hAnsi="Arial"/>
          <w:sz w:val="14"/>
          <w:szCs w:val="1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4" w:lineRule="exact"/>
        <w:rPr>
          <w:rFonts w:ascii="Arial" w:cs="Arial" w:eastAsia="Arial" w:hAnsi="Arial"/>
          <w:sz w:val="14"/>
          <w:szCs w:val="1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2" w:lineRule="exact"/>
        <w:rPr>
          <w:rFonts w:ascii="Arial" w:cs="Arial" w:eastAsia="Arial" w:hAnsi="Arial"/>
          <w:sz w:val="14"/>
          <w:szCs w:val="14"/>
          <w:color w:val="auto"/>
        </w:rPr>
      </w:pPr>
    </w:p>
    <w:p>
      <w:pPr>
        <w:sectPr>
          <w:pgSz w:w="11900" w:h="16840" w:orient="portrait"/>
          <w:cols w:equalWidth="0" w:num="2">
            <w:col w:w="10020" w:space="160"/>
            <w:col w:w="380"/>
          </w:cols>
          <w:pgMar w:left="660" w:top="1277" w:right="680" w:bottom="1440" w:gutter="0" w:footer="0" w:header="0"/>
          <w:type w:val="continuous"/>
        </w:sectPr>
      </w:pPr>
    </w:p>
    <w:p>
      <w:pPr>
        <w:ind w:right="140"/>
        <w:spacing w:after="0" w:line="265" w:lineRule="auto"/>
        <w:rPr>
          <w:sz w:val="20"/>
          <w:szCs w:val="20"/>
          <w:color w:val="auto"/>
        </w:rPr>
      </w:pPr>
      <w:r>
        <w:rPr>
          <w:rFonts w:ascii="Arial" w:cs="Arial" w:eastAsia="Arial" w:hAnsi="Arial"/>
          <w:sz w:val="14"/>
          <w:szCs w:val="14"/>
          <w:color w:val="auto"/>
        </w:rPr>
        <w:t>The aggregate market value of the voting and non-voting common equity held by non-affiliates was $85.7 billion based on the closing price reported on the Nasdaq Global Select Market on February 27, 2025.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as of September 26, 2025 was 1,122,466,035.</w:t>
      </w:r>
    </w:p>
    <w:p>
      <w:pPr>
        <w:spacing w:after="0" w:line="56"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DOCUMENTS INCORPORATED BY REFERENCE</w:t>
      </w:r>
    </w:p>
    <w:p>
      <w:pPr>
        <w:spacing w:after="0" w:line="54" w:lineRule="exact"/>
        <w:rPr>
          <w:rFonts w:ascii="Arial" w:cs="Arial" w:eastAsia="Arial" w:hAnsi="Arial"/>
          <w:sz w:val="14"/>
          <w:szCs w:val="14"/>
          <w:color w:val="auto"/>
        </w:rPr>
      </w:pPr>
    </w:p>
    <w:p>
      <w:pPr>
        <w:ind w:right="240"/>
        <w:spacing w:after="0" w:line="272" w:lineRule="auto"/>
        <w:rPr>
          <w:sz w:val="20"/>
          <w:szCs w:val="20"/>
          <w:color w:val="auto"/>
        </w:rPr>
      </w:pPr>
      <w:r>
        <w:rPr>
          <w:rFonts w:ascii="Arial" w:cs="Arial" w:eastAsia="Arial" w:hAnsi="Arial"/>
          <w:sz w:val="14"/>
          <w:szCs w:val="14"/>
          <w:color w:val="auto"/>
        </w:rPr>
        <w:t>Portions of the Proxy Statement for the registrant’s Fiscal 2025 Annual Meeting of Stockholders, to be filed within 120 days of the end of the fiscal year ended August 28, 2025, are incorporated by reference in Part III hereof. Except with respect to information specifically incorporated by reference in this Annual Report on Form 10-K, the Proxy Statement is not deemed to be filed as part hereof.</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-8255</wp:posOffset>
            </wp:positionH>
            <wp:positionV relativeFrom="paragraph">
              <wp:posOffset>485775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77" w:right="68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819150</wp:posOffset>
            </wp:positionV>
            <wp:extent cx="6732905" cy="7169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716978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6614795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2991485</wp:posOffset>
            </wp:positionV>
            <wp:extent cx="5213350" cy="2926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213350" cy="2926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35"/>
          <w:szCs w:val="3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shd w:val="clear" w:color="auto" w:fill="D1D2D4"/>
          </w:tcPr>
          <w:p>
            <w:pPr>
              <w:ind w:left="20"/>
              <w:spacing w:after="0"/>
              <w:rPr>
                <w:rFonts w:ascii="Arial" w:cs="Arial" w:eastAsia="Arial" w:hAnsi="Arial"/>
                <w:sz w:val="16"/>
                <w:szCs w:val="16"/>
                <w:color w:val="auto"/>
              </w:rPr>
            </w:pPr>
            <w:hyperlink w:anchor="page4">
              <w:r>
                <w:rPr>
                  <w:rFonts w:ascii="Arial" w:cs="Arial" w:eastAsia="Arial" w:hAnsi="Arial"/>
                  <w:sz w:val="16"/>
                  <w:szCs w:val="16"/>
                  <w:color w:val="auto"/>
                </w:rPr>
                <w:t>Introduction</w:t>
              </w:r>
            </w:hyperlink>
          </w:p>
        </w:tc>
        <w:tc>
          <w:tcPr>
            <w:tcW w:w="8600" w:type="dxa"/>
            <w:vAlign w:val="bottom"/>
            <w:shd w:val="clear" w:color="auto" w:fill="D1D2D4"/>
          </w:tcPr>
          <w:p>
            <w:pPr>
              <w:spacing w:after="0"/>
              <w:rPr>
                <w:sz w:val="17"/>
                <w:szCs w:val="17"/>
                <w:color w:val="auto"/>
              </w:rPr>
            </w:pPr>
          </w:p>
        </w:tc>
        <w:tc>
          <w:tcPr>
            <w:tcW w:w="700" w:type="dxa"/>
            <w:vAlign w:val="bottom"/>
            <w:shd w:val="clear" w:color="auto" w:fill="D1D2D4"/>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5</w:t>
              </w:r>
            </w:hyperlink>
          </w:p>
        </w:tc>
      </w:tr>
      <w:tr>
        <w:trPr>
          <w:trHeight w:val="204"/>
        </w:trPr>
        <w:tc>
          <w:tcPr>
            <w:tcW w:w="1260" w:type="dxa"/>
            <w:vAlign w:val="bottom"/>
          </w:tcPr>
          <w:p>
            <w:pPr>
              <w:ind w:left="20"/>
              <w:spacing w:after="0"/>
              <w:rPr>
                <w:rFonts w:ascii="Arial" w:cs="Arial" w:eastAsia="Arial" w:hAnsi="Arial"/>
                <w:sz w:val="16"/>
                <w:szCs w:val="16"/>
                <w:b w:val="1"/>
                <w:bCs w:val="1"/>
                <w:color w:val="auto"/>
              </w:rPr>
            </w:pPr>
            <w:hyperlink w:anchor="page6">
              <w:r>
                <w:rPr>
                  <w:rFonts w:ascii="Arial" w:cs="Arial" w:eastAsia="Arial" w:hAnsi="Arial"/>
                  <w:sz w:val="16"/>
                  <w:szCs w:val="16"/>
                  <w:b w:val="1"/>
                  <w:bCs w:val="1"/>
                  <w:color w:val="auto"/>
                </w:rPr>
                <w:t>PART I</w:t>
              </w:r>
            </w:hyperlink>
          </w:p>
        </w:tc>
        <w:tc>
          <w:tcPr>
            <w:tcW w:w="8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7">
              <w:r>
                <w:rPr>
                  <w:rFonts w:ascii="Arial" w:cs="Arial" w:eastAsia="Arial" w:hAnsi="Arial"/>
                  <w:sz w:val="16"/>
                  <w:szCs w:val="16"/>
                  <w:color w:val="auto"/>
                </w:rPr>
                <w:t>Item 1.</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7">
              <w:r>
                <w:rPr>
                  <w:rFonts w:ascii="Arial" w:cs="Arial" w:eastAsia="Arial" w:hAnsi="Arial"/>
                  <w:sz w:val="16"/>
                  <w:szCs w:val="16"/>
                  <w:color w:val="auto"/>
                </w:rPr>
                <w:t>Business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7</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21">
              <w:r>
                <w:rPr>
                  <w:rFonts w:ascii="Arial" w:cs="Arial" w:eastAsia="Arial" w:hAnsi="Arial"/>
                  <w:sz w:val="16"/>
                  <w:szCs w:val="16"/>
                  <w:color w:val="auto"/>
                </w:rPr>
                <w:t>Item 1A.</w:t>
              </w:r>
            </w:hyperlink>
          </w:p>
        </w:tc>
        <w:tc>
          <w:tcPr>
            <w:tcW w:w="8600" w:type="dxa"/>
            <w:vAlign w:val="bottom"/>
          </w:tcPr>
          <w:p>
            <w:pPr>
              <w:ind w:left="440"/>
              <w:spacing w:after="0"/>
              <w:rPr>
                <w:rFonts w:ascii="Arial" w:cs="Arial" w:eastAsia="Arial" w:hAnsi="Arial"/>
                <w:sz w:val="16"/>
                <w:szCs w:val="16"/>
                <w:color w:val="auto"/>
              </w:rPr>
            </w:pPr>
            <w:hyperlink w:anchor="page21">
              <w:r>
                <w:rPr>
                  <w:rFonts w:ascii="Arial" w:cs="Arial" w:eastAsia="Arial" w:hAnsi="Arial"/>
                  <w:sz w:val="16"/>
                  <w:szCs w:val="16"/>
                  <w:color w:val="auto"/>
                </w:rPr>
                <w:t>Risk Factors</w:t>
              </w:r>
            </w:hyperlink>
          </w:p>
        </w:tc>
        <w:tc>
          <w:tcPr>
            <w:tcW w:w="70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22</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44">
              <w:r>
                <w:rPr>
                  <w:rFonts w:ascii="Arial" w:cs="Arial" w:eastAsia="Arial" w:hAnsi="Arial"/>
                  <w:sz w:val="16"/>
                  <w:szCs w:val="16"/>
                  <w:color w:val="auto"/>
                </w:rPr>
                <w:t>Item 1B.</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44">
              <w:r>
                <w:rPr>
                  <w:rFonts w:ascii="Arial" w:cs="Arial" w:eastAsia="Arial" w:hAnsi="Arial"/>
                  <w:sz w:val="16"/>
                  <w:szCs w:val="16"/>
                  <w:color w:val="auto"/>
                </w:rPr>
                <w:t>Unresolved Staff Comments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45</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45">
              <w:r>
                <w:rPr>
                  <w:rFonts w:ascii="Arial" w:cs="Arial" w:eastAsia="Arial" w:hAnsi="Arial"/>
                  <w:sz w:val="16"/>
                  <w:szCs w:val="16"/>
                  <w:color w:val="auto"/>
                </w:rPr>
                <w:t>Item 1C.</w:t>
              </w:r>
            </w:hyperlink>
          </w:p>
        </w:tc>
        <w:tc>
          <w:tcPr>
            <w:tcW w:w="8600" w:type="dxa"/>
            <w:vAlign w:val="bottom"/>
          </w:tcPr>
          <w:p>
            <w:pPr>
              <w:ind w:left="440"/>
              <w:spacing w:after="0"/>
              <w:rPr>
                <w:rFonts w:ascii="Arial" w:cs="Arial" w:eastAsia="Arial" w:hAnsi="Arial"/>
                <w:sz w:val="16"/>
                <w:szCs w:val="16"/>
                <w:color w:val="auto"/>
              </w:rPr>
            </w:pPr>
            <w:hyperlink w:anchor="page45">
              <w:r>
                <w:rPr>
                  <w:rFonts w:ascii="Arial" w:cs="Arial" w:eastAsia="Arial" w:hAnsi="Arial"/>
                  <w:sz w:val="16"/>
                  <w:szCs w:val="16"/>
                  <w:color w:val="auto"/>
                </w:rPr>
                <w:t>Cybersecurity</w:t>
              </w:r>
            </w:hyperlink>
          </w:p>
        </w:tc>
        <w:tc>
          <w:tcPr>
            <w:tcW w:w="70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45</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46">
              <w:r>
                <w:rPr>
                  <w:rFonts w:ascii="Arial" w:cs="Arial" w:eastAsia="Arial" w:hAnsi="Arial"/>
                  <w:sz w:val="16"/>
                  <w:szCs w:val="16"/>
                  <w:color w:val="auto"/>
                </w:rPr>
                <w:t xml:space="preserve">Item </w:t>
              </w:r>
            </w:hyperlink>
            <w:r>
              <w:rPr>
                <w:rFonts w:ascii="Arial" w:cs="Arial" w:eastAsia="Arial" w:hAnsi="Arial"/>
                <w:sz w:val="16"/>
                <w:szCs w:val="16"/>
                <w:color w:val="auto"/>
              </w:rPr>
              <w:t>2.</w:t>
            </w:r>
          </w:p>
        </w:tc>
        <w:tc>
          <w:tcPr>
            <w:tcW w:w="8600" w:type="dxa"/>
            <w:vAlign w:val="bottom"/>
            <w:shd w:val="clear" w:color="auto" w:fill="D1D2D4"/>
          </w:tcPr>
          <w:p>
            <w:pPr>
              <w:ind w:left="440"/>
              <w:spacing w:after="0"/>
              <w:rPr>
                <w:rFonts w:ascii="Arial" w:cs="Arial" w:eastAsia="Arial" w:hAnsi="Arial"/>
                <w:sz w:val="16"/>
                <w:szCs w:val="16"/>
                <w:color w:val="auto"/>
              </w:rPr>
            </w:pPr>
            <w:hyperlink w:anchor="page46">
              <w:r>
                <w:rPr>
                  <w:rFonts w:ascii="Arial" w:cs="Arial" w:eastAsia="Arial" w:hAnsi="Arial"/>
                  <w:sz w:val="16"/>
                  <w:szCs w:val="16"/>
                  <w:color w:val="auto"/>
                </w:rPr>
                <w:t>Properties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47</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48">
              <w:r>
                <w:rPr>
                  <w:rFonts w:ascii="Arial" w:cs="Arial" w:eastAsia="Arial" w:hAnsi="Arial"/>
                  <w:sz w:val="16"/>
                  <w:szCs w:val="16"/>
                  <w:color w:val="auto"/>
                </w:rPr>
                <w:t>Item 3.</w:t>
              </w:r>
            </w:hyperlink>
          </w:p>
        </w:tc>
        <w:tc>
          <w:tcPr>
            <w:tcW w:w="8600" w:type="dxa"/>
            <w:vAlign w:val="bottom"/>
          </w:tcPr>
          <w:p>
            <w:pPr>
              <w:ind w:left="440"/>
              <w:spacing w:after="0"/>
              <w:rPr>
                <w:rFonts w:ascii="Arial" w:cs="Arial" w:eastAsia="Arial" w:hAnsi="Arial"/>
                <w:sz w:val="16"/>
                <w:szCs w:val="16"/>
                <w:color w:val="auto"/>
              </w:rPr>
            </w:pPr>
            <w:hyperlink w:anchor="page48">
              <w:r>
                <w:rPr>
                  <w:rFonts w:ascii="Arial" w:cs="Arial" w:eastAsia="Arial" w:hAnsi="Arial"/>
                  <w:sz w:val="16"/>
                  <w:szCs w:val="16"/>
                  <w:color w:val="auto"/>
                </w:rPr>
                <w:t>Legal Proceedings</w:t>
              </w:r>
            </w:hyperlink>
          </w:p>
        </w:tc>
        <w:tc>
          <w:tcPr>
            <w:tcW w:w="700" w:type="dxa"/>
            <w:vAlign w:val="bottom"/>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48</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48">
              <w:r>
                <w:rPr>
                  <w:rFonts w:ascii="Arial" w:cs="Arial" w:eastAsia="Arial" w:hAnsi="Arial"/>
                  <w:sz w:val="16"/>
                  <w:szCs w:val="16"/>
                  <w:color w:val="auto"/>
                </w:rPr>
                <w:t>Item 4.</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48">
              <w:r>
                <w:rPr>
                  <w:rFonts w:ascii="Arial" w:cs="Arial" w:eastAsia="Arial" w:hAnsi="Arial"/>
                  <w:sz w:val="16"/>
                  <w:szCs w:val="16"/>
                  <w:color w:val="auto"/>
                </w:rPr>
                <w:t>Mine Safety Disclosures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48</w:t>
              </w:r>
            </w:hyperlink>
          </w:p>
        </w:tc>
      </w:tr>
      <w:tr>
        <w:trPr>
          <w:trHeight w:val="204"/>
        </w:trPr>
        <w:tc>
          <w:tcPr>
            <w:tcW w:w="1260" w:type="dxa"/>
            <w:vAlign w:val="bottom"/>
          </w:tcPr>
          <w:p>
            <w:pPr>
              <w:ind w:left="20"/>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PART II</w:t>
              </w:r>
            </w:hyperlink>
          </w:p>
        </w:tc>
        <w:tc>
          <w:tcPr>
            <w:tcW w:w="8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49">
              <w:r>
                <w:rPr>
                  <w:rFonts w:ascii="Arial" w:cs="Arial" w:eastAsia="Arial" w:hAnsi="Arial"/>
                  <w:sz w:val="16"/>
                  <w:szCs w:val="16"/>
                  <w:color w:val="auto"/>
                </w:rPr>
                <w:t>Item 5.</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49">
              <w:r>
                <w:rPr>
                  <w:rFonts w:ascii="Arial" w:cs="Arial" w:eastAsia="Arial" w:hAnsi="Arial"/>
                  <w:sz w:val="16"/>
                  <w:szCs w:val="16"/>
                  <w:color w:val="auto"/>
                </w:rPr>
                <w:t>Market for Registrant’s Common Equity, Related Stockholder Matters, and Issuer Purchases of Equity Securities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49</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50">
              <w:r>
                <w:rPr>
                  <w:rFonts w:ascii="Arial" w:cs="Arial" w:eastAsia="Arial" w:hAnsi="Arial"/>
                  <w:sz w:val="16"/>
                  <w:szCs w:val="16"/>
                  <w:color w:val="auto"/>
                </w:rPr>
                <w:t>Item 6.</w:t>
              </w:r>
            </w:hyperlink>
          </w:p>
        </w:tc>
        <w:tc>
          <w:tcPr>
            <w:tcW w:w="8600" w:type="dxa"/>
            <w:vAlign w:val="bottom"/>
          </w:tcPr>
          <w:p>
            <w:pPr>
              <w:ind w:left="440"/>
              <w:spacing w:after="0"/>
              <w:rPr>
                <w:rFonts w:ascii="Arial" w:cs="Arial" w:eastAsia="Arial" w:hAnsi="Arial"/>
                <w:sz w:val="16"/>
                <w:szCs w:val="16"/>
                <w:color w:val="auto"/>
              </w:rPr>
            </w:pPr>
            <w:hyperlink w:anchor="page50">
              <w:r>
                <w:rPr>
                  <w:rFonts w:ascii="Arial" w:cs="Arial" w:eastAsia="Arial" w:hAnsi="Arial"/>
                  <w:sz w:val="16"/>
                  <w:szCs w:val="16"/>
                  <w:color w:val="auto"/>
                </w:rPr>
                <w:t>[Reserved]</w:t>
              </w:r>
            </w:hyperlink>
          </w:p>
        </w:tc>
        <w:tc>
          <w:tcPr>
            <w:tcW w:w="70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50</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50">
              <w:r>
                <w:rPr>
                  <w:rFonts w:ascii="Arial" w:cs="Arial" w:eastAsia="Arial" w:hAnsi="Arial"/>
                  <w:sz w:val="16"/>
                  <w:szCs w:val="16"/>
                  <w:color w:val="auto"/>
                </w:rPr>
                <w:t>Item 7.</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50">
              <w:r>
                <w:rPr>
                  <w:rFonts w:ascii="Arial" w:cs="Arial" w:eastAsia="Arial" w:hAnsi="Arial"/>
                  <w:sz w:val="16"/>
                  <w:szCs w:val="16"/>
                  <w:color w:val="auto"/>
                </w:rPr>
                <w:t>Management’s Discussion and Analysis of Financial Condition and Results of Operations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51</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61">
              <w:r>
                <w:rPr>
                  <w:rFonts w:ascii="Arial" w:cs="Arial" w:eastAsia="Arial" w:hAnsi="Arial"/>
                  <w:sz w:val="16"/>
                  <w:szCs w:val="16"/>
                  <w:color w:val="auto"/>
                </w:rPr>
                <w:t>Item 7A.</w:t>
              </w:r>
            </w:hyperlink>
          </w:p>
        </w:tc>
        <w:tc>
          <w:tcPr>
            <w:tcW w:w="8600" w:type="dxa"/>
            <w:vAlign w:val="bottom"/>
          </w:tcPr>
          <w:p>
            <w:pPr>
              <w:ind w:left="440"/>
              <w:spacing w:after="0"/>
              <w:rPr>
                <w:rFonts w:ascii="Arial" w:cs="Arial" w:eastAsia="Arial" w:hAnsi="Arial"/>
                <w:sz w:val="16"/>
                <w:szCs w:val="16"/>
                <w:color w:val="auto"/>
              </w:rPr>
            </w:pPr>
            <w:hyperlink w:anchor="page61">
              <w:r>
                <w:rPr>
                  <w:rFonts w:ascii="Arial" w:cs="Arial" w:eastAsia="Arial" w:hAnsi="Arial"/>
                  <w:sz w:val="16"/>
                  <w:szCs w:val="16"/>
                  <w:color w:val="auto"/>
                </w:rPr>
                <w:t>Quantitative and Qualitative Disclosures About Market Risk</w:t>
              </w:r>
            </w:hyperlink>
          </w:p>
        </w:tc>
        <w:tc>
          <w:tcPr>
            <w:tcW w:w="700" w:type="dxa"/>
            <w:vAlign w:val="bottom"/>
          </w:tcPr>
          <w:p>
            <w:pPr>
              <w:jc w:val="right"/>
              <w:spacing w:after="0"/>
              <w:rPr>
                <w:rFonts w:ascii="Arial" w:cs="Arial" w:eastAsia="Arial" w:hAnsi="Arial"/>
                <w:sz w:val="16"/>
                <w:szCs w:val="16"/>
                <w:color w:val="auto"/>
              </w:rPr>
            </w:pPr>
            <w:hyperlink w:anchor="page61">
              <w:r>
                <w:rPr>
                  <w:rFonts w:ascii="Arial" w:cs="Arial" w:eastAsia="Arial" w:hAnsi="Arial"/>
                  <w:sz w:val="16"/>
                  <w:szCs w:val="16"/>
                  <w:color w:val="auto"/>
                </w:rPr>
                <w:t>61</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62">
              <w:r>
                <w:rPr>
                  <w:rFonts w:ascii="Arial" w:cs="Arial" w:eastAsia="Arial" w:hAnsi="Arial"/>
                  <w:sz w:val="16"/>
                  <w:szCs w:val="16"/>
                  <w:color w:val="auto"/>
                </w:rPr>
                <w:t>Item 8.</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62">
              <w:r>
                <w:rPr>
                  <w:rFonts w:ascii="Arial" w:cs="Arial" w:eastAsia="Arial" w:hAnsi="Arial"/>
                  <w:sz w:val="16"/>
                  <w:szCs w:val="16"/>
                  <w:color w:val="auto"/>
                </w:rPr>
                <w:t>Financial Statements and Supplementary Data</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63</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101">
              <w:r>
                <w:rPr>
                  <w:rFonts w:ascii="Arial" w:cs="Arial" w:eastAsia="Arial" w:hAnsi="Arial"/>
                  <w:sz w:val="16"/>
                  <w:szCs w:val="16"/>
                  <w:color w:val="auto"/>
                </w:rPr>
                <w:t>Item 9.</w:t>
              </w:r>
            </w:hyperlink>
          </w:p>
        </w:tc>
        <w:tc>
          <w:tcPr>
            <w:tcW w:w="8600" w:type="dxa"/>
            <w:vAlign w:val="bottom"/>
          </w:tcPr>
          <w:p>
            <w:pPr>
              <w:ind w:left="440"/>
              <w:spacing w:after="0"/>
              <w:rPr>
                <w:rFonts w:ascii="Arial" w:cs="Arial" w:eastAsia="Arial" w:hAnsi="Arial"/>
                <w:sz w:val="16"/>
                <w:szCs w:val="16"/>
                <w:color w:val="auto"/>
              </w:rPr>
            </w:pPr>
            <w:hyperlink w:anchor="page101">
              <w:r>
                <w:rPr>
                  <w:rFonts w:ascii="Arial" w:cs="Arial" w:eastAsia="Arial" w:hAnsi="Arial"/>
                  <w:sz w:val="16"/>
                  <w:szCs w:val="16"/>
                  <w:color w:val="auto"/>
                </w:rPr>
                <w:t>Changes in and Disagreements With Accountants on Accounting and Financial Disclosure</w:t>
              </w:r>
            </w:hyperlink>
          </w:p>
        </w:tc>
        <w:tc>
          <w:tcPr>
            <w:tcW w:w="700" w:type="dxa"/>
            <w:vAlign w:val="bottom"/>
          </w:tcPr>
          <w:p>
            <w:pPr>
              <w:jc w:val="right"/>
              <w:spacing w:after="0"/>
              <w:rPr>
                <w:rFonts w:ascii="Arial" w:cs="Arial" w:eastAsia="Arial" w:hAnsi="Arial"/>
                <w:sz w:val="16"/>
                <w:szCs w:val="16"/>
                <w:color w:val="auto"/>
              </w:rPr>
            </w:pPr>
            <w:hyperlink w:anchor="page101">
              <w:r>
                <w:rPr>
                  <w:rFonts w:ascii="Arial" w:cs="Arial" w:eastAsia="Arial" w:hAnsi="Arial"/>
                  <w:sz w:val="16"/>
                  <w:szCs w:val="16"/>
                  <w:color w:val="auto"/>
                </w:rPr>
                <w:t>102</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2">
              <w:r>
                <w:rPr>
                  <w:rFonts w:ascii="Arial" w:cs="Arial" w:eastAsia="Arial" w:hAnsi="Arial"/>
                  <w:sz w:val="16"/>
                  <w:szCs w:val="16"/>
                  <w:color w:val="auto"/>
                </w:rPr>
                <w:t>Item 9A.</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2">
              <w:r>
                <w:rPr>
                  <w:rFonts w:ascii="Arial" w:cs="Arial" w:eastAsia="Arial" w:hAnsi="Arial"/>
                  <w:sz w:val="16"/>
                  <w:szCs w:val="16"/>
                  <w:color w:val="auto"/>
                </w:rPr>
                <w:t>Controls and Procedures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2">
              <w:r>
                <w:rPr>
                  <w:rFonts w:ascii="Arial" w:cs="Arial" w:eastAsia="Arial" w:hAnsi="Arial"/>
                  <w:sz w:val="16"/>
                  <w:szCs w:val="16"/>
                  <w:color w:val="auto"/>
                </w:rPr>
                <w:t>102</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102">
              <w:r>
                <w:rPr>
                  <w:rFonts w:ascii="Arial" w:cs="Arial" w:eastAsia="Arial" w:hAnsi="Arial"/>
                  <w:sz w:val="16"/>
                  <w:szCs w:val="16"/>
                  <w:color w:val="auto"/>
                </w:rPr>
                <w:t>Item 9B.</w:t>
              </w:r>
            </w:hyperlink>
          </w:p>
        </w:tc>
        <w:tc>
          <w:tcPr>
            <w:tcW w:w="8600" w:type="dxa"/>
            <w:vAlign w:val="bottom"/>
          </w:tcPr>
          <w:p>
            <w:pPr>
              <w:ind w:left="440"/>
              <w:spacing w:after="0"/>
              <w:rPr>
                <w:rFonts w:ascii="Arial" w:cs="Arial" w:eastAsia="Arial" w:hAnsi="Arial"/>
                <w:sz w:val="16"/>
                <w:szCs w:val="16"/>
                <w:color w:val="auto"/>
              </w:rPr>
            </w:pPr>
            <w:hyperlink w:anchor="page102">
              <w:r>
                <w:rPr>
                  <w:rFonts w:ascii="Arial" w:cs="Arial" w:eastAsia="Arial" w:hAnsi="Arial"/>
                  <w:sz w:val="16"/>
                  <w:szCs w:val="16"/>
                  <w:color w:val="auto"/>
                </w:rPr>
                <w:t>Other Information</w:t>
              </w:r>
            </w:hyperlink>
          </w:p>
        </w:tc>
        <w:tc>
          <w:tcPr>
            <w:tcW w:w="700" w:type="dxa"/>
            <w:vAlign w:val="bottom"/>
          </w:tcPr>
          <w:p>
            <w:pPr>
              <w:jc w:val="right"/>
              <w:spacing w:after="0"/>
              <w:rPr>
                <w:rFonts w:ascii="Arial" w:cs="Arial" w:eastAsia="Arial" w:hAnsi="Arial"/>
                <w:sz w:val="16"/>
                <w:szCs w:val="16"/>
                <w:color w:val="auto"/>
              </w:rPr>
            </w:pPr>
            <w:hyperlink w:anchor="page102">
              <w:r>
                <w:rPr>
                  <w:rFonts w:ascii="Arial" w:cs="Arial" w:eastAsia="Arial" w:hAnsi="Arial"/>
                  <w:sz w:val="16"/>
                  <w:szCs w:val="16"/>
                  <w:color w:val="auto"/>
                </w:rPr>
                <w:t>103</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9C.</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Disclosure Regarding Foreign Jurisdictions that Prevent Inspections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tcPr>
          <w:p>
            <w:pPr>
              <w:ind w:left="20"/>
              <w:spacing w:after="0"/>
              <w:rPr>
                <w:rFonts w:ascii="Arial" w:cs="Arial" w:eastAsia="Arial" w:hAnsi="Arial"/>
                <w:sz w:val="16"/>
                <w:szCs w:val="16"/>
                <w:b w:val="1"/>
                <w:bCs w:val="1"/>
                <w:color w:val="auto"/>
              </w:rPr>
            </w:pPr>
            <w:hyperlink w:anchor="page103">
              <w:r>
                <w:rPr>
                  <w:rFonts w:ascii="Arial" w:cs="Arial" w:eastAsia="Arial" w:hAnsi="Arial"/>
                  <w:sz w:val="16"/>
                  <w:szCs w:val="16"/>
                  <w:b w:val="1"/>
                  <w:bCs w:val="1"/>
                  <w:color w:val="auto"/>
                </w:rPr>
                <w:t>PART III</w:t>
              </w:r>
            </w:hyperlink>
          </w:p>
        </w:tc>
        <w:tc>
          <w:tcPr>
            <w:tcW w:w="8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10.</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Directors, Executive Officers, and Corporate Governance</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11.</w:t>
              </w:r>
            </w:hyperlink>
          </w:p>
        </w:tc>
        <w:tc>
          <w:tcPr>
            <w:tcW w:w="8600" w:type="dxa"/>
            <w:vAlign w:val="bottom"/>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Executive Compensation</w:t>
              </w:r>
            </w:hyperlink>
          </w:p>
        </w:tc>
        <w:tc>
          <w:tcPr>
            <w:tcW w:w="700" w:type="dxa"/>
            <w:vAlign w:val="bottom"/>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12.</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Security Ownership of Certain Beneficial Owners and Management and Related Stockholder Matters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13.</w:t>
              </w:r>
            </w:hyperlink>
          </w:p>
        </w:tc>
        <w:tc>
          <w:tcPr>
            <w:tcW w:w="8600" w:type="dxa"/>
            <w:vAlign w:val="bottom"/>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Certain Relationships and Related Transactions, and Director Independence</w:t>
              </w:r>
            </w:hyperlink>
          </w:p>
        </w:tc>
        <w:tc>
          <w:tcPr>
            <w:tcW w:w="700" w:type="dxa"/>
            <w:vAlign w:val="bottom"/>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3">
              <w:r>
                <w:rPr>
                  <w:rFonts w:ascii="Arial" w:cs="Arial" w:eastAsia="Arial" w:hAnsi="Arial"/>
                  <w:sz w:val="16"/>
                  <w:szCs w:val="16"/>
                  <w:color w:val="auto"/>
                </w:rPr>
                <w:t>Item 14.</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3">
              <w:r>
                <w:rPr>
                  <w:rFonts w:ascii="Arial" w:cs="Arial" w:eastAsia="Arial" w:hAnsi="Arial"/>
                  <w:sz w:val="16"/>
                  <w:szCs w:val="16"/>
                  <w:color w:val="auto"/>
                </w:rPr>
                <w:t>Principal Accountant Fees and Services</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103</w:t>
              </w:r>
            </w:hyperlink>
          </w:p>
        </w:tc>
      </w:tr>
      <w:tr>
        <w:trPr>
          <w:trHeight w:val="204"/>
        </w:trPr>
        <w:tc>
          <w:tcPr>
            <w:tcW w:w="1260" w:type="dxa"/>
            <w:vAlign w:val="bottom"/>
          </w:tcPr>
          <w:p>
            <w:pPr>
              <w:ind w:left="20"/>
              <w:spacing w:after="0"/>
              <w:rPr>
                <w:rFonts w:ascii="Arial" w:cs="Arial" w:eastAsia="Arial" w:hAnsi="Arial"/>
                <w:sz w:val="16"/>
                <w:szCs w:val="16"/>
                <w:b w:val="1"/>
                <w:bCs w:val="1"/>
                <w:color w:val="auto"/>
              </w:rPr>
            </w:pPr>
            <w:hyperlink w:anchor="page103">
              <w:r>
                <w:rPr>
                  <w:rFonts w:ascii="Arial" w:cs="Arial" w:eastAsia="Arial" w:hAnsi="Arial"/>
                  <w:sz w:val="16"/>
                  <w:szCs w:val="16"/>
                  <w:b w:val="1"/>
                  <w:bCs w:val="1"/>
                  <w:color w:val="auto"/>
                </w:rPr>
                <w:t>PART IV</w:t>
              </w:r>
            </w:hyperlink>
          </w:p>
        </w:tc>
        <w:tc>
          <w:tcPr>
            <w:tcW w:w="86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1260" w:type="dxa"/>
            <w:vAlign w:val="bottom"/>
            <w:shd w:val="clear" w:color="auto" w:fill="D1D2D4"/>
          </w:tcPr>
          <w:p>
            <w:pPr>
              <w:ind w:left="120"/>
              <w:spacing w:after="0"/>
              <w:rPr>
                <w:rFonts w:ascii="Arial" w:cs="Arial" w:eastAsia="Arial" w:hAnsi="Arial"/>
                <w:sz w:val="16"/>
                <w:szCs w:val="16"/>
                <w:color w:val="auto"/>
              </w:rPr>
            </w:pPr>
            <w:hyperlink w:anchor="page104">
              <w:r>
                <w:rPr>
                  <w:rFonts w:ascii="Arial" w:cs="Arial" w:eastAsia="Arial" w:hAnsi="Arial"/>
                  <w:sz w:val="16"/>
                  <w:szCs w:val="16"/>
                  <w:color w:val="auto"/>
                </w:rPr>
                <w:t>Item 15.</w:t>
              </w:r>
            </w:hyperlink>
          </w:p>
        </w:tc>
        <w:tc>
          <w:tcPr>
            <w:tcW w:w="8600" w:type="dxa"/>
            <w:vAlign w:val="bottom"/>
            <w:shd w:val="clear" w:color="auto" w:fill="D1D2D4"/>
          </w:tcPr>
          <w:p>
            <w:pPr>
              <w:ind w:left="440"/>
              <w:spacing w:after="0"/>
              <w:rPr>
                <w:rFonts w:ascii="Arial" w:cs="Arial" w:eastAsia="Arial" w:hAnsi="Arial"/>
                <w:sz w:val="16"/>
                <w:szCs w:val="16"/>
                <w:color w:val="auto"/>
              </w:rPr>
            </w:pPr>
            <w:hyperlink w:anchor="page104">
              <w:r>
                <w:rPr>
                  <w:rFonts w:ascii="Arial" w:cs="Arial" w:eastAsia="Arial" w:hAnsi="Arial"/>
                  <w:sz w:val="16"/>
                  <w:szCs w:val="16"/>
                  <w:color w:val="auto"/>
                </w:rPr>
                <w:t>Exhibits and Financial Statement Schedule</w:t>
              </w:r>
            </w:hyperlink>
          </w:p>
        </w:tc>
        <w:tc>
          <w:tcPr>
            <w:tcW w:w="700" w:type="dxa"/>
            <w:vAlign w:val="bottom"/>
            <w:shd w:val="clear" w:color="auto" w:fill="D1D2D4"/>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104</w:t>
              </w:r>
            </w:hyperlink>
          </w:p>
        </w:tc>
      </w:tr>
      <w:tr>
        <w:trPr>
          <w:trHeight w:val="204"/>
        </w:trPr>
        <w:tc>
          <w:tcPr>
            <w:tcW w:w="1260" w:type="dxa"/>
            <w:vAlign w:val="bottom"/>
          </w:tcPr>
          <w:p>
            <w:pPr>
              <w:ind w:left="120"/>
              <w:spacing w:after="0"/>
              <w:rPr>
                <w:rFonts w:ascii="Arial" w:cs="Arial" w:eastAsia="Arial" w:hAnsi="Arial"/>
                <w:sz w:val="16"/>
                <w:szCs w:val="16"/>
                <w:color w:val="auto"/>
              </w:rPr>
            </w:pPr>
            <w:hyperlink w:anchor="page108">
              <w:r>
                <w:rPr>
                  <w:rFonts w:ascii="Arial" w:cs="Arial" w:eastAsia="Arial" w:hAnsi="Arial"/>
                  <w:sz w:val="16"/>
                  <w:szCs w:val="16"/>
                  <w:color w:val="auto"/>
                </w:rPr>
                <w:t>Item 16.</w:t>
              </w:r>
            </w:hyperlink>
          </w:p>
        </w:tc>
        <w:tc>
          <w:tcPr>
            <w:tcW w:w="8600" w:type="dxa"/>
            <w:vAlign w:val="bottom"/>
          </w:tcPr>
          <w:p>
            <w:pPr>
              <w:ind w:left="440"/>
              <w:spacing w:after="0"/>
              <w:rPr>
                <w:rFonts w:ascii="Arial" w:cs="Arial" w:eastAsia="Arial" w:hAnsi="Arial"/>
                <w:sz w:val="16"/>
                <w:szCs w:val="16"/>
                <w:color w:val="auto"/>
              </w:rPr>
            </w:pPr>
            <w:hyperlink w:anchor="page108">
              <w:r>
                <w:rPr>
                  <w:rFonts w:ascii="Arial" w:cs="Arial" w:eastAsia="Arial" w:hAnsi="Arial"/>
                  <w:sz w:val="16"/>
                  <w:szCs w:val="16"/>
                  <w:color w:val="auto"/>
                </w:rPr>
                <w:t>Form 10-K Summary</w:t>
              </w:r>
            </w:hyperlink>
          </w:p>
        </w:tc>
        <w:tc>
          <w:tcPr>
            <w:tcW w:w="70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108</w:t>
              </w:r>
            </w:hyperlink>
          </w:p>
        </w:tc>
      </w:tr>
      <w:tr>
        <w:trPr>
          <w:trHeight w:val="204"/>
        </w:trPr>
        <w:tc>
          <w:tcPr>
            <w:tcW w:w="1260" w:type="dxa"/>
            <w:vAlign w:val="bottom"/>
            <w:shd w:val="clear" w:color="auto" w:fill="D1D2D4"/>
          </w:tcPr>
          <w:p>
            <w:pPr>
              <w:ind w:left="20"/>
              <w:spacing w:after="0"/>
              <w:rPr>
                <w:rFonts w:ascii="Arial" w:cs="Arial" w:eastAsia="Arial" w:hAnsi="Arial"/>
                <w:sz w:val="16"/>
                <w:szCs w:val="16"/>
                <w:color w:val="auto"/>
              </w:rPr>
            </w:pPr>
            <w:hyperlink w:anchor="page108">
              <w:r>
                <w:rPr>
                  <w:rFonts w:ascii="Arial" w:cs="Arial" w:eastAsia="Arial" w:hAnsi="Arial"/>
                  <w:sz w:val="16"/>
                  <w:szCs w:val="16"/>
                  <w:color w:val="auto"/>
                </w:rPr>
                <w:t>Signatures</w:t>
              </w:r>
            </w:hyperlink>
          </w:p>
        </w:tc>
        <w:tc>
          <w:tcPr>
            <w:tcW w:w="8600" w:type="dxa"/>
            <w:vAlign w:val="bottom"/>
            <w:shd w:val="clear" w:color="auto" w:fill="D1D2D4"/>
          </w:tcPr>
          <w:p>
            <w:pPr>
              <w:spacing w:after="0"/>
              <w:rPr>
                <w:sz w:val="17"/>
                <w:szCs w:val="17"/>
                <w:color w:val="auto"/>
              </w:rPr>
            </w:pPr>
          </w:p>
        </w:tc>
        <w:tc>
          <w:tcPr>
            <w:tcW w:w="700" w:type="dxa"/>
            <w:vAlign w:val="bottom"/>
            <w:shd w:val="clear" w:color="auto" w:fill="D1D2D4"/>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109</w:t>
              </w:r>
            </w:hyperlink>
          </w:p>
        </w:tc>
      </w:tr>
      <w:tr>
        <w:trPr>
          <w:trHeight w:val="1026"/>
        </w:trPr>
        <w:tc>
          <w:tcPr>
            <w:tcW w:w="126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102"/>
        </w:trPr>
        <w:tc>
          <w:tcPr>
            <w:tcW w:w="1260" w:type="dxa"/>
            <w:vAlign w:val="bottom"/>
            <w:tcBorders>
              <w:bottom w:val="single" w:sz="8" w:color="EEEEEE"/>
            </w:tcBorders>
          </w:tcPr>
          <w:p>
            <w:pPr>
              <w:spacing w:after="0"/>
              <w:rPr>
                <w:sz w:val="8"/>
                <w:szCs w:val="8"/>
                <w:color w:val="auto"/>
              </w:rPr>
            </w:pPr>
          </w:p>
        </w:tc>
        <w:tc>
          <w:tcPr>
            <w:tcW w:w="8600" w:type="dxa"/>
            <w:vAlign w:val="bottom"/>
            <w:tcBorders>
              <w:bottom w:val="single" w:sz="8" w:color="EEEEEE"/>
            </w:tcBorders>
          </w:tcPr>
          <w:p>
            <w:pPr>
              <w:spacing w:after="0"/>
              <w:rPr>
                <w:sz w:val="8"/>
                <w:szCs w:val="8"/>
                <w:color w:val="auto"/>
              </w:rPr>
            </w:pPr>
          </w:p>
        </w:tc>
        <w:tc>
          <w:tcPr>
            <w:tcW w:w="7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-266065</wp:posOffset>
            </wp:positionV>
            <wp:extent cx="693420" cy="14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ectPr>
          <w:pgSz w:w="11900" w:h="16840" w:orient="portrait"/>
          <w:cols w:equalWidth="0" w:num="1">
            <w:col w:w="10560"/>
          </w:cols>
          <w:pgMar w:left="660" w:top="1263" w:right="680" w:bottom="1440" w:gutter="0" w:footer="0" w:header="0"/>
        </w:sectPr>
      </w:pPr>
    </w:p>
    <w:bookmarkStart w:id="4" w:name="page5"/>
    <w:bookmarkEnd w:id="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Definitions of Commonly Used Terms</w:t>
      </w:r>
    </w:p>
    <w:p>
      <w:pPr>
        <w:spacing w:after="0" w:line="237" w:lineRule="exact"/>
        <w:rPr>
          <w:sz w:val="20"/>
          <w:szCs w:val="20"/>
          <w:color w:val="auto"/>
        </w:rPr>
      </w:pPr>
    </w:p>
    <w:p>
      <w:pPr>
        <w:ind w:right="420"/>
        <w:spacing w:after="0" w:line="293" w:lineRule="auto"/>
        <w:rPr>
          <w:sz w:val="20"/>
          <w:szCs w:val="20"/>
          <w:color w:val="auto"/>
        </w:rPr>
      </w:pPr>
      <w:r>
        <w:rPr>
          <w:rFonts w:ascii="Arial" w:cs="Arial" w:eastAsia="Arial" w:hAnsi="Arial"/>
          <w:sz w:val="14"/>
          <w:szCs w:val="14"/>
          <w:color w:val="auto"/>
        </w:rPr>
        <w:t>As used herein, “we,” “our,” “us,” and similar terms include Micron Technology, Inc. and its consolidated subsidiaries, unless the context indicates otherwise. Abbreviations, acronyms, or terms that are commonly used or found in multiple locations throughout this report and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w:t>
            </w:r>
          </w:p>
        </w:tc>
        <w:tc>
          <w:tcPr>
            <w:tcW w:w="7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Definition</w:t>
            </w:r>
          </w:p>
        </w:tc>
        <w:tc>
          <w:tcPr>
            <w:tcW w:w="100" w:type="dxa"/>
            <w:vAlign w:val="bottom"/>
          </w:tcPr>
          <w:p>
            <w:pPr>
              <w:spacing w:after="0"/>
              <w:rPr>
                <w:sz w:val="17"/>
                <w:szCs w:val="17"/>
                <w:color w:val="auto"/>
              </w:rPr>
            </w:pPr>
          </w:p>
        </w:tc>
        <w:tc>
          <w:tcPr>
            <w:tcW w:w="17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Term</w:t>
            </w:r>
          </w:p>
        </w:tc>
        <w:tc>
          <w:tcPr>
            <w:tcW w:w="3680" w:type="dxa"/>
            <w:vAlign w:val="bottom"/>
            <w:tcBorders>
              <w:bottom w:val="single" w:sz="8" w:color="auto"/>
            </w:tcBorders>
          </w:tcPr>
          <w:p>
            <w:pPr>
              <w:ind w:left="1520"/>
              <w:spacing w:after="0"/>
              <w:rPr>
                <w:sz w:val="20"/>
                <w:szCs w:val="20"/>
                <w:color w:val="auto"/>
              </w:rPr>
            </w:pPr>
            <w:r>
              <w:rPr>
                <w:rFonts w:ascii="Arial" w:cs="Arial" w:eastAsia="Arial" w:hAnsi="Arial"/>
                <w:sz w:val="16"/>
                <w:szCs w:val="16"/>
                <w:b w:val="1"/>
                <w:bCs w:val="1"/>
                <w:color w:val="auto"/>
              </w:rPr>
              <w:t>Definition</w:t>
            </w:r>
          </w:p>
        </w:tc>
      </w:tr>
      <w:tr>
        <w:trPr>
          <w:trHeight w:val="28"/>
        </w:trPr>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157"/>
        </w:trPr>
        <w:tc>
          <w:tcPr>
            <w:tcW w:w="380" w:type="dxa"/>
            <w:vAlign w:val="bottom"/>
            <w:shd w:val="clear" w:color="auto" w:fill="DBDBDB"/>
          </w:tcPr>
          <w:p>
            <w:pPr>
              <w:jc w:val="right"/>
              <w:spacing w:after="0" w:line="157" w:lineRule="exact"/>
              <w:rPr>
                <w:sz w:val="20"/>
                <w:szCs w:val="20"/>
                <w:color w:val="auto"/>
              </w:rPr>
            </w:pPr>
            <w:r>
              <w:rPr>
                <w:rFonts w:ascii="Arial" w:cs="Arial" w:eastAsia="Arial" w:hAnsi="Arial"/>
                <w:sz w:val="16"/>
                <w:szCs w:val="16"/>
                <w:color w:val="auto"/>
                <w:w w:val="95"/>
              </w:rPr>
              <w:t>2024</w:t>
            </w:r>
          </w:p>
        </w:tc>
        <w:tc>
          <w:tcPr>
            <w:tcW w:w="11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rPr>
              <w:t>Term Loan A</w:t>
            </w:r>
          </w:p>
        </w:tc>
        <w:tc>
          <w:tcPr>
            <w:tcW w:w="3540" w:type="dxa"/>
            <w:vAlign w:val="bottom"/>
            <w:gridSpan w:val="2"/>
            <w:shd w:val="clear" w:color="auto" w:fill="DBDBDB"/>
          </w:tcPr>
          <w:p>
            <w:pPr>
              <w:ind w:left="160"/>
              <w:spacing w:after="0" w:line="157" w:lineRule="exact"/>
              <w:rPr>
                <w:sz w:val="20"/>
                <w:szCs w:val="20"/>
                <w:color w:val="auto"/>
              </w:rPr>
            </w:pPr>
            <w:r>
              <w:rPr>
                <w:rFonts w:ascii="Arial" w:cs="Arial" w:eastAsia="Arial" w:hAnsi="Arial"/>
                <w:sz w:val="16"/>
                <w:szCs w:val="16"/>
                <w:color w:val="auto"/>
              </w:rPr>
              <w:t>Senior Term Loan A due October 2024, repaid</w:t>
            </w:r>
          </w:p>
        </w:tc>
        <w:tc>
          <w:tcPr>
            <w:tcW w:w="100" w:type="dxa"/>
            <w:vAlign w:val="bottom"/>
            <w:shd w:val="clear" w:color="auto" w:fill="DBDBDB"/>
          </w:tcPr>
          <w:p>
            <w:pPr>
              <w:spacing w:after="0"/>
              <w:rPr>
                <w:sz w:val="13"/>
                <w:szCs w:val="13"/>
                <w:color w:val="auto"/>
              </w:rPr>
            </w:pPr>
          </w:p>
        </w:tc>
        <w:tc>
          <w:tcPr>
            <w:tcW w:w="1740" w:type="dxa"/>
            <w:vAlign w:val="bottom"/>
            <w:shd w:val="clear" w:color="auto" w:fill="DBDBDB"/>
          </w:tcPr>
          <w:p>
            <w:pPr>
              <w:spacing w:after="0" w:line="157" w:lineRule="exact"/>
              <w:rPr>
                <w:sz w:val="20"/>
                <w:szCs w:val="20"/>
                <w:color w:val="auto"/>
              </w:rPr>
            </w:pPr>
            <w:r>
              <w:rPr>
                <w:rFonts w:ascii="Arial" w:cs="Arial" w:eastAsia="Arial" w:hAnsi="Arial"/>
                <w:sz w:val="16"/>
                <w:szCs w:val="16"/>
                <w:color w:val="auto"/>
              </w:rPr>
              <w:t>2035 B Notes</w:t>
            </w:r>
          </w:p>
        </w:tc>
        <w:tc>
          <w:tcPr>
            <w:tcW w:w="3680" w:type="dxa"/>
            <w:vAlign w:val="bottom"/>
            <w:shd w:val="clear" w:color="auto" w:fill="DBDBDB"/>
          </w:tcPr>
          <w:p>
            <w:pPr>
              <w:ind w:left="80"/>
              <w:spacing w:after="0" w:line="157" w:lineRule="exact"/>
              <w:rPr>
                <w:sz w:val="20"/>
                <w:szCs w:val="20"/>
                <w:color w:val="auto"/>
              </w:rPr>
            </w:pPr>
            <w:r>
              <w:rPr>
                <w:rFonts w:ascii="Arial" w:cs="Arial" w:eastAsia="Arial" w:hAnsi="Arial"/>
                <w:sz w:val="16"/>
                <w:szCs w:val="16"/>
                <w:color w:val="auto"/>
              </w:rPr>
              <w:t>6.050% Senior Notes due November 2035</w:t>
            </w:r>
          </w:p>
        </w:tc>
      </w:tr>
      <w:tr>
        <w:trPr>
          <w:trHeight w:val="203"/>
        </w:trPr>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354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January 2024</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17"/>
                <w:szCs w:val="17"/>
                <w:color w:val="auto"/>
              </w:rPr>
            </w:pPr>
          </w:p>
        </w:tc>
        <w:tc>
          <w:tcPr>
            <w:tcW w:w="3680" w:type="dxa"/>
            <w:vAlign w:val="bottom"/>
            <w:shd w:val="clear" w:color="auto" w:fill="DBDBDB"/>
          </w:tcPr>
          <w:p>
            <w:pPr>
              <w:spacing w:after="0"/>
              <w:rPr>
                <w:sz w:val="17"/>
                <w:szCs w:val="17"/>
                <w:color w:val="auto"/>
              </w:rPr>
            </w:pPr>
          </w:p>
        </w:tc>
      </w:tr>
      <w:tr>
        <w:trPr>
          <w:trHeight w:val="157"/>
        </w:trPr>
        <w:tc>
          <w:tcPr>
            <w:tcW w:w="380" w:type="dxa"/>
            <w:vAlign w:val="bottom"/>
          </w:tcPr>
          <w:p>
            <w:pPr>
              <w:jc w:val="right"/>
              <w:spacing w:after="0" w:line="157" w:lineRule="exact"/>
              <w:rPr>
                <w:sz w:val="20"/>
                <w:szCs w:val="20"/>
                <w:color w:val="auto"/>
              </w:rPr>
            </w:pPr>
            <w:r>
              <w:rPr>
                <w:rFonts w:ascii="Arial" w:cs="Arial" w:eastAsia="Arial" w:hAnsi="Arial"/>
                <w:sz w:val="16"/>
                <w:szCs w:val="16"/>
                <w:color w:val="auto"/>
                <w:w w:val="95"/>
              </w:rPr>
              <w:t>2025</w:t>
            </w:r>
          </w:p>
        </w:tc>
        <w:tc>
          <w:tcPr>
            <w:tcW w:w="1120" w:type="dxa"/>
            <w:vAlign w:val="bottom"/>
          </w:tcPr>
          <w:p>
            <w:pPr>
              <w:ind w:left="20"/>
              <w:spacing w:after="0" w:line="157" w:lineRule="exact"/>
              <w:rPr>
                <w:sz w:val="20"/>
                <w:szCs w:val="20"/>
                <w:color w:val="auto"/>
              </w:rPr>
            </w:pPr>
            <w:r>
              <w:rPr>
                <w:rFonts w:ascii="Arial" w:cs="Arial" w:eastAsia="Arial" w:hAnsi="Arial"/>
                <w:sz w:val="16"/>
                <w:szCs w:val="16"/>
                <w:color w:val="auto"/>
              </w:rPr>
              <w:t>Term Loan A</w:t>
            </w:r>
          </w:p>
        </w:tc>
        <w:tc>
          <w:tcPr>
            <w:tcW w:w="3540" w:type="dxa"/>
            <w:vAlign w:val="bottom"/>
            <w:gridSpan w:val="2"/>
          </w:tcPr>
          <w:p>
            <w:pPr>
              <w:ind w:left="160"/>
              <w:spacing w:after="0" w:line="157" w:lineRule="exact"/>
              <w:rPr>
                <w:sz w:val="20"/>
                <w:szCs w:val="20"/>
                <w:color w:val="auto"/>
              </w:rPr>
            </w:pPr>
            <w:r>
              <w:rPr>
                <w:rFonts w:ascii="Arial" w:cs="Arial" w:eastAsia="Arial" w:hAnsi="Arial"/>
                <w:sz w:val="16"/>
                <w:szCs w:val="16"/>
                <w:color w:val="auto"/>
              </w:rPr>
              <w:t>Senior Term Loan A due November 2025,</w:t>
            </w:r>
          </w:p>
        </w:tc>
        <w:tc>
          <w:tcPr>
            <w:tcW w:w="100" w:type="dxa"/>
            <w:vAlign w:val="bottom"/>
          </w:tcPr>
          <w:p>
            <w:pPr>
              <w:spacing w:after="0"/>
              <w:rPr>
                <w:sz w:val="13"/>
                <w:szCs w:val="13"/>
                <w:color w:val="auto"/>
              </w:rPr>
            </w:pPr>
          </w:p>
        </w:tc>
        <w:tc>
          <w:tcPr>
            <w:tcW w:w="1740" w:type="dxa"/>
            <w:vAlign w:val="bottom"/>
          </w:tcPr>
          <w:p>
            <w:pPr>
              <w:spacing w:after="0" w:line="157" w:lineRule="exact"/>
              <w:rPr>
                <w:sz w:val="20"/>
                <w:szCs w:val="20"/>
                <w:color w:val="auto"/>
              </w:rPr>
            </w:pPr>
            <w:r>
              <w:rPr>
                <w:rFonts w:ascii="Arial" w:cs="Arial" w:eastAsia="Arial" w:hAnsi="Arial"/>
                <w:sz w:val="16"/>
                <w:szCs w:val="16"/>
                <w:color w:val="auto"/>
              </w:rPr>
              <w:t>2041 Notes</w:t>
            </w:r>
          </w:p>
        </w:tc>
        <w:tc>
          <w:tcPr>
            <w:tcW w:w="3680" w:type="dxa"/>
            <w:vAlign w:val="bottom"/>
          </w:tcPr>
          <w:p>
            <w:pPr>
              <w:ind w:left="80"/>
              <w:spacing w:after="0" w:line="157" w:lineRule="exact"/>
              <w:rPr>
                <w:sz w:val="20"/>
                <w:szCs w:val="20"/>
                <w:color w:val="auto"/>
              </w:rPr>
            </w:pPr>
            <w:r>
              <w:rPr>
                <w:rFonts w:ascii="Arial" w:cs="Arial" w:eastAsia="Arial" w:hAnsi="Arial"/>
                <w:sz w:val="16"/>
                <w:szCs w:val="16"/>
                <w:color w:val="auto"/>
              </w:rPr>
              <w:t>3.366% Senior Notes due November 2041</w:t>
            </w:r>
          </w:p>
        </w:tc>
      </w:tr>
      <w:tr>
        <w:trPr>
          <w:trHeight w:val="203"/>
        </w:trPr>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gridSpan w:val="2"/>
          </w:tcPr>
          <w:p>
            <w:pPr>
              <w:ind w:left="160"/>
              <w:spacing w:after="0"/>
              <w:rPr>
                <w:sz w:val="20"/>
                <w:szCs w:val="20"/>
                <w:color w:val="auto"/>
              </w:rPr>
            </w:pPr>
            <w:r>
              <w:rPr>
                <w:rFonts w:ascii="Arial" w:cs="Arial" w:eastAsia="Arial" w:hAnsi="Arial"/>
                <w:sz w:val="16"/>
                <w:szCs w:val="16"/>
                <w:color w:val="auto"/>
              </w:rPr>
              <w:t>repaid May 2024</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157"/>
        </w:trPr>
        <w:tc>
          <w:tcPr>
            <w:tcW w:w="380" w:type="dxa"/>
            <w:vAlign w:val="bottom"/>
            <w:shd w:val="clear" w:color="auto" w:fill="DBDBDB"/>
          </w:tcPr>
          <w:p>
            <w:pPr>
              <w:jc w:val="right"/>
              <w:spacing w:after="0" w:line="157" w:lineRule="exact"/>
              <w:rPr>
                <w:sz w:val="20"/>
                <w:szCs w:val="20"/>
                <w:color w:val="auto"/>
              </w:rPr>
            </w:pPr>
            <w:r>
              <w:rPr>
                <w:rFonts w:ascii="Arial" w:cs="Arial" w:eastAsia="Arial" w:hAnsi="Arial"/>
                <w:sz w:val="16"/>
                <w:szCs w:val="16"/>
                <w:color w:val="auto"/>
                <w:w w:val="95"/>
              </w:rPr>
              <w:t>2026</w:t>
            </w:r>
          </w:p>
        </w:tc>
        <w:tc>
          <w:tcPr>
            <w:tcW w:w="11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rPr>
              <w:t>Notes</w:t>
            </w:r>
          </w:p>
        </w:tc>
        <w:tc>
          <w:tcPr>
            <w:tcW w:w="720" w:type="dxa"/>
            <w:vAlign w:val="bottom"/>
            <w:shd w:val="clear" w:color="auto" w:fill="DBDBDB"/>
          </w:tcPr>
          <w:p>
            <w:pPr>
              <w:ind w:left="160"/>
              <w:spacing w:after="0" w:line="157" w:lineRule="exact"/>
              <w:rPr>
                <w:sz w:val="20"/>
                <w:szCs w:val="20"/>
                <w:color w:val="auto"/>
              </w:rPr>
            </w:pPr>
            <w:r>
              <w:rPr>
                <w:rFonts w:ascii="Arial" w:cs="Arial" w:eastAsia="Arial" w:hAnsi="Arial"/>
                <w:sz w:val="16"/>
                <w:szCs w:val="16"/>
                <w:color w:val="auto"/>
                <w:w w:val="99"/>
              </w:rPr>
              <w:t>4.975%</w:t>
            </w:r>
          </w:p>
        </w:tc>
        <w:tc>
          <w:tcPr>
            <w:tcW w:w="28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w w:val="97"/>
              </w:rPr>
              <w:t>Senior Notes due February 2026, repaid</w:t>
            </w:r>
          </w:p>
        </w:tc>
        <w:tc>
          <w:tcPr>
            <w:tcW w:w="100" w:type="dxa"/>
            <w:vAlign w:val="bottom"/>
            <w:shd w:val="clear" w:color="auto" w:fill="DBDBDB"/>
          </w:tcPr>
          <w:p>
            <w:pPr>
              <w:spacing w:after="0"/>
              <w:rPr>
                <w:sz w:val="13"/>
                <w:szCs w:val="13"/>
                <w:color w:val="auto"/>
              </w:rPr>
            </w:pPr>
          </w:p>
        </w:tc>
        <w:tc>
          <w:tcPr>
            <w:tcW w:w="1740" w:type="dxa"/>
            <w:vAlign w:val="bottom"/>
            <w:shd w:val="clear" w:color="auto" w:fill="DBDBDB"/>
          </w:tcPr>
          <w:p>
            <w:pPr>
              <w:spacing w:after="0" w:line="157" w:lineRule="exact"/>
              <w:rPr>
                <w:sz w:val="20"/>
                <w:szCs w:val="20"/>
                <w:color w:val="auto"/>
              </w:rPr>
            </w:pPr>
            <w:r>
              <w:rPr>
                <w:rFonts w:ascii="Arial" w:cs="Arial" w:eastAsia="Arial" w:hAnsi="Arial"/>
                <w:sz w:val="16"/>
                <w:szCs w:val="16"/>
                <w:color w:val="auto"/>
              </w:rPr>
              <w:t>2051 Notes</w:t>
            </w:r>
          </w:p>
        </w:tc>
        <w:tc>
          <w:tcPr>
            <w:tcW w:w="3680" w:type="dxa"/>
            <w:vAlign w:val="bottom"/>
            <w:shd w:val="clear" w:color="auto" w:fill="DBDBDB"/>
          </w:tcPr>
          <w:p>
            <w:pPr>
              <w:ind w:left="80"/>
              <w:spacing w:after="0" w:line="157" w:lineRule="exact"/>
              <w:rPr>
                <w:sz w:val="20"/>
                <w:szCs w:val="20"/>
                <w:color w:val="auto"/>
              </w:rPr>
            </w:pPr>
            <w:r>
              <w:rPr>
                <w:rFonts w:ascii="Arial" w:cs="Arial" w:eastAsia="Arial" w:hAnsi="Arial"/>
                <w:sz w:val="16"/>
                <w:szCs w:val="16"/>
                <w:color w:val="auto"/>
              </w:rPr>
              <w:t>3.477% Senior Notes due November 2051</w:t>
            </w:r>
          </w:p>
        </w:tc>
      </w:tr>
      <w:tr>
        <w:trPr>
          <w:trHeight w:val="203"/>
        </w:trPr>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354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February 2025</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17"/>
                <w:szCs w:val="17"/>
                <w:color w:val="auto"/>
              </w:rPr>
            </w:pPr>
          </w:p>
        </w:tc>
        <w:tc>
          <w:tcPr>
            <w:tcW w:w="3680" w:type="dxa"/>
            <w:vAlign w:val="bottom"/>
            <w:shd w:val="clear" w:color="auto" w:fill="DBDBDB"/>
          </w:tcPr>
          <w:p>
            <w:pPr>
              <w:spacing w:after="0"/>
              <w:rPr>
                <w:sz w:val="17"/>
                <w:szCs w:val="17"/>
                <w:color w:val="auto"/>
              </w:rPr>
            </w:pPr>
          </w:p>
        </w:tc>
      </w:tr>
      <w:tr>
        <w:trPr>
          <w:trHeight w:val="157"/>
        </w:trPr>
        <w:tc>
          <w:tcPr>
            <w:tcW w:w="380" w:type="dxa"/>
            <w:vAlign w:val="bottom"/>
          </w:tcPr>
          <w:p>
            <w:pPr>
              <w:jc w:val="right"/>
              <w:spacing w:after="0" w:line="157" w:lineRule="exact"/>
              <w:rPr>
                <w:sz w:val="20"/>
                <w:szCs w:val="20"/>
                <w:color w:val="auto"/>
              </w:rPr>
            </w:pPr>
            <w:r>
              <w:rPr>
                <w:rFonts w:ascii="Arial" w:cs="Arial" w:eastAsia="Arial" w:hAnsi="Arial"/>
                <w:sz w:val="16"/>
                <w:szCs w:val="16"/>
                <w:color w:val="auto"/>
                <w:w w:val="95"/>
              </w:rPr>
              <w:t>2026</w:t>
            </w:r>
          </w:p>
        </w:tc>
        <w:tc>
          <w:tcPr>
            <w:tcW w:w="1120" w:type="dxa"/>
            <w:vAlign w:val="bottom"/>
          </w:tcPr>
          <w:p>
            <w:pPr>
              <w:ind w:left="20"/>
              <w:spacing w:after="0" w:line="157" w:lineRule="exact"/>
              <w:rPr>
                <w:sz w:val="20"/>
                <w:szCs w:val="20"/>
                <w:color w:val="auto"/>
              </w:rPr>
            </w:pPr>
            <w:r>
              <w:rPr>
                <w:rFonts w:ascii="Arial" w:cs="Arial" w:eastAsia="Arial" w:hAnsi="Arial"/>
                <w:sz w:val="16"/>
                <w:szCs w:val="16"/>
                <w:color w:val="auto"/>
              </w:rPr>
              <w:t>Term Loan A</w:t>
            </w:r>
          </w:p>
        </w:tc>
        <w:tc>
          <w:tcPr>
            <w:tcW w:w="3540" w:type="dxa"/>
            <w:vAlign w:val="bottom"/>
            <w:gridSpan w:val="2"/>
          </w:tcPr>
          <w:p>
            <w:pPr>
              <w:ind w:left="160"/>
              <w:spacing w:after="0" w:line="157" w:lineRule="exact"/>
              <w:rPr>
                <w:sz w:val="20"/>
                <w:szCs w:val="20"/>
                <w:color w:val="auto"/>
              </w:rPr>
            </w:pPr>
            <w:r>
              <w:rPr>
                <w:rFonts w:ascii="Arial" w:cs="Arial" w:eastAsia="Arial" w:hAnsi="Arial"/>
                <w:sz w:val="16"/>
                <w:szCs w:val="16"/>
                <w:color w:val="auto"/>
              </w:rPr>
              <w:t>Senior Term Loan A due November 2026,</w:t>
            </w:r>
          </w:p>
        </w:tc>
        <w:tc>
          <w:tcPr>
            <w:tcW w:w="100" w:type="dxa"/>
            <w:vAlign w:val="bottom"/>
          </w:tcPr>
          <w:p>
            <w:pPr>
              <w:spacing w:after="0"/>
              <w:rPr>
                <w:sz w:val="13"/>
                <w:szCs w:val="13"/>
                <w:color w:val="auto"/>
              </w:rPr>
            </w:pPr>
          </w:p>
        </w:tc>
        <w:tc>
          <w:tcPr>
            <w:tcW w:w="1740" w:type="dxa"/>
            <w:vAlign w:val="bottom"/>
          </w:tcPr>
          <w:p>
            <w:pPr>
              <w:spacing w:after="0" w:line="157" w:lineRule="exact"/>
              <w:rPr>
                <w:sz w:val="20"/>
                <w:szCs w:val="20"/>
                <w:color w:val="auto"/>
              </w:rPr>
            </w:pPr>
            <w:r>
              <w:rPr>
                <w:rFonts w:ascii="Arial" w:cs="Arial" w:eastAsia="Arial" w:hAnsi="Arial"/>
                <w:sz w:val="16"/>
                <w:szCs w:val="16"/>
                <w:color w:val="auto"/>
              </w:rPr>
              <w:t>AI</w:t>
            </w:r>
          </w:p>
        </w:tc>
        <w:tc>
          <w:tcPr>
            <w:tcW w:w="3680" w:type="dxa"/>
            <w:vAlign w:val="bottom"/>
          </w:tcPr>
          <w:p>
            <w:pPr>
              <w:ind w:left="80"/>
              <w:spacing w:after="0" w:line="157" w:lineRule="exact"/>
              <w:rPr>
                <w:sz w:val="20"/>
                <w:szCs w:val="20"/>
                <w:color w:val="auto"/>
              </w:rPr>
            </w:pPr>
            <w:r>
              <w:rPr>
                <w:rFonts w:ascii="Arial" w:cs="Arial" w:eastAsia="Arial" w:hAnsi="Arial"/>
                <w:sz w:val="16"/>
                <w:szCs w:val="16"/>
                <w:color w:val="auto"/>
              </w:rPr>
              <w:t>Artificial intelligence</w:t>
            </w:r>
          </w:p>
        </w:tc>
      </w:tr>
      <w:tr>
        <w:trPr>
          <w:trHeight w:val="203"/>
        </w:trPr>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gridSpan w:val="2"/>
          </w:tcPr>
          <w:p>
            <w:pPr>
              <w:ind w:left="160"/>
              <w:spacing w:after="0"/>
              <w:rPr>
                <w:sz w:val="20"/>
                <w:szCs w:val="20"/>
                <w:color w:val="auto"/>
              </w:rPr>
            </w:pPr>
            <w:r>
              <w:rPr>
                <w:rFonts w:ascii="Arial" w:cs="Arial" w:eastAsia="Arial" w:hAnsi="Arial"/>
                <w:sz w:val="16"/>
                <w:szCs w:val="16"/>
                <w:color w:val="auto"/>
              </w:rPr>
              <w:t>repaid January 2025</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157"/>
        </w:trPr>
        <w:tc>
          <w:tcPr>
            <w:tcW w:w="380" w:type="dxa"/>
            <w:vAlign w:val="bottom"/>
            <w:shd w:val="clear" w:color="auto" w:fill="DBDBDB"/>
          </w:tcPr>
          <w:p>
            <w:pPr>
              <w:jc w:val="right"/>
              <w:spacing w:after="0" w:line="157" w:lineRule="exact"/>
              <w:rPr>
                <w:sz w:val="20"/>
                <w:szCs w:val="20"/>
                <w:color w:val="auto"/>
              </w:rPr>
            </w:pPr>
            <w:r>
              <w:rPr>
                <w:rFonts w:ascii="Arial" w:cs="Arial" w:eastAsia="Arial" w:hAnsi="Arial"/>
                <w:sz w:val="16"/>
                <w:szCs w:val="16"/>
                <w:color w:val="auto"/>
                <w:w w:val="95"/>
              </w:rPr>
              <w:t>2027</w:t>
            </w:r>
          </w:p>
        </w:tc>
        <w:tc>
          <w:tcPr>
            <w:tcW w:w="11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rPr>
              <w:t>Notes</w:t>
            </w:r>
          </w:p>
        </w:tc>
        <w:tc>
          <w:tcPr>
            <w:tcW w:w="720" w:type="dxa"/>
            <w:vAlign w:val="bottom"/>
            <w:shd w:val="clear" w:color="auto" w:fill="DBDBDB"/>
          </w:tcPr>
          <w:p>
            <w:pPr>
              <w:ind w:left="160"/>
              <w:spacing w:after="0" w:line="157" w:lineRule="exact"/>
              <w:rPr>
                <w:sz w:val="20"/>
                <w:szCs w:val="20"/>
                <w:color w:val="auto"/>
              </w:rPr>
            </w:pPr>
            <w:r>
              <w:rPr>
                <w:rFonts w:ascii="Arial" w:cs="Arial" w:eastAsia="Arial" w:hAnsi="Arial"/>
                <w:sz w:val="16"/>
                <w:szCs w:val="16"/>
                <w:color w:val="auto"/>
                <w:w w:val="99"/>
              </w:rPr>
              <w:t>4.185%</w:t>
            </w:r>
          </w:p>
        </w:tc>
        <w:tc>
          <w:tcPr>
            <w:tcW w:w="28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w w:val="97"/>
              </w:rPr>
              <w:t>Senior Notes due February 2027, repaid</w:t>
            </w:r>
          </w:p>
        </w:tc>
        <w:tc>
          <w:tcPr>
            <w:tcW w:w="100" w:type="dxa"/>
            <w:vAlign w:val="bottom"/>
            <w:shd w:val="clear" w:color="auto" w:fill="DBDBDB"/>
          </w:tcPr>
          <w:p>
            <w:pPr>
              <w:spacing w:after="0"/>
              <w:rPr>
                <w:sz w:val="13"/>
                <w:szCs w:val="13"/>
                <w:color w:val="auto"/>
              </w:rPr>
            </w:pPr>
          </w:p>
        </w:tc>
        <w:tc>
          <w:tcPr>
            <w:tcW w:w="1740" w:type="dxa"/>
            <w:vAlign w:val="bottom"/>
            <w:shd w:val="clear" w:color="auto" w:fill="DBDBDB"/>
          </w:tcPr>
          <w:p>
            <w:pPr>
              <w:spacing w:after="0" w:line="157" w:lineRule="exact"/>
              <w:rPr>
                <w:sz w:val="20"/>
                <w:szCs w:val="20"/>
                <w:color w:val="auto"/>
              </w:rPr>
            </w:pPr>
            <w:r>
              <w:rPr>
                <w:rFonts w:ascii="Arial" w:cs="Arial" w:eastAsia="Arial" w:hAnsi="Arial"/>
                <w:sz w:val="16"/>
                <w:szCs w:val="16"/>
                <w:color w:val="auto"/>
              </w:rPr>
              <w:t>CAC</w:t>
            </w:r>
          </w:p>
        </w:tc>
        <w:tc>
          <w:tcPr>
            <w:tcW w:w="3680" w:type="dxa"/>
            <w:vAlign w:val="bottom"/>
            <w:shd w:val="clear" w:color="auto" w:fill="DBDBDB"/>
          </w:tcPr>
          <w:p>
            <w:pPr>
              <w:ind w:left="80"/>
              <w:spacing w:after="0" w:line="157" w:lineRule="exact"/>
              <w:rPr>
                <w:sz w:val="20"/>
                <w:szCs w:val="20"/>
                <w:color w:val="auto"/>
              </w:rPr>
            </w:pPr>
            <w:r>
              <w:rPr>
                <w:rFonts w:ascii="Arial" w:cs="Arial" w:eastAsia="Arial" w:hAnsi="Arial"/>
                <w:sz w:val="16"/>
                <w:szCs w:val="16"/>
                <w:color w:val="auto"/>
              </w:rPr>
              <w:t>China’s Cyberspace Administration</w:t>
            </w:r>
          </w:p>
        </w:tc>
      </w:tr>
      <w:tr>
        <w:trPr>
          <w:trHeight w:val="203"/>
        </w:trPr>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354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May 2025</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17"/>
                <w:szCs w:val="17"/>
                <w:color w:val="auto"/>
              </w:rPr>
            </w:pPr>
          </w:p>
        </w:tc>
        <w:tc>
          <w:tcPr>
            <w:tcW w:w="3680" w:type="dxa"/>
            <w:vAlign w:val="bottom"/>
            <w:shd w:val="clear" w:color="auto" w:fill="DBDBDB"/>
          </w:tcPr>
          <w:p>
            <w:pPr>
              <w:spacing w:after="0"/>
              <w:rPr>
                <w:sz w:val="17"/>
                <w:szCs w:val="17"/>
                <w:color w:val="auto"/>
              </w:rPr>
            </w:pPr>
          </w:p>
        </w:tc>
      </w:tr>
      <w:tr>
        <w:trPr>
          <w:trHeight w:val="157"/>
        </w:trPr>
        <w:tc>
          <w:tcPr>
            <w:tcW w:w="380" w:type="dxa"/>
            <w:vAlign w:val="bottom"/>
          </w:tcPr>
          <w:p>
            <w:pPr>
              <w:jc w:val="right"/>
              <w:spacing w:after="0" w:line="157" w:lineRule="exact"/>
              <w:rPr>
                <w:sz w:val="20"/>
                <w:szCs w:val="20"/>
                <w:color w:val="auto"/>
              </w:rPr>
            </w:pPr>
            <w:r>
              <w:rPr>
                <w:rFonts w:ascii="Arial" w:cs="Arial" w:eastAsia="Arial" w:hAnsi="Arial"/>
                <w:sz w:val="16"/>
                <w:szCs w:val="16"/>
                <w:color w:val="auto"/>
                <w:w w:val="95"/>
              </w:rPr>
              <w:t>2027</w:t>
            </w:r>
          </w:p>
        </w:tc>
        <w:tc>
          <w:tcPr>
            <w:tcW w:w="1120" w:type="dxa"/>
            <w:vAlign w:val="bottom"/>
          </w:tcPr>
          <w:p>
            <w:pPr>
              <w:ind w:left="20"/>
              <w:spacing w:after="0" w:line="157" w:lineRule="exact"/>
              <w:rPr>
                <w:sz w:val="20"/>
                <w:szCs w:val="20"/>
                <w:color w:val="auto"/>
              </w:rPr>
            </w:pPr>
            <w:r>
              <w:rPr>
                <w:rFonts w:ascii="Arial" w:cs="Arial" w:eastAsia="Arial" w:hAnsi="Arial"/>
                <w:sz w:val="16"/>
                <w:szCs w:val="16"/>
                <w:color w:val="auto"/>
              </w:rPr>
              <w:t>Term Loan A</w:t>
            </w:r>
          </w:p>
        </w:tc>
        <w:tc>
          <w:tcPr>
            <w:tcW w:w="3540" w:type="dxa"/>
            <w:vAlign w:val="bottom"/>
            <w:gridSpan w:val="2"/>
          </w:tcPr>
          <w:p>
            <w:pPr>
              <w:ind w:left="160"/>
              <w:spacing w:after="0" w:line="157" w:lineRule="exact"/>
              <w:rPr>
                <w:sz w:val="20"/>
                <w:szCs w:val="20"/>
                <w:color w:val="auto"/>
              </w:rPr>
            </w:pPr>
            <w:r>
              <w:rPr>
                <w:rFonts w:ascii="Arial" w:cs="Arial" w:eastAsia="Arial" w:hAnsi="Arial"/>
                <w:sz w:val="16"/>
                <w:szCs w:val="16"/>
                <w:color w:val="auto"/>
              </w:rPr>
              <w:t>Senior Term Loan A due November 2027,</w:t>
            </w:r>
          </w:p>
        </w:tc>
        <w:tc>
          <w:tcPr>
            <w:tcW w:w="100" w:type="dxa"/>
            <w:vAlign w:val="bottom"/>
          </w:tcPr>
          <w:p>
            <w:pPr>
              <w:spacing w:after="0"/>
              <w:rPr>
                <w:sz w:val="13"/>
                <w:szCs w:val="13"/>
                <w:color w:val="auto"/>
              </w:rPr>
            </w:pPr>
          </w:p>
        </w:tc>
        <w:tc>
          <w:tcPr>
            <w:tcW w:w="1740" w:type="dxa"/>
            <w:vAlign w:val="bottom"/>
          </w:tcPr>
          <w:p>
            <w:pPr>
              <w:spacing w:after="0" w:line="157" w:lineRule="exact"/>
              <w:rPr>
                <w:sz w:val="20"/>
                <w:szCs w:val="20"/>
                <w:color w:val="auto"/>
              </w:rPr>
            </w:pPr>
            <w:r>
              <w:rPr>
                <w:rFonts w:ascii="Arial" w:cs="Arial" w:eastAsia="Arial" w:hAnsi="Arial"/>
                <w:sz w:val="16"/>
                <w:szCs w:val="16"/>
                <w:color w:val="auto"/>
              </w:rPr>
              <w:t>CHIPS Act</w:t>
            </w:r>
          </w:p>
        </w:tc>
        <w:tc>
          <w:tcPr>
            <w:tcW w:w="3680" w:type="dxa"/>
            <w:vAlign w:val="bottom"/>
          </w:tcPr>
          <w:p>
            <w:pPr>
              <w:ind w:left="80"/>
              <w:spacing w:after="0" w:line="157" w:lineRule="exact"/>
              <w:rPr>
                <w:sz w:val="20"/>
                <w:szCs w:val="20"/>
                <w:color w:val="auto"/>
              </w:rPr>
            </w:pPr>
            <w:r>
              <w:rPr>
                <w:rFonts w:ascii="Arial" w:cs="Arial" w:eastAsia="Arial" w:hAnsi="Arial"/>
                <w:sz w:val="16"/>
                <w:szCs w:val="16"/>
                <w:color w:val="auto"/>
              </w:rPr>
              <w:t>U.S. CHIPS and Science Act of 2022</w:t>
            </w:r>
          </w:p>
        </w:tc>
      </w:tr>
      <w:tr>
        <w:trPr>
          <w:trHeight w:val="203"/>
        </w:trPr>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gridSpan w:val="2"/>
          </w:tcPr>
          <w:p>
            <w:pPr>
              <w:ind w:left="160"/>
              <w:spacing w:after="0"/>
              <w:rPr>
                <w:sz w:val="20"/>
                <w:szCs w:val="20"/>
                <w:color w:val="auto"/>
              </w:rPr>
            </w:pPr>
            <w:r>
              <w:rPr>
                <w:rFonts w:ascii="Arial" w:cs="Arial" w:eastAsia="Arial" w:hAnsi="Arial"/>
                <w:sz w:val="16"/>
                <w:szCs w:val="16"/>
                <w:color w:val="auto"/>
              </w:rPr>
              <w:t>repaid January 2025</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4"/>
        </w:trPr>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5"/>
              </w:rPr>
              <w:t>2028</w:t>
            </w:r>
          </w:p>
        </w:tc>
        <w:tc>
          <w:tcPr>
            <w:tcW w:w="1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Notes</w:t>
            </w:r>
          </w:p>
        </w:tc>
        <w:tc>
          <w:tcPr>
            <w:tcW w:w="720" w:type="dxa"/>
            <w:vAlign w:val="bottom"/>
            <w:shd w:val="clear" w:color="auto" w:fill="DBDBDB"/>
          </w:tcPr>
          <w:p>
            <w:pPr>
              <w:ind w:left="160"/>
              <w:spacing w:after="0"/>
              <w:rPr>
                <w:sz w:val="20"/>
                <w:szCs w:val="20"/>
                <w:color w:val="auto"/>
              </w:rPr>
            </w:pPr>
            <w:r>
              <w:rPr>
                <w:rFonts w:ascii="Arial" w:cs="Arial" w:eastAsia="Arial" w:hAnsi="Arial"/>
                <w:sz w:val="16"/>
                <w:szCs w:val="16"/>
                <w:color w:val="auto"/>
                <w:w w:val="99"/>
              </w:rPr>
              <w:t>5.375%</w:t>
            </w:r>
          </w:p>
        </w:tc>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Notes due April 2028</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20"/>
                <w:szCs w:val="20"/>
                <w:color w:val="auto"/>
              </w:rPr>
            </w:pPr>
            <w:r>
              <w:rPr>
                <w:rFonts w:ascii="Arial" w:cs="Arial" w:eastAsia="Arial" w:hAnsi="Arial"/>
                <w:sz w:val="16"/>
                <w:szCs w:val="16"/>
                <w:color w:val="auto"/>
              </w:rPr>
              <w:t>DDR</w:t>
            </w: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Double data rate DRAM</w:t>
            </w:r>
          </w:p>
        </w:tc>
      </w:tr>
      <w:tr>
        <w:trPr>
          <w:trHeight w:val="157"/>
        </w:trPr>
        <w:tc>
          <w:tcPr>
            <w:tcW w:w="380" w:type="dxa"/>
            <w:vAlign w:val="bottom"/>
          </w:tcPr>
          <w:p>
            <w:pPr>
              <w:jc w:val="right"/>
              <w:spacing w:after="0" w:line="157" w:lineRule="exact"/>
              <w:rPr>
                <w:sz w:val="20"/>
                <w:szCs w:val="20"/>
                <w:color w:val="auto"/>
              </w:rPr>
            </w:pPr>
            <w:r>
              <w:rPr>
                <w:rFonts w:ascii="Arial" w:cs="Arial" w:eastAsia="Arial" w:hAnsi="Arial"/>
                <w:sz w:val="16"/>
                <w:szCs w:val="16"/>
                <w:color w:val="auto"/>
                <w:w w:val="95"/>
              </w:rPr>
              <w:t>2029</w:t>
            </w:r>
          </w:p>
        </w:tc>
        <w:tc>
          <w:tcPr>
            <w:tcW w:w="1120" w:type="dxa"/>
            <w:vAlign w:val="bottom"/>
          </w:tcPr>
          <w:p>
            <w:pPr>
              <w:ind w:left="20"/>
              <w:spacing w:after="0" w:line="157" w:lineRule="exact"/>
              <w:rPr>
                <w:sz w:val="20"/>
                <w:szCs w:val="20"/>
                <w:color w:val="auto"/>
              </w:rPr>
            </w:pPr>
            <w:r>
              <w:rPr>
                <w:rFonts w:ascii="Arial" w:cs="Arial" w:eastAsia="Arial" w:hAnsi="Arial"/>
                <w:sz w:val="16"/>
                <w:szCs w:val="16"/>
                <w:color w:val="auto"/>
              </w:rPr>
              <w:t>A Notes</w:t>
            </w:r>
          </w:p>
        </w:tc>
        <w:tc>
          <w:tcPr>
            <w:tcW w:w="720" w:type="dxa"/>
            <w:vAlign w:val="bottom"/>
          </w:tcPr>
          <w:p>
            <w:pPr>
              <w:ind w:left="160"/>
              <w:spacing w:after="0" w:line="157" w:lineRule="exact"/>
              <w:rPr>
                <w:sz w:val="20"/>
                <w:szCs w:val="20"/>
                <w:color w:val="auto"/>
              </w:rPr>
            </w:pPr>
            <w:r>
              <w:rPr>
                <w:rFonts w:ascii="Arial" w:cs="Arial" w:eastAsia="Arial" w:hAnsi="Arial"/>
                <w:sz w:val="16"/>
                <w:szCs w:val="16"/>
                <w:color w:val="auto"/>
                <w:w w:val="99"/>
              </w:rPr>
              <w:t>5.327%</w:t>
            </w:r>
          </w:p>
        </w:tc>
        <w:tc>
          <w:tcPr>
            <w:tcW w:w="2820" w:type="dxa"/>
            <w:vAlign w:val="bottom"/>
          </w:tcPr>
          <w:p>
            <w:pPr>
              <w:ind w:left="20"/>
              <w:spacing w:after="0" w:line="157" w:lineRule="exact"/>
              <w:rPr>
                <w:sz w:val="20"/>
                <w:szCs w:val="20"/>
                <w:color w:val="auto"/>
              </w:rPr>
            </w:pPr>
            <w:r>
              <w:rPr>
                <w:rFonts w:ascii="Arial" w:cs="Arial" w:eastAsia="Arial" w:hAnsi="Arial"/>
                <w:sz w:val="16"/>
                <w:szCs w:val="16"/>
                <w:color w:val="auto"/>
              </w:rPr>
              <w:t>Senior Notes due February 2029</w:t>
            </w:r>
          </w:p>
        </w:tc>
        <w:tc>
          <w:tcPr>
            <w:tcW w:w="100" w:type="dxa"/>
            <w:vAlign w:val="bottom"/>
          </w:tcPr>
          <w:p>
            <w:pPr>
              <w:spacing w:after="0"/>
              <w:rPr>
                <w:sz w:val="13"/>
                <w:szCs w:val="13"/>
                <w:color w:val="auto"/>
              </w:rPr>
            </w:pPr>
          </w:p>
        </w:tc>
        <w:tc>
          <w:tcPr>
            <w:tcW w:w="1740" w:type="dxa"/>
            <w:vAlign w:val="bottom"/>
          </w:tcPr>
          <w:p>
            <w:pPr>
              <w:spacing w:after="0" w:line="157" w:lineRule="exact"/>
              <w:rPr>
                <w:sz w:val="20"/>
                <w:szCs w:val="20"/>
                <w:color w:val="auto"/>
              </w:rPr>
            </w:pPr>
            <w:r>
              <w:rPr>
                <w:rFonts w:ascii="Arial" w:cs="Arial" w:eastAsia="Arial" w:hAnsi="Arial"/>
                <w:sz w:val="16"/>
                <w:szCs w:val="16"/>
                <w:color w:val="auto"/>
              </w:rPr>
              <w:t>EBITDA</w:t>
            </w:r>
          </w:p>
        </w:tc>
        <w:tc>
          <w:tcPr>
            <w:tcW w:w="3680" w:type="dxa"/>
            <w:vAlign w:val="bottom"/>
          </w:tcPr>
          <w:p>
            <w:pPr>
              <w:ind w:left="80"/>
              <w:spacing w:after="0" w:line="157" w:lineRule="exact"/>
              <w:rPr>
                <w:sz w:val="20"/>
                <w:szCs w:val="20"/>
                <w:color w:val="auto"/>
              </w:rPr>
            </w:pPr>
            <w:r>
              <w:rPr>
                <w:rFonts w:ascii="Arial" w:cs="Arial" w:eastAsia="Arial" w:hAnsi="Arial"/>
                <w:sz w:val="16"/>
                <w:szCs w:val="16"/>
                <w:color w:val="auto"/>
              </w:rPr>
              <w:t>Earnings before interest, taxes, depreciation, and</w:t>
            </w:r>
          </w:p>
        </w:tc>
      </w:tr>
      <w:tr>
        <w:trPr>
          <w:trHeight w:val="203"/>
        </w:trPr>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Arial" w:cs="Arial" w:eastAsia="Arial" w:hAnsi="Arial"/>
                <w:sz w:val="16"/>
                <w:szCs w:val="16"/>
                <w:color w:val="auto"/>
              </w:rPr>
              <w:t>amortization</w:t>
            </w:r>
          </w:p>
        </w:tc>
      </w:tr>
      <w:tr>
        <w:trPr>
          <w:trHeight w:val="204"/>
        </w:trPr>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5"/>
              </w:rPr>
              <w:t>2029</w:t>
            </w:r>
          </w:p>
        </w:tc>
        <w:tc>
          <w:tcPr>
            <w:tcW w:w="1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 Notes</w:t>
            </w:r>
          </w:p>
        </w:tc>
        <w:tc>
          <w:tcPr>
            <w:tcW w:w="720" w:type="dxa"/>
            <w:vAlign w:val="bottom"/>
            <w:shd w:val="clear" w:color="auto" w:fill="DBDBDB"/>
          </w:tcPr>
          <w:p>
            <w:pPr>
              <w:ind w:left="160"/>
              <w:spacing w:after="0"/>
              <w:rPr>
                <w:sz w:val="20"/>
                <w:szCs w:val="20"/>
                <w:color w:val="auto"/>
              </w:rPr>
            </w:pPr>
            <w:r>
              <w:rPr>
                <w:rFonts w:ascii="Arial" w:cs="Arial" w:eastAsia="Arial" w:hAnsi="Arial"/>
                <w:sz w:val="16"/>
                <w:szCs w:val="16"/>
                <w:color w:val="auto"/>
                <w:w w:val="99"/>
              </w:rPr>
              <w:t>6.750%</w:t>
            </w:r>
          </w:p>
        </w:tc>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Notes due November 2029</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20"/>
                <w:szCs w:val="20"/>
                <w:color w:val="auto"/>
              </w:rPr>
            </w:pPr>
            <w:r>
              <w:rPr>
                <w:rFonts w:ascii="Arial" w:cs="Arial" w:eastAsia="Arial" w:hAnsi="Arial"/>
                <w:sz w:val="16"/>
                <w:szCs w:val="16"/>
                <w:color w:val="auto"/>
              </w:rPr>
              <w:t>EUV</w:t>
            </w: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Extreme ultraviolet lithography</w:t>
            </w:r>
          </w:p>
        </w:tc>
      </w:tr>
      <w:tr>
        <w:trPr>
          <w:trHeight w:val="204"/>
        </w:trPr>
        <w:tc>
          <w:tcPr>
            <w:tcW w:w="380" w:type="dxa"/>
            <w:vAlign w:val="bottom"/>
          </w:tcPr>
          <w:p>
            <w:pPr>
              <w:jc w:val="right"/>
              <w:spacing w:after="0"/>
              <w:rPr>
                <w:sz w:val="20"/>
                <w:szCs w:val="20"/>
                <w:color w:val="auto"/>
              </w:rPr>
            </w:pPr>
            <w:r>
              <w:rPr>
                <w:rFonts w:ascii="Arial" w:cs="Arial" w:eastAsia="Arial" w:hAnsi="Arial"/>
                <w:sz w:val="16"/>
                <w:szCs w:val="16"/>
                <w:color w:val="auto"/>
                <w:w w:val="95"/>
              </w:rPr>
              <w:t>2029</w:t>
            </w:r>
          </w:p>
        </w:tc>
        <w:tc>
          <w:tcPr>
            <w:tcW w:w="1120" w:type="dxa"/>
            <w:vAlign w:val="bottom"/>
          </w:tcPr>
          <w:p>
            <w:pPr>
              <w:ind w:left="20"/>
              <w:spacing w:after="0"/>
              <w:rPr>
                <w:sz w:val="20"/>
                <w:szCs w:val="20"/>
                <w:color w:val="auto"/>
              </w:rPr>
            </w:pPr>
            <w:r>
              <w:rPr>
                <w:rFonts w:ascii="Arial" w:cs="Arial" w:eastAsia="Arial" w:hAnsi="Arial"/>
                <w:sz w:val="16"/>
                <w:szCs w:val="16"/>
                <w:color w:val="auto"/>
              </w:rPr>
              <w:t>Term Loan A</w:t>
            </w:r>
          </w:p>
        </w:tc>
        <w:tc>
          <w:tcPr>
            <w:tcW w:w="3540" w:type="dxa"/>
            <w:vAlign w:val="bottom"/>
            <w:gridSpan w:val="2"/>
          </w:tcPr>
          <w:p>
            <w:pPr>
              <w:ind w:left="160"/>
              <w:spacing w:after="0"/>
              <w:rPr>
                <w:sz w:val="20"/>
                <w:szCs w:val="20"/>
                <w:color w:val="auto"/>
              </w:rPr>
            </w:pPr>
            <w:r>
              <w:rPr>
                <w:rFonts w:ascii="Arial" w:cs="Arial" w:eastAsia="Arial" w:hAnsi="Arial"/>
                <w:sz w:val="16"/>
                <w:szCs w:val="16"/>
                <w:color w:val="auto"/>
              </w:rPr>
              <w:t>Senior Term Loan A due January 2029</w:t>
            </w:r>
          </w:p>
        </w:tc>
        <w:tc>
          <w:tcPr>
            <w:tcW w:w="1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HBM</w:t>
            </w:r>
          </w:p>
        </w:tc>
        <w:tc>
          <w:tcPr>
            <w:tcW w:w="3680" w:type="dxa"/>
            <w:vAlign w:val="bottom"/>
          </w:tcPr>
          <w:p>
            <w:pPr>
              <w:ind w:left="80"/>
              <w:spacing w:after="0"/>
              <w:rPr>
                <w:sz w:val="20"/>
                <w:szCs w:val="20"/>
                <w:color w:val="auto"/>
              </w:rPr>
            </w:pPr>
            <w:r>
              <w:rPr>
                <w:rFonts w:ascii="Arial" w:cs="Arial" w:eastAsia="Arial" w:hAnsi="Arial"/>
                <w:sz w:val="16"/>
                <w:szCs w:val="16"/>
                <w:color w:val="auto"/>
              </w:rPr>
              <w:t>High-bandwidth memory</w:t>
            </w:r>
          </w:p>
        </w:tc>
      </w:tr>
      <w:tr>
        <w:trPr>
          <w:trHeight w:val="204"/>
        </w:trPr>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5"/>
              </w:rPr>
              <w:t>2030</w:t>
            </w:r>
          </w:p>
        </w:tc>
        <w:tc>
          <w:tcPr>
            <w:tcW w:w="1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Notes</w:t>
            </w:r>
          </w:p>
        </w:tc>
        <w:tc>
          <w:tcPr>
            <w:tcW w:w="720" w:type="dxa"/>
            <w:vAlign w:val="bottom"/>
            <w:shd w:val="clear" w:color="auto" w:fill="DBDBDB"/>
          </w:tcPr>
          <w:p>
            <w:pPr>
              <w:ind w:left="160"/>
              <w:spacing w:after="0"/>
              <w:rPr>
                <w:sz w:val="20"/>
                <w:szCs w:val="20"/>
                <w:color w:val="auto"/>
              </w:rPr>
            </w:pPr>
            <w:r>
              <w:rPr>
                <w:rFonts w:ascii="Arial" w:cs="Arial" w:eastAsia="Arial" w:hAnsi="Arial"/>
                <w:sz w:val="16"/>
                <w:szCs w:val="16"/>
                <w:color w:val="auto"/>
                <w:w w:val="99"/>
              </w:rPr>
              <w:t>4.663%</w:t>
            </w:r>
          </w:p>
        </w:tc>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Notes due February 2030</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20"/>
                <w:szCs w:val="20"/>
                <w:color w:val="auto"/>
              </w:rPr>
            </w:pPr>
            <w:r>
              <w:rPr>
                <w:rFonts w:ascii="Arial" w:cs="Arial" w:eastAsia="Arial" w:hAnsi="Arial"/>
                <w:sz w:val="16"/>
                <w:szCs w:val="16"/>
                <w:color w:val="auto"/>
              </w:rPr>
              <w:t>Micron</w:t>
            </w: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Micron Technology, Inc. (Parent Company)</w:t>
            </w:r>
          </w:p>
        </w:tc>
      </w:tr>
      <w:tr>
        <w:trPr>
          <w:trHeight w:val="204"/>
        </w:trPr>
        <w:tc>
          <w:tcPr>
            <w:tcW w:w="380" w:type="dxa"/>
            <w:vAlign w:val="bottom"/>
          </w:tcPr>
          <w:p>
            <w:pPr>
              <w:jc w:val="right"/>
              <w:spacing w:after="0"/>
              <w:rPr>
                <w:sz w:val="20"/>
                <w:szCs w:val="20"/>
                <w:color w:val="auto"/>
              </w:rPr>
            </w:pPr>
            <w:r>
              <w:rPr>
                <w:rFonts w:ascii="Arial" w:cs="Arial" w:eastAsia="Arial" w:hAnsi="Arial"/>
                <w:sz w:val="16"/>
                <w:szCs w:val="16"/>
                <w:color w:val="auto"/>
                <w:w w:val="95"/>
              </w:rPr>
              <w:t>2031</w:t>
            </w:r>
          </w:p>
        </w:tc>
        <w:tc>
          <w:tcPr>
            <w:tcW w:w="1120" w:type="dxa"/>
            <w:vAlign w:val="bottom"/>
          </w:tcPr>
          <w:p>
            <w:pPr>
              <w:ind w:left="20"/>
              <w:spacing w:after="0"/>
              <w:rPr>
                <w:sz w:val="20"/>
                <w:szCs w:val="20"/>
                <w:color w:val="auto"/>
              </w:rPr>
            </w:pPr>
            <w:r>
              <w:rPr>
                <w:rFonts w:ascii="Arial" w:cs="Arial" w:eastAsia="Arial" w:hAnsi="Arial"/>
                <w:sz w:val="16"/>
                <w:szCs w:val="16"/>
                <w:color w:val="auto"/>
              </w:rPr>
              <w:t>Notes</w:t>
            </w:r>
          </w:p>
        </w:tc>
        <w:tc>
          <w:tcPr>
            <w:tcW w:w="720" w:type="dxa"/>
            <w:vAlign w:val="bottom"/>
          </w:tcPr>
          <w:p>
            <w:pPr>
              <w:ind w:left="160"/>
              <w:spacing w:after="0"/>
              <w:rPr>
                <w:sz w:val="20"/>
                <w:szCs w:val="20"/>
                <w:color w:val="auto"/>
              </w:rPr>
            </w:pPr>
            <w:r>
              <w:rPr>
                <w:rFonts w:ascii="Arial" w:cs="Arial" w:eastAsia="Arial" w:hAnsi="Arial"/>
                <w:sz w:val="16"/>
                <w:szCs w:val="16"/>
                <w:color w:val="auto"/>
                <w:w w:val="99"/>
              </w:rPr>
              <w:t>5.300%</w:t>
            </w:r>
          </w:p>
        </w:tc>
        <w:tc>
          <w:tcPr>
            <w:tcW w:w="2820" w:type="dxa"/>
            <w:vAlign w:val="bottom"/>
          </w:tcPr>
          <w:p>
            <w:pPr>
              <w:ind w:left="20"/>
              <w:spacing w:after="0"/>
              <w:rPr>
                <w:sz w:val="20"/>
                <w:szCs w:val="20"/>
                <w:color w:val="auto"/>
              </w:rPr>
            </w:pPr>
            <w:r>
              <w:rPr>
                <w:rFonts w:ascii="Arial" w:cs="Arial" w:eastAsia="Arial" w:hAnsi="Arial"/>
                <w:sz w:val="16"/>
                <w:szCs w:val="16"/>
                <w:color w:val="auto"/>
              </w:rPr>
              <w:t>Senior Notes due January 2031</w:t>
            </w:r>
          </w:p>
        </w:tc>
        <w:tc>
          <w:tcPr>
            <w:tcW w:w="1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NRV</w:t>
            </w:r>
          </w:p>
        </w:tc>
        <w:tc>
          <w:tcPr>
            <w:tcW w:w="3680" w:type="dxa"/>
            <w:vAlign w:val="bottom"/>
          </w:tcPr>
          <w:p>
            <w:pPr>
              <w:ind w:left="80"/>
              <w:spacing w:after="0"/>
              <w:rPr>
                <w:sz w:val="20"/>
                <w:szCs w:val="20"/>
                <w:color w:val="auto"/>
              </w:rPr>
            </w:pPr>
            <w:r>
              <w:rPr>
                <w:rFonts w:ascii="Arial" w:cs="Arial" w:eastAsia="Arial" w:hAnsi="Arial"/>
                <w:sz w:val="16"/>
                <w:szCs w:val="16"/>
                <w:color w:val="auto"/>
              </w:rPr>
              <w:t>Net realizable value</w:t>
            </w:r>
          </w:p>
        </w:tc>
      </w:tr>
      <w:tr>
        <w:trPr>
          <w:trHeight w:val="204"/>
        </w:trPr>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5"/>
              </w:rPr>
              <w:t>2032</w:t>
            </w:r>
          </w:p>
        </w:tc>
        <w:tc>
          <w:tcPr>
            <w:tcW w:w="1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Green Bonds</w:t>
            </w:r>
          </w:p>
        </w:tc>
        <w:tc>
          <w:tcPr>
            <w:tcW w:w="720" w:type="dxa"/>
            <w:vAlign w:val="bottom"/>
            <w:shd w:val="clear" w:color="auto" w:fill="DBDBDB"/>
          </w:tcPr>
          <w:p>
            <w:pPr>
              <w:ind w:left="160"/>
              <w:spacing w:after="0"/>
              <w:rPr>
                <w:sz w:val="20"/>
                <w:szCs w:val="20"/>
                <w:color w:val="auto"/>
              </w:rPr>
            </w:pPr>
            <w:r>
              <w:rPr>
                <w:rFonts w:ascii="Arial" w:cs="Arial" w:eastAsia="Arial" w:hAnsi="Arial"/>
                <w:sz w:val="16"/>
                <w:szCs w:val="16"/>
                <w:color w:val="auto"/>
                <w:w w:val="99"/>
              </w:rPr>
              <w:t>2.703%</w:t>
            </w:r>
          </w:p>
        </w:tc>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Notes due April 2032</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20"/>
                <w:szCs w:val="20"/>
                <w:color w:val="auto"/>
              </w:rPr>
            </w:pPr>
            <w:r>
              <w:rPr>
                <w:rFonts w:ascii="Arial" w:cs="Arial" w:eastAsia="Arial" w:hAnsi="Arial"/>
                <w:sz w:val="16"/>
                <w:szCs w:val="16"/>
                <w:color w:val="auto"/>
              </w:rPr>
              <w:t>OEM</w:t>
            </w: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Original equipment manufacturer</w:t>
            </w:r>
          </w:p>
        </w:tc>
      </w:tr>
      <w:tr>
        <w:trPr>
          <w:trHeight w:val="204"/>
        </w:trPr>
        <w:tc>
          <w:tcPr>
            <w:tcW w:w="380" w:type="dxa"/>
            <w:vAlign w:val="bottom"/>
          </w:tcPr>
          <w:p>
            <w:pPr>
              <w:jc w:val="right"/>
              <w:spacing w:after="0"/>
              <w:rPr>
                <w:sz w:val="20"/>
                <w:szCs w:val="20"/>
                <w:color w:val="auto"/>
              </w:rPr>
            </w:pPr>
            <w:r>
              <w:rPr>
                <w:rFonts w:ascii="Arial" w:cs="Arial" w:eastAsia="Arial" w:hAnsi="Arial"/>
                <w:sz w:val="16"/>
                <w:szCs w:val="16"/>
                <w:color w:val="auto"/>
                <w:w w:val="95"/>
              </w:rPr>
              <w:t>2032</w:t>
            </w:r>
          </w:p>
        </w:tc>
        <w:tc>
          <w:tcPr>
            <w:tcW w:w="1120" w:type="dxa"/>
            <w:vAlign w:val="bottom"/>
          </w:tcPr>
          <w:p>
            <w:pPr>
              <w:ind w:left="20"/>
              <w:spacing w:after="0"/>
              <w:rPr>
                <w:sz w:val="20"/>
                <w:szCs w:val="20"/>
                <w:color w:val="auto"/>
              </w:rPr>
            </w:pPr>
            <w:r>
              <w:rPr>
                <w:rFonts w:ascii="Arial" w:cs="Arial" w:eastAsia="Arial" w:hAnsi="Arial"/>
                <w:sz w:val="16"/>
                <w:szCs w:val="16"/>
                <w:color w:val="auto"/>
              </w:rPr>
              <w:t>Notes</w:t>
            </w:r>
          </w:p>
        </w:tc>
        <w:tc>
          <w:tcPr>
            <w:tcW w:w="720" w:type="dxa"/>
            <w:vAlign w:val="bottom"/>
          </w:tcPr>
          <w:p>
            <w:pPr>
              <w:ind w:left="160"/>
              <w:spacing w:after="0"/>
              <w:rPr>
                <w:sz w:val="20"/>
                <w:szCs w:val="20"/>
                <w:color w:val="auto"/>
              </w:rPr>
            </w:pPr>
            <w:r>
              <w:rPr>
                <w:rFonts w:ascii="Arial" w:cs="Arial" w:eastAsia="Arial" w:hAnsi="Arial"/>
                <w:sz w:val="16"/>
                <w:szCs w:val="16"/>
                <w:color w:val="auto"/>
                <w:w w:val="99"/>
              </w:rPr>
              <w:t>5.650%</w:t>
            </w:r>
          </w:p>
        </w:tc>
        <w:tc>
          <w:tcPr>
            <w:tcW w:w="2820" w:type="dxa"/>
            <w:vAlign w:val="bottom"/>
          </w:tcPr>
          <w:p>
            <w:pPr>
              <w:ind w:left="20"/>
              <w:spacing w:after="0"/>
              <w:rPr>
                <w:sz w:val="20"/>
                <w:szCs w:val="20"/>
                <w:color w:val="auto"/>
              </w:rPr>
            </w:pPr>
            <w:r>
              <w:rPr>
                <w:rFonts w:ascii="Arial" w:cs="Arial" w:eastAsia="Arial" w:hAnsi="Arial"/>
                <w:sz w:val="16"/>
                <w:szCs w:val="16"/>
                <w:color w:val="auto"/>
              </w:rPr>
              <w:t>Senior Notes due November 2032</w:t>
            </w:r>
          </w:p>
        </w:tc>
        <w:tc>
          <w:tcPr>
            <w:tcW w:w="1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R&amp;D</w:t>
            </w:r>
          </w:p>
        </w:tc>
        <w:tc>
          <w:tcPr>
            <w:tcW w:w="3680" w:type="dxa"/>
            <w:vAlign w:val="bottom"/>
          </w:tcPr>
          <w:p>
            <w:pPr>
              <w:ind w:left="80"/>
              <w:spacing w:after="0"/>
              <w:rPr>
                <w:sz w:val="20"/>
                <w:szCs w:val="20"/>
                <w:color w:val="auto"/>
              </w:rPr>
            </w:pPr>
            <w:r>
              <w:rPr>
                <w:rFonts w:ascii="Arial" w:cs="Arial" w:eastAsia="Arial" w:hAnsi="Arial"/>
                <w:sz w:val="16"/>
                <w:szCs w:val="16"/>
                <w:color w:val="auto"/>
              </w:rPr>
              <w:t>Research and development</w:t>
            </w:r>
          </w:p>
        </w:tc>
      </w:tr>
      <w:tr>
        <w:trPr>
          <w:trHeight w:val="157"/>
        </w:trPr>
        <w:tc>
          <w:tcPr>
            <w:tcW w:w="380" w:type="dxa"/>
            <w:vAlign w:val="bottom"/>
            <w:shd w:val="clear" w:color="auto" w:fill="DBDBDB"/>
          </w:tcPr>
          <w:p>
            <w:pPr>
              <w:jc w:val="right"/>
              <w:spacing w:after="0" w:line="157" w:lineRule="exact"/>
              <w:rPr>
                <w:sz w:val="20"/>
                <w:szCs w:val="20"/>
                <w:color w:val="auto"/>
              </w:rPr>
            </w:pPr>
            <w:r>
              <w:rPr>
                <w:rFonts w:ascii="Arial" w:cs="Arial" w:eastAsia="Arial" w:hAnsi="Arial"/>
                <w:sz w:val="16"/>
                <w:szCs w:val="16"/>
                <w:color w:val="auto"/>
                <w:w w:val="95"/>
              </w:rPr>
              <w:t>2033</w:t>
            </w:r>
          </w:p>
        </w:tc>
        <w:tc>
          <w:tcPr>
            <w:tcW w:w="11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rPr>
              <w:t>A Notes</w:t>
            </w:r>
          </w:p>
        </w:tc>
        <w:tc>
          <w:tcPr>
            <w:tcW w:w="720" w:type="dxa"/>
            <w:vAlign w:val="bottom"/>
            <w:shd w:val="clear" w:color="auto" w:fill="DBDBDB"/>
          </w:tcPr>
          <w:p>
            <w:pPr>
              <w:ind w:left="160"/>
              <w:spacing w:after="0" w:line="157" w:lineRule="exact"/>
              <w:rPr>
                <w:sz w:val="20"/>
                <w:szCs w:val="20"/>
                <w:color w:val="auto"/>
              </w:rPr>
            </w:pPr>
            <w:r>
              <w:rPr>
                <w:rFonts w:ascii="Arial" w:cs="Arial" w:eastAsia="Arial" w:hAnsi="Arial"/>
                <w:sz w:val="16"/>
                <w:szCs w:val="16"/>
                <w:color w:val="auto"/>
                <w:w w:val="99"/>
              </w:rPr>
              <w:t>5.875%</w:t>
            </w:r>
          </w:p>
        </w:tc>
        <w:tc>
          <w:tcPr>
            <w:tcW w:w="2820" w:type="dxa"/>
            <w:vAlign w:val="bottom"/>
            <w:shd w:val="clear" w:color="auto" w:fill="DBDBDB"/>
          </w:tcPr>
          <w:p>
            <w:pPr>
              <w:ind w:left="20"/>
              <w:spacing w:after="0" w:line="157" w:lineRule="exact"/>
              <w:rPr>
                <w:sz w:val="20"/>
                <w:szCs w:val="20"/>
                <w:color w:val="auto"/>
              </w:rPr>
            </w:pPr>
            <w:r>
              <w:rPr>
                <w:rFonts w:ascii="Arial" w:cs="Arial" w:eastAsia="Arial" w:hAnsi="Arial"/>
                <w:sz w:val="16"/>
                <w:szCs w:val="16"/>
                <w:color w:val="auto"/>
              </w:rPr>
              <w:t>Senior Notes due February 2033</w:t>
            </w:r>
          </w:p>
        </w:tc>
        <w:tc>
          <w:tcPr>
            <w:tcW w:w="100" w:type="dxa"/>
            <w:vAlign w:val="bottom"/>
            <w:shd w:val="clear" w:color="auto" w:fill="DBDBDB"/>
          </w:tcPr>
          <w:p>
            <w:pPr>
              <w:spacing w:after="0"/>
              <w:rPr>
                <w:sz w:val="13"/>
                <w:szCs w:val="13"/>
                <w:color w:val="auto"/>
              </w:rPr>
            </w:pPr>
          </w:p>
        </w:tc>
        <w:tc>
          <w:tcPr>
            <w:tcW w:w="1740" w:type="dxa"/>
            <w:vAlign w:val="bottom"/>
            <w:shd w:val="clear" w:color="auto" w:fill="DBDBDB"/>
          </w:tcPr>
          <w:p>
            <w:pPr>
              <w:spacing w:after="0" w:line="157" w:lineRule="exact"/>
              <w:rPr>
                <w:sz w:val="20"/>
                <w:szCs w:val="20"/>
                <w:color w:val="auto"/>
              </w:rPr>
            </w:pPr>
            <w:r>
              <w:rPr>
                <w:rFonts w:ascii="Arial" w:cs="Arial" w:eastAsia="Arial" w:hAnsi="Arial"/>
                <w:sz w:val="16"/>
                <w:szCs w:val="16"/>
                <w:color w:val="auto"/>
              </w:rPr>
              <w:t>Revolving Credit Facility</w:t>
            </w:r>
          </w:p>
        </w:tc>
        <w:tc>
          <w:tcPr>
            <w:tcW w:w="3680" w:type="dxa"/>
            <w:vAlign w:val="bottom"/>
            <w:shd w:val="clear" w:color="auto" w:fill="DBDBDB"/>
          </w:tcPr>
          <w:p>
            <w:pPr>
              <w:ind w:left="80"/>
              <w:spacing w:after="0" w:line="157" w:lineRule="exact"/>
              <w:rPr>
                <w:sz w:val="20"/>
                <w:szCs w:val="20"/>
                <w:color w:val="auto"/>
              </w:rPr>
            </w:pPr>
            <w:r>
              <w:rPr>
                <w:rFonts w:ascii="Arial" w:cs="Arial" w:eastAsia="Arial" w:hAnsi="Arial"/>
                <w:sz w:val="16"/>
                <w:szCs w:val="16"/>
                <w:color w:val="auto"/>
              </w:rPr>
              <w:t>$3.5 billion Revolving Credit Facility due March</w:t>
            </w:r>
          </w:p>
        </w:tc>
      </w:tr>
      <w:tr>
        <w:trPr>
          <w:trHeight w:val="203"/>
        </w:trPr>
        <w:tc>
          <w:tcPr>
            <w:tcW w:w="3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17"/>
                <w:szCs w:val="17"/>
                <w:color w:val="auto"/>
              </w:rPr>
            </w:pP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2030</w:t>
            </w:r>
          </w:p>
        </w:tc>
      </w:tr>
      <w:tr>
        <w:trPr>
          <w:trHeight w:val="204"/>
        </w:trPr>
        <w:tc>
          <w:tcPr>
            <w:tcW w:w="380" w:type="dxa"/>
            <w:vAlign w:val="bottom"/>
          </w:tcPr>
          <w:p>
            <w:pPr>
              <w:jc w:val="right"/>
              <w:spacing w:after="0"/>
              <w:rPr>
                <w:sz w:val="20"/>
                <w:szCs w:val="20"/>
                <w:color w:val="auto"/>
              </w:rPr>
            </w:pPr>
            <w:r>
              <w:rPr>
                <w:rFonts w:ascii="Arial" w:cs="Arial" w:eastAsia="Arial" w:hAnsi="Arial"/>
                <w:sz w:val="16"/>
                <w:szCs w:val="16"/>
                <w:color w:val="auto"/>
                <w:w w:val="95"/>
              </w:rPr>
              <w:t>2033</w:t>
            </w:r>
          </w:p>
        </w:tc>
        <w:tc>
          <w:tcPr>
            <w:tcW w:w="1120" w:type="dxa"/>
            <w:vAlign w:val="bottom"/>
          </w:tcPr>
          <w:p>
            <w:pPr>
              <w:ind w:left="20"/>
              <w:spacing w:after="0"/>
              <w:rPr>
                <w:sz w:val="20"/>
                <w:szCs w:val="20"/>
                <w:color w:val="auto"/>
              </w:rPr>
            </w:pPr>
            <w:r>
              <w:rPr>
                <w:rFonts w:ascii="Arial" w:cs="Arial" w:eastAsia="Arial" w:hAnsi="Arial"/>
                <w:sz w:val="16"/>
                <w:szCs w:val="16"/>
                <w:color w:val="auto"/>
              </w:rPr>
              <w:t>B Notes</w:t>
            </w:r>
          </w:p>
        </w:tc>
        <w:tc>
          <w:tcPr>
            <w:tcW w:w="720" w:type="dxa"/>
            <w:vAlign w:val="bottom"/>
          </w:tcPr>
          <w:p>
            <w:pPr>
              <w:ind w:left="160"/>
              <w:spacing w:after="0"/>
              <w:rPr>
                <w:sz w:val="20"/>
                <w:szCs w:val="20"/>
                <w:color w:val="auto"/>
              </w:rPr>
            </w:pPr>
            <w:r>
              <w:rPr>
                <w:rFonts w:ascii="Arial" w:cs="Arial" w:eastAsia="Arial" w:hAnsi="Arial"/>
                <w:sz w:val="16"/>
                <w:szCs w:val="16"/>
                <w:color w:val="auto"/>
                <w:w w:val="99"/>
              </w:rPr>
              <w:t>5.875%</w:t>
            </w:r>
          </w:p>
        </w:tc>
        <w:tc>
          <w:tcPr>
            <w:tcW w:w="2820" w:type="dxa"/>
            <w:vAlign w:val="bottom"/>
          </w:tcPr>
          <w:p>
            <w:pPr>
              <w:ind w:left="20"/>
              <w:spacing w:after="0"/>
              <w:rPr>
                <w:sz w:val="20"/>
                <w:szCs w:val="20"/>
                <w:color w:val="auto"/>
              </w:rPr>
            </w:pPr>
            <w:r>
              <w:rPr>
                <w:rFonts w:ascii="Arial" w:cs="Arial" w:eastAsia="Arial" w:hAnsi="Arial"/>
                <w:sz w:val="16"/>
                <w:szCs w:val="16"/>
                <w:color w:val="auto"/>
              </w:rPr>
              <w:t>Senior Notes due September 2033</w:t>
            </w:r>
          </w:p>
        </w:tc>
        <w:tc>
          <w:tcPr>
            <w:tcW w:w="1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SOFR</w:t>
            </w:r>
          </w:p>
        </w:tc>
        <w:tc>
          <w:tcPr>
            <w:tcW w:w="3680" w:type="dxa"/>
            <w:vAlign w:val="bottom"/>
          </w:tcPr>
          <w:p>
            <w:pPr>
              <w:ind w:left="80"/>
              <w:spacing w:after="0"/>
              <w:rPr>
                <w:sz w:val="20"/>
                <w:szCs w:val="20"/>
                <w:color w:val="auto"/>
              </w:rPr>
            </w:pPr>
            <w:r>
              <w:rPr>
                <w:rFonts w:ascii="Arial" w:cs="Arial" w:eastAsia="Arial" w:hAnsi="Arial"/>
                <w:sz w:val="16"/>
                <w:szCs w:val="16"/>
                <w:color w:val="auto"/>
              </w:rPr>
              <w:t>Secured Overnight Financing Rate</w:t>
            </w:r>
          </w:p>
        </w:tc>
      </w:tr>
      <w:tr>
        <w:trPr>
          <w:trHeight w:val="204"/>
        </w:trPr>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5"/>
              </w:rPr>
              <w:t>2035</w:t>
            </w:r>
          </w:p>
        </w:tc>
        <w:tc>
          <w:tcPr>
            <w:tcW w:w="1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 Notes</w:t>
            </w:r>
          </w:p>
        </w:tc>
        <w:tc>
          <w:tcPr>
            <w:tcW w:w="720" w:type="dxa"/>
            <w:vAlign w:val="bottom"/>
            <w:shd w:val="clear" w:color="auto" w:fill="DBDBDB"/>
          </w:tcPr>
          <w:p>
            <w:pPr>
              <w:ind w:left="160"/>
              <w:spacing w:after="0"/>
              <w:rPr>
                <w:sz w:val="20"/>
                <w:szCs w:val="20"/>
                <w:color w:val="auto"/>
              </w:rPr>
            </w:pPr>
            <w:r>
              <w:rPr>
                <w:rFonts w:ascii="Arial" w:cs="Arial" w:eastAsia="Arial" w:hAnsi="Arial"/>
                <w:sz w:val="16"/>
                <w:szCs w:val="16"/>
                <w:color w:val="auto"/>
                <w:w w:val="99"/>
              </w:rPr>
              <w:t>5.800%</w:t>
            </w:r>
          </w:p>
        </w:tc>
        <w:tc>
          <w:tcPr>
            <w:tcW w:w="2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Senior Notes due January 2035</w:t>
            </w:r>
          </w:p>
        </w:tc>
        <w:tc>
          <w:tcPr>
            <w:tcW w:w="100" w:type="dxa"/>
            <w:vAlign w:val="bottom"/>
            <w:shd w:val="clear" w:color="auto" w:fill="DBDBDB"/>
          </w:tcPr>
          <w:p>
            <w:pPr>
              <w:spacing w:after="0"/>
              <w:rPr>
                <w:sz w:val="17"/>
                <w:szCs w:val="17"/>
                <w:color w:val="auto"/>
              </w:rPr>
            </w:pPr>
          </w:p>
        </w:tc>
        <w:tc>
          <w:tcPr>
            <w:tcW w:w="1740" w:type="dxa"/>
            <w:vAlign w:val="bottom"/>
            <w:shd w:val="clear" w:color="auto" w:fill="DBDBDB"/>
          </w:tcPr>
          <w:p>
            <w:pPr>
              <w:spacing w:after="0"/>
              <w:rPr>
                <w:sz w:val="20"/>
                <w:szCs w:val="20"/>
                <w:color w:val="auto"/>
              </w:rPr>
            </w:pPr>
            <w:r>
              <w:rPr>
                <w:rFonts w:ascii="Arial" w:cs="Arial" w:eastAsia="Arial" w:hAnsi="Arial"/>
                <w:sz w:val="16"/>
                <w:szCs w:val="16"/>
                <w:color w:val="auto"/>
              </w:rPr>
              <w:t>SSD</w:t>
            </w:r>
          </w:p>
        </w:tc>
        <w:tc>
          <w:tcPr>
            <w:tcW w:w="3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Solid state drive</w:t>
            </w:r>
          </w:p>
        </w:tc>
      </w:tr>
    </w:tbl>
    <w:p>
      <w:pPr>
        <w:spacing w:after="0" w:line="109"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86"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All period references are to our fiscal periods unless otherwise indicated. Our fiscal year is the 52- or 53-week period ending on the Thursday closest to August 31. Fiscal 2025, 2024, and 2023 each contained 52 weeks.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 w:name="page6"/>
    <w:bookmarkEnd w:id="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Forward-Looking Statements</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This Annual Report on Form 10- 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 -looking. Specific forward-looking statements include, but are not limited to, statements regarding expected production ramp of certain products; plans to invest in research and development, including the plans to implement EUV lithography; anticipated technological developments; potential change and impact in our effective tax rate; the timing for construction, expansion, and ramping of production for our facilities, including new memory manufacturing fabs in the United States; receipt, timing, and utilization of government incentives and our ability to satisfy conditions attached to these incentives; the payment of future cash dividends; market conditions and profitability in our industry; future demand for our products and factors that may impact such demand, including developments in AI; DRAM bit shipments in future periods; actions to align our NAND business supply growth and technology node cadence with our projections of the demand environment; the impact of the Cyberspace Administration of China (“CAC”) decision; capital spending in 2026; the potential impact of business, economic, political, legal, and regulatory developments upon our global operations, including tariffs and trade regulations;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 Item 1A. Risk Factors.</w:t>
      </w:r>
    </w:p>
    <w:p>
      <w:pPr>
        <w:spacing w:after="0" w:line="200" w:lineRule="exact"/>
        <w:rPr>
          <w:sz w:val="20"/>
          <w:szCs w:val="20"/>
          <w:color w:val="auto"/>
        </w:rPr>
      </w:pPr>
    </w:p>
    <w:p>
      <w:pPr>
        <w:spacing w:after="0" w:line="288" w:lineRule="exact"/>
        <w:rPr>
          <w:sz w:val="20"/>
          <w:szCs w:val="20"/>
          <w:color w:val="auto"/>
        </w:rPr>
      </w:pPr>
    </w:p>
    <w:p>
      <w:pPr>
        <w:ind w:left="9360"/>
        <w:spacing w:after="0"/>
        <w:rPr>
          <w:sz w:val="20"/>
          <w:szCs w:val="20"/>
          <w:color w:val="auto"/>
        </w:rPr>
      </w:pPr>
      <w:r>
        <w:rPr>
          <w:sz w:val="1"/>
          <w:szCs w:val="1"/>
          <w:color w:val="auto"/>
        </w:rPr>
        <w:drawing>
          <wp:inline distT="0" distB="0" distL="0" distR="0">
            <wp:extent cx="693420" cy="144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0"/>
          <w:szCs w:val="10"/>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 w:name="page7"/>
    <w:bookmarkEnd w:id="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Overview</w:t>
      </w:r>
    </w:p>
    <w:p>
      <w:pPr>
        <w:spacing w:after="0" w:line="249"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 xml:space="preserve">We are an industry leader in innovative memory and storage solutions transforming how the world uses information to enrich life </w:t>
      </w:r>
      <w:r>
        <w:rPr>
          <w:rFonts w:ascii="Arial" w:cs="Arial" w:eastAsia="Arial" w:hAnsi="Arial"/>
          <w:sz w:val="16"/>
          <w:szCs w:val="16"/>
          <w:i w:val="1"/>
          <w:iCs w:val="1"/>
          <w:color w:val="auto"/>
        </w:rPr>
        <w:t>for all</w:t>
      </w:r>
      <w:r>
        <w:rPr>
          <w:rFonts w:ascii="Arial" w:cs="Arial" w:eastAsia="Arial" w:hAnsi="Arial"/>
          <w:sz w:val="16"/>
          <w:szCs w:val="16"/>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 to-end manufacturing, with quicker cycle times, in partnership with teams, such as R&amp;D, product development, human resources, procurement, and supply chain. For our locations in Singapore and Taiwan, this is also a combination of bringing fabrication and back-end manufacturing together. We continue to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0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We face intense competition in the semiconductor memory and storage markets. To remain competitive, we must continuously develop and implement new products and technologies and decrease manufacturing costs in spite of inflationary pressures, changing technologies, rapid market changes,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Segments</w:t>
      </w:r>
    </w:p>
    <w:p>
      <w:pPr>
        <w:spacing w:after="0" w:line="240" w:lineRule="exact"/>
        <w:rPr>
          <w:sz w:val="20"/>
          <w:szCs w:val="20"/>
          <w:color w:val="auto"/>
        </w:rPr>
      </w:pPr>
    </w:p>
    <w:p>
      <w:pPr>
        <w:ind w:right="420"/>
        <w:spacing w:after="0" w:line="262" w:lineRule="auto"/>
        <w:rPr>
          <w:sz w:val="20"/>
          <w:szCs w:val="20"/>
          <w:color w:val="auto"/>
        </w:rPr>
      </w:pPr>
      <w:r>
        <w:rPr>
          <w:rFonts w:ascii="Arial" w:cs="Arial" w:eastAsia="Arial" w:hAnsi="Arial"/>
          <w:sz w:val="16"/>
          <w:szCs w:val="16"/>
          <w:color w:val="auto"/>
        </w:rPr>
        <w:t>In the fourth quarter of 2025, we reorganized our business units. All prior -period segment amounts have been retrospectively adjusted to reflect this reorganization. We have the following four business units, which are our reportable segments:</w:t>
      </w:r>
    </w:p>
    <w:p>
      <w:pPr>
        <w:spacing w:after="0" w:line="210" w:lineRule="exact"/>
        <w:rPr>
          <w:sz w:val="20"/>
          <w:szCs w:val="20"/>
          <w:color w:val="auto"/>
        </w:rPr>
      </w:pPr>
    </w:p>
    <w:p>
      <w:pPr>
        <w:ind w:left="580" w:right="300" w:hanging="286"/>
        <w:spacing w:after="0" w:line="248" w:lineRule="auto"/>
        <w:tabs>
          <w:tab w:leader="none" w:pos="568" w:val="left"/>
        </w:tabs>
        <w:numPr>
          <w:ilvl w:val="0"/>
          <w:numId w:val="3"/>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Cloud Memory Business Unit (“CMBU”): </w:t>
      </w:r>
      <w:r>
        <w:rPr>
          <w:rFonts w:ascii="Arial" w:cs="Arial" w:eastAsia="Arial" w:hAnsi="Arial"/>
          <w:sz w:val="16"/>
          <w:szCs w:val="16"/>
          <w:color w:val="auto"/>
        </w:rPr>
        <w:t>Focused on memory solutions for large hyperscale cloud customers, and HBM for all data center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w:t>
      </w:r>
    </w:p>
    <w:p>
      <w:pPr>
        <w:spacing w:after="0" w:line="40" w:lineRule="exact"/>
        <w:rPr>
          <w:rFonts w:ascii="Arial" w:cs="Arial" w:eastAsia="Arial" w:hAnsi="Arial"/>
          <w:sz w:val="18"/>
          <w:szCs w:val="18"/>
          <w:color w:val="auto"/>
        </w:rPr>
      </w:pPr>
    </w:p>
    <w:p>
      <w:pPr>
        <w:ind w:left="580" w:right="80" w:hanging="286"/>
        <w:spacing w:after="0" w:line="248" w:lineRule="auto"/>
        <w:tabs>
          <w:tab w:leader="none" w:pos="568" w:val="left"/>
        </w:tabs>
        <w:numPr>
          <w:ilvl w:val="0"/>
          <w:numId w:val="3"/>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Core Data Center Business Unit (“CDBU”): </w:t>
      </w:r>
      <w:r>
        <w:rPr>
          <w:rFonts w:ascii="Arial" w:cs="Arial" w:eastAsia="Arial" w:hAnsi="Arial"/>
          <w:sz w:val="16"/>
          <w:szCs w:val="16"/>
          <w:color w:val="auto"/>
        </w:rPr>
        <w:t>Focused on memory solutions for mid-tier cloud, enterprise, and OEM data center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solutions for all data center customers.</w:t>
      </w:r>
    </w:p>
    <w:p>
      <w:pPr>
        <w:spacing w:after="0" w:line="40" w:lineRule="exact"/>
        <w:rPr>
          <w:rFonts w:ascii="Arial" w:cs="Arial" w:eastAsia="Arial" w:hAnsi="Arial"/>
          <w:sz w:val="18"/>
          <w:szCs w:val="18"/>
          <w:color w:val="auto"/>
        </w:rPr>
      </w:pPr>
    </w:p>
    <w:p>
      <w:pPr>
        <w:ind w:left="580" w:hanging="286"/>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Mobile and Client Business Unit (“MCBU”): </w:t>
      </w:r>
      <w:r>
        <w:rPr>
          <w:rFonts w:ascii="Arial" w:cs="Arial" w:eastAsia="Arial" w:hAnsi="Arial"/>
          <w:sz w:val="16"/>
          <w:szCs w:val="16"/>
          <w:color w:val="auto"/>
        </w:rPr>
        <w:t>Focused on memory and storage solutions for the mobile and client segments.</w:t>
      </w:r>
    </w:p>
    <w:p>
      <w:pPr>
        <w:spacing w:after="0" w:line="57" w:lineRule="exact"/>
        <w:rPr>
          <w:rFonts w:ascii="Arial" w:cs="Arial" w:eastAsia="Arial" w:hAnsi="Arial"/>
          <w:sz w:val="18"/>
          <w:szCs w:val="18"/>
          <w:color w:val="auto"/>
        </w:rPr>
      </w:pPr>
    </w:p>
    <w:p>
      <w:pPr>
        <w:ind w:left="580" w:right="20" w:hanging="286"/>
        <w:spacing w:after="0" w:line="248" w:lineRule="auto"/>
        <w:tabs>
          <w:tab w:leader="none" w:pos="568" w:val="left"/>
        </w:tabs>
        <w:numPr>
          <w:ilvl w:val="0"/>
          <w:numId w:val="3"/>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Automotive and Embedded Business Unit (“AEBU”): </w:t>
      </w:r>
      <w:r>
        <w:rPr>
          <w:rFonts w:ascii="Arial" w:cs="Arial" w:eastAsia="Arial" w:hAnsi="Arial"/>
          <w:sz w:val="16"/>
          <w:szCs w:val="16"/>
          <w:color w:val="auto"/>
        </w:rPr>
        <w:t>Focused on memory and storage solutions for the automotive, industrial,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 w:name="page8"/>
    <w:bookmarkEnd w:id="7"/>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Products, Market, and Sales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Technologies</w:t>
      </w:r>
    </w:p>
    <w:p>
      <w:pPr>
        <w:spacing w:after="0" w:line="240"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20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b w:val="1"/>
          <w:bCs w:val="1"/>
          <w:i w:val="1"/>
          <w:iCs w:val="1"/>
          <w:color w:val="auto"/>
        </w:rPr>
        <w:t xml:space="preserve">DRAM: </w:t>
      </w:r>
      <w:r>
        <w:rPr>
          <w:rFonts w:ascii="Arial" w:cs="Arial" w:eastAsia="Arial" w:hAnsi="Arial"/>
          <w:sz w:val="16"/>
          <w:szCs w:val="16"/>
          <w:color w:val="auto"/>
        </w:rPr>
        <w:t>DRAM products are dynamic random access memory semiconductor devices with low latency that provide high-speed data retrieval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performance characteristics. DRAM products lose content when power is turned off (“volatile”) and are most commonly used in the data center, client PC, graphics, industrial, mobile, and automotive markets.</w:t>
      </w:r>
    </w:p>
    <w:p>
      <w:pPr>
        <w:spacing w:after="0" w:line="198"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In 2025, we began shipping the industry’s first 1γ (1-gamma) production node, which is our first DRAM node incorporating EUV lithography and offers further improvements in power efficiency, performance, and bit density compared to our prior DRAM node products. The majority of our DRAM bit production in 2025 was on our leading-edge 1ß (1-beta) node.</w:t>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i w:val="1"/>
          <w:iCs w:val="1"/>
          <w:u w:val="single" w:color="auto"/>
          <w:color w:val="auto"/>
        </w:rPr>
        <w:t>High-Bandwidth Memory (“HBM”)</w:t>
      </w:r>
      <w:r>
        <w:rPr>
          <w:rFonts w:ascii="Arial" w:cs="Arial" w:eastAsia="Arial" w:hAnsi="Arial"/>
          <w:sz w:val="16"/>
          <w:szCs w:val="16"/>
          <w:i w:val="1"/>
          <w:iCs w:val="1"/>
          <w:color w:val="auto"/>
        </w:rPr>
        <w:t xml:space="preserve">: </w:t>
      </w:r>
      <w:r>
        <w:rPr>
          <w:rFonts w:ascii="Arial" w:cs="Arial" w:eastAsia="Arial" w:hAnsi="Arial"/>
          <w:sz w:val="16"/>
          <w:szCs w:val="16"/>
          <w:color w:val="auto"/>
        </w:rPr>
        <w:t>A 3D stacked DRAM architecture that utilizes through -silicon via (“TSV”) connections for more efficient communication</w:t>
      </w:r>
      <w:r>
        <w:rPr>
          <w:rFonts w:ascii="Arial" w:cs="Arial" w:eastAsia="Arial" w:hAnsi="Arial"/>
          <w:sz w:val="16"/>
          <w:szCs w:val="16"/>
          <w:i w:val="1"/>
          <w:iCs w:val="1"/>
          <w:color w:val="auto"/>
        </w:rPr>
        <w:t xml:space="preserve"> </w:t>
      </w:r>
      <w:r>
        <w:rPr>
          <w:rFonts w:ascii="Arial" w:cs="Arial" w:eastAsia="Arial" w:hAnsi="Arial"/>
          <w:sz w:val="16"/>
          <w:szCs w:val="16"/>
          <w:color w:val="auto"/>
        </w:rPr>
        <w:t>giving it the ability to achieve a higher bandwidth while consuming less power compared to other memory types. This makes it ideal for applications that require high data throughput and energy efficiency, such as AI applications and high-performance computing.</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i w:val="1"/>
          <w:iCs w:val="1"/>
          <w:u w:val="single" w:color="auto"/>
          <w:color w:val="auto"/>
        </w:rPr>
        <w:t>Double Data Rate (“DDR”)</w:t>
      </w:r>
      <w:r>
        <w:rPr>
          <w:rFonts w:ascii="Arial" w:cs="Arial" w:eastAsia="Arial" w:hAnsi="Arial"/>
          <w:sz w:val="16"/>
          <w:szCs w:val="16"/>
          <w:i w:val="1"/>
          <w:iCs w:val="1"/>
          <w:color w:val="auto"/>
        </w:rPr>
        <w:t xml:space="preserve">: </w:t>
      </w:r>
      <w:r>
        <w:rPr>
          <w:rFonts w:ascii="Arial" w:cs="Arial" w:eastAsia="Arial" w:hAnsi="Arial"/>
          <w:sz w:val="16"/>
          <w:szCs w:val="16"/>
          <w:color w:val="auto"/>
        </w:rPr>
        <w:t>DDR memory transfers data twice per clock cycle resulting in improved speeds, power efficiency, and storage density. DDR5</w:t>
      </w:r>
      <w:r>
        <w:rPr>
          <w:rFonts w:ascii="Arial" w:cs="Arial" w:eastAsia="Arial" w:hAnsi="Arial"/>
          <w:sz w:val="16"/>
          <w:szCs w:val="16"/>
          <w:i w:val="1"/>
          <w:iCs w:val="1"/>
          <w:color w:val="auto"/>
        </w:rPr>
        <w:t xml:space="preserve"> </w:t>
      </w:r>
      <w:r>
        <w:rPr>
          <w:rFonts w:ascii="Arial" w:cs="Arial" w:eastAsia="Arial" w:hAnsi="Arial"/>
          <w:sz w:val="16"/>
          <w:szCs w:val="16"/>
          <w:color w:val="auto"/>
        </w:rPr>
        <w:t>is the fifth generation of this technology and offers the critical improvements in bandwidth and power efficiency necessary to meet the growing needs of high-performance computing, AI, and data-intensive applications.</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i w:val="1"/>
          <w:iCs w:val="1"/>
          <w:u w:val="single" w:color="auto"/>
          <w:color w:val="auto"/>
        </w:rPr>
        <w:t>Low-Power DRAM (“LPDDR”)</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Engineered for mobile devices and applications requiring low power consumption. LPDDR products generally operate at a</w:t>
      </w:r>
      <w:r>
        <w:rPr>
          <w:rFonts w:ascii="Arial" w:cs="Arial" w:eastAsia="Arial" w:hAnsi="Arial"/>
          <w:sz w:val="16"/>
          <w:szCs w:val="16"/>
          <w:i w:val="1"/>
          <w:iCs w:val="1"/>
          <w:color w:val="auto"/>
        </w:rPr>
        <w:t xml:space="preserve"> </w:t>
      </w:r>
      <w:r>
        <w:rPr>
          <w:rFonts w:ascii="Arial" w:cs="Arial" w:eastAsia="Arial" w:hAnsi="Arial"/>
          <w:sz w:val="16"/>
          <w:szCs w:val="16"/>
          <w:color w:val="auto"/>
        </w:rPr>
        <w:t>lower voltage than standard DRAM products and are beneficial to any power conscious application. The benefits of LPDDR memory are being realized by many market segments, including mobile, PC, automotive, and data center.</w:t>
      </w:r>
    </w:p>
    <w:p>
      <w:pPr>
        <w:spacing w:after="0" w:line="19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i w:val="1"/>
          <w:iCs w:val="1"/>
          <w:u w:val="single" w:color="auto"/>
          <w:color w:val="auto"/>
        </w:rPr>
        <w:t>Graphics DRAM (“GDDR”)</w:t>
      </w:r>
      <w:r>
        <w:rPr>
          <w:rFonts w:ascii="Arial" w:cs="Arial" w:eastAsia="Arial" w:hAnsi="Arial"/>
          <w:sz w:val="16"/>
          <w:szCs w:val="16"/>
          <w:i w:val="1"/>
          <w:iCs w:val="1"/>
          <w:color w:val="auto"/>
        </w:rPr>
        <w:t xml:space="preserve">: </w:t>
      </w:r>
      <w:r>
        <w:rPr>
          <w:rFonts w:ascii="Arial" w:cs="Arial" w:eastAsia="Arial" w:hAnsi="Arial"/>
          <w:sz w:val="16"/>
          <w:szCs w:val="16"/>
          <w:color w:val="auto"/>
        </w:rPr>
        <w:t>High-performance memory solution designed for graphics cards, gaming consoles, and high-performance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GDDR memory is optimized for high-bandwidth workloads encountered by graphics processing units, offering faster data rates and efficient data processing capabilities.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Total reported DRAM revenue was $28.58 billion in 2025, $17.60 billion in 2024, and $10.98 billion in 2023.</w:t>
      </w:r>
    </w:p>
    <w:p>
      <w:pPr>
        <w:spacing w:after="0" w:line="224" w:lineRule="exact"/>
        <w:rPr>
          <w:sz w:val="20"/>
          <w:szCs w:val="20"/>
          <w:color w:val="auto"/>
        </w:rPr>
      </w:pPr>
    </w:p>
    <w:p>
      <w:pPr>
        <w:ind w:right="400"/>
        <w:spacing w:after="0" w:line="244" w:lineRule="auto"/>
        <w:rPr>
          <w:sz w:val="20"/>
          <w:szCs w:val="20"/>
          <w:color w:val="auto"/>
        </w:rPr>
      </w:pPr>
      <w:r>
        <w:rPr>
          <w:rFonts w:ascii="Arial" w:cs="Arial" w:eastAsia="Arial" w:hAnsi="Arial"/>
          <w:sz w:val="16"/>
          <w:szCs w:val="16"/>
          <w:b w:val="1"/>
          <w:bCs w:val="1"/>
          <w:i w:val="1"/>
          <w:iCs w:val="1"/>
          <w:color w:val="auto"/>
        </w:rPr>
        <w:t xml:space="preserve">NAND: </w:t>
      </w:r>
      <w:r>
        <w:rPr>
          <w:rFonts w:ascii="Arial" w:cs="Arial" w:eastAsia="Arial" w:hAnsi="Arial"/>
          <w:sz w:val="16"/>
          <w:szCs w:val="16"/>
          <w:color w:val="auto"/>
        </w:rPr>
        <w:t>NAND products are non-volatile, re- writeable semiconductor storage devices that provide high-capacity, low-cost storage with a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characteristics. NAND is used in SSDs for the data center, client PC, consumer, and automotive markets, and in removable storage markets. Managed NAND is used in smartphones and other mobile devices, and in the consumer, automotive, and embedded markets. Low-density NAND is ideal for applications like automotive, surveillance, machine-to-machine, automation, printer, and home networking.</w:t>
      </w:r>
    </w:p>
    <w:p>
      <w:pPr>
        <w:spacing w:after="0" w:line="20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2024, we began volume production of Micron G9 NAND, representative of the industry's ninth-generation 3D NAND node. The majority of our NAND bit production in 2025 was on leading- edge Micron G8 and G9 NAND nodes. Our NAND Flash includes triple-level cell (“TLC”) and quad-level cell (“QLC”), each with varying levels of storage density, performance, and endurance.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360"/>
        <w:spacing w:after="0"/>
        <w:rPr>
          <w:sz w:val="20"/>
          <w:szCs w:val="20"/>
          <w:color w:val="auto"/>
        </w:rPr>
      </w:pPr>
      <w:r>
        <w:rPr>
          <w:sz w:val="1"/>
          <w:szCs w:val="1"/>
          <w:color w:val="auto"/>
        </w:rPr>
        <w:drawing>
          <wp:inline distT="0" distB="0" distL="0" distR="0">
            <wp:extent cx="693420" cy="1447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8" w:name="page9"/>
    <w:bookmarkEnd w:id="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i w:val="1"/>
          <w:iCs w:val="1"/>
          <w:u w:val="single" w:color="auto"/>
          <w:color w:val="auto"/>
        </w:rPr>
        <w:t>Solid State Drives (“SSDs”)</w:t>
      </w:r>
      <w:r>
        <w:rPr>
          <w:rFonts w:ascii="Arial" w:cs="Arial" w:eastAsia="Arial" w:hAnsi="Arial"/>
          <w:sz w:val="14"/>
          <w:szCs w:val="14"/>
          <w:i w:val="1"/>
          <w:iCs w:val="1"/>
          <w:color w:val="auto"/>
        </w:rPr>
        <w:t xml:space="preserve"> : </w:t>
      </w:r>
      <w:r>
        <w:rPr>
          <w:rFonts w:ascii="Arial" w:cs="Arial" w:eastAsia="Arial" w:hAnsi="Arial"/>
          <w:sz w:val="14"/>
          <w:szCs w:val="14"/>
          <w:color w:val="auto"/>
        </w:rPr>
        <w:t>SSD storage products incorporate NAND, a controller, and firmware to offer significant performance and features over hard</w:t>
      </w:r>
      <w:r>
        <w:rPr>
          <w:rFonts w:ascii="Arial" w:cs="Arial" w:eastAsia="Arial" w:hAnsi="Arial"/>
          <w:sz w:val="14"/>
          <w:szCs w:val="14"/>
          <w:i w:val="1"/>
          <w:iCs w:val="1"/>
          <w:color w:val="auto"/>
        </w:rPr>
        <w:t xml:space="preserve"> </w:t>
      </w:r>
      <w:r>
        <w:rPr>
          <w:rFonts w:ascii="Arial" w:cs="Arial" w:eastAsia="Arial" w:hAnsi="Arial"/>
          <w:sz w:val="14"/>
          <w:szCs w:val="14"/>
          <w:color w:val="auto"/>
        </w:rPr>
        <w:t>disk drives, including smaller form factors, faster read and write speeds, higher reliability, and lower power consumption needed to address the growing demands of data-centric workloads, ever-increasing expectations of client users, and the stringent requirements of automotive and industrial applications.</w:t>
      </w:r>
    </w:p>
    <w:p>
      <w:pPr>
        <w:spacing w:after="0" w:line="162"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i w:val="1"/>
          <w:iCs w:val="1"/>
          <w:u w:val="single" w:color="auto"/>
          <w:color w:val="auto"/>
        </w:rPr>
        <w:t>Managed NAND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Managed NAND combines NAND flash with a sophisticated controller and firmware in a single package. This integration allows the</w:t>
      </w:r>
      <w:r>
        <w:rPr>
          <w:rFonts w:ascii="Arial" w:cs="Arial" w:eastAsia="Arial" w:hAnsi="Arial"/>
          <w:sz w:val="16"/>
          <w:szCs w:val="16"/>
          <w:i w:val="1"/>
          <w:iCs w:val="1"/>
          <w:color w:val="auto"/>
        </w:rPr>
        <w:t xml:space="preserve"> </w:t>
      </w:r>
      <w:r>
        <w:rPr>
          <w:rFonts w:ascii="Arial" w:cs="Arial" w:eastAsia="Arial" w:hAnsi="Arial"/>
          <w:sz w:val="16"/>
          <w:szCs w:val="16"/>
          <w:color w:val="auto"/>
        </w:rPr>
        <w:t>memory to manage itself, handling tasks like wear leveling, bad block management, and error correction internally, freeing the host system from these tasks. Products such as embedded MultiMediaCards (“e.MMC”) and universal flash storage (“UFS”) offer solutions that are compact and reliable, making them widely used across the mobile, automotive, and industrial markets.</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u w:val="single" w:color="auto"/>
          <w:color w:val="auto"/>
        </w:rPr>
        <w:t>Multi-Chip Packages (“MCPs”)</w:t>
      </w:r>
      <w:r>
        <w:rPr>
          <w:rFonts w:ascii="Arial" w:cs="Arial" w:eastAsia="Arial" w:hAnsi="Arial"/>
          <w:sz w:val="16"/>
          <w:szCs w:val="16"/>
          <w:i w:val="1"/>
          <w:iCs w:val="1"/>
          <w:color w:val="auto"/>
        </w:rPr>
        <w:t xml:space="preserve"> : </w:t>
      </w:r>
      <w:r>
        <w:rPr>
          <w:rFonts w:ascii="Arial" w:cs="Arial" w:eastAsia="Arial" w:hAnsi="Arial"/>
          <w:sz w:val="16"/>
          <w:szCs w:val="16"/>
          <w:color w:val="auto"/>
        </w:rPr>
        <w:t>Designed to provide high-performance, compact, and efficient memory solutions by integrating multiple types of memory,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LPDDR and NAND, into a single package. MCPs are used in embedded internet of things (“IoT”) applications, automotive systems, mobile devices, and industrial devices where space and power efficiency are critical.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Total reported NAND revenue was $8.50 billion in 2025, $7.23 billion in 2024, and $4.21 billion in 2023.</w:t>
      </w:r>
    </w:p>
    <w:p>
      <w:pPr>
        <w:spacing w:after="0" w:line="22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i w:val="1"/>
          <w:iCs w:val="1"/>
          <w:color w:val="auto"/>
        </w:rPr>
        <w:t xml:space="preserve">NOR: </w:t>
      </w:r>
      <w:r>
        <w:rPr>
          <w:rFonts w:ascii="Arial" w:cs="Arial" w:eastAsia="Arial" w:hAnsi="Arial"/>
          <w:sz w:val="16"/>
          <w:szCs w:val="16"/>
          <w:color w:val="auto"/>
        </w:rPr>
        <w:t>NOR products are non-volatile, re-writable semiconductor memory devices that provide fast read speeds. NOR is most commonly used for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 storage (e.g., boot, application, operating system, and execute-in-place code in an embedded system) and for frequently changing small data storage and is ideal for automotive, industrial, and consumer applications.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Products by Business Unit and Market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Memory Business Unit (“CMBU”)</w:t>
      </w:r>
    </w:p>
    <w:p>
      <w:pPr>
        <w:spacing w:after="0" w:line="272"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CMBU is focused on memory solutions for large hyperscale cloud customers, and HBM for all data center customers. In addition to HBM, CMBU sales include DDR, LPDDR, and GDDR.</w:t>
      </w:r>
    </w:p>
    <w:p>
      <w:pPr>
        <w:spacing w:after="0" w:line="186"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i w:val="1"/>
          <w:iCs w:val="1"/>
          <w:u w:val="single" w:color="auto"/>
          <w:color w:val="auto"/>
        </w:rPr>
        <w:t>Data Center</w:t>
      </w:r>
      <w:r>
        <w:rPr>
          <w:rFonts w:ascii="Arial" w:cs="Arial" w:eastAsia="Arial" w:hAnsi="Arial"/>
          <w:sz w:val="16"/>
          <w:szCs w:val="16"/>
          <w:i w:val="1"/>
          <w:iCs w:val="1"/>
          <w:color w:val="auto"/>
        </w:rPr>
        <w:t xml:space="preserve">: </w:t>
      </w:r>
      <w:r>
        <w:rPr>
          <w:rFonts w:ascii="Arial" w:cs="Arial" w:eastAsia="Arial" w:hAnsi="Arial"/>
          <w:sz w:val="16"/>
          <w:szCs w:val="16"/>
          <w:color w:val="auto"/>
        </w:rPr>
        <w:t>CMBU sales to the data center end market are driven by server demand across the cloud market and includes our portfolio of HBM, high-capacity dual in-line memory modules (“DIMMs”), and low-power server DRAM solutions.</w:t>
      </w:r>
    </w:p>
    <w:p>
      <w:pPr>
        <w:spacing w:after="0" w:line="186"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Overall cloud growth continues to be driven by the shift of both infrastructure and workloads from on- premises to the cloud. Cloud-native workloads are driving growth through use cases such as AI-enabled intelligent edge devices and augmented reality platforms that store and access data in the cloud or rely on the cloud for compute capability. Cloud servers supporting AI and data-centric workloads require significantly increasing quantities of DRAM, including HBM, and NAND as the task of turning data into insight becomes increasingly memory-centric.</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 2024, we began volume production of our 8-high 24GB HBM3E with increased bandwidth and superior power efficiency enabled by our advanced</w:t>
      </w:r>
    </w:p>
    <w:p>
      <w:pPr>
        <w:spacing w:after="0" w:line="10" w:lineRule="exact"/>
        <w:rPr>
          <w:sz w:val="20"/>
          <w:szCs w:val="20"/>
          <w:color w:val="auto"/>
        </w:rPr>
      </w:pPr>
    </w:p>
    <w:p>
      <w:pPr>
        <w:jc w:val="both"/>
        <w:ind w:right="40"/>
        <w:spacing w:after="0" w:line="239" w:lineRule="auto"/>
        <w:rPr>
          <w:sz w:val="20"/>
          <w:szCs w:val="20"/>
          <w:color w:val="auto"/>
        </w:rPr>
      </w:pPr>
      <w:r>
        <w:rPr>
          <w:rFonts w:ascii="Arial" w:cs="Arial" w:eastAsia="Arial" w:hAnsi="Arial"/>
          <w:sz w:val="16"/>
          <w:szCs w:val="16"/>
          <w:color w:val="auto"/>
        </w:rPr>
        <w:t>1β process node. In the fourth quarter of 2025, HBM3E 12- high represented the majority of our HBM shipments. This enhanced version of HBM delivers faster data rates, improved thermal response, and a higher monolithic die density within the same package footprint as previous generations. In 2025, we delivered samples of HBM4 36GB 12-high to multiple key customers to power next-generation AI platforms.</w:t>
      </w:r>
    </w:p>
    <w:p>
      <w:pPr>
        <w:spacing w:after="0" w:line="20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As modern servers pack more processing cores into central processing units (“CPUs”), the memory bandwidth per CPU core has been decreasing. Our DDR5 alleviates this bottleneck by providing higher bandwidth than previous generations, enabling improved performance and scaling. In 2024, we qualified and began shipping our 128GB DDR5 server module, built on a monolithic 32GB DRAM die and powered by our 1ß node. This innovative product provides an industry alternative to existing 3D TSV-based solutions to address the rigorous speed and capacity demands of memory-intensive generative AI applications. In 2025, we began volume production of LPDDR5 in a small outline compression attached memory module (“SOCAMM”) form factor to enable easier server manufacturability and serviceability and to help drive broader LPDDR adoption in the server market.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 w:name="page10"/>
    <w:bookmarkEnd w:id="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Total reported CMBU revenue was $13.52 billion in 2025, $3.79 billion in 2024, and $1.87 billion in 2023. CMBU sales to the data center market in 2025 consisted primarily of our HBM, DDR5 and DDR4, LPDDR5, and GDDR6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Core Data Center Business Unit (“CDBU”)</w:t>
      </w:r>
    </w:p>
    <w:p>
      <w:pPr>
        <w:spacing w:after="0" w:line="272" w:lineRule="exact"/>
        <w:rPr>
          <w:sz w:val="20"/>
          <w:szCs w:val="20"/>
          <w:color w:val="auto"/>
        </w:rPr>
      </w:pPr>
    </w:p>
    <w:p>
      <w:pPr>
        <w:ind w:right="820"/>
        <w:spacing w:after="0" w:line="262" w:lineRule="auto"/>
        <w:rPr>
          <w:sz w:val="20"/>
          <w:szCs w:val="20"/>
          <w:color w:val="auto"/>
        </w:rPr>
      </w:pPr>
      <w:r>
        <w:rPr>
          <w:rFonts w:ascii="Arial" w:cs="Arial" w:eastAsia="Arial" w:hAnsi="Arial"/>
          <w:sz w:val="16"/>
          <w:szCs w:val="16"/>
          <w:color w:val="auto"/>
        </w:rPr>
        <w:t>CDBU is focused on memory solutions for mid-tier cloud, enterprise, and OEM data center customers and storage solutions for all data center customers, including data center SSDs and NAND components.</w:t>
      </w:r>
    </w:p>
    <w:p>
      <w:pPr>
        <w:spacing w:after="0" w:line="186" w:lineRule="exact"/>
        <w:rPr>
          <w:sz w:val="20"/>
          <w:szCs w:val="20"/>
          <w:color w:val="auto"/>
        </w:rPr>
      </w:pPr>
    </w:p>
    <w:p>
      <w:pPr>
        <w:ind w:right="480"/>
        <w:spacing w:after="0" w:line="246" w:lineRule="auto"/>
        <w:rPr>
          <w:sz w:val="20"/>
          <w:szCs w:val="20"/>
          <w:color w:val="auto"/>
        </w:rPr>
      </w:pPr>
      <w:r>
        <w:rPr>
          <w:rFonts w:ascii="Arial" w:cs="Arial" w:eastAsia="Arial" w:hAnsi="Arial"/>
          <w:sz w:val="16"/>
          <w:szCs w:val="16"/>
          <w:i w:val="1"/>
          <w:iCs w:val="1"/>
          <w:u w:val="single" w:color="auto"/>
          <w:color w:val="auto"/>
        </w:rPr>
        <w:t>Data Center DRAM</w:t>
      </w:r>
      <w:r>
        <w:rPr>
          <w:rFonts w:ascii="Arial" w:cs="Arial" w:eastAsia="Arial" w:hAnsi="Arial"/>
          <w:sz w:val="16"/>
          <w:szCs w:val="16"/>
          <w:i w:val="1"/>
          <w:iCs w:val="1"/>
          <w:color w:val="auto"/>
        </w:rPr>
        <w:t xml:space="preserve"> : </w:t>
      </w:r>
      <w:r>
        <w:rPr>
          <w:rFonts w:ascii="Arial" w:cs="Arial" w:eastAsia="Arial" w:hAnsi="Arial"/>
          <w:sz w:val="16"/>
          <w:szCs w:val="16"/>
          <w:color w:val="auto"/>
        </w:rPr>
        <w:t>CDBU sales to OEM data center customers are driven by server and storage demand to support mid-tier cloud and enterprise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our sales consisted primarily of DDR5 and DDR4.</w:t>
      </w:r>
    </w:p>
    <w:p>
      <w:pPr>
        <w:spacing w:after="0" w:line="187" w:lineRule="exact"/>
        <w:rPr>
          <w:sz w:val="20"/>
          <w:szCs w:val="20"/>
          <w:color w:val="auto"/>
        </w:rPr>
      </w:pPr>
    </w:p>
    <w:p>
      <w:pPr>
        <w:spacing w:after="0" w:line="226" w:lineRule="auto"/>
        <w:rPr>
          <w:sz w:val="20"/>
          <w:szCs w:val="20"/>
          <w:color w:val="auto"/>
        </w:rPr>
      </w:pPr>
      <w:r>
        <w:rPr>
          <w:rFonts w:ascii="Arial" w:cs="Arial" w:eastAsia="Arial" w:hAnsi="Arial"/>
          <w:sz w:val="16"/>
          <w:szCs w:val="16"/>
          <w:i w:val="1"/>
          <w:iCs w:val="1"/>
          <w:u w:val="single" w:color="auto"/>
          <w:color w:val="auto"/>
        </w:rPr>
        <w:t>Data Center SSDs and NAND</w:t>
      </w:r>
      <w:r>
        <w:rPr>
          <w:rFonts w:ascii="Arial" w:cs="Arial" w:eastAsia="Arial" w:hAnsi="Arial"/>
          <w:sz w:val="16"/>
          <w:szCs w:val="16"/>
          <w:i w:val="1"/>
          <w:iCs w:val="1"/>
          <w:color w:val="auto"/>
        </w:rPr>
        <w:t xml:space="preserve"> : </w:t>
      </w:r>
      <w:r>
        <w:rPr>
          <w:rFonts w:ascii="Arial" w:cs="Arial" w:eastAsia="Arial" w:hAnsi="Arial"/>
          <w:sz w:val="16"/>
          <w:szCs w:val="16"/>
          <w:color w:val="auto"/>
        </w:rPr>
        <w:t>The rapid proliferation of AI, cloud computing, and big data are fueling demand for high-performance and high-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in data centers. In 2025, we qualified and began shipping our 9550 series SSD to meet the growing demands of AI, high-performance computing, and many other workloads. This fully integrated solution enables improved performance, power efficiency, and security features for data center operators. In 2025, we also qualified and began shipping our 6550 ION SSD, which delivers lower power while providing better performance and better data center footprint efficiency with more density per rack for data centers. Both products utilized Micron’s G8 NAND and internally designed and vertically integrated engineering capability consisting of a controller, firmware, NAND, and DRAM. We also strengthened our portfolio with our first G9-based data center products, including our PCIe Gen6 SSDs.</w:t>
      </w:r>
    </w:p>
    <w:p>
      <w:pPr>
        <w:spacing w:after="0" w:line="192"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Total reported CDBU revenue was $7.23 billion in 2025, $4.98 billion in 2024, and $2.12 billion in 2023. CDBU sales to the data center SSD market in 2025 consisted primarily of our 5400, 6500 ION, 7450, 7500, and 9550 series SSDs. CDBU sales also included sales of our DDR5 and DRR4 and component NAND sales of QLC and TLC.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Mobile and Client Business Unit (“MCBU”)</w:t>
      </w:r>
    </w:p>
    <w:p>
      <w:pPr>
        <w:spacing w:after="0" w:line="32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MCBU is focused on memory and storage solutions for the mobile and client segments. Additionally, MCBU sales include our Crucial-branded SSDs and DRAM sold to the consumer market and component DRAM and NAND sales of TLC and QLC.</w:t>
      </w:r>
    </w:p>
    <w:p>
      <w:pPr>
        <w:spacing w:after="0" w:line="234"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i w:val="1"/>
          <w:iCs w:val="1"/>
          <w:u w:val="single" w:color="auto"/>
          <w:color w:val="auto"/>
        </w:rPr>
        <w:t>Mobile</w:t>
      </w:r>
      <w:r>
        <w:rPr>
          <w:rFonts w:ascii="Arial" w:cs="Arial" w:eastAsia="Arial" w:hAnsi="Arial"/>
          <w:sz w:val="14"/>
          <w:szCs w:val="14"/>
          <w:i w:val="1"/>
          <w:iCs w:val="1"/>
          <w:color w:val="auto"/>
        </w:rPr>
        <w:t xml:space="preserve">: </w:t>
      </w:r>
      <w:r>
        <w:rPr>
          <w:rFonts w:ascii="Arial" w:cs="Arial" w:eastAsia="Arial" w:hAnsi="Arial"/>
          <w:sz w:val="14"/>
          <w:szCs w:val="14"/>
          <w:color w:val="auto"/>
        </w:rPr>
        <w:t>Consists of memory and storage products sold into the smartphone and other mobile-device markets, including discrete NAND, DRAM, and</w:t>
      </w:r>
      <w:r>
        <w:rPr>
          <w:rFonts w:ascii="Arial" w:cs="Arial" w:eastAsia="Arial" w:hAnsi="Arial"/>
          <w:sz w:val="14"/>
          <w:szCs w:val="14"/>
          <w:i w:val="1"/>
          <w:iCs w:val="1"/>
          <w:color w:val="auto"/>
        </w:rPr>
        <w:t xml:space="preserve"> </w:t>
      </w:r>
      <w:r>
        <w:rPr>
          <w:rFonts w:ascii="Arial" w:cs="Arial" w:eastAsia="Arial" w:hAnsi="Arial"/>
          <w:sz w:val="14"/>
          <w:szCs w:val="14"/>
          <w:color w:val="auto"/>
        </w:rPr>
        <w:t>managed NAND products. MCBU offers a portfolio of MCPs and managed NAND, including products which combine e.MMC/UFS solutions with LPDDR, along with a suite of unique firmware features designed for next-generation smartphones and to accelerate AI applications in the mobile market.</w:t>
      </w:r>
    </w:p>
    <w:p>
      <w:pPr>
        <w:spacing w:after="0" w:line="162" w:lineRule="exact"/>
        <w:rPr>
          <w:sz w:val="20"/>
          <w:szCs w:val="20"/>
          <w:color w:val="auto"/>
        </w:rPr>
      </w:pPr>
    </w:p>
    <w:p>
      <w:pPr>
        <w:ind w:right="360"/>
        <w:spacing w:after="0" w:line="241" w:lineRule="auto"/>
        <w:rPr>
          <w:sz w:val="20"/>
          <w:szCs w:val="20"/>
          <w:color w:val="auto"/>
        </w:rPr>
      </w:pPr>
      <w:r>
        <w:rPr>
          <w:rFonts w:ascii="Arial" w:cs="Arial" w:eastAsia="Arial" w:hAnsi="Arial"/>
          <w:sz w:val="16"/>
          <w:szCs w:val="16"/>
          <w:color w:val="auto"/>
        </w:rPr>
        <w:t>The proliferation of smartphones, tablets, and other mobile devices continues to increase the demand for memory chips, while AI adoption in such devices continues to be a strong driver for mobile DRAM content growth. These devices require high-performance memory to support various applications, from gaming to productivity. Smartphones offer tremendous potential for personalized AI capabilities that offer greater security and responsiveness when executed on the device. Enabling these on-device AI capabilities is driving increased memory and storage capacity needs and increasing demand for new value-add solutions.</w:t>
      </w:r>
    </w:p>
    <w:p>
      <w:pPr>
        <w:spacing w:after="0" w:line="205"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We are focused on providing solutions to the high-end smartphone segments, leveraging our 1ß and 1γ technology nodes for LPDDR5X. In 2025, we began shipping qualification samples of our first LPDDR5X memory built on the 1γ node, engineered to accelerate AI applications on flagship smartphones, and delivering a faster speed grade while reducing power consumption, all in an ultrathin form factor ideal for mobile.</w:t>
      </w:r>
    </w:p>
    <w:p>
      <w:pPr>
        <w:spacing w:after="0" w:line="198" w:lineRule="exact"/>
        <w:rPr>
          <w:sz w:val="20"/>
          <w:szCs w:val="20"/>
          <w:color w:val="auto"/>
        </w:rPr>
      </w:pPr>
    </w:p>
    <w:p>
      <w:pPr>
        <w:ind w:right="640"/>
        <w:spacing w:after="0" w:line="262" w:lineRule="auto"/>
        <w:rPr>
          <w:sz w:val="20"/>
          <w:szCs w:val="20"/>
          <w:color w:val="auto"/>
        </w:rPr>
      </w:pPr>
      <w:r>
        <w:rPr>
          <w:rFonts w:ascii="Arial" w:cs="Arial" w:eastAsia="Arial" w:hAnsi="Arial"/>
          <w:sz w:val="16"/>
          <w:szCs w:val="16"/>
          <w:i w:val="1"/>
          <w:iCs w:val="1"/>
          <w:u w:val="single" w:color="auto"/>
          <w:color w:val="auto"/>
        </w:rPr>
        <w:t>Client</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sold to the client PC market support both commercial and consumer PC unit growth. The next generation PCs contain high-performance neural processing chipsets, as well as AI. These devices have significantly more DRAM content than today’s average PC.</w:t>
      </w:r>
    </w:p>
    <w:p>
      <w:pPr>
        <w:spacing w:after="0" w:line="18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u w:val="single" w:color="auto"/>
          <w:color w:val="auto"/>
        </w:rPr>
        <w:t>Client and Consumer SSDs</w:t>
      </w:r>
      <w:r>
        <w:rPr>
          <w:rFonts w:ascii="Arial" w:cs="Arial" w:eastAsia="Arial" w:hAnsi="Arial"/>
          <w:sz w:val="16"/>
          <w:szCs w:val="16"/>
          <w:i w:val="1"/>
          <w:iCs w:val="1"/>
          <w:color w:val="auto"/>
        </w:rPr>
        <w:t xml:space="preserve">: </w:t>
      </w:r>
      <w:r>
        <w:rPr>
          <w:rFonts w:ascii="Arial" w:cs="Arial" w:eastAsia="Arial" w:hAnsi="Arial"/>
          <w:sz w:val="16"/>
          <w:szCs w:val="16"/>
          <w:color w:val="auto"/>
        </w:rPr>
        <w:t>The next generation PCs contain high-performance neural processing chipsets, as well as AI capabilities, and require higher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higher average capacity SSDs than traditional PCs. Our client SSDs, targeted for leading personal computer OEMs, have mostly replaced hard disk drives used in notebooks, desktops, workstations, and other consumer applications, and deliver high performance,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254635</wp:posOffset>
            </wp:positionV>
            <wp:extent cx="693420"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 w:name="page11"/>
    <w:bookmarkEnd w:id="1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60"/>
        <w:spacing w:after="0" w:line="334" w:lineRule="auto"/>
        <w:rPr>
          <w:sz w:val="20"/>
          <w:szCs w:val="20"/>
          <w:color w:val="auto"/>
        </w:rPr>
      </w:pPr>
      <w:r>
        <w:rPr>
          <w:rFonts w:ascii="Arial" w:cs="Arial" w:eastAsia="Arial" w:hAnsi="Arial"/>
          <w:sz w:val="14"/>
          <w:szCs w:val="14"/>
          <w:color w:val="auto"/>
        </w:rPr>
        <w:t>efficiency, security, and capacity. In 2025, we began shipping Micron G9 QLC-based NAND in client SSDs designed for OEMs featuring our proprietary Adaptive Write Technology, which enables faster write performance for improved AI-driven applications and an optimized user experience.</w:t>
      </w:r>
    </w:p>
    <w:p>
      <w:pPr>
        <w:spacing w:after="0" w:line="14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Total reported MCBU revenue was $11.86 billion in 2025, $11.67 billion in 2024, and $7.39 billion in 2023. MCBU sales to the mobile market in 2025 consisted primarily of LPDDR5 and LPDDR4 DRAM and managed NAND solutions. MCBU sales to the client and consumer SSD markets in 2025 consisted primarily of our 2500, 2550, 2650, and 3500 series SSDs and our Crucial-branded BX500 SATA SSDs and P3 Plus PCIe SSDs. MCBU sales also included component NAND sales of TLC and QLC.</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Automotive and Embedded Business Unit (“AEBU”)</w:t>
      </w:r>
    </w:p>
    <w:p>
      <w:pPr>
        <w:spacing w:after="0" w:line="27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AEBU is focused on memory and storage solutions for the automotive, industrial, and consumer segments sold into the intelligent edge, including discrete and module DRAM, discrete NAND, managed NAND, SSDs, and NOR. The intelligent edge refers to the continually growing set of connected systems and devices where data is analyzed and aggregated closest to where it is captured. Intelligent devices, those using AI for inference at the edge, are now more self-contained and do not need to connect to the cloud to run their algorithms.</w:t>
      </w:r>
    </w:p>
    <w:p>
      <w:pPr>
        <w:spacing w:after="0" w:line="20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i w:val="1"/>
          <w:iCs w:val="1"/>
          <w:u w:val="single" w:color="auto"/>
          <w:color w:val="auto"/>
        </w:rPr>
        <w:t>Automotive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in autonomous driving, advanced driver-assistance systems, in-vehicle infotainment systems, advanced robotaxi platforms,</w:t>
      </w:r>
      <w:r>
        <w:rPr>
          <w:rFonts w:ascii="Arial" w:cs="Arial" w:eastAsia="Arial" w:hAnsi="Arial"/>
          <w:sz w:val="16"/>
          <w:szCs w:val="16"/>
          <w:i w:val="1"/>
          <w:iCs w:val="1"/>
          <w:color w:val="auto"/>
        </w:rPr>
        <w:t xml:space="preserve"> </w:t>
      </w:r>
      <w:r>
        <w:rPr>
          <w:rFonts w:ascii="Arial" w:cs="Arial" w:eastAsia="Arial" w:hAnsi="Arial"/>
          <w:sz w:val="16"/>
          <w:szCs w:val="16"/>
          <w:color w:val="auto"/>
        </w:rPr>
        <w:t>and AI technologies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Adoption of Level 2 and 3 advanced driver-assistance systems capabilities continue to gain momentum, further expanding content per vehicle. Our products enable increasingly advanced vision- and sensor-based automated systems to support driver assistance solutions and vehicle safety. In 2025, we announced the production readiness of our first automotive LPDDR5X DRAM product that supports the increasing performance requirements of AI-driven applications in vehicles. Additionally, our 4150 SSD became our first enterprise SSD product that is automotive-qualified and is now sampling at target customers, further reinforcing our commitment to innovation and leadership in this important market.</w:t>
      </w:r>
    </w:p>
    <w:p>
      <w:pPr>
        <w:spacing w:after="0" w:line="206"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i w:val="1"/>
          <w:iCs w:val="1"/>
          <w:u w:val="single" w:color="auto"/>
          <w:color w:val="auto"/>
        </w:rPr>
        <w:t>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adoption of IoT devices, automation, machine-to-machine communication, and smart infrastructure across sectors,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transportation, surveillance, and retail, is driving demand for industrial memory solutions. High-reliability and high-performance memory solutions are critical for these applications.</w:t>
      </w:r>
    </w:p>
    <w:p>
      <w:pPr>
        <w:spacing w:after="0" w:line="172"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i w:val="1"/>
          <w:iCs w:val="1"/>
          <w:u w:val="single" w:color="auto"/>
          <w:color w:val="auto"/>
        </w:rPr>
        <w:t>Consumer Embedded</w:t>
      </w:r>
      <w:r>
        <w:rPr>
          <w:rFonts w:ascii="Arial" w:cs="Arial" w:eastAsia="Arial" w:hAnsi="Arial"/>
          <w:sz w:val="16"/>
          <w:szCs w:val="16"/>
          <w:i w:val="1"/>
          <w:iCs w:val="1"/>
          <w:color w:val="auto"/>
        </w:rPr>
        <w:t xml:space="preserve">: </w:t>
      </w:r>
      <w:r>
        <w:rPr>
          <w:rFonts w:ascii="Arial" w:cs="Arial" w:eastAsia="Arial" w:hAnsi="Arial"/>
          <w:sz w:val="16"/>
          <w:szCs w:val="16"/>
          <w:color w:val="auto"/>
        </w:rPr>
        <w:t>Embedded memory and storage solutions are used in a diverse set of consumer products, including service provider and IP set-top boxes, digital home assistants, digital still and video cameras, home networking, ultra-high- definition televisions, augmented reality and virtual reality headsets. Our embedded memory and storage solutions enable intelligent edge devices in the consumer products market to store, connect, and transform information in the IoT.</w:t>
      </w:r>
    </w:p>
    <w:p>
      <w:pPr>
        <w:spacing w:after="0" w:line="200" w:lineRule="exact"/>
        <w:rPr>
          <w:sz w:val="20"/>
          <w:szCs w:val="20"/>
          <w:color w:val="auto"/>
        </w:rPr>
      </w:pPr>
    </w:p>
    <w:p>
      <w:pPr>
        <w:ind w:right="260"/>
        <w:spacing w:after="0" w:line="334" w:lineRule="auto"/>
        <w:rPr>
          <w:sz w:val="20"/>
          <w:szCs w:val="20"/>
          <w:color w:val="auto"/>
        </w:rPr>
      </w:pPr>
      <w:r>
        <w:rPr>
          <w:rFonts w:ascii="Arial" w:cs="Arial" w:eastAsia="Arial" w:hAnsi="Arial"/>
          <w:sz w:val="14"/>
          <w:szCs w:val="14"/>
          <w:color w:val="auto"/>
        </w:rPr>
        <w:t>Total reported AEBU revenue was $ 4.75 billion in 2025, $4.63 billion in 2024, and $4.14 billion in 2023. In 2025, AEBU sales to the automotive, industrial, and consumer embedded markets consisted primarily of LPDDR5 and LPDDR4, managed NAND, DDR4 and DDR3, and GDDR6 products.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Marketing and Customers</w:t>
      </w:r>
    </w:p>
    <w:p>
      <w:pPr>
        <w:spacing w:after="0" w:line="24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 w:name="page12"/>
    <w:bookmarkEnd w:id="1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 branded products through a web -based customer-direct sales channel, as well as through channel and distribution partners. We maintain inventory at locations in close proximity to certain key customers to facilitate rapid delivery of products.</w:t>
      </w:r>
    </w:p>
    <w:p>
      <w:pPr>
        <w:spacing w:after="0" w:line="206" w:lineRule="exact"/>
        <w:rPr>
          <w:sz w:val="20"/>
          <w:szCs w:val="20"/>
          <w:color w:val="auto"/>
        </w:rPr>
      </w:pPr>
    </w:p>
    <w:p>
      <w:pPr>
        <w:jc w:val="both"/>
        <w:ind w:right="240"/>
        <w:spacing w:after="0" w:line="248" w:lineRule="auto"/>
        <w:rPr>
          <w:sz w:val="20"/>
          <w:szCs w:val="20"/>
          <w:color w:val="auto"/>
        </w:rPr>
      </w:pPr>
      <w:r>
        <w:rPr>
          <w:rFonts w:ascii="Arial" w:cs="Arial" w:eastAsia="Arial" w:hAnsi="Arial"/>
          <w:sz w:val="16"/>
          <w:szCs w:val="16"/>
          <w:color w:val="auto"/>
        </w:rPr>
        <w:t>Due to volatile industry conditions, our customers are generally reluctant to enter into long- 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each of the last three years, approximately one- half of our total revenue was from our top ten customers. For other information regarding our concentrations and customers, see Part II, Item 8. Financial Statements and Supplementary Data, Notes to Consolidated Financial Statements, Note 28. Certain Concentrations.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Conditions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We face intense competition in the semiconductor memory and storage markets from a number of companies, including Samsung Electronics Co.,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SK hynix Inc.; Kioxia Holdings Corporation; Sandisk Corporation; ChangXin Memory Technologies, Inc. (“CXMT”); and Yangtze Memory</w:t>
      </w:r>
    </w:p>
    <w:p>
      <w:pPr>
        <w:spacing w:after="0"/>
        <w:rPr>
          <w:sz w:val="20"/>
          <w:szCs w:val="20"/>
          <w:color w:val="auto"/>
        </w:rPr>
      </w:pPr>
      <w:r>
        <w:rPr>
          <w:rFonts w:ascii="Arial" w:cs="Arial" w:eastAsia="Arial" w:hAnsi="Arial"/>
          <w:sz w:val="14"/>
          <w:szCs w:val="14"/>
          <w:color w:val="auto"/>
        </w:rPr>
        <w:t>Technologies Co., Ltd. (“YMTC”). Our competitors may use aggressive pricing to obtain market share. Some of our competitors are large corporations 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conglomerates that may operate in jurisdictions with lower labor and compliance costs and may have a larger market share and greater resources to</w:t>
      </w:r>
    </w:p>
    <w:p>
      <w:pPr>
        <w:spacing w:after="0"/>
        <w:rPr>
          <w:sz w:val="20"/>
          <w:szCs w:val="20"/>
          <w:color w:val="auto"/>
        </w:rPr>
      </w:pPr>
      <w:r>
        <w:rPr>
          <w:rFonts w:ascii="Arial" w:cs="Arial" w:eastAsia="Arial" w:hAnsi="Arial"/>
          <w:sz w:val="14"/>
          <w:szCs w:val="14"/>
          <w:color w:val="auto"/>
        </w:rPr>
        <w:t>invest in technology, capitalize on growth opportunities, and withstand downturns in the semiconductor markets in which we compete. Consolidation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industry competitors could put us at a competitive disadvantage as our competitors may benefit from increased manufacturing scale and a stronger</w:t>
      </w:r>
    </w:p>
    <w:p>
      <w:pPr>
        <w:spacing w:after="0"/>
        <w:rPr>
          <w:sz w:val="20"/>
          <w:szCs w:val="20"/>
          <w:color w:val="auto"/>
        </w:rPr>
      </w:pPr>
      <w:r>
        <w:rPr>
          <w:rFonts w:ascii="Arial" w:cs="Arial" w:eastAsia="Arial" w:hAnsi="Arial"/>
          <w:sz w:val="14"/>
          <w:szCs w:val="14"/>
          <w:color w:val="auto"/>
        </w:rPr>
        <w:t>product portfolio. Alternatively, new entrants into the memory and storage market could have a significant adverse impact on our competitive position. We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operate in different jurisdictions than our competitors and may be impacted by unfavorable changes in currency exchange rates, import/export</w:t>
      </w:r>
    </w:p>
    <w:p>
      <w:pPr>
        <w:spacing w:after="0"/>
        <w:rPr>
          <w:sz w:val="20"/>
          <w:szCs w:val="20"/>
          <w:color w:val="auto"/>
        </w:rPr>
      </w:pPr>
      <w:r>
        <w:rPr>
          <w:rFonts w:ascii="Arial" w:cs="Arial" w:eastAsia="Arial" w:hAnsi="Arial"/>
          <w:sz w:val="16"/>
          <w:szCs w:val="16"/>
          <w:color w:val="auto"/>
        </w:rPr>
        <w:t>restrictions, and other trade regulations, including tariffs.</w:t>
      </w:r>
    </w:p>
    <w:p>
      <w:pPr>
        <w:spacing w:after="0" w:line="210"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May 2023 decision by China’s Cyberspace Administration (the “CAC”) that critical information infrastructure operators in China may not purchase Micron products had an adverse impact on our ability to compete effectively in China and elsewhere.</w:t>
      </w:r>
    </w:p>
    <w:p>
      <w:pPr>
        <w:spacing w:after="0" w:line="176"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 w:name="page13"/>
    <w:bookmarkEnd w:id="12"/>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Manufacturing</w:t>
      </w:r>
    </w:p>
    <w:p>
      <w:pPr>
        <w:spacing w:after="0" w:line="249"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We manufacture our products within our own facilities located in Taiwan, Singapore, Japan, the United States, Malaysia, China, and India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w:t>
      </w:r>
    </w:p>
    <w:p>
      <w:pPr>
        <w:spacing w:after="0" w:line="1" w:lineRule="exact"/>
        <w:rPr>
          <w:sz w:val="20"/>
          <w:szCs w:val="20"/>
          <w:color w:val="auto"/>
        </w:rPr>
      </w:pPr>
    </w:p>
    <w:p>
      <w:pPr>
        <w:ind w:right="760"/>
        <w:spacing w:after="0" w:line="244" w:lineRule="auto"/>
        <w:rPr>
          <w:sz w:val="20"/>
          <w:szCs w:val="20"/>
          <w:color w:val="auto"/>
        </w:rPr>
      </w:pPr>
      <w:r>
        <w:rPr>
          <w:rFonts w:ascii="Arial" w:cs="Arial" w:eastAsia="Arial" w:hAnsi="Arial"/>
          <w:sz w:val="16"/>
          <w:szCs w:val="16"/>
          <w:color w:val="auto"/>
        </w:rPr>
        <w:t>Our DRAM, NAND, and NOR products share a number of common manufacturing processes, enabling us to leverage our product and process technology and certain resources and manufacturing infrastructure across these product lines.</w:t>
      </w:r>
    </w:p>
    <w:p>
      <w:pPr>
        <w:spacing w:after="0" w:line="200"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Our process for manufacturing semiconductor products is complex and involves numerous precise steps, including wafer fabrication, post-fabrication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and cost, package type, cleanliness of our manufacturing environment, and utilization of subcontractors to perform certain manufacturing processes. As we continue to increase our production of high-value products and solutions, manufacturing costs are increasingly affected by the costs of application-specific integrated circuit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04"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Wafer fabrication occurs in a highly controlled clean environment to minimize yield loss from contaminants. Despite stringent manufacturing controls, individual circuits may be non -functional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Our products are manufactured and sold in both packaged form and as unpackaged bare die. Our packaged products include packaged die, memory modules, and system- 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3" w:name="page14"/>
    <w:bookmarkEnd w:id="13"/>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 Our construction projects are highly dependent on available sources of materials and specialized equipment, as well as labor, skilled sub -contractors,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9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Resources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Supply Chain, Materials, and Third-Party Service Providers</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 -term contracts with some of our suppliers, many of these contracts do not provide for long - 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3"/>
          <w:szCs w:val="13"/>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4" w:name="page15"/>
    <w:bookmarkEnd w:id="1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9"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320"/>
        <w:spacing w:after="0" w:line="244" w:lineRule="auto"/>
        <w:rPr>
          <w:sz w:val="20"/>
          <w:szCs w:val="20"/>
          <w:color w:val="auto"/>
        </w:rPr>
      </w:pPr>
      <w:r>
        <w:rPr>
          <w:rFonts w:ascii="Arial" w:cs="Arial" w:eastAsia="Arial" w:hAnsi="Arial"/>
          <w:sz w:val="16"/>
          <w:szCs w:val="16"/>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0"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and Licenses</w:t>
      </w:r>
    </w:p>
    <w:p>
      <w:pPr>
        <w:spacing w:after="0" w:line="240" w:lineRule="exact"/>
        <w:rPr>
          <w:sz w:val="20"/>
          <w:szCs w:val="20"/>
          <w:color w:val="auto"/>
        </w:rPr>
      </w:pPr>
    </w:p>
    <w:p>
      <w:pPr>
        <w:ind w:right="360"/>
        <w:spacing w:after="0" w:line="334" w:lineRule="auto"/>
        <w:rPr>
          <w:sz w:val="20"/>
          <w:szCs w:val="20"/>
          <w:color w:val="auto"/>
        </w:rPr>
      </w:pPr>
      <w:r>
        <w:rPr>
          <w:rFonts w:ascii="Arial" w:cs="Arial" w:eastAsia="Arial" w:hAnsi="Arial"/>
          <w:sz w:val="14"/>
          <w:szCs w:val="14"/>
          <w:color w:val="auto"/>
        </w:rPr>
        <w:t>As of August 28, 2025, we have been granted over 60,000 patents and we owned approximately 15,000 active U.S. patents and 7,500 active foreign patents. In addition, we have thousands of U.S. and foreign patent applications pending. Our patents have various terms expiring through 2044.</w:t>
      </w:r>
    </w:p>
    <w:p>
      <w:pPr>
        <w:spacing w:after="0" w:line="140"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From time to time, we sell and/or license our technology to other parties, and we continue to pursue opportunities to monetize our investments in our intellectual property through partnering and other arrangements.</w:t>
      </w:r>
    </w:p>
    <w:p>
      <w:pPr>
        <w:spacing w:after="0" w:line="186"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Research and Development</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Our R&amp;D efforts are focused primarily on development of memory and storage solutions, including our industry-leading DRAM and NAND technology, that enable continuous improvement in performance and cost structure for our products. In 2025, we began shipping the 1γ production node, which is our first DRAM node incorporating EUV lithography. We also began volume production on our Micron G9 NAND node. We are well-positioned with our industry-leading HBM3E technology. Our HBM4 technology is advancing and remains on schedule for volume production in calendar 2026. We are also focused on developing new and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HBM, DDR5, LPDDR5, high-capacity MRDIMMs, compute express link (“CXL”) based products, and advanced graphics DRAM; TLC and QLC NAND technologies; storage solutions (including firmware and controllers) in SSDs and managed NAND; and other memory technologies and systems.</w:t>
      </w:r>
    </w:p>
    <w:p>
      <w:pPr>
        <w:spacing w:after="0" w:line="182"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R&amp;D centers are located in Boise, Idaho; San Jose, California; India; Japan; Taiwan; Singapore; China; Italy; Mexico; Germany; Malaysia; and other sites in the United States.</w:t>
      </w:r>
    </w:p>
    <w:p>
      <w:pPr>
        <w:spacing w:after="0" w:line="205"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16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Human Capital</w:t>
      </w:r>
    </w:p>
    <w:p>
      <w:pPr>
        <w:spacing w:after="0" w:line="35" w:lineRule="exact"/>
        <w:rPr>
          <w:sz w:val="20"/>
          <w:szCs w:val="20"/>
          <w:color w:val="auto"/>
        </w:rPr>
      </w:pPr>
    </w:p>
    <w:p>
      <w:pPr>
        <w:ind w:right="560"/>
        <w:spacing w:after="0" w:line="244" w:lineRule="auto"/>
        <w:rPr>
          <w:sz w:val="20"/>
          <w:szCs w:val="20"/>
          <w:color w:val="auto"/>
        </w:rPr>
      </w:pPr>
      <w:r>
        <w:rPr>
          <w:rFonts w:ascii="Arial" w:cs="Arial" w:eastAsia="Arial" w:hAnsi="Arial"/>
          <w:sz w:val="16"/>
          <w:szCs w:val="16"/>
          <w:color w:val="auto"/>
        </w:rPr>
        <w:t>We depend on a highly educated and experienced workforce to design, develop, and manufacture high-quality, cutting-edge memory and storage solutions. As of August 28, 2025, we had approximately 53,000 employees located primarily in Asia, North America, and Europe.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Acquisition, Development, and Engagement</w:t>
      </w:r>
    </w:p>
    <w:p>
      <w:pPr>
        <w:spacing w:after="0" w:line="240" w:lineRule="exact"/>
        <w:rPr>
          <w:sz w:val="20"/>
          <w:szCs w:val="20"/>
          <w:color w:val="auto"/>
        </w:rPr>
      </w:pPr>
    </w:p>
    <w:p>
      <w:pPr>
        <w:ind w:right="120"/>
        <w:spacing w:after="0" w:line="225" w:lineRule="auto"/>
        <w:rPr>
          <w:sz w:val="20"/>
          <w:szCs w:val="20"/>
          <w:color w:val="auto"/>
        </w:rPr>
      </w:pPr>
      <w:r>
        <w:rPr>
          <w:rFonts w:ascii="Arial" w:cs="Arial" w:eastAsia="Arial" w:hAnsi="Arial"/>
          <w:sz w:val="16"/>
          <w:szCs w:val="16"/>
          <w:color w:val="auto"/>
        </w:rPr>
        <w:t>Finding and retaining the best and brightest people in an extremely competitive industry environment is a strategic imperative for our business. We partner with our communities, institutions, governments, and associations to expand the pipeline of highly skilled STEM talent globally. Our partnerships with primary, secondary, and post- secondary education systems are key to training and inspiring the next generation to consider STEM careers in the semiconductor industry. On hiring, we focus on merit and use a variety of means to find the best talent. We are committed to empowering our team members through continuous learning, developing team members at all stages of their careers, including on-the-job training, continuing education, a robust mentoring program, and numerous internal certifications and training. We equip our team members with the latest AI tools and training to unlock human potential and labor productivity. In addition, we develop and accelerate our leaders’ careers through targeted learning that helps them move to higher-level positions or across functions.</w:t>
      </w:r>
    </w:p>
    <w:p>
      <w:pPr>
        <w:spacing w:after="0" w:line="193"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We use a research-based, people-centric approach to understanding and improving team member engagement. Listening to our team members is emphasized by the Micron Voice program, a survey which encompasses engagement, culture, leadership behaviors, well-being and inclusion to learn more from our team members.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 w:name="page17"/>
    <w:bookmarkEnd w:id="1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and Benefits</w:t>
      </w:r>
    </w:p>
    <w:p>
      <w:pPr>
        <w:spacing w:after="0" w:line="24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Our compensation programs are designed to support our team members’ financial and personal well-being by providing a valuable return for their contributions to the Company. Our total rewards strategy includes base salary, bonuses, equity awards, a discounted stock purchase plan, and a comprehensive benefits package. We have a regular review of pay globally, including base pay, annual bonuses, and stock awards, to ensure fairness in our compensation practices. We regularly assess our global leave, medical, and financial benefits to ensure market competitiveness.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Culture</w:t>
      </w:r>
    </w:p>
    <w:p>
      <w:pPr>
        <w:spacing w:after="0" w:line="24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At Micron, we empower a culture that reflects our core values and enables the best talent to innovate and thrive. To further this mission, we have required comprehensive training for all employees on fostering a respectful workplace, free from harassment or discrimination. We also train our leaders on the principles of psychological safety, enabling higher levels of trust, collaboration and performance. Recognizing the significance of mental health and wellbeing, we offer a global employee assistance program accessible to all team members. We also leverage our 10 Employee Resource Groups (“ERGs”) to cultivate welcoming environments where team members connect, grow and give back. ERG membership now exceeds more than half our workforce. In addition, we create opportunities for team members to participate in community engagement events and to build social connections through onsite workplace experiences.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Health, Safety, and Well-being</w:t>
      </w:r>
    </w:p>
    <w:p>
      <w:pPr>
        <w:spacing w:after="0" w:line="240" w:lineRule="exact"/>
        <w:rPr>
          <w:sz w:val="20"/>
          <w:szCs w:val="20"/>
          <w:color w:val="auto"/>
        </w:rPr>
      </w:pPr>
    </w:p>
    <w:p>
      <w:pPr>
        <w:jc w:val="both"/>
        <w:ind w:right="140"/>
        <w:spacing w:after="0" w:line="244" w:lineRule="auto"/>
        <w:rPr>
          <w:sz w:val="20"/>
          <w:szCs w:val="20"/>
          <w:color w:val="auto"/>
        </w:rPr>
      </w:pPr>
      <w:r>
        <w:rPr>
          <w:rFonts w:ascii="Arial" w:cs="Arial" w:eastAsia="Arial" w:hAnsi="Arial"/>
          <w:sz w:val="16"/>
          <w:szCs w:val="16"/>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addition to our proactive efforts on safety, our team member well-being program offers resources across our five pillars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family support for caregiving needs through various solutions, including on-site or near-site childcare centers, backup care support, and referral resources.</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Additional information about our human capital is included in our 2025 Sustainability Report available on our website. Information contained or referenced on our website is not incorporated by reference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7" w:name="page18"/>
    <w:bookmarkEnd w:id="1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Government Regulations</w:t>
      </w:r>
    </w:p>
    <w:p>
      <w:pPr>
        <w:spacing w:after="0" w:line="249"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Compliance</w:t>
      </w:r>
    </w:p>
    <w:p>
      <w:pPr>
        <w:spacing w:after="0" w:line="24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Manufacturing and sales of our products are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conform to the requirements of the ISO 14001:2015 environmental management systems standard to ensure we are continuously improving our performance. As part of the ISO 14001 framework, we have established a global environmental, health, safety, and sustainability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Trade Regulations</w:t>
      </w:r>
    </w:p>
    <w:p>
      <w:pPr>
        <w:spacing w:after="0" w:line="24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“Risks Related to Laws and Regulations— Government actions and regulations, such as export restrictions, tariffs, and trade protection measures, may limit our ability to sell our products to certain customers or markets, or could otherwise restrict our ability to conduct operations.” and “Risks Related to Our Business, Operations, and Industry—We face geopolitical and other risks associated with our international operations that could materially adversely affect our business, results of operations, or financial condition.” 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 w:name="page19"/>
    <w:bookmarkEnd w:id="1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Information About Our Executive Officers</w:t>
      </w:r>
    </w:p>
    <w:p>
      <w:pPr>
        <w:spacing w:after="0" w:line="249"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6707505" cy="6128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6128385"/>
                    </a:xfrm>
                    <a:prstGeom prst="rect">
                      <a:avLst/>
                    </a:prstGeom>
                    <a:noFill/>
                  </pic:spPr>
                </pic:pic>
              </a:graphicData>
            </a:graphic>
          </wp:anchor>
        </w:drawing>
      </w:r>
    </w:p>
    <w:p>
      <w:pPr>
        <w:spacing w:after="0" w:line="69"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FFFFFF"/>
        </w:rPr>
        <w:t>Scott R. Allen</w:t>
      </w:r>
    </w:p>
    <w:p>
      <w:pPr>
        <w:spacing w:after="0" w:line="64" w:lineRule="exact"/>
        <w:rPr>
          <w:sz w:val="20"/>
          <w:szCs w:val="20"/>
          <w:color w:val="auto"/>
        </w:rPr>
      </w:pPr>
    </w:p>
    <w:p>
      <w:pPr>
        <w:ind w:left="2720"/>
        <w:spacing w:after="0"/>
        <w:rPr>
          <w:sz w:val="20"/>
          <w:szCs w:val="20"/>
          <w:color w:val="auto"/>
        </w:rPr>
      </w:pPr>
      <w:r>
        <w:rPr>
          <w:rFonts w:ascii="Arial" w:cs="Arial" w:eastAsia="Arial" w:hAnsi="Arial"/>
          <w:sz w:val="16"/>
          <w:szCs w:val="16"/>
          <w:b w:val="1"/>
          <w:bCs w:val="1"/>
          <w:i w:val="1"/>
          <w:iCs w:val="1"/>
          <w:color w:val="auto"/>
        </w:rPr>
        <w:t>Corporate Vice President and Chief Accounting Officer</w:t>
      </w:r>
    </w:p>
    <w:p>
      <w:pPr>
        <w:spacing w:after="0" w:line="56" w:lineRule="exact"/>
        <w:rPr>
          <w:sz w:val="20"/>
          <w:szCs w:val="20"/>
          <w:color w:val="auto"/>
        </w:rPr>
      </w:pPr>
    </w:p>
    <w:p>
      <w:pPr>
        <w:ind w:left="2720" w:right="160"/>
        <w:spacing w:after="0" w:line="228" w:lineRule="auto"/>
        <w:rPr>
          <w:sz w:val="20"/>
          <w:szCs w:val="20"/>
          <w:color w:val="auto"/>
        </w:rPr>
      </w:pPr>
      <w:r>
        <w:rPr>
          <w:rFonts w:ascii="Arial" w:cs="Arial" w:eastAsia="Arial" w:hAnsi="Arial"/>
          <w:sz w:val="16"/>
          <w:szCs w:val="16"/>
          <w:color w:val="auto"/>
        </w:rPr>
        <w:t>Mr. Allen, 57,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University (formerly Siena College).</w:t>
      </w:r>
    </w:p>
    <w:p>
      <w:pPr>
        <w:spacing w:after="0" w:line="200" w:lineRule="exact"/>
        <w:rPr>
          <w:sz w:val="20"/>
          <w:szCs w:val="20"/>
          <w:color w:val="auto"/>
        </w:rPr>
      </w:pPr>
    </w:p>
    <w:p>
      <w:pPr>
        <w:spacing w:after="0" w:line="280"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FFFFFF"/>
        </w:rPr>
        <w:t>April S. Arnzen</w:t>
      </w:r>
    </w:p>
    <w:p>
      <w:pPr>
        <w:spacing w:after="0" w:line="64" w:lineRule="exact"/>
        <w:rPr>
          <w:sz w:val="20"/>
          <w:szCs w:val="20"/>
          <w:color w:val="auto"/>
        </w:rPr>
      </w:pPr>
    </w:p>
    <w:p>
      <w:pPr>
        <w:ind w:left="2720"/>
        <w:spacing w:after="0"/>
        <w:rPr>
          <w:sz w:val="20"/>
          <w:szCs w:val="20"/>
          <w:color w:val="auto"/>
        </w:rPr>
      </w:pPr>
      <w:r>
        <w:rPr>
          <w:rFonts w:ascii="Arial" w:cs="Arial" w:eastAsia="Arial" w:hAnsi="Arial"/>
          <w:sz w:val="16"/>
          <w:szCs w:val="16"/>
          <w:b w:val="1"/>
          <w:bCs w:val="1"/>
          <w:i w:val="1"/>
          <w:iCs w:val="1"/>
          <w:color w:val="auto"/>
        </w:rPr>
        <w:t>Executive Vice President and Chief People Officer</w:t>
      </w:r>
    </w:p>
    <w:p>
      <w:pPr>
        <w:spacing w:after="0" w:line="56" w:lineRule="exact"/>
        <w:rPr>
          <w:sz w:val="20"/>
          <w:szCs w:val="20"/>
          <w:color w:val="auto"/>
        </w:rPr>
      </w:pPr>
    </w:p>
    <w:p>
      <w:pPr>
        <w:ind w:left="2720" w:right="40"/>
        <w:spacing w:after="0" w:line="228" w:lineRule="auto"/>
        <w:rPr>
          <w:sz w:val="20"/>
          <w:szCs w:val="20"/>
          <w:color w:val="auto"/>
        </w:rPr>
      </w:pPr>
      <w:r>
        <w:rPr>
          <w:rFonts w:ascii="Arial" w:cs="Arial" w:eastAsia="Arial" w:hAnsi="Arial"/>
          <w:sz w:val="16"/>
          <w:szCs w:val="16"/>
          <w:color w:val="auto"/>
        </w:rPr>
        <w:t>Ms. Arnzen, 54, joined us in December 1996 and has served in various leadership positions since that time. Ms. Arnzen was named Senior Vice President, Human Resources in June 2017, named Chief People Officer in October 2020, and named Executive Vice President in October 2023. Ms. Arnzen holds a BS in Human Resource Management and Marketing from the University of Idaho and is a graduate of the Stanford Graduate School of Business Executive Program.</w:t>
      </w:r>
    </w:p>
    <w:p>
      <w:pPr>
        <w:spacing w:after="0" w:line="200" w:lineRule="exact"/>
        <w:rPr>
          <w:sz w:val="20"/>
          <w:szCs w:val="20"/>
          <w:color w:val="auto"/>
        </w:rPr>
      </w:pPr>
    </w:p>
    <w:p>
      <w:pPr>
        <w:spacing w:after="0" w:line="256"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FFFFFF"/>
        </w:rPr>
        <w:t>Manish Bhatia</w:t>
      </w:r>
    </w:p>
    <w:p>
      <w:pPr>
        <w:spacing w:after="0" w:line="64" w:lineRule="exact"/>
        <w:rPr>
          <w:sz w:val="20"/>
          <w:szCs w:val="20"/>
          <w:color w:val="auto"/>
        </w:rPr>
      </w:pPr>
    </w:p>
    <w:p>
      <w:pPr>
        <w:ind w:left="2720"/>
        <w:spacing w:after="0"/>
        <w:rPr>
          <w:sz w:val="20"/>
          <w:szCs w:val="20"/>
          <w:color w:val="auto"/>
        </w:rPr>
      </w:pPr>
      <w:r>
        <w:rPr>
          <w:rFonts w:ascii="Arial" w:cs="Arial" w:eastAsia="Arial" w:hAnsi="Arial"/>
          <w:sz w:val="16"/>
          <w:szCs w:val="16"/>
          <w:b w:val="1"/>
          <w:bCs w:val="1"/>
          <w:i w:val="1"/>
          <w:iCs w:val="1"/>
          <w:color w:val="auto"/>
        </w:rPr>
        <w:t>Executive Vice President, Global Operations</w:t>
      </w:r>
    </w:p>
    <w:p>
      <w:pPr>
        <w:spacing w:after="0" w:line="56" w:lineRule="exact"/>
        <w:rPr>
          <w:sz w:val="20"/>
          <w:szCs w:val="20"/>
          <w:color w:val="auto"/>
        </w:rPr>
      </w:pPr>
    </w:p>
    <w:p>
      <w:pPr>
        <w:ind w:left="2720" w:right="40"/>
        <w:spacing w:after="0" w:line="227" w:lineRule="auto"/>
        <w:rPr>
          <w:sz w:val="20"/>
          <w:szCs w:val="20"/>
          <w:color w:val="auto"/>
        </w:rPr>
      </w:pPr>
      <w:r>
        <w:rPr>
          <w:rFonts w:ascii="Arial" w:cs="Arial" w:eastAsia="Arial" w:hAnsi="Arial"/>
          <w:sz w:val="16"/>
          <w:szCs w:val="16"/>
          <w:color w:val="auto"/>
        </w:rPr>
        <w:t>Mr. Bhatia, 53, joined us in October 2017 as our Executive Vice President,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297"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FFFFFF"/>
        </w:rPr>
        <w:t>Michael D. Cordano</w:t>
      </w:r>
    </w:p>
    <w:p>
      <w:pPr>
        <w:spacing w:after="0" w:line="64" w:lineRule="exact"/>
        <w:rPr>
          <w:sz w:val="20"/>
          <w:szCs w:val="20"/>
          <w:color w:val="auto"/>
        </w:rPr>
      </w:pPr>
    </w:p>
    <w:p>
      <w:pPr>
        <w:ind w:left="2720"/>
        <w:spacing w:after="0"/>
        <w:rPr>
          <w:sz w:val="20"/>
          <w:szCs w:val="20"/>
          <w:color w:val="auto"/>
        </w:rPr>
      </w:pPr>
      <w:r>
        <w:rPr>
          <w:rFonts w:ascii="Arial" w:cs="Arial" w:eastAsia="Arial" w:hAnsi="Arial"/>
          <w:sz w:val="16"/>
          <w:szCs w:val="16"/>
          <w:b w:val="1"/>
          <w:bCs w:val="1"/>
          <w:i w:val="1"/>
          <w:iCs w:val="1"/>
          <w:color w:val="auto"/>
        </w:rPr>
        <w:t>Executive Vice President, Worldwide Sales</w:t>
      </w:r>
    </w:p>
    <w:p>
      <w:pPr>
        <w:spacing w:after="0" w:line="56" w:lineRule="exact"/>
        <w:rPr>
          <w:sz w:val="20"/>
          <w:szCs w:val="20"/>
          <w:color w:val="auto"/>
        </w:rPr>
      </w:pPr>
    </w:p>
    <w:p>
      <w:pPr>
        <w:ind w:left="2720" w:right="180"/>
        <w:spacing w:after="0" w:line="228" w:lineRule="auto"/>
        <w:rPr>
          <w:sz w:val="20"/>
          <w:szCs w:val="20"/>
          <w:color w:val="auto"/>
        </w:rPr>
      </w:pPr>
      <w:r>
        <w:rPr>
          <w:rFonts w:ascii="Arial" w:cs="Arial" w:eastAsia="Arial" w:hAnsi="Arial"/>
          <w:sz w:val="16"/>
          <w:szCs w:val="16"/>
          <w:color w:val="auto"/>
        </w:rPr>
        <w:t>Mr. Cordano, 61, joined us in January 2025 as our Executive Vice President, Worldwide Sales. Mr. Cordano served as Partner at Prime Impact Capital from September 2020 to December 2024 and as Co-Chief Executive Officer of Prime Impact Acquisition I from July 2020 to October 2023. Prior to that, from October 2015 to August 2020, Mr. Cordano served as the President and Chief Operating Officer of Western Digital Corporation. Mr. Cordano holds a BS from the University of Colorado, Boulder.</w:t>
      </w:r>
    </w:p>
    <w:p>
      <w:pPr>
        <w:spacing w:after="0" w:line="200" w:lineRule="exact"/>
        <w:rPr>
          <w:sz w:val="20"/>
          <w:szCs w:val="20"/>
          <w:color w:val="auto"/>
        </w:rPr>
      </w:pPr>
    </w:p>
    <w:p>
      <w:pPr>
        <w:spacing w:after="0" w:line="256" w:lineRule="exact"/>
        <w:rPr>
          <w:sz w:val="20"/>
          <w:szCs w:val="20"/>
          <w:color w:val="auto"/>
        </w:rPr>
      </w:pPr>
    </w:p>
    <w:p>
      <w:pPr>
        <w:ind w:left="2720"/>
        <w:spacing w:after="0"/>
        <w:rPr>
          <w:sz w:val="20"/>
          <w:szCs w:val="20"/>
          <w:color w:val="auto"/>
        </w:rPr>
      </w:pPr>
      <w:r>
        <w:rPr>
          <w:rFonts w:ascii="Arial" w:cs="Arial" w:eastAsia="Arial" w:hAnsi="Arial"/>
          <w:sz w:val="25"/>
          <w:szCs w:val="25"/>
          <w:b w:val="1"/>
          <w:bCs w:val="1"/>
          <w:color w:val="FFFFFF"/>
        </w:rPr>
        <w:t>Scott J. DeBoer</w:t>
      </w:r>
    </w:p>
    <w:p>
      <w:pPr>
        <w:spacing w:after="0" w:line="64" w:lineRule="exact"/>
        <w:rPr>
          <w:sz w:val="20"/>
          <w:szCs w:val="20"/>
          <w:color w:val="auto"/>
        </w:rPr>
      </w:pPr>
    </w:p>
    <w:p>
      <w:pPr>
        <w:ind w:left="2720"/>
        <w:spacing w:after="0"/>
        <w:rPr>
          <w:sz w:val="20"/>
          <w:szCs w:val="20"/>
          <w:color w:val="auto"/>
        </w:rPr>
      </w:pPr>
      <w:r>
        <w:rPr>
          <w:rFonts w:ascii="Arial" w:cs="Arial" w:eastAsia="Arial" w:hAnsi="Arial"/>
          <w:sz w:val="16"/>
          <w:szCs w:val="16"/>
          <w:b w:val="1"/>
          <w:bCs w:val="1"/>
          <w:i w:val="1"/>
          <w:iCs w:val="1"/>
          <w:color w:val="auto"/>
        </w:rPr>
        <w:t>Executive Vice President, Chief Technology and Products Officer</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Dr. DeBoer, 59, joined us in February 1995 and has served in various leadership positions since that time.</w:t>
      </w:r>
    </w:p>
    <w:p>
      <w:pPr>
        <w:ind w:left="2720" w:right="60"/>
        <w:spacing w:after="0" w:line="226" w:lineRule="auto"/>
        <w:rPr>
          <w:sz w:val="20"/>
          <w:szCs w:val="20"/>
          <w:color w:val="auto"/>
        </w:rPr>
      </w:pPr>
      <w:r>
        <w:rPr>
          <w:rFonts w:ascii="Arial" w:cs="Arial" w:eastAsia="Arial" w:hAnsi="Arial"/>
          <w:sz w:val="16"/>
          <w:szCs w:val="16"/>
          <w:color w:val="auto"/>
        </w:rPr>
        <w:t>Dr. DeBoer was named Executive Vice President, Technology Development in June 2017, named Executive Vice President, Technology &amp; Products in September 2019, and named Executive Vice President, Chief Technology and Products Officer in October 2024. Dr. DeBoer holds a PhD in Electrical Engineering and an MS in Physics from Iowa State University. He completed his undergraduate degree at Hastings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 w:name="page20"/>
    <w:bookmarkEnd w:id="1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378460</wp:posOffset>
            </wp:positionV>
            <wp:extent cx="6707505" cy="5038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503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FFFFFF"/>
        </w:rPr>
        <w:t>Sanjay Mehrotra</w:t>
      </w:r>
    </w:p>
    <w:p>
      <w:pPr>
        <w:spacing w:after="0" w:line="64" w:lineRule="exact"/>
        <w:rPr>
          <w:sz w:val="20"/>
          <w:szCs w:val="20"/>
          <w:color w:val="auto"/>
        </w:rPr>
      </w:pPr>
    </w:p>
    <w:p>
      <w:pPr>
        <w:ind w:left="2700"/>
        <w:spacing w:after="0"/>
        <w:rPr>
          <w:sz w:val="20"/>
          <w:szCs w:val="20"/>
          <w:color w:val="auto"/>
        </w:rPr>
      </w:pPr>
      <w:r>
        <w:rPr>
          <w:rFonts w:ascii="Arial" w:cs="Arial" w:eastAsia="Arial" w:hAnsi="Arial"/>
          <w:sz w:val="16"/>
          <w:szCs w:val="16"/>
          <w:b w:val="1"/>
          <w:bCs w:val="1"/>
          <w:i w:val="1"/>
          <w:iCs w:val="1"/>
          <w:color w:val="auto"/>
        </w:rPr>
        <w:t>Chairman, President and Chief Executive Officer</w:t>
      </w:r>
    </w:p>
    <w:p>
      <w:pPr>
        <w:spacing w:after="0" w:line="44" w:lineRule="exact"/>
        <w:rPr>
          <w:sz w:val="20"/>
          <w:szCs w:val="20"/>
          <w:color w:val="auto"/>
        </w:rPr>
      </w:pPr>
    </w:p>
    <w:p>
      <w:pPr>
        <w:ind w:left="2700" w:right="20"/>
        <w:spacing w:after="0" w:line="210" w:lineRule="auto"/>
        <w:rPr>
          <w:sz w:val="20"/>
          <w:szCs w:val="20"/>
          <w:color w:val="auto"/>
        </w:rPr>
      </w:pPr>
      <w:r>
        <w:rPr>
          <w:rFonts w:ascii="Arial" w:cs="Arial" w:eastAsia="Arial" w:hAnsi="Arial"/>
          <w:sz w:val="16"/>
          <w:szCs w:val="16"/>
          <w:color w:val="auto"/>
        </w:rPr>
        <w:t>Mr. Mehrotra, 67, joined us in May 2017 as our President, Chief Executive Officer, and Director. Mr. Mehrotra has served as Chairman of our Board of Directors since January 2025.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FFFFFF"/>
        </w:rPr>
        <w:t>Mark J. Murphy</w:t>
      </w:r>
    </w:p>
    <w:p>
      <w:pPr>
        <w:spacing w:after="0" w:line="64" w:lineRule="exact"/>
        <w:rPr>
          <w:sz w:val="20"/>
          <w:szCs w:val="20"/>
          <w:color w:val="auto"/>
        </w:rPr>
      </w:pPr>
    </w:p>
    <w:p>
      <w:pPr>
        <w:ind w:left="2700"/>
        <w:spacing w:after="0"/>
        <w:rPr>
          <w:sz w:val="20"/>
          <w:szCs w:val="20"/>
          <w:color w:val="auto"/>
        </w:rPr>
      </w:pPr>
      <w:r>
        <w:rPr>
          <w:rFonts w:ascii="Arial" w:cs="Arial" w:eastAsia="Arial" w:hAnsi="Arial"/>
          <w:sz w:val="16"/>
          <w:szCs w:val="16"/>
          <w:b w:val="1"/>
          <w:bCs w:val="1"/>
          <w:i w:val="1"/>
          <w:iCs w:val="1"/>
          <w:color w:val="auto"/>
        </w:rPr>
        <w:t>Executive Vice President and Chief Financial Officer</w:t>
      </w:r>
    </w:p>
    <w:p>
      <w:pPr>
        <w:spacing w:after="0" w:line="44" w:lineRule="exact"/>
        <w:rPr>
          <w:sz w:val="20"/>
          <w:szCs w:val="20"/>
          <w:color w:val="auto"/>
        </w:rPr>
      </w:pPr>
    </w:p>
    <w:p>
      <w:pPr>
        <w:ind w:left="2700" w:right="140"/>
        <w:spacing w:after="0" w:line="214" w:lineRule="auto"/>
        <w:rPr>
          <w:sz w:val="20"/>
          <w:szCs w:val="20"/>
          <w:color w:val="auto"/>
        </w:rPr>
      </w:pPr>
      <w:r>
        <w:rPr>
          <w:rFonts w:ascii="Arial" w:cs="Arial" w:eastAsia="Arial" w:hAnsi="Arial"/>
          <w:sz w:val="16"/>
          <w:szCs w:val="16"/>
          <w:color w:val="auto"/>
        </w:rPr>
        <w:t>Mr. Murphy, 58,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333"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FFFFFF"/>
        </w:rPr>
        <w:t>Michael Ray</w:t>
      </w:r>
    </w:p>
    <w:p>
      <w:pPr>
        <w:spacing w:after="0" w:line="64" w:lineRule="exact"/>
        <w:rPr>
          <w:sz w:val="20"/>
          <w:szCs w:val="20"/>
          <w:color w:val="auto"/>
        </w:rPr>
      </w:pPr>
    </w:p>
    <w:p>
      <w:pPr>
        <w:ind w:left="2700"/>
        <w:spacing w:after="0"/>
        <w:rPr>
          <w:sz w:val="20"/>
          <w:szCs w:val="20"/>
          <w:color w:val="auto"/>
        </w:rPr>
      </w:pPr>
      <w:r>
        <w:rPr>
          <w:rFonts w:ascii="Arial" w:cs="Arial" w:eastAsia="Arial" w:hAnsi="Arial"/>
          <w:sz w:val="16"/>
          <w:szCs w:val="16"/>
          <w:b w:val="1"/>
          <w:bCs w:val="1"/>
          <w:i w:val="1"/>
          <w:iCs w:val="1"/>
          <w:color w:val="auto"/>
        </w:rPr>
        <w:t>Senior Vice President, Chief Legal Officer and Corporate Secretary</w:t>
      </w:r>
    </w:p>
    <w:p>
      <w:pPr>
        <w:spacing w:after="0" w:line="44" w:lineRule="exact"/>
        <w:rPr>
          <w:sz w:val="20"/>
          <w:szCs w:val="20"/>
          <w:color w:val="auto"/>
        </w:rPr>
      </w:pPr>
    </w:p>
    <w:p>
      <w:pPr>
        <w:ind w:left="2700" w:right="20"/>
        <w:spacing w:after="0" w:line="216" w:lineRule="auto"/>
        <w:rPr>
          <w:sz w:val="20"/>
          <w:szCs w:val="20"/>
          <w:color w:val="auto"/>
        </w:rPr>
      </w:pPr>
      <w:r>
        <w:rPr>
          <w:rFonts w:ascii="Arial" w:cs="Arial" w:eastAsia="Arial" w:hAnsi="Arial"/>
          <w:sz w:val="16"/>
          <w:szCs w:val="16"/>
          <w:color w:val="auto"/>
        </w:rPr>
        <w:t>Mr. Ray, 58, joined us in January 2024 as our Senior Vice President, Chief Legal Officer and Corporate Secretary. From September 2000 to January 2024, Mr. Ray served as the Chief Legal Officer of Western Digital Corporation, and prior to that, held several leadership roles at Western Digital Corporation, including Senior Counsel, Assistant General Counsel, Vice President of Legal Services, and General Counsel. Mr. Ray holds a BA in Classics from Harvard College and a JD from Harvard Law School.</w:t>
      </w:r>
    </w:p>
    <w:p>
      <w:pPr>
        <w:spacing w:after="0" w:line="200" w:lineRule="exact"/>
        <w:rPr>
          <w:sz w:val="20"/>
          <w:szCs w:val="20"/>
          <w:color w:val="auto"/>
        </w:rPr>
      </w:pPr>
    </w:p>
    <w:p>
      <w:pPr>
        <w:spacing w:after="0" w:line="290"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FFFFFF"/>
        </w:rPr>
        <w:t>Sumit Sadana</w:t>
      </w:r>
    </w:p>
    <w:p>
      <w:pPr>
        <w:spacing w:after="0" w:line="64" w:lineRule="exact"/>
        <w:rPr>
          <w:sz w:val="20"/>
          <w:szCs w:val="20"/>
          <w:color w:val="auto"/>
        </w:rPr>
      </w:pPr>
    </w:p>
    <w:p>
      <w:pPr>
        <w:ind w:left="2700"/>
        <w:spacing w:after="0"/>
        <w:rPr>
          <w:sz w:val="20"/>
          <w:szCs w:val="20"/>
          <w:color w:val="auto"/>
        </w:rPr>
      </w:pPr>
      <w:r>
        <w:rPr>
          <w:rFonts w:ascii="Arial" w:cs="Arial" w:eastAsia="Arial" w:hAnsi="Arial"/>
          <w:sz w:val="16"/>
          <w:szCs w:val="16"/>
          <w:b w:val="1"/>
          <w:bCs w:val="1"/>
          <w:i w:val="1"/>
          <w:iCs w:val="1"/>
          <w:color w:val="auto"/>
        </w:rPr>
        <w:t>Executive Vice President and Chief Business Officer</w:t>
      </w:r>
    </w:p>
    <w:p>
      <w:pPr>
        <w:spacing w:after="0" w:line="44" w:lineRule="exact"/>
        <w:rPr>
          <w:sz w:val="20"/>
          <w:szCs w:val="20"/>
          <w:color w:val="auto"/>
        </w:rPr>
      </w:pPr>
    </w:p>
    <w:p>
      <w:pPr>
        <w:ind w:left="2700" w:right="240"/>
        <w:spacing w:after="0" w:line="237" w:lineRule="auto"/>
        <w:rPr>
          <w:sz w:val="20"/>
          <w:szCs w:val="20"/>
          <w:color w:val="auto"/>
        </w:rPr>
      </w:pPr>
      <w:r>
        <w:rPr>
          <w:rFonts w:ascii="Arial" w:cs="Arial" w:eastAsia="Arial" w:hAnsi="Arial"/>
          <w:sz w:val="14"/>
          <w:szCs w:val="14"/>
          <w:color w:val="auto"/>
        </w:rPr>
        <w:t>Mr. Sadana, 56,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w:t>
      </w:r>
    </w:p>
    <w:p>
      <w:pPr>
        <w:spacing w:after="0" w:line="2" w:lineRule="exact"/>
        <w:rPr>
          <w:sz w:val="20"/>
          <w:szCs w:val="20"/>
          <w:color w:val="auto"/>
        </w:rPr>
      </w:pPr>
    </w:p>
    <w:p>
      <w:pPr>
        <w:ind w:left="2700" w:right="300"/>
        <w:spacing w:after="0" w:line="226" w:lineRule="auto"/>
        <w:rPr>
          <w:sz w:val="20"/>
          <w:szCs w:val="20"/>
          <w:color w:val="auto"/>
        </w:rPr>
      </w:pPr>
      <w:r>
        <w:rPr>
          <w:rFonts w:ascii="Arial" w:cs="Arial" w:eastAsia="Arial" w:hAnsi="Arial"/>
          <w:sz w:val="16"/>
          <w:szCs w:val="16"/>
          <w:color w:val="auto"/>
        </w:rPr>
        <w:t>Mr. Sadana holds a B.Tech. in Electrical Engineering from the Indian Institute of Technology, Kharagpur, India and an MS in Electrical Engineering from Stanford University.</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between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0" w:name="page21"/>
    <w:bookmarkEnd w:id="2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Available Information</w:t>
      </w:r>
    </w:p>
    <w:p>
      <w:pPr>
        <w:spacing w:after="0" w:line="24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executive offices are located at 8000 South Federal Way, Boise, Idaho 83716- 9632 and our telephone number is (208) 368-4000. Information about us is available on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We intend to satisfy the disclosure requirement under Item 5.05 of Form 8-K regarding any amendments to, or waivers from, our Code of Business Conduct and Ethics by posting such information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206"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Investors and others should note that we announce material, non-public financial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5"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Annual Report on Form 10-K is not incorporated by reference in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1" w:name="page22"/>
    <w:bookmarkEnd w:id="2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addition to the factors discussed elsewhere in this Annual Report on Form 10 -K,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Risk Factor Summary</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Operations, and Industry</w:t>
      </w:r>
    </w:p>
    <w:p>
      <w:pPr>
        <w:spacing w:after="0" w:line="6" w:lineRule="exact"/>
        <w:rPr>
          <w:sz w:val="20"/>
          <w:szCs w:val="20"/>
          <w:color w:val="auto"/>
        </w:rPr>
      </w:pPr>
    </w:p>
    <w:p>
      <w:pPr>
        <w:ind w:left="580" w:hanging="286"/>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average selling prices of our products;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range of factors that may adversely affect our gross margins;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international operations, including geopolitical risks;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highly competitive nature of our industry;</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produce new and competitive memory and storage technologies and products;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realizing expected returns from capacity expansions;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achieving or maintaining certain outcomes and the compliance requirements associated with incentives from various governments;</w:t>
      </w:r>
    </w:p>
    <w:p>
      <w:pPr>
        <w:ind w:left="580" w:hanging="286"/>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availability and quality of materials, supplies, electrical power, gas, water, and capital equipment, or dependency on third-party service providers;</w:t>
      </w:r>
    </w:p>
    <w:p>
      <w:pPr>
        <w:spacing w:after="0" w:line="19" w:lineRule="exact"/>
        <w:rPr>
          <w:rFonts w:ascii="Arial" w:cs="Arial" w:eastAsia="Arial" w:hAnsi="Arial"/>
          <w:sz w:val="14"/>
          <w:szCs w:val="14"/>
          <w:color w:val="auto"/>
        </w:rPr>
      </w:pP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downturn or ongoing adverse conditions in regional or worldwide economies;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to our manufacturing process from operational issues, natural disasters, or other events;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dependency on certain customers, including international customers, and end markets;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products that fail to meet specifications, are defective, or are incompatible with end uses;</w:t>
      </w:r>
    </w:p>
    <w:p>
      <w:pPr>
        <w:ind w:left="580" w:right="2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breaches of our security systems or products, systems failures, interruptions, delays in service, catastrophic events, and resulting interruptions of our systems or those of our customers, suppliers, or business partners;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uncertainties and outcomes associated with the use and evolution of AI;</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employees;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responsible sourcing requirements and related regulations;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sustainability and governance expectations or standards;</w:t>
      </w:r>
    </w:p>
    <w:p>
      <w:pPr>
        <w:ind w:left="580" w:hanging="286"/>
        <w:spacing w:after="0" w:line="23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acquisitions and/or strategic transactions; and</w:t>
      </w:r>
    </w:p>
    <w:p>
      <w:pPr>
        <w:ind w:left="580" w:hanging="286"/>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restructure plans may not realize expected savings or other benefits.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Intellectual Property and Litigation</w:t>
      </w:r>
    </w:p>
    <w:p>
      <w:pPr>
        <w:spacing w:after="0" w:line="6" w:lineRule="exact"/>
        <w:rPr>
          <w:sz w:val="20"/>
          <w:szCs w:val="20"/>
          <w:color w:val="auto"/>
        </w:rPr>
      </w:pPr>
    </w:p>
    <w:p>
      <w:pPr>
        <w:ind w:left="580" w:hanging="286"/>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protecting our intellectual property and retaining key employees who are knowledgeable of and develop our intellectual property;</w:t>
      </w:r>
    </w:p>
    <w:p>
      <w:pPr>
        <w:ind w:left="580" w:hanging="286"/>
        <w:spacing w:after="0" w:line="234"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regulatory and administrative investigations, inquiries, proceedings, and claims; and</w:t>
      </w:r>
    </w:p>
    <w:p>
      <w:pPr>
        <w:ind w:left="580" w:right="240" w:hanging="286"/>
        <w:spacing w:after="0" w:line="244"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Laws and Regulations</w:t>
      </w:r>
    </w:p>
    <w:p>
      <w:pPr>
        <w:spacing w:after="0" w:line="6" w:lineRule="exact"/>
        <w:rPr>
          <w:sz w:val="20"/>
          <w:szCs w:val="20"/>
          <w:color w:val="auto"/>
        </w:rPr>
      </w:pPr>
    </w:p>
    <w:p>
      <w:pPr>
        <w:ind w:left="580" w:hanging="286"/>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impacts of government actions and compliance with tariffs, trade restrictions, and/or trade regulations;</w:t>
      </w:r>
    </w:p>
    <w:p>
      <w:pPr>
        <w:ind w:left="580" w:hanging="286"/>
        <w:spacing w:after="0" w:line="234"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expense and tax laws in key jurisdictions; and</w:t>
      </w:r>
    </w:p>
    <w:p>
      <w:pPr>
        <w:ind w:left="580" w:hanging="286"/>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compliance with laws, regulations, or industry standards, including environmental considerations.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Capitalization and Financial Markets</w:t>
      </w:r>
    </w:p>
    <w:p>
      <w:pPr>
        <w:spacing w:after="0" w:line="6" w:lineRule="exact"/>
        <w:rPr>
          <w:sz w:val="20"/>
          <w:szCs w:val="20"/>
          <w:color w:val="auto"/>
        </w:rPr>
      </w:pPr>
    </w:p>
    <w:p>
      <w:pPr>
        <w:ind w:left="580" w:hanging="286"/>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generate sufficient cash flows or obtain access to external financing;</w:t>
      </w:r>
    </w:p>
    <w:p>
      <w:pPr>
        <w:ind w:left="580" w:hanging="286"/>
        <w:spacing w:after="0" w:line="23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debt obligations;</w:t>
      </w:r>
    </w:p>
    <w:p>
      <w:pPr>
        <w:ind w:left="580" w:hanging="286"/>
        <w:spacing w:after="0" w:line="23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foreign currency exchange rates;</w:t>
      </w:r>
    </w:p>
    <w:p>
      <w:pPr>
        <w:ind w:left="580" w:hanging="286"/>
        <w:spacing w:after="0" w:line="23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counterparty default risk;</w:t>
      </w:r>
    </w:p>
    <w:p>
      <w:pPr>
        <w:ind w:left="580" w:hanging="286"/>
        <w:spacing w:after="0" w:line="23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in the trading price of our common stock; and</w:t>
      </w:r>
    </w:p>
    <w:p>
      <w:pPr>
        <w:ind w:left="580" w:hanging="286"/>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the amount and frequency of our common stock repurchases and payment of cash dividends and resulting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407035</wp:posOffset>
            </wp:positionV>
            <wp:extent cx="693420"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 w:name="page23"/>
    <w:bookmarkEnd w:id="2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Risks Related to Our Business, Operations, and Industry</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in average selling prices for our semiconductor memory and storage products may adversely affect our business.</w:t>
      </w:r>
    </w:p>
    <w:p>
      <w:pPr>
        <w:spacing w:after="0" w:line="22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have experienced significant volatility in our average selling prices and may continue to experience such volatility in the future. In the past five years, annual percentage changes in DRAM average selling prices have ranged from plus low 40% to a minus high 40% range. In the past five years, annual percentage changes in NAND average selling prices have ranged from plus low 30% to a minus low 50% range. In some prior periods, average selling prices for our products have been below our manufacturing costs and we may experience such circumstances in the future. In periods of significant declines in average selling prices for our products, we have experienced adverse effects on our business and results of operations. Significant declines in average selling prices in future periods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gross margins may be adversely affected by a range of factors.</w:t>
      </w:r>
    </w:p>
    <w:p>
      <w:pPr>
        <w:spacing w:after="0" w:line="22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98" w:lineRule="exact"/>
        <w:rPr>
          <w:sz w:val="20"/>
          <w:szCs w:val="20"/>
          <w:color w:val="auto"/>
        </w:rPr>
      </w:pPr>
    </w:p>
    <w:p>
      <w:pPr>
        <w:ind w:left="580" w:hanging="286"/>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strategic product diversification decisions affecting product mix;</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complexity of our product portfolio, which may impact operational costs;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complexity of manufacturing processes;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transitioning to smaller line-width process technologies or additional 3D memory layers or NAND cell levels;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process complexity including number of mask layers and fabrication steps;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manufacturing yield and defect density;</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technological barriers;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process technologies;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products that may require relatively larger die sizes or advanced packaging technologies;</w:t>
      </w:r>
    </w:p>
    <w:p>
      <w:pPr>
        <w:ind w:left="58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start-up or other costs associated with capacity expansions;</w:t>
      </w:r>
    </w:p>
    <w:p>
      <w:pPr>
        <w:ind w:left="580" w:hanging="286"/>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regional cost differences that may become more pronounced when we transition the manufacture of certain products within our global network;</w:t>
      </w:r>
    </w:p>
    <w:p>
      <w:pPr>
        <w:spacing w:after="0" w:line="19" w:lineRule="exact"/>
        <w:rPr>
          <w:rFonts w:ascii="Arial" w:cs="Arial" w:eastAsia="Arial" w:hAnsi="Arial"/>
          <w:sz w:val="14"/>
          <w:szCs w:val="14"/>
          <w:color w:val="auto"/>
        </w:rPr>
      </w:pPr>
    </w:p>
    <w:p>
      <w:pPr>
        <w:ind w:left="580" w:right="260" w:hanging="286"/>
        <w:spacing w:after="0" w:line="23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higher costs of goods and services due to, among other things, inflationary pressures, regulatory actions, including tariffs or trade restrictions, increased input costs, or market conditions; and</w:t>
      </w:r>
    </w:p>
    <w:p>
      <w:pPr>
        <w:spacing w:after="0" w:line="1" w:lineRule="exact"/>
        <w:rPr>
          <w:rFonts w:ascii="Arial" w:cs="Arial" w:eastAsia="Arial" w:hAnsi="Arial"/>
          <w:sz w:val="16"/>
          <w:szCs w:val="16"/>
          <w:color w:val="auto"/>
        </w:rPr>
      </w:pPr>
    </w:p>
    <w:p>
      <w:pPr>
        <w:ind w:left="580" w:right="740" w:hanging="286"/>
        <w:spacing w:after="0" w:line="24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higher manufacturing costs per gigabit due to fabrication facility underutilization, lower wafer output, and insufficient volume to run new technology nodes to achieve cost optimization.</w:t>
      </w:r>
    </w:p>
    <w:p>
      <w:pPr>
        <w:spacing w:after="0" w:line="200"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We operate in a dynamic and rapidly evolving industry where the timeframes for product transitions, facility expansions, production ramps, and supply chain shifts are increasingly compressed. To remain competitive, we must continuously develop and implement new products and technologies and decrease manufacturing costs in spite of inflationary pressures and regulatory uncertainty. As we streamline our production and shift capacity to leading-edge nodes, we face execution risks that could impact our ability to meet customer demand and maintain market coverage.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3" w:name="page24"/>
    <w:bookmarkEnd w:id="23"/>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we will be able to do the following:</w:t>
      </w:r>
    </w:p>
    <w:p>
      <w:pPr>
        <w:spacing w:after="0" w:line="224" w:lineRule="exact"/>
        <w:rPr>
          <w:sz w:val="20"/>
          <w:szCs w:val="20"/>
          <w:color w:val="auto"/>
        </w:rPr>
      </w:pPr>
    </w:p>
    <w:p>
      <w:pPr>
        <w:ind w:left="580" w:hanging="286"/>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timely identify and address technology inflections and market changes;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accurately forecast demand and inventory levels of our customers or distributors;</w:t>
      </w:r>
    </w:p>
    <w:p>
      <w:pPr>
        <w:ind w:left="580" w:hanging="286"/>
        <w:spacing w:after="0" w:line="234"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timely ramp production as we transition our operations footprint to new fabrication facilities;</w:t>
      </w:r>
    </w:p>
    <w:p>
      <w:pPr>
        <w:ind w:left="580" w:hanging="286"/>
        <w:spacing w:after="0" w:line="234"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 operational flexibility in response to unforeseen changes in customer demand; and</w:t>
      </w:r>
    </w:p>
    <w:p>
      <w:pPr>
        <w:ind w:left="580" w:right="200" w:hanging="286"/>
        <w:spacing w:after="0" w:line="244"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 supply scalability during downturns in the semiconductor markets in which we compete as we streamline our product portfolio to drive further fabrication efficiencies.</w:t>
      </w:r>
    </w:p>
    <w:p>
      <w:pPr>
        <w:spacing w:after="0" w:line="20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Our ability to execute on multiple transitions simultaneously, while maintaining supply continuity, quality standards, and cost competitiveness, is critical to sustaining our market position. If we do not successfully anticipate technology inflections and respond to changes in customer requirements and market changes, our business, results of operations, or financial condition could be materially adversely affected. Any misalignment between forecasted and actual demand, or delays in ramping new technologies, could result in elevated inventory levels, underutilized capacity, and gross margin pressure.</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6"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We may not be able to predict or quickly respond to trends in the dynamics of our markets and our customers or changes in customer demand, which could negatively impact our gross margin. Although AI is a relatively new demand driver for our products, it is evolving rapidly, and the expected timing and amount of investments related to AI can change significantly. As a result, it may be difficult to accurately forecast such demand and we may incur costs in anticipation of demand that ultimately does not materialize. If such demand does materialize, but is lower than expected, we may not be able to reduce our costs in response, which would adversely impact our gross margins. Our inability to prevent deterioration of or improve gross margins could have a material adverse effect on our business, results of operations, or financial condition.</w:t>
      </w:r>
    </w:p>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color w:val="auto"/>
        </w:rPr>
        <w:t>We face geopolitical and other risks associated with our international operations that could materially adversely affect our business, results of operations, or financial condition.</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 addition to our U.S. operations, a substantial portion of our operations are conducted in Taiwan, Singapore, Japan, Malaysia, China, and India, and many of our customers, suppliers, and vendors also operate internationally. In 2025, approximately one-third of our revenue was from sales to customers who have headquarters located outside the United States, while approximately 80% of our revenue in 2025 was from products shipped to customer locations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operations are subject to a number of risks, including:</w:t>
      </w:r>
    </w:p>
    <w:p>
      <w:pPr>
        <w:spacing w:after="0" w:line="224" w:lineRule="exact"/>
        <w:rPr>
          <w:sz w:val="20"/>
          <w:szCs w:val="20"/>
          <w:color w:val="auto"/>
        </w:rPr>
      </w:pPr>
    </w:p>
    <w:p>
      <w:pPr>
        <w:ind w:left="580" w:hanging="286"/>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on sales of goods or services to one or more of our significant foreign customers;</w:t>
      </w:r>
    </w:p>
    <w:p>
      <w:pPr>
        <w:spacing w:after="0" w:line="10" w:lineRule="exact"/>
        <w:rPr>
          <w:rFonts w:ascii="Arial" w:cs="Arial" w:eastAsia="Arial" w:hAnsi="Arial"/>
          <w:sz w:val="16"/>
          <w:szCs w:val="16"/>
          <w:color w:val="auto"/>
        </w:rPr>
      </w:pPr>
    </w:p>
    <w:p>
      <w:pPr>
        <w:jc w:val="both"/>
        <w:ind w:left="580" w:hanging="286"/>
        <w:spacing w:after="0" w:line="239"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 including currency controls and global tariffs, which could negatively affect the amount and timing of payments from certain of our customers and, as a result, our cash flows;</w:t>
      </w:r>
    </w:p>
    <w:p>
      <w:pPr>
        <w:spacing w:after="0" w:line="200" w:lineRule="exact"/>
        <w:rPr>
          <w:sz w:val="20"/>
          <w:szCs w:val="20"/>
          <w:color w:val="auto"/>
        </w:rPr>
      </w:pPr>
    </w:p>
    <w:p>
      <w:pPr>
        <w:spacing w:after="0" w:line="20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 w:name="page25"/>
    <w:bookmarkEnd w:id="2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left="580" w:right="80" w:hanging="286"/>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compliance with U.S. and international laws involving international operations, including the Foreign Corrupt Practices Act of 1977, as amended, sanctions and anti-corruption laws, export and import laws, intellectual property, cybersecurity and data privacy laws, and similar rules and regulations;</w:t>
      </w:r>
    </w:p>
    <w:p>
      <w:pPr>
        <w:spacing w:after="0" w:line="2"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theft of intellectual property;</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and economic instability, including instability resulting from domestic and international conflicts;</w:t>
      </w:r>
    </w:p>
    <w:p>
      <w:pPr>
        <w:ind w:left="580" w:right="62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government actions or civil unrest preventing the flow of products and materials, including delays in shipping and obtaining products and materials, cancellation of orders, or loss or damage of products;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perception of governments in the regions where we operate;</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problems with the transportation or delivery of products and materials;</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issues arising from cultural or language differences and labor unrest;</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longer payment cycles and greater difficulty in collecting accounts receivable;</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compliance with trade, technical standards, and other laws in a variety of jurisdictions;</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contractual and regulatory limitations on the ability to maintain flexibility with staffing levels;</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disruptions to manufacturing or R&amp;D activities as a result of actions imposed by governments;</w:t>
      </w: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economic policies of foreign governments;</w:t>
      </w:r>
    </w:p>
    <w:p>
      <w:pPr>
        <w:ind w:left="580" w:right="44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loss of market share in foreign jurisdictions resulting from political and regulatory uncertainty regarding possible trade restrictions, domestic sourcing initiatives, or other government actions;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staffing and managing international operations; and</w:t>
      </w:r>
    </w:p>
    <w:p>
      <w:pPr>
        <w:ind w:left="580" w:hanging="286"/>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health issues.</w:t>
      </w:r>
    </w:p>
    <w:p>
      <w:pPr>
        <w:spacing w:after="0" w:line="210"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If we or our customers, suppliers, or vendors are impacted by any of these risks, it could have a material adverse effect on our business, results of operations, or financial condition.</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We may not be able to fully prevent the unauthorized resale, diversion, or misuse of our products by third parties. These restrictions may not prohibit our competitors from selling similar products to our customers, which may result in a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6" w:lineRule="exact"/>
        <w:rPr>
          <w:sz w:val="20"/>
          <w:szCs w:val="20"/>
          <w:color w:val="auto"/>
        </w:rPr>
      </w:pPr>
    </w:p>
    <w:p>
      <w:pPr>
        <w:ind w:right="440"/>
        <w:spacing w:after="0" w:line="244" w:lineRule="auto"/>
        <w:rPr>
          <w:sz w:val="20"/>
          <w:szCs w:val="20"/>
          <w:color w:val="auto"/>
        </w:rPr>
      </w:pPr>
      <w:r>
        <w:rPr>
          <w:rFonts w:ascii="Arial" w:cs="Arial" w:eastAsia="Arial" w:hAnsi="Arial"/>
          <w:sz w:val="16"/>
          <w:szCs w:val="16"/>
          <w:color w:val="auto"/>
        </w:rPr>
        <w:t>Political, economic, or other actions may adversely affect our operations in Taiwan. A majority of our DRAM production output in 2025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5" w:name="page26"/>
    <w:bookmarkEnd w:id="2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semiconductor memory and storage markets are highly competitive.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We face intense competition in the semiconductor memory and storage markets from a number of companies, including Samsung Electronics Co., Ltd.;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SK hynix Inc.; Kioxia Holdings Corporation; Sandisk Corporation; ChangXin Memory Technologies, Inc. (“CXMT”); and Yangtze Memory</w:t>
      </w:r>
    </w:p>
    <w:p>
      <w:pPr>
        <w:spacing w:after="0"/>
        <w:rPr>
          <w:sz w:val="20"/>
          <w:szCs w:val="20"/>
          <w:color w:val="auto"/>
        </w:rPr>
      </w:pPr>
      <w:r>
        <w:rPr>
          <w:rFonts w:ascii="Arial" w:cs="Arial" w:eastAsia="Arial" w:hAnsi="Arial"/>
          <w:sz w:val="14"/>
          <w:szCs w:val="14"/>
          <w:color w:val="auto"/>
        </w:rPr>
        <w:t>Technologies Co., Ltd. (“YMTC”). Our competitors may use aggressive pricing to obtain market share. Some of our competitors are large corporations 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conglomerates that may operate in jurisdictions with lower labor and compliance costs and may have a larger market share and greater resources to</w:t>
      </w:r>
    </w:p>
    <w:p>
      <w:pPr>
        <w:spacing w:after="0"/>
        <w:rPr>
          <w:sz w:val="20"/>
          <w:szCs w:val="20"/>
          <w:color w:val="auto"/>
        </w:rPr>
      </w:pPr>
      <w:r>
        <w:rPr>
          <w:rFonts w:ascii="Arial" w:cs="Arial" w:eastAsia="Arial" w:hAnsi="Arial"/>
          <w:sz w:val="14"/>
          <w:szCs w:val="14"/>
          <w:color w:val="auto"/>
        </w:rPr>
        <w:t>invest in technology, capitalize on growth opportunities, and withstand downturns in the semiconductor markets in which we compete. Consolidation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industry competitors could put us at a competitive disadvantage as our competitors may benefit from increased manufacturing scale and a stronger</w:t>
      </w:r>
    </w:p>
    <w:p>
      <w:pPr>
        <w:spacing w:after="0"/>
        <w:rPr>
          <w:sz w:val="20"/>
          <w:szCs w:val="20"/>
          <w:color w:val="auto"/>
        </w:rPr>
      </w:pPr>
      <w:r>
        <w:rPr>
          <w:rFonts w:ascii="Arial" w:cs="Arial" w:eastAsia="Arial" w:hAnsi="Arial"/>
          <w:sz w:val="14"/>
          <w:szCs w:val="14"/>
          <w:color w:val="auto"/>
        </w:rPr>
        <w:t>product portfolio. Alternatively, new entrants into the memory and storage market could have a significant adverse impact on our competitive position. We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operate in different jurisdictions than our competitors and may be impacted by unfavorable changes in currency exchange rates, import/export</w:t>
      </w:r>
    </w:p>
    <w:p>
      <w:pPr>
        <w:spacing w:after="0"/>
        <w:rPr>
          <w:sz w:val="20"/>
          <w:szCs w:val="20"/>
          <w:color w:val="auto"/>
        </w:rPr>
      </w:pPr>
      <w:r>
        <w:rPr>
          <w:rFonts w:ascii="Arial" w:cs="Arial" w:eastAsia="Arial" w:hAnsi="Arial"/>
          <w:sz w:val="16"/>
          <w:szCs w:val="16"/>
          <w:color w:val="auto"/>
        </w:rPr>
        <w:t>restrictions, and other trade regulations, including tariffs.</w:t>
      </w:r>
    </w:p>
    <w:p>
      <w:pPr>
        <w:spacing w:after="0" w:line="21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CAC’s decision that critical information infrastructure operators in China may not purchase Micron products had an adverse impact on our ability to compete effectively in China and elsewhere.</w:t>
      </w:r>
    </w:p>
    <w:p>
      <w:pPr>
        <w:spacing w:after="0" w:line="205"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competitive nature of our industry could have a material adverse effect on our business, results of operations, or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future success depends on our ability to develop and produce new and competitive memory and storage technologies and products.</w:t>
      </w:r>
    </w:p>
    <w:p>
      <w:pPr>
        <w:spacing w:after="0" w:line="226"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6" w:name="page27"/>
    <w:bookmarkEnd w:id="26"/>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In addition, our ability to successfully introduce new products often requires us to make product specification decisions multiple years in advance of when new products enter the market. Recent technologies, such as generative AI models have emerged, and while they have driven increased demand for HBM and other advanced products in the data center and other markets, the long-term trajectory is unknown and associated demand may fluctuate. Due to the higher performance and more complex manufacturing process, HBM requires a higher number of wafers and more cleanroom space to produce the same number of bits as conventional DRAM in the same technology node. If demand for HBM weakens and suppliers shift capacity from HBM to conventional DRAM, this could result in a significant increase in conventional DRAM supply. An oversupplied DRAM market may lead to downward pressure on pricing, which could adversely impact our financial results.</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Our product demand may also be impacted significantly by the strategic actions of our customers. It is important that we deliver products in a timely manner that meet customer requirements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 times, requiring us to place orders up to a year in advance of anticipated demand. Such long lead-times increase the risk of excess inventory or loss of sales in the event our forecasts vary substantially from actual demand.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of the following:</w:t>
      </w:r>
    </w:p>
    <w:p>
      <w:pPr>
        <w:spacing w:after="0" w:line="224" w:lineRule="exact"/>
        <w:rPr>
          <w:sz w:val="20"/>
          <w:szCs w:val="20"/>
          <w:color w:val="auto"/>
        </w:rPr>
      </w:pPr>
    </w:p>
    <w:p>
      <w:pPr>
        <w:ind w:left="580" w:hanging="286"/>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be successful in developing competitive new semiconductor memory and storage technologies and products;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be able to cost-effectively manufacture new products;</w:t>
      </w:r>
    </w:p>
    <w:p>
      <w:pPr>
        <w:ind w:left="580" w:hanging="286"/>
        <w:spacing w:after="0" w:line="23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be able to successfully achieve revenue targets for these technologies;</w:t>
      </w:r>
    </w:p>
    <w:p>
      <w:pPr>
        <w:ind w:left="580" w:hanging="286"/>
        <w:spacing w:after="0" w:line="23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margins and cash flows generated from sales of these products will allow us to recover costs of development efforts;</w:t>
      </w:r>
    </w:p>
    <w:p>
      <w:pPr>
        <w:ind w:left="580" w:right="260" w:hanging="286"/>
        <w:spacing w:after="0" w:line="23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be able to establish or maintain key relationships with customers, or that we will not be prohibited from working with certain customers, for specific chip set or design requirements;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accurately predict and design products that meet our customers’ specifications; or</w:t>
      </w:r>
    </w:p>
    <w:p>
      <w:pPr>
        <w:ind w:left="580" w:hanging="286"/>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will be able to introduce new products into the market and qualify them with our customers on a timely basis.</w:t>
      </w:r>
    </w:p>
    <w:p>
      <w:pPr>
        <w:spacing w:after="0" w:line="210"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Unsuccessful efforts to develop new memory and storage technologies and products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achieve expected returns from capacity expansions.</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86"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 -contractors and other service providers or other resources could result in delays in completion of our construction projects and cost increases, including costs to operate these facilities.</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the United States and in certain other regions, fab building has been uncommon in recent years. Concurrent semiconductor expansion projects across the industry introduce significant competition for the limited pool of</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7" w:name="page28"/>
    <w:bookmarkEnd w:id="2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these expansions involve several risks including the following:</w:t>
      </w:r>
    </w:p>
    <w:p>
      <w:pPr>
        <w:spacing w:after="0" w:line="224" w:lineRule="exact"/>
        <w:rPr>
          <w:sz w:val="20"/>
          <w:szCs w:val="20"/>
          <w:color w:val="auto"/>
        </w:rPr>
      </w:pPr>
    </w:p>
    <w:p>
      <w:pPr>
        <w:ind w:left="580" w:right="280" w:hanging="286"/>
        <w:spacing w:after="0" w:line="243"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unavailability of necessary funding, which may include external sources;</w:t>
      </w:r>
    </w:p>
    <w:p>
      <w:pPr>
        <w:ind w:left="580" w:right="6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realize expected grants, investment tax credits, and other government incentives, including through the CHIPS Act and other national, international, state, and local grants;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changes in laws or provisions of grants, investment tax credits, and other government incentives, including the CHIPS Act;</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and potential restrictions related to environmental and other government regulations or permits;</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restrictions on expanding in certain geographies;</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complete construction as scheduled and within budget;</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attract, retain and motivate key talent;</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timely ramp production in a cost-effective manner;</w:t>
      </w:r>
    </w:p>
    <w:p>
      <w:pPr>
        <w:ind w:left="580" w:hanging="286"/>
        <w:spacing w:after="0" w:line="234"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increases to our cost structure until new production is ramped to adequate scale; and</w:t>
      </w:r>
    </w:p>
    <w:p>
      <w:pPr>
        <w:ind w:left="580" w:hanging="286"/>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insufficient customer demand to utilize our increased capacity.</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construction projects and increased costs, including costs to operate these facilities.</w:t>
      </w:r>
    </w:p>
    <w:p>
      <w:pPr>
        <w:spacing w:after="0" w:line="20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Our strategic decision-making process involves careful evaluation and prioritization of investments to ensure alignment with our long- term goals. Additionally, we may choose to exit business segments that do not provide us with optimal returns. As we streamline our product portfolio, we may face execution risks that could impact our ability to support demand and maintain share in certain markets. Further, as we continue to optimize the efficiency of our fabrication facilities to support demand from leading edge notes, any delays in completion and ramping of new production facilities, or failure to optimize our investment choices, could significantly impact our ability to realize expected returns on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ind w:right="660"/>
        <w:spacing w:after="0" w:line="349" w:lineRule="auto"/>
        <w:rPr>
          <w:sz w:val="20"/>
          <w:szCs w:val="20"/>
          <w:color w:val="auto"/>
        </w:rPr>
      </w:pPr>
      <w:r>
        <w:rPr>
          <w:rFonts w:ascii="Arial" w:cs="Arial" w:eastAsia="Arial" w:hAnsi="Arial"/>
          <w:sz w:val="14"/>
          <w:szCs w:val="14"/>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fail to achieve these milestones, in a timely manner or at all, due to a variety of factors, some of which may be outside of our control, including a cyclical downturn in our business or global downturn.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We may be unable to obtain sufficient future incentives to continue to fund a portion of our capital expenditures and operating costs, without which our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cost structure may be adversely impacted and planned capital expenditures and research and development expenditures may be affected. For example,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2024, we entered into direct funding agreements, providing funds for the construction of fab facilities in Idaho and New York, with the</w:t>
      </w:r>
    </w:p>
    <w:p>
      <w:pPr>
        <w:spacing w:after="0"/>
        <w:rPr>
          <w:sz w:val="20"/>
          <w:szCs w:val="20"/>
          <w:color w:val="auto"/>
        </w:rPr>
      </w:pPr>
      <w:r>
        <w:rPr>
          <w:rFonts w:ascii="Arial" w:cs="Arial" w:eastAsia="Arial" w:hAnsi="Arial"/>
          <w:sz w:val="14"/>
          <w:szCs w:val="14"/>
          <w:color w:val="auto"/>
        </w:rPr>
        <w:t>United States Department of Commerce (the “Department”) under the Department’s CHIPS Incentives Program established pursuant to the CHIPS Act. 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2025, such agreements were subsequently amended to expand our investments, and we entered into a direct funding agreement to provide funds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to expand and modernize our fab in Virginia. The awards under the direct funding agreements are subject to various conditions and we may not receive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funding expected on the same terms or at all. We cannot guarantee that we will successfully achieve or maintain outcomes or satisfy the compliance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requirements to qualify for these incentives or that the granting agencies will provide or continue to provide such funding. See Part II, Item 8. Financial</w:t>
      </w:r>
    </w:p>
    <w:p>
      <w:pPr>
        <w:spacing w:after="0"/>
        <w:rPr>
          <w:sz w:val="20"/>
          <w:szCs w:val="20"/>
          <w:color w:val="auto"/>
        </w:rPr>
      </w:pPr>
      <w:r>
        <w:rPr>
          <w:rFonts w:ascii="Arial" w:cs="Arial" w:eastAsia="Arial" w:hAnsi="Arial"/>
          <w:sz w:val="16"/>
          <w:szCs w:val="16"/>
          <w:color w:val="auto"/>
        </w:rPr>
        <w:t>Statements and Supplementary Data, Notes to Consolidated Financial Statements, Note 20. Government Incentives.</w:t>
      </w:r>
    </w:p>
    <w:p>
      <w:pPr>
        <w:spacing w:after="0" w:line="21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9" w:name="page30"/>
    <w:bookmarkEnd w:id="29"/>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 -term contracts with some of our suppliers, many of these contracts do not provide for long - 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3"/>
          <w:szCs w:val="13"/>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0" w:name="page31"/>
    <w:bookmarkEnd w:id="3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06"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0" w:lineRule="exact"/>
        <w:rPr>
          <w:sz w:val="20"/>
          <w:szCs w:val="20"/>
          <w:color w:val="auto"/>
        </w:rPr>
      </w:pPr>
    </w:p>
    <w:p>
      <w:pPr>
        <w:ind w:right="320"/>
        <w:spacing w:after="0" w:line="244" w:lineRule="auto"/>
        <w:rPr>
          <w:sz w:val="20"/>
          <w:szCs w:val="20"/>
          <w:color w:val="auto"/>
        </w:rPr>
      </w:pPr>
      <w:r>
        <w:rPr>
          <w:rFonts w:ascii="Arial" w:cs="Arial" w:eastAsia="Arial" w:hAnsi="Arial"/>
          <w:sz w:val="16"/>
          <w:szCs w:val="16"/>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0"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Downturns or ongoing adverse conditions in regional or worldwide economies may harm our business.</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Downturns or ongoing adverse conditions in regional or worldwide economies, due to inflation, geopolitics, changes in government borrowing or spending, trade disputes, war,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0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175"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color w:val="auto"/>
        </w:rPr>
        <w:t>If our manufacturing process is disrupted by operational issues, natural disasters, or other events, our business, results of operations, or financial condition could be materially adversely affected.</w:t>
      </w:r>
    </w:p>
    <w:p>
      <w:pPr>
        <w:spacing w:after="0" w:line="169"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 w:name="page32"/>
    <w:bookmarkEnd w:id="3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20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portion of our revenue is concentrated with certain customers and end markets.</w:t>
      </w:r>
    </w:p>
    <w:p>
      <w:pPr>
        <w:spacing w:after="0" w:line="22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 2025, over half of our total revenue came from our top ten customers. Among our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II, Item 8. Financial Statements and Supplementary Data, Notes to Consolidated Financial Statements, Note 28. Certain Concentrations.</w:t>
      </w:r>
    </w:p>
    <w:p>
      <w:pPr>
        <w:spacing w:after="0" w:line="202" w:lineRule="exact"/>
        <w:rPr>
          <w:sz w:val="20"/>
          <w:szCs w:val="20"/>
          <w:color w:val="auto"/>
        </w:rPr>
      </w:pPr>
    </w:p>
    <w:p>
      <w:pPr>
        <w:ind w:right="740"/>
        <w:spacing w:after="0" w:line="275" w:lineRule="auto"/>
        <w:rPr>
          <w:sz w:val="20"/>
          <w:szCs w:val="20"/>
          <w:color w:val="auto"/>
        </w:rPr>
      </w:pPr>
      <w:r>
        <w:rPr>
          <w:rFonts w:ascii="Arial" w:cs="Arial" w:eastAsia="Arial" w:hAnsi="Arial"/>
          <w:sz w:val="16"/>
          <w:szCs w:val="16"/>
          <w:b w:val="1"/>
          <w:bCs w:val="1"/>
          <w:color w:val="auto"/>
        </w:rPr>
        <w:t>Increases in sales of system solutions may increase our dependency upon specific customers and our costs to develop, qualify, and manufacture our system solutions.</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Our development of system-level memory and storage products is dependent, in part, upon successfully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 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2" w:name="page33"/>
    <w:bookmarkEnd w:id="32"/>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are otherwise incompatible with end uses could impose significant costs on us.</w:t>
      </w:r>
    </w:p>
    <w:p>
      <w:pPr>
        <w:spacing w:after="0" w:line="22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4" w:lineRule="exact"/>
        <w:rPr>
          <w:sz w:val="20"/>
          <w:szCs w:val="20"/>
          <w:color w:val="auto"/>
        </w:rPr>
      </w:pPr>
    </w:p>
    <w:p>
      <w:pPr>
        <w:ind w:left="580" w:right="460" w:hanging="286"/>
        <w:spacing w:after="0" w:line="243"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could incur a decrease in revenue or adjustment to pricing commensurate with the reimbursement of such costs or alleged damages;</w:t>
      </w:r>
    </w:p>
    <w:p>
      <w:pPr>
        <w:ind w:left="580" w:right="240" w:hanging="286"/>
        <w:spacing w:after="0" w:line="23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could be required to indemnify our customers or end users or we may face other claims, including litigation, which could result in increased costs in defending ourselves and/or paying resulting damages; and</w:t>
      </w:r>
    </w:p>
    <w:p>
      <w:pPr>
        <w:spacing w:after="0" w:line="1" w:lineRule="exact"/>
        <w:rPr>
          <w:rFonts w:ascii="Arial" w:cs="Arial" w:eastAsia="Arial" w:hAnsi="Arial"/>
          <w:sz w:val="16"/>
          <w:szCs w:val="16"/>
          <w:color w:val="auto"/>
        </w:rPr>
      </w:pPr>
    </w:p>
    <w:p>
      <w:pPr>
        <w:ind w:left="580" w:right="140" w:hanging="286"/>
        <w:spacing w:after="0" w:line="24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encounter adverse publicity, which could cause a decrease in sales of our products or harm our reputation or relationships with existing or potential customers.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items could have a material adverse effect on our business, results of operations, or financial condition.</w:t>
      </w:r>
    </w:p>
    <w:p>
      <w:pPr>
        <w:spacing w:after="0" w:line="222" w:lineRule="exact"/>
        <w:rPr>
          <w:sz w:val="20"/>
          <w:szCs w:val="20"/>
          <w:color w:val="auto"/>
        </w:rPr>
      </w:pPr>
    </w:p>
    <w:p>
      <w:pPr>
        <w:ind w:right="720"/>
        <w:spacing w:after="0" w:line="349" w:lineRule="auto"/>
        <w:rPr>
          <w:sz w:val="20"/>
          <w:szCs w:val="20"/>
          <w:color w:val="auto"/>
        </w:rPr>
      </w:pPr>
      <w:r>
        <w:rPr>
          <w:rFonts w:ascii="Arial" w:cs="Arial" w:eastAsia="Arial" w:hAnsi="Arial"/>
          <w:sz w:val="14"/>
          <w:szCs w:val="14"/>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22" w:lineRule="exact"/>
        <w:rPr>
          <w:sz w:val="20"/>
          <w:szCs w:val="20"/>
          <w:color w:val="auto"/>
        </w:rPr>
      </w:pPr>
    </w:p>
    <w:p>
      <w:pPr>
        <w:ind w:right="240"/>
        <w:spacing w:after="0" w:line="279" w:lineRule="auto"/>
        <w:rPr>
          <w:sz w:val="20"/>
          <w:szCs w:val="20"/>
          <w:color w:val="auto"/>
        </w:rPr>
      </w:pPr>
      <w:r>
        <w:rPr>
          <w:rFonts w:ascii="Arial" w:cs="Arial" w:eastAsia="Arial" w:hAnsi="Arial"/>
          <w:sz w:val="14"/>
          <w:szCs w:val="14"/>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suppliers,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3" w:name="page34"/>
    <w:bookmarkEnd w:id="33"/>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 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 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214"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Any such event, or the perception it has occurred, may result in significant losses and damage our reputation with customers and suppliers and may expose us to claims, demands, and litigation.</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third-party service providers, cloud solution providers, or sub-processors, are breached or attacked, this could harm our business by requiring us to employ additional resources to remediate the errors or defects, and could expose us to litigation, claims, and harm to our reputation.</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New and evolving laws and regulations relating to cybersecurity, data privacy, digital products, and AI impose requirements for information confidentiality, integrity, availability, personal and proprietary data collection, storage, use, sharing, deletion, and AI systems to be appropriately transparent, fair, secure, responsibly deployed, and accountable. Along with these laws and regulations, standards and market expectations could cause us to incur additional direct costs for compliance, as well as increased indirect costs resulting from our customers, suppliers, or partners reluctance to share information or solutions due to actual or perceived inadequate controls. As a result of these considerations, we could experience a reduction of production or sales of our products; remediation costs and activities; increased compliance costs; regulatory penalties, fines, civil or criminal sanctions, and other legal liabilities; and reputational challenges. 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3"/>
          <w:szCs w:val="13"/>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4" w:name="page35"/>
    <w:bookmarkEnd w:id="3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adversely impacted by any of the multiple uncertainties and outcomes associated with the use and evolution of AI.</w:t>
      </w:r>
    </w:p>
    <w:p>
      <w:pPr>
        <w:spacing w:after="0" w:line="226"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continue to increase or change the competitive environment in our markets. Our competitors may be more successful in their AI strategy or they may have access to greater AI resources or technology and develop superior products and services.</w:t>
      </w:r>
    </w:p>
    <w:p>
      <w:pPr>
        <w:spacing w:after="0" w:line="176"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color w:val="auto"/>
        </w:rPr>
        <w:t>Additionally, AI algorithms or training methodologies may be flawed, and datasets may contain irrelevant, insufficient or biased information, which can cause errors in outputs. The use of AI in the development of our products could also cause loss of intellectual property, as well as subject us to risks related to intellectual property infringement or misappropriation, data privacy and cybersecurity.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attract, retain, and motivate highly skilled employees.</w:t>
      </w:r>
    </w:p>
    <w:p>
      <w:pPr>
        <w:spacing w:after="0" w:line="226"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To stay competitive, we need a highly skilled, global workforce and effective succession management for key roles. Hiring, retaining, and motivating qualified executives and other skilled talent is critical to our business, and competition can be intense. If our total compensation programs, benefits, and workplace culture are not seen as competitive and inclusive, our ability to attract and retain talent could be compromised.</w:t>
      </w:r>
    </w:p>
    <w:p>
      <w:pPr>
        <w:spacing w:after="0" w:line="198" w:lineRule="exact"/>
        <w:rPr>
          <w:sz w:val="20"/>
          <w:szCs w:val="20"/>
          <w:color w:val="auto"/>
        </w:rPr>
      </w:pPr>
    </w:p>
    <w:p>
      <w:pPr>
        <w:ind w:right="320"/>
        <w:spacing w:after="0" w:line="301" w:lineRule="auto"/>
        <w:rPr>
          <w:sz w:val="20"/>
          <w:szCs w:val="20"/>
          <w:color w:val="auto"/>
        </w:rPr>
      </w:pPr>
      <w:r>
        <w:rPr>
          <w:rFonts w:ascii="Arial" w:cs="Arial" w:eastAsia="Arial" w:hAnsi="Arial"/>
          <w:sz w:val="14"/>
          <w:szCs w:val="14"/>
          <w:color w:val="auto"/>
        </w:rPr>
        <w:t>Intense competition for talent can lead to increased compensation costs. Significant attrition and delays in replacing employees can result in a loss of critical skills, reduced morale, business disruptions, inefficiencies during transitions, and increased expenses. Additionally, changes to immigration policies and travel restrictions due to public health crises or other causes may limit our ability to hire, retain, or transfer talent to specific locations.</w:t>
      </w:r>
    </w:p>
    <w:p>
      <w:pPr>
        <w:spacing w:after="0" w:line="162"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Our business success depends on our ability to attract, retain, and motivate key talent. Failure to do so could inhibit our ability to maintain or expand operations and adversely impact our operating results.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5" w:name="page36"/>
    <w:bookmarkEnd w:id="3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69"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In recent years, there has been an increased focus from stakeholders on sustainability and governance matters, including greenhouse gas emissions and climate-related risks, carbon- 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Such risks and uncertainties include:</w:t>
      </w:r>
    </w:p>
    <w:p>
      <w:pPr>
        <w:spacing w:after="0" w:line="224" w:lineRule="exact"/>
        <w:rPr>
          <w:sz w:val="20"/>
          <w:szCs w:val="20"/>
          <w:color w:val="auto"/>
        </w:rPr>
      </w:pPr>
    </w:p>
    <w:p>
      <w:pPr>
        <w:ind w:left="580" w:hanging="286"/>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reputational harm, including damage to our relationships with customers, suppliers, investors, governments, or other stakeholders;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impacts on our ability to manufacture and sell products and maintain our market share;</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our collaborations with third parties;</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loss of business due to failure to meet our customers’ sustainability targets;</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risk of litigation, investigations, or regulatory enforcement action;</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unfavorable sustainability and governance ratings or investor sentiment;</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diversion of resources and increased costs to control, assess, and report on sustainability and governance metrics;</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achieve our goals, commitments, and targets within timeframes announced;</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costs to achieve our goals, commitments, and targets;</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unforeseen operational and technological difficulties;</w:t>
      </w:r>
    </w:p>
    <w:p>
      <w:pPr>
        <w:ind w:left="580" w:hanging="286"/>
        <w:spacing w:after="0" w:line="23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access to and increased cost of capital; and</w:t>
      </w:r>
    </w:p>
    <w:p>
      <w:pPr>
        <w:ind w:left="580" w:hanging="286"/>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impacts on our stock price.</w:t>
      </w:r>
    </w:p>
    <w:p>
      <w:pPr>
        <w:spacing w:after="0" w:line="21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200"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In addition, external standards for measuring and reporting sustainability metrics may change over time and may result in cost increases, significant revisions to our strategies and targets, or impact our ability to achieve them. We also are or may become subject to new sustainability laws and regulations, such as the State of California’s new climate change disclosure rules. Compliance with these laws and regulations, as well as increased scrutiny from regulators, customers and other stakeholders on our sustainability practices, could result in additional costs and expose us to new risks. Any scrutiny of our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result in penalties, fines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6" w:name="page37"/>
    <w:bookmarkEnd w:id="3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and/or strategic transactions involve numerous risks.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strategic transactions, such as joint ventures and other partnering arrangements, involve numerous risks, including the following:</w:t>
      </w:r>
    </w:p>
    <w:p>
      <w:pPr>
        <w:spacing w:after="0" w:line="224" w:lineRule="exact"/>
        <w:rPr>
          <w:sz w:val="20"/>
          <w:szCs w:val="20"/>
          <w:color w:val="auto"/>
        </w:rPr>
      </w:pPr>
    </w:p>
    <w:p>
      <w:pPr>
        <w:ind w:left="580" w:hanging="28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integrating the operations, technologies, and products of acquired or newly formed entities or strategic partnerships into our operations;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capital expenditures to upgrade and maintain facilities;</w:t>
      </w: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debt levels;</w:t>
      </w: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assumption of unknown or underestimated liabilities;</w:t>
      </w:r>
    </w:p>
    <w:p>
      <w:pPr>
        <w:ind w:left="580" w:right="90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use of cash to finance a transaction, which may reduce the availability of cash to fund working capital, capital expenditures, R&amp;D expenditures, and other business activities;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diverting management’s attention from daily operations;</w:t>
      </w: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managing larger or more complex operations and facilities and employees in separate and diverse geographic areas;</w:t>
      </w: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hiring and retaining key employees;</w:t>
      </w:r>
    </w:p>
    <w:p>
      <w:pPr>
        <w:ind w:left="580" w:right="42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16"/>
          <w:szCs w:val="16"/>
          <w:color w:val="auto"/>
        </w:rPr>
      </w:pPr>
    </w:p>
    <w:p>
      <w:pPr>
        <w:ind w:left="580" w:right="14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underestimating the costs or overestimating the benefits, including product, revenue, cost and other synergies and growth opportunities that we expect to realize, and we may not achieve those benefits;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maintain customer, vendor, and other relationships;</w:t>
      </w:r>
    </w:p>
    <w:p>
      <w:pPr>
        <w:ind w:left="580" w:right="240" w:hanging="286"/>
        <w:spacing w:after="0" w:line="234"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inadequacy or ineffectiveness of an acquired company’s internal financial controls, disclosure controls and procedures, compliance programs, and/or environmental, health and safety, anti-corruption, human resources, or other policies or practices; and</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impairment of acquired intangible assets, goodwill, or other assets as a result of changing business conditions or technological advancements.</w:t>
      </w:r>
    </w:p>
    <w:p>
      <w:pPr>
        <w:spacing w:after="0" w:line="233"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strategic transactions with, technology companies are inherently risky and may not be successful and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restructure charges in future periods and may not realize expected savings or other benefits from restructure plans.</w:t>
      </w:r>
    </w:p>
    <w:p>
      <w:pPr>
        <w:spacing w:after="0" w:line="22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or sufficient customer demand to maintain scale,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7" w:name="page38"/>
    <w:bookmarkEnd w:id="3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Risks Related to Intellectual Property and Litigation</w:t>
      </w:r>
    </w:p>
    <w:p>
      <w:pPr>
        <w:spacing w:after="0" w:line="247" w:lineRule="exact"/>
        <w:rPr>
          <w:sz w:val="20"/>
          <w:szCs w:val="20"/>
          <w:color w:val="auto"/>
        </w:rPr>
      </w:pPr>
    </w:p>
    <w:p>
      <w:pPr>
        <w:ind w:right="720"/>
        <w:spacing w:after="0" w:line="275" w:lineRule="auto"/>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169"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206"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62"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color w:val="auto"/>
        </w:rPr>
        <w:t>Legal, regulatory and administrative investigations, inquiries, proceedings, and claims could have a material adverse effect on our business, results of operations, or financial condition.</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infringement of intellectual property, and claims related to our compliance with securities and other laws. See Part II, Item 8. Financial Statements and Supplementary Data, Notes to Consolidated Financial Statements, Note 14.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may be associated with and subject to litigation, claims, inquiries, investigations, or disputes arising from, or as a result of:</w:t>
      </w:r>
    </w:p>
    <w:p>
      <w:pPr>
        <w:spacing w:after="0" w:line="224" w:lineRule="exact"/>
        <w:rPr>
          <w:sz w:val="20"/>
          <w:szCs w:val="20"/>
          <w:color w:val="auto"/>
        </w:rPr>
      </w:pPr>
    </w:p>
    <w:p>
      <w:pPr>
        <w:ind w:left="580" w:hanging="286"/>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relationships with vendors or customers, supply agreements, or contractual obligations with our subcontractors or business partners;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actions of our vendors, subcontractors, or business partners;</w:t>
      </w:r>
    </w:p>
    <w:p>
      <w:pPr>
        <w:ind w:left="580" w:right="660" w:hanging="286"/>
        <w:spacing w:after="0" w:line="23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indemnification obligations, including obligations to defend our customers against third-party claims asserting infringement of certain intellectual property rights, which may include patents, trademarks, copyrights, or trade secrets;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compliance with regulatory requirements, including defending against related third-party claims;</w:t>
      </w:r>
    </w:p>
    <w:p>
      <w:pPr>
        <w:ind w:left="580" w:hanging="286"/>
        <w:spacing w:after="0" w:line="23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stock price; and</w:t>
      </w:r>
    </w:p>
    <w:p>
      <w:pPr>
        <w:ind w:left="580" w:hanging="286"/>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of our product warranties or from product liability claims.</w:t>
      </w:r>
    </w:p>
    <w:p>
      <w:pPr>
        <w:spacing w:after="0" w:line="210" w:lineRule="exact"/>
        <w:rPr>
          <w:sz w:val="20"/>
          <w:szCs w:val="20"/>
          <w:color w:val="auto"/>
        </w:rPr>
      </w:pPr>
    </w:p>
    <w:p>
      <w:pPr>
        <w:ind w:right="260"/>
        <w:spacing w:after="0" w:line="301" w:lineRule="auto"/>
        <w:rPr>
          <w:sz w:val="20"/>
          <w:szCs w:val="20"/>
          <w:color w:val="auto"/>
        </w:rPr>
      </w:pPr>
      <w:r>
        <w:rPr>
          <w:rFonts w:ascii="Arial" w:cs="Arial" w:eastAsia="Arial" w:hAnsi="Arial"/>
          <w:sz w:val="14"/>
          <w:szCs w:val="14"/>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200" w:lineRule="exact"/>
        <w:rPr>
          <w:sz w:val="20"/>
          <w:szCs w:val="20"/>
          <w:color w:val="auto"/>
        </w:rPr>
      </w:pPr>
    </w:p>
    <w:p>
      <w:pPr>
        <w:spacing w:after="0" w:line="394"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8" w:name="page39"/>
    <w:bookmarkEnd w:id="3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4"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5" w:lineRule="exact"/>
        <w:rPr>
          <w:sz w:val="20"/>
          <w:szCs w:val="20"/>
          <w:color w:val="auto"/>
        </w:rPr>
      </w:pPr>
    </w:p>
    <w:p>
      <w:pPr>
        <w:ind w:left="580" w:hanging="28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significant monetary damages, fines, royalties, or penalties;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license or settlement agreements covering such intellectual property rights;</w:t>
      </w:r>
    </w:p>
    <w:p>
      <w:pPr>
        <w:ind w:left="580" w:hanging="286"/>
        <w:spacing w:after="0" w:line="23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material changes to or redesign our products and/or manufacturing processes; and/or</w:t>
      </w:r>
    </w:p>
    <w:p>
      <w:pPr>
        <w:ind w:left="580" w:right="160" w:hanging="286"/>
        <w:spacing w:after="0" w:line="244"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cease manufacturing, having made, selling, offering for sale, importing, marketing, or using products and/or manufacturing processes in certain jurisdictions.</w:t>
      </w:r>
    </w:p>
    <w:p>
      <w:pPr>
        <w:spacing w:after="0" w:line="200"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We may not be able to take any of the actions described above on commercially reasonable terms and any of the foregoing results could have a material adverse effect on our business, results of operations, or financial condition. See Part II, Item 8. Financial Statements and Supplementary Data, Notes to Consolidated Financial Statements, Note 14. Contingencies.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9" w:name="page40"/>
    <w:bookmarkEnd w:id="39"/>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Risks Related to Laws and Regulations</w:t>
      </w:r>
    </w:p>
    <w:p>
      <w:pPr>
        <w:spacing w:after="0" w:line="247"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9"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International trade disputes, geopolitical tensions, and military conflicts have led, and continue to lead, to new and increasing export restrictions, trade barriers, tariffs, and other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around the world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364"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reduce customer demand for our products, or inhibit our ability to sell products or purchase necessary equipment and supplies. For example, increasing geopolitical tensions have resulted in new and proposed export controls associated with products, including those that support or enable AI applications, which could, in turn, restrict future sales of certain products to China or other markets, or restrict our ability to obtain equipment, components, and raw materials. Similarly, new and proposed tariffs in the U.S., China, or other markets on products, materials, and equipment may increase our selling costs, thus impacting demand for our products. On April 14, 2025, the U.S. Bureau of Industry and Security announced the initiation of investigations into the industry on the effects on U.S. national security of imports of semiconductors under Section 232 of the Trade Expansion Act of 1962. The scope of the industry-wide investigation includes semiconductors, semiconductor manufacturing equipment, and their derivative products including semiconductor substrates and bare wafers, legacy chips, leading -edge chips, microelectronics, and other components. While the results of this investigation are currently unknown, the investigation may result in industry-wide additional tariffs and trade restrictions, which may adversely impact our business. Such changes may also result in reputational harm to us, the development or adoption of technologies that compete with our products, long-term changes in global trade and technology supply chains, or negative impacts on our customers’ products which incorporate our solutions. We may take actions to mitigate the impact of increases in tariffs and changes in trade policies, and any such actions could result in additional costs, manufacturing delays or other difficulties, as well as additional risks, and may not be effective. Any of the effects described in this risk factor could have a material adverse effect on our business, results of operations, or financial condition.</w:t>
      </w:r>
    </w:p>
    <w:p>
      <w:pPr>
        <w:spacing w:after="0" w:line="200" w:lineRule="exact"/>
        <w:rPr>
          <w:sz w:val="20"/>
          <w:szCs w:val="20"/>
          <w:color w:val="auto"/>
        </w:rPr>
      </w:pPr>
    </w:p>
    <w:p>
      <w:pPr>
        <w:spacing w:after="0" w:line="35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0" w:lineRule="exact"/>
        <w:rPr>
          <w:sz w:val="20"/>
          <w:szCs w:val="20"/>
          <w:color w:val="auto"/>
        </w:rPr>
      </w:pPr>
    </w:p>
    <w:p>
      <w:pPr>
        <w:spacing w:after="0" w:line="20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0" w:name="page41"/>
    <w:bookmarkEnd w:id="4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Tax-related matters could have a material adverse effect on our business, results of operations, or financial condition.</w:t>
      </w:r>
    </w:p>
    <w:p>
      <w:pPr>
        <w:spacing w:after="0" w:line="226" w:lineRule="exact"/>
        <w:rPr>
          <w:sz w:val="20"/>
          <w:szCs w:val="20"/>
          <w:color w:val="auto"/>
        </w:rPr>
      </w:pPr>
    </w:p>
    <w:p>
      <w:pPr>
        <w:ind w:right="260"/>
        <w:spacing w:after="0" w:line="241" w:lineRule="auto"/>
        <w:rPr>
          <w:sz w:val="20"/>
          <w:szCs w:val="20"/>
          <w:color w:val="auto"/>
        </w:rPr>
      </w:pPr>
      <w:r>
        <w:rPr>
          <w:rFonts w:ascii="Arial" w:cs="Arial" w:eastAsia="Arial" w:hAnsi="Arial"/>
          <w:sz w:val="16"/>
          <w:szCs w:val="16"/>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Further changes in the tax laws of foreign jurisdictions could arise as a result of the base erosion and profit-shifting project, including Pillar Two Model Rules (“Pillar Two”), undertaken by the Organisation for Economic Co-operation and Development. On November 27, 2024, Singapore enacted legislation to implement Pillar Two, which will apply to us starting in 2026. We continue to monitor for additional guidance and legislative changes related to Pillar Two in the jurisdictions where we operate. While we are still evaluating the impacts of these legislative changes, we expect our tax rate to be in the mid to high-teens percentage range, starting in 2026.</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require us to alter our product design, manufacturing and operations, and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1" w:name="page42"/>
    <w:bookmarkEnd w:id="4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considerations detailed in this risk factor, we could experience the following:</w:t>
      </w:r>
    </w:p>
    <w:p>
      <w:pPr>
        <w:spacing w:after="0" w:line="224" w:lineRule="exact"/>
        <w:rPr>
          <w:sz w:val="20"/>
          <w:szCs w:val="20"/>
          <w:color w:val="auto"/>
        </w:rPr>
      </w:pPr>
    </w:p>
    <w:p>
      <w:pPr>
        <w:ind w:left="580" w:hanging="28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suspension of production or sales of our products;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limited supplies of chemicals or materials used to make our products;</w:t>
      </w:r>
    </w:p>
    <w:p>
      <w:pPr>
        <w:ind w:left="580" w:hanging="286"/>
        <w:spacing w:after="0" w:line="23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remediation costs and activities;</w:t>
      </w:r>
    </w:p>
    <w:p>
      <w:pPr>
        <w:ind w:left="580" w:hanging="286"/>
        <w:spacing w:after="0" w:line="23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compliance costs;</w:t>
      </w:r>
    </w:p>
    <w:p>
      <w:pPr>
        <w:ind w:left="580" w:hanging="286"/>
        <w:spacing w:after="0" w:line="23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alteration of our manufacturing processes;</w:t>
      </w:r>
    </w:p>
    <w:p>
      <w:pPr>
        <w:ind w:left="580" w:hanging="286"/>
        <w:spacing w:after="0" w:line="234"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penalties, fines, civil or criminal sanctions, litigation and other legal liabilities; and</w:t>
      </w:r>
    </w:p>
    <w:p>
      <w:pPr>
        <w:ind w:left="580" w:hanging="28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reputational challenges.</w:t>
      </w:r>
    </w:p>
    <w:p>
      <w:pPr>
        <w:spacing w:after="0" w:line="200" w:lineRule="exact"/>
        <w:rPr>
          <w:sz w:val="20"/>
          <w:szCs w:val="20"/>
          <w:color w:val="auto"/>
        </w:rPr>
      </w:pPr>
    </w:p>
    <w:p>
      <w:pPr>
        <w:spacing w:after="0" w:line="23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Risks Related to Capitalization and Financial Markets</w:t>
      </w:r>
    </w:p>
    <w:p>
      <w:pPr>
        <w:spacing w:after="0" w:line="24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9" w:lineRule="exact"/>
        <w:rPr>
          <w:sz w:val="20"/>
          <w:szCs w:val="20"/>
          <w:color w:val="auto"/>
        </w:rPr>
      </w:pPr>
    </w:p>
    <w:p>
      <w:pPr>
        <w:ind w:right="500"/>
        <w:spacing w:after="0" w:line="244"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From time to time, we utilize external sources of financing when needed. As a result of our debt levels, expected debt amortization, prevailing interest rates, general capital market, changes in government borrowing or spending,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2" w:name="page43"/>
    <w:bookmarkEnd w:id="4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obligations could adversely affect our financial condition.</w:t>
      </w:r>
    </w:p>
    <w:p>
      <w:pPr>
        <w:spacing w:after="0" w:line="226"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We have incurred in the past, and expect to incur in the future, debt to finance our capital investments, business acquisitions, and to realign our capital structure. As of August 28, 2025, we had debt with a carrying value of $14.58 billion and may incur additional debt, including under our $3.50 billion Revolving Credit Facility. Our debt obligations could adversely impact us as follows:</w:t>
      </w:r>
    </w:p>
    <w:p>
      <w:pPr>
        <w:spacing w:after="0" w:line="198" w:lineRule="exact"/>
        <w:rPr>
          <w:sz w:val="20"/>
          <w:szCs w:val="20"/>
          <w:color w:val="auto"/>
        </w:rPr>
      </w:pPr>
    </w:p>
    <w:p>
      <w:pPr>
        <w:ind w:left="580" w:right="20" w:hanging="286"/>
        <w:spacing w:after="0" w:line="243"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adversely impact our credit rating, which could increase borrowing costs and reduce our ability to raise funds on favorable terms;</w:t>
      </w:r>
    </w:p>
    <w:p>
      <w:pPr>
        <w:ind w:left="580" w:right="200" w:hanging="286"/>
        <w:spacing w:after="0" w:line="23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strategic acquisitions or business opportunities, R&amp;D, and other general corporate requirements;</w:t>
      </w:r>
    </w:p>
    <w:p>
      <w:pPr>
        <w:spacing w:after="0" w:line="1"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our ability to incur specified indebtedness, create or incur certain liens, and enter into sale-leaseback financing transactions;</w:t>
      </w:r>
    </w:p>
    <w:p>
      <w:pPr>
        <w:ind w:left="580" w:hanging="286"/>
        <w:spacing w:after="0" w:line="23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our vulnerability to adverse economic and industry conditions;</w:t>
      </w:r>
    </w:p>
    <w:p>
      <w:pPr>
        <w:ind w:left="580" w:hanging="286"/>
        <w:spacing w:after="0" w:line="23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our exposure to rising interest rates from variable rate indebtedness; and</w:t>
      </w:r>
    </w:p>
    <w:p>
      <w:pPr>
        <w:ind w:left="580" w:right="400" w:hanging="286"/>
        <w:spacing w:after="0" w:line="24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result in certain of our debt instruments becoming immediately due and payable or being deemed to be in default if applicable cross default, cross-acceleration and/or similar provisions are triggered.</w:t>
      </w:r>
    </w:p>
    <w:p>
      <w:pPr>
        <w:spacing w:after="0" w:line="20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materially adversely affect our business, results of operations, or financial condition.</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substantial majority of our sales are transacted in the U.S. dollar; however, 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counterparty default risks.</w:t>
      </w: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3" w:name="page44"/>
    <w:bookmarkEnd w:id="43"/>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trading price of our common stock has been and may continue to be volatile.</w:t>
      </w: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06"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98"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Although our Board of Directors has authorized share repurchases of up to $10 billion of our outstanding common stock, the authorization does not obligate us to repurchase any common stock. 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See Part II, Item 8. Financial Statements and Supplementary Data, Notes to Consolidated Financial Statements, Note 20. Government Incentives. Since the authorization in 2019, our expenditures for share repurchases in any one year have ranged from no repurchases to a high of $2.66 billion of repurchases. Cash uses that could impact our repurchases include, but are not limited to, operational spending, capital spending, acquisitions, and repayment of debt. Other factors, including changes in tax laws, could also impact our share repurchases.</w:t>
      </w:r>
    </w:p>
    <w:p>
      <w:pPr>
        <w:spacing w:after="0" w:line="17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cannot guarantee that we will purchase all of the shares under our share repurchase authorization or that it will enhance long- 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can be no assurance that we will continue to declare cash dividends in any particular amounts or at all.</w:t>
      </w:r>
    </w:p>
    <w:p>
      <w:pPr>
        <w:spacing w:after="0" w:line="22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98"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4" w:name="page45"/>
    <w:bookmarkEnd w:id="44"/>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Strategy</w:t>
      </w:r>
    </w:p>
    <w:p>
      <w:pPr>
        <w:spacing w:after="0" w:line="226"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have established policies and processes for assessing, identifying, and managing material risk from cybersecurity threats and have integrated these processes into our overall risk management systems and processes. We have aligned our cybersecurity program with recognized security frameworks, such as NIST-CSF (National Institute of Standard and Technologies – CyberSecurity Framework) .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conduct regular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0"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Following these risk assessments, we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Security Officer and Chief Information Officer, to manage the risk assessment and mitigation process.</w:t>
      </w:r>
    </w:p>
    <w:p>
      <w:pPr>
        <w:spacing w:after="0" w:line="198"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We have implemented technical solutions that are designed to protect our information systems from cybersecurity threats, including firewalls, intrusion prevention and detection systems, anti-malware functionality, and access controls. We regularly evaluate, monitor, and improve these solutions. As part of our overall risk management system, we monitor and test our safeguards and train our employees on these safeguards, in collaboration with human resources, information technology, legal, compliance and ethics, and management. Personnel at all levels and departments are made aware of our cybersecurity policies through periodic trainings.</w:t>
      </w:r>
    </w:p>
    <w:p>
      <w:pPr>
        <w:spacing w:after="0" w:line="205"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We periodically engage assessors, consultants, auditors, or other third parties in connection with our risk assessment processes. These service providers assist us to design, implement, or assess our cybersecurity policies and procedures, as well as to monitor and test our safeguards. We work with our third-party suppliers and service providers to address the use of appropriate security measures in connection with their work with us.</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evaluate cybersecurity incidents individually and in the aggregate to assess materiality. Like any other technology company operating in today’s environment, we have experienced incidents in the past and may experience them in the future. However, we have not experienced any cybersecurity incidents that have been determined to be material. For additional information regarding risks from cybersecurity threats, and their effect on our company, including our business strategy, results of operations, or financial condition, please see Item 1A. Risk Factors, “Risks Related to Our Business, Operations, and Industry—Breaches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22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processes, including risks from cybersecurity threats. Our Board of Directors is responsible for monitoring and assessing strategic risk exposure, and our executive officers are responsible for the day- to-day management of the material risks we face. Our Board of Directors administers its cybersecurity risk oversight function directly as a whole, as well as through the Security Committee.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45" w:name="page46"/>
    <w:bookmarkEnd w:id="4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Chief Security Officer and our Chief Information Officer report to our Security Committee, which oversees monitoring and incident response, risk mitigation, supply chain security, physical security, product security, insider trust, and other security-related items, and are primarily responsible to assess and manage our material risks from cybersecurity threats. Our Chief Security Officer and Chief Information Officer have combined relevant experience of more than 45 years, including over 20 years in cybersecurity, and they oversee our cybersecurity policies and processes, including those described in “Risk Management and Strategy” above. Our Chief Security Officer monitors and stays informed about prevention, detection, mitigation, and remediation efforts through regular communication and reporting from our security team, the use of technological tools and software, and results from third-party assessments.</w:t>
      </w:r>
    </w:p>
    <w:p>
      <w:pPr>
        <w:spacing w:after="0" w:line="206"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Our Chief Security Officer and Chief Information Officer provide quarterly briefings to the Security Committee regarding our company’s cybersecurity risks and activities, including any recent cybersecurity incidents and related responses, cybersecurity systems testing, activities of third parties, and the like. Our Security Committee provides regular updates to the Board of Directors on such reports. In addition, our Chief Security Officer and our Chief Information Officer provide annual briefings to the Board of Directors on cybersecurity risks and activities.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6" w:name="page47"/>
    <w:bookmarkEnd w:id="4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2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213350" cy="2888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3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89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Principal Operations</w:t>
            </w:r>
          </w:p>
        </w:tc>
      </w:tr>
      <w:tr>
        <w:trPr>
          <w:trHeight w:val="28"/>
        </w:trPr>
        <w:tc>
          <w:tcPr>
            <w:tcW w:w="1640" w:type="dxa"/>
            <w:vAlign w:val="bottom"/>
          </w:tcPr>
          <w:p>
            <w:pPr>
              <w:spacing w:after="0"/>
              <w:rPr>
                <w:sz w:val="2"/>
                <w:szCs w:val="2"/>
                <w:color w:val="auto"/>
              </w:rPr>
            </w:pPr>
          </w:p>
        </w:tc>
        <w:tc>
          <w:tcPr>
            <w:tcW w:w="8920" w:type="dxa"/>
            <w:vAlign w:val="bottom"/>
          </w:tcPr>
          <w:p>
            <w:pPr>
              <w:spacing w:after="0"/>
              <w:rPr>
                <w:sz w:val="2"/>
                <w:szCs w:val="2"/>
                <w:color w:val="auto"/>
              </w:rPr>
            </w:pPr>
          </w:p>
        </w:tc>
      </w:tr>
      <w:tr>
        <w:trPr>
          <w:trHeight w:val="204"/>
        </w:trPr>
        <w:tc>
          <w:tcPr>
            <w:tcW w:w="1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Taiwan</w:t>
            </w:r>
          </w:p>
        </w:tc>
        <w:tc>
          <w:tcPr>
            <w:tcW w:w="8920" w:type="dxa"/>
            <w:vAlign w:val="bottom"/>
            <w:shd w:val="clear" w:color="auto" w:fill="D1D2D4"/>
          </w:tcPr>
          <w:p>
            <w:pPr>
              <w:ind w:left="680"/>
              <w:spacing w:after="0"/>
              <w:rPr>
                <w:sz w:val="20"/>
                <w:szCs w:val="20"/>
                <w:color w:val="auto"/>
              </w:rPr>
            </w:pPr>
            <w:r>
              <w:rPr>
                <w:rFonts w:ascii="Arial" w:cs="Arial" w:eastAsia="Arial" w:hAnsi="Arial"/>
                <w:sz w:val="16"/>
                <w:szCs w:val="16"/>
                <w:color w:val="auto"/>
              </w:rPr>
              <w:t>R&amp;D, wafer fabrication, component assembly and test, module assembly and test</w:t>
            </w:r>
          </w:p>
        </w:tc>
      </w:tr>
      <w:tr>
        <w:trPr>
          <w:trHeight w:val="204"/>
        </w:trPr>
        <w:tc>
          <w:tcPr>
            <w:tcW w:w="1640" w:type="dxa"/>
            <w:vAlign w:val="bottom"/>
          </w:tcPr>
          <w:p>
            <w:pPr>
              <w:ind w:left="20"/>
              <w:spacing w:after="0"/>
              <w:rPr>
                <w:sz w:val="20"/>
                <w:szCs w:val="20"/>
                <w:color w:val="auto"/>
              </w:rPr>
            </w:pPr>
            <w:r>
              <w:rPr>
                <w:rFonts w:ascii="Arial" w:cs="Arial" w:eastAsia="Arial" w:hAnsi="Arial"/>
                <w:sz w:val="16"/>
                <w:szCs w:val="16"/>
                <w:color w:val="auto"/>
              </w:rPr>
              <w:t>Singapore</w:t>
            </w:r>
          </w:p>
        </w:tc>
        <w:tc>
          <w:tcPr>
            <w:tcW w:w="8920" w:type="dxa"/>
            <w:vAlign w:val="bottom"/>
          </w:tcPr>
          <w:p>
            <w:pPr>
              <w:ind w:left="680"/>
              <w:spacing w:after="0"/>
              <w:rPr>
                <w:sz w:val="20"/>
                <w:szCs w:val="20"/>
                <w:color w:val="auto"/>
              </w:rPr>
            </w:pPr>
            <w:r>
              <w:rPr>
                <w:rFonts w:ascii="Arial" w:cs="Arial" w:eastAsia="Arial" w:hAnsi="Arial"/>
                <w:sz w:val="16"/>
                <w:szCs w:val="16"/>
                <w:color w:val="auto"/>
              </w:rPr>
              <w:t>R&amp;D, wafer fabrication, component assembly and test, module assembly and test</w:t>
            </w:r>
          </w:p>
        </w:tc>
      </w:tr>
      <w:tr>
        <w:trPr>
          <w:trHeight w:val="204"/>
        </w:trPr>
        <w:tc>
          <w:tcPr>
            <w:tcW w:w="1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United States</w:t>
            </w:r>
          </w:p>
        </w:tc>
        <w:tc>
          <w:tcPr>
            <w:tcW w:w="8920" w:type="dxa"/>
            <w:vAlign w:val="bottom"/>
            <w:shd w:val="clear" w:color="auto" w:fill="D1D2D4"/>
          </w:tcPr>
          <w:p>
            <w:pPr>
              <w:ind w:left="680"/>
              <w:spacing w:after="0"/>
              <w:rPr>
                <w:sz w:val="20"/>
                <w:szCs w:val="20"/>
                <w:color w:val="auto"/>
              </w:rPr>
            </w:pPr>
            <w:r>
              <w:rPr>
                <w:rFonts w:ascii="Arial" w:cs="Arial" w:eastAsia="Arial" w:hAnsi="Arial"/>
                <w:sz w:val="16"/>
                <w:szCs w:val="16"/>
                <w:color w:val="auto"/>
              </w:rPr>
              <w:t>R&amp;D, wafer fabrication, reticle manufacturing</w:t>
            </w:r>
          </w:p>
        </w:tc>
      </w:tr>
      <w:tr>
        <w:trPr>
          <w:trHeight w:val="204"/>
        </w:trPr>
        <w:tc>
          <w:tcPr>
            <w:tcW w:w="1640" w:type="dxa"/>
            <w:vAlign w:val="bottom"/>
          </w:tcPr>
          <w:p>
            <w:pPr>
              <w:ind w:left="20"/>
              <w:spacing w:after="0"/>
              <w:rPr>
                <w:sz w:val="20"/>
                <w:szCs w:val="20"/>
                <w:color w:val="auto"/>
              </w:rPr>
            </w:pPr>
            <w:r>
              <w:rPr>
                <w:rFonts w:ascii="Arial" w:cs="Arial" w:eastAsia="Arial" w:hAnsi="Arial"/>
                <w:sz w:val="16"/>
                <w:szCs w:val="16"/>
                <w:color w:val="auto"/>
              </w:rPr>
              <w:t>Japan</w:t>
            </w:r>
          </w:p>
        </w:tc>
        <w:tc>
          <w:tcPr>
            <w:tcW w:w="8920" w:type="dxa"/>
            <w:vAlign w:val="bottom"/>
          </w:tcPr>
          <w:p>
            <w:pPr>
              <w:ind w:left="680"/>
              <w:spacing w:after="0"/>
              <w:rPr>
                <w:sz w:val="20"/>
                <w:szCs w:val="20"/>
                <w:color w:val="auto"/>
              </w:rPr>
            </w:pPr>
            <w:r>
              <w:rPr>
                <w:rFonts w:ascii="Arial" w:cs="Arial" w:eastAsia="Arial" w:hAnsi="Arial"/>
                <w:sz w:val="16"/>
                <w:szCs w:val="16"/>
                <w:color w:val="auto"/>
              </w:rPr>
              <w:t>R&amp;D, wafer fabrication</w:t>
            </w:r>
          </w:p>
        </w:tc>
      </w:tr>
      <w:tr>
        <w:trPr>
          <w:trHeight w:val="204"/>
        </w:trPr>
        <w:tc>
          <w:tcPr>
            <w:tcW w:w="1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Malaysia</w:t>
            </w:r>
          </w:p>
        </w:tc>
        <w:tc>
          <w:tcPr>
            <w:tcW w:w="8920" w:type="dxa"/>
            <w:vAlign w:val="bottom"/>
            <w:shd w:val="clear" w:color="auto" w:fill="D1D2D4"/>
          </w:tcPr>
          <w:p>
            <w:pPr>
              <w:ind w:left="680"/>
              <w:spacing w:after="0"/>
              <w:rPr>
                <w:sz w:val="20"/>
                <w:szCs w:val="20"/>
                <w:color w:val="auto"/>
              </w:rPr>
            </w:pPr>
            <w:r>
              <w:rPr>
                <w:rFonts w:ascii="Arial" w:cs="Arial" w:eastAsia="Arial" w:hAnsi="Arial"/>
                <w:sz w:val="16"/>
                <w:szCs w:val="16"/>
                <w:color w:val="auto"/>
              </w:rPr>
              <w:t>Component assembly and test, module assembly and test</w:t>
            </w:r>
          </w:p>
        </w:tc>
      </w:tr>
      <w:tr>
        <w:trPr>
          <w:trHeight w:val="204"/>
        </w:trPr>
        <w:tc>
          <w:tcPr>
            <w:tcW w:w="1640" w:type="dxa"/>
            <w:vAlign w:val="bottom"/>
          </w:tcPr>
          <w:p>
            <w:pPr>
              <w:ind w:left="20"/>
              <w:spacing w:after="0"/>
              <w:rPr>
                <w:sz w:val="20"/>
                <w:szCs w:val="20"/>
                <w:color w:val="auto"/>
              </w:rPr>
            </w:pPr>
            <w:r>
              <w:rPr>
                <w:rFonts w:ascii="Arial" w:cs="Arial" w:eastAsia="Arial" w:hAnsi="Arial"/>
                <w:sz w:val="16"/>
                <w:szCs w:val="16"/>
                <w:color w:val="auto"/>
              </w:rPr>
              <w:t>China</w:t>
            </w:r>
          </w:p>
        </w:tc>
        <w:tc>
          <w:tcPr>
            <w:tcW w:w="8920" w:type="dxa"/>
            <w:vAlign w:val="bottom"/>
          </w:tcPr>
          <w:p>
            <w:pPr>
              <w:ind w:left="680"/>
              <w:spacing w:after="0"/>
              <w:rPr>
                <w:sz w:val="20"/>
                <w:szCs w:val="20"/>
                <w:color w:val="auto"/>
              </w:rPr>
            </w:pPr>
            <w:r>
              <w:rPr>
                <w:rFonts w:ascii="Arial" w:cs="Arial" w:eastAsia="Arial" w:hAnsi="Arial"/>
                <w:sz w:val="16"/>
                <w:szCs w:val="16"/>
                <w:color w:val="auto"/>
              </w:rPr>
              <w:t>Component assembly and test, module assembly and test</w:t>
            </w:r>
          </w:p>
        </w:tc>
      </w:tr>
      <w:tr>
        <w:trPr>
          <w:trHeight w:val="204"/>
        </w:trPr>
        <w:tc>
          <w:tcPr>
            <w:tcW w:w="1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India</w:t>
            </w:r>
          </w:p>
        </w:tc>
        <w:tc>
          <w:tcPr>
            <w:tcW w:w="8920" w:type="dxa"/>
            <w:vAlign w:val="bottom"/>
            <w:shd w:val="clear" w:color="auto" w:fill="D1D2D4"/>
          </w:tcPr>
          <w:p>
            <w:pPr>
              <w:ind w:left="680"/>
              <w:spacing w:after="0"/>
              <w:rPr>
                <w:sz w:val="20"/>
                <w:szCs w:val="20"/>
                <w:color w:val="auto"/>
              </w:rPr>
            </w:pPr>
            <w:r>
              <w:rPr>
                <w:rFonts w:ascii="Arial" w:cs="Arial" w:eastAsia="Arial" w:hAnsi="Arial"/>
                <w:sz w:val="16"/>
                <w:szCs w:val="16"/>
                <w:color w:val="auto"/>
              </w:rPr>
              <w:t>Component assembly and test, module assembly and test</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existing facilities are suitable and adequate for our present purposes. We generally utilize all of our manufacturing capacity.</w:t>
      </w:r>
    </w:p>
    <w:p>
      <w:pPr>
        <w:spacing w:after="0" w:line="224" w:lineRule="exact"/>
        <w:rPr>
          <w:sz w:val="20"/>
          <w:szCs w:val="20"/>
          <w:color w:val="auto"/>
        </w:rPr>
      </w:pPr>
    </w:p>
    <w:p>
      <w:pPr>
        <w:ind w:right="100"/>
        <w:spacing w:after="0" w:line="231" w:lineRule="auto"/>
        <w:rPr>
          <w:sz w:val="20"/>
          <w:szCs w:val="20"/>
          <w:color w:val="auto"/>
        </w:rPr>
      </w:pPr>
      <w:r>
        <w:rPr>
          <w:rFonts w:ascii="Arial" w:cs="Arial" w:eastAsia="Arial" w:hAnsi="Arial"/>
          <w:sz w:val="16"/>
          <w:szCs w:val="16"/>
          <w:color w:val="auto"/>
        </w:rPr>
        <w:t>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w:t>
      </w:r>
    </w:p>
    <w:p>
      <w:pPr>
        <w:spacing w:after="0" w:line="19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As part of this plan, in September 2022, we broke ground on a leading-edge memory manufacturing fab in Boise, Idaho. Construction of the fab began in October 2023, with first DRAM wafer output projected in the second half of calendar 2027. In June 2025, in connection with certain amendments to our CHIPS Act agreements, we announced plans for a second leading-edge memory manufacturing fab in Idaho to serve growing market demand fueled by AI.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7" w:name="page48"/>
    <w:bookmarkEnd w:id="4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340"/>
        <w:spacing w:after="0" w:line="244" w:lineRule="auto"/>
        <w:rPr>
          <w:sz w:val="20"/>
          <w:szCs w:val="20"/>
          <w:color w:val="auto"/>
        </w:rPr>
      </w:pPr>
      <w:r>
        <w:rPr>
          <w:rFonts w:ascii="Arial" w:cs="Arial" w:eastAsia="Arial" w:hAnsi="Arial"/>
          <w:sz w:val="16"/>
          <w:szCs w:val="16"/>
          <w:color w:val="auto"/>
        </w:rPr>
        <w:t>Our announced plan for New York includes construction of a leading-edge DRAM memory manufacturing site, consisting of up to four fabs to be built over the next 20-plus years, in Clay, New York. We continue to work with state and federal authorities for approval to start ground preparation, and anticipate production to ramp after the completion of the second Idaho fab. We expect these new fabs to be key to meeting our requirements for additional wafer capacity, in line with industry demand trends and our objective of maintaining stable bit share.</w:t>
      </w:r>
    </w:p>
    <w:p>
      <w:pPr>
        <w:spacing w:after="0" w:line="20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U.S.</w:t>
      </w:r>
    </w:p>
    <w:p>
      <w:pPr>
        <w:spacing w:after="0" w:line="178"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addition to the CHIPS Act direct funding, we receive a 35% investment tax credit on qualified investments in U.S. semiconductor manufacturing under the CHIPS Act. We have also signed a non -binding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200"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Outside the U.S.,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spacing w:after="0" w:line="222" w:lineRule="exact"/>
        <w:rPr>
          <w:sz w:val="20"/>
          <w:szCs w:val="20"/>
          <w:color w:val="auto"/>
        </w:rPr>
      </w:pPr>
    </w:p>
    <w:p>
      <w:pPr>
        <w:ind w:left="580" w:hanging="286"/>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India: </w:t>
      </w:r>
      <w:r>
        <w:rPr>
          <w:rFonts w:ascii="Arial" w:cs="Arial" w:eastAsia="Arial" w:hAnsi="Arial"/>
          <w:sz w:val="16"/>
          <w:szCs w:val="16"/>
          <w:color w:val="auto"/>
        </w:rPr>
        <w:t>our construction is progressing for the assembly and test facility in Gujarat to address demand in the latter half of this decade;</w:t>
      </w:r>
    </w:p>
    <w:p>
      <w:pPr>
        <w:spacing w:after="0" w:line="8" w:lineRule="exact"/>
        <w:rPr>
          <w:rFonts w:ascii="Arial" w:cs="Arial" w:eastAsia="Arial" w:hAnsi="Arial"/>
          <w:sz w:val="18"/>
          <w:szCs w:val="18"/>
          <w:color w:val="auto"/>
        </w:rPr>
      </w:pPr>
    </w:p>
    <w:p>
      <w:pPr>
        <w:ind w:left="580" w:hanging="286"/>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Japan: </w:t>
      </w:r>
      <w:r>
        <w:rPr>
          <w:rFonts w:ascii="Arial" w:cs="Arial" w:eastAsia="Arial" w:hAnsi="Arial"/>
          <w:sz w:val="16"/>
          <w:szCs w:val="16"/>
          <w:color w:val="auto"/>
        </w:rPr>
        <w:t>we are modernizing our Hiroshima manufacturing facility to support the production of DRAM using EUV lithography;</w:t>
      </w:r>
    </w:p>
    <w:p>
      <w:pPr>
        <w:ind w:left="580" w:right="140" w:hanging="286"/>
        <w:spacing w:after="0" w:line="234"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we broke ground on an HBM advanced packaging facility to meaningfully expand our total advanced packaging capacity beginning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calendar 2027; and</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Taiwan: </w:t>
      </w:r>
      <w:r>
        <w:rPr>
          <w:rFonts w:ascii="Arial" w:cs="Arial" w:eastAsia="Arial" w:hAnsi="Arial"/>
          <w:sz w:val="16"/>
          <w:szCs w:val="16"/>
          <w:color w:val="auto"/>
        </w:rPr>
        <w:t>we are modernizing our production capacity for DRAM and HBM products to meet rising market demand.</w:t>
      </w:r>
    </w:p>
    <w:p>
      <w:pPr>
        <w:spacing w:after="0" w:line="210"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We do not identify or allocate assets by operating segment, other than goodwill. For a breakout of the carrying value of our long-lived assets by geographic area, see Part II, Item 8. Financial Statements and Supplementary Data, Notes to Consolidated Financial Statements, Note 29. Geographic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22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For a discussion of legal proceedings, see Part II, Item 8. Financial Statements and Supplementary Data, Notes to Consolidated Financial Statements, Note 14. Contingencies and Item 1A. Risk Factors of this Annual Report on Form 10-K.</w:t>
      </w:r>
    </w:p>
    <w:p>
      <w:pPr>
        <w:spacing w:after="0" w:line="186"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18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8" w:name="page49"/>
    <w:bookmarkEnd w:id="4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42" w:lineRule="exact"/>
        <w:rPr>
          <w:sz w:val="20"/>
          <w:szCs w:val="20"/>
          <w:color w:val="auto"/>
        </w:rPr>
      </w:pPr>
    </w:p>
    <w:p>
      <w:pPr>
        <w:ind w:right="140"/>
        <w:spacing w:after="0" w:line="283"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Market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Global Select Market under the trading symbol “MU.”</w:t>
      </w:r>
    </w:p>
    <w:p>
      <w:pPr>
        <w:spacing w:after="0" w:line="208"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Holders of Record</w:t>
      </w:r>
    </w:p>
    <w:p>
      <w:pPr>
        <w:spacing w:after="0" w:line="249" w:lineRule="exact"/>
        <w:rPr>
          <w:sz w:val="20"/>
          <w:szCs w:val="20"/>
          <w:color w:val="auto"/>
        </w:rPr>
      </w:pPr>
    </w:p>
    <w:p>
      <w:pPr>
        <w:ind w:right="40"/>
        <w:spacing w:after="0" w:line="334" w:lineRule="auto"/>
        <w:rPr>
          <w:sz w:val="20"/>
          <w:szCs w:val="20"/>
          <w:color w:val="auto"/>
        </w:rPr>
      </w:pPr>
      <w:r>
        <w:rPr>
          <w:rFonts w:ascii="Arial" w:cs="Arial" w:eastAsia="Arial" w:hAnsi="Arial"/>
          <w:sz w:val="14"/>
          <w:szCs w:val="14"/>
          <w:color w:val="auto"/>
        </w:rPr>
        <w:t>As of September 26, 2025, there were approximately 1,443 shareholders of record of our common stock. A substantially greater number of holders of our common stock are “street name” or beneficial holders, whose shares are held by banks, brokers, and other financial institutions as the holder of record.</w:t>
      </w:r>
    </w:p>
    <w:p>
      <w:pPr>
        <w:spacing w:after="0" w:line="12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Dividends</w:t>
      </w:r>
    </w:p>
    <w:p>
      <w:pPr>
        <w:spacing w:after="0" w:line="24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September 23, 2025, our Board of Directors declared a quarterly dividend of $0.115 per share, payable in cash on October 21, 2025, to shareholders of record as of the close of business on October 3, 2025.</w:t>
      </w:r>
    </w:p>
    <w:p>
      <w:pPr>
        <w:spacing w:after="0" w:line="18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Issuer Purchase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Repurchase Authorization</w:t>
      </w:r>
    </w:p>
    <w:p>
      <w:pPr>
        <w:spacing w:after="0" w:line="24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8. Financial Statements and Supplementary Data, Notes to Consolidated Financial Statements, Note 20. Government Incentives. During the quarter ended August 28, 2025, we did not repurchase any common stock under the authorization, and as of August 28, 2025, $2.81 billion of the authorization remained available for the repurchase of our common stock.</w:t>
      </w:r>
    </w:p>
    <w:p>
      <w:pPr>
        <w:spacing w:after="0" w:line="20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9" w:name="page50"/>
    <w:bookmarkEnd w:id="4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2025, shares withheld as payment upon the vesting of restricted stock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4"/>
              </w:rPr>
              <w:t>Average</w:t>
            </w:r>
          </w:p>
        </w:tc>
        <w:tc>
          <w:tcPr>
            <w:tcW w:w="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 of shares</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w w:val="97"/>
              </w:rPr>
              <w:t>Approximate dollar value of shares that</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4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Total 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purchased as part of</w:t>
            </w:r>
          </w:p>
        </w:tc>
        <w:tc>
          <w:tcPr>
            <w:tcW w:w="29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may yet be purchased under publicly</w:t>
            </w:r>
          </w:p>
        </w:tc>
        <w:tc>
          <w:tcPr>
            <w:tcW w:w="0" w:type="dxa"/>
            <w:vAlign w:val="bottom"/>
          </w:tcPr>
          <w:p>
            <w:pPr>
              <w:spacing w:after="0"/>
              <w:rPr>
                <w:sz w:val="1"/>
                <w:szCs w:val="1"/>
                <w:color w:val="auto"/>
              </w:rPr>
            </w:pPr>
          </w:p>
        </w:tc>
      </w:tr>
      <w:tr>
        <w:trPr>
          <w:trHeight w:val="156"/>
        </w:trPr>
        <w:tc>
          <w:tcPr>
            <w:tcW w:w="3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spacing w:after="0" w:line="156" w:lineRule="exact"/>
              <w:rPr>
                <w:sz w:val="20"/>
                <w:szCs w:val="20"/>
                <w:color w:val="auto"/>
              </w:rPr>
            </w:pPr>
            <w:r>
              <w:rPr>
                <w:rFonts w:ascii="Arial" w:cs="Arial" w:eastAsia="Arial" w:hAnsi="Arial"/>
                <w:sz w:val="16"/>
                <w:szCs w:val="16"/>
                <w:b w:val="1"/>
                <w:bCs w:val="1"/>
                <w:color w:val="auto"/>
              </w:rPr>
              <w:t>price paid</w:t>
            </w:r>
          </w:p>
        </w:tc>
        <w:tc>
          <w:tcPr>
            <w:tcW w:w="80" w:type="dxa"/>
            <w:vAlign w:val="bottom"/>
          </w:tcPr>
          <w:p>
            <w:pPr>
              <w:spacing w:after="0"/>
              <w:rPr>
                <w:sz w:val="13"/>
                <w:szCs w:val="13"/>
                <w:color w:val="auto"/>
              </w:rPr>
            </w:pPr>
          </w:p>
        </w:tc>
        <w:tc>
          <w:tcPr>
            <w:tcW w:w="21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6"/>
              </w:rPr>
              <w:t>publicly announced plans</w:t>
            </w:r>
          </w:p>
        </w:tc>
        <w:tc>
          <w:tcPr>
            <w:tcW w:w="29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 xml:space="preserve">announced plans or programs </w:t>
            </w:r>
            <w:r>
              <w:rPr>
                <w:rFonts w:ascii="Arial" w:cs="Arial" w:eastAsia="Arial" w:hAnsi="Arial"/>
                <w:sz w:val="16"/>
                <w:szCs w:val="16"/>
                <w:color w:val="auto"/>
                <w:w w:val="97"/>
              </w:rPr>
              <w:t>(in</w:t>
            </w:r>
          </w:p>
        </w:tc>
        <w:tc>
          <w:tcPr>
            <w:tcW w:w="0" w:type="dxa"/>
            <w:vAlign w:val="bottom"/>
          </w:tcPr>
          <w:p>
            <w:pPr>
              <w:spacing w:after="0"/>
              <w:rPr>
                <w:sz w:val="1"/>
                <w:szCs w:val="1"/>
                <w:color w:val="auto"/>
              </w:rPr>
            </w:pPr>
          </w:p>
        </w:tc>
      </w:tr>
      <w:tr>
        <w:trPr>
          <w:trHeight w:val="204"/>
        </w:trPr>
        <w:tc>
          <w:tcPr>
            <w:tcW w:w="30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 purchased</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b w:val="1"/>
                <w:bCs w:val="1"/>
                <w:color w:val="auto"/>
              </w:rPr>
              <w:t>per share</w:t>
            </w:r>
          </w:p>
        </w:tc>
        <w:tc>
          <w:tcPr>
            <w:tcW w:w="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or programs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millions)</w:t>
            </w:r>
          </w:p>
        </w:tc>
        <w:tc>
          <w:tcPr>
            <w:tcW w:w="0" w:type="dxa"/>
            <w:vAlign w:val="bottom"/>
          </w:tcPr>
          <w:p>
            <w:pPr>
              <w:spacing w:after="0"/>
              <w:rPr>
                <w:sz w:val="1"/>
                <w:szCs w:val="1"/>
                <w:color w:val="auto"/>
              </w:rPr>
            </w:pPr>
          </w:p>
        </w:tc>
      </w:tr>
      <w:tr>
        <w:trPr>
          <w:trHeight w:val="28"/>
        </w:trPr>
        <w:tc>
          <w:tcPr>
            <w:tcW w:w="3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May 30, 2025 – June 26, 2025</w:t>
            </w:r>
          </w:p>
        </w:tc>
        <w:tc>
          <w:tcPr>
            <w:tcW w:w="14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1D2D4"/>
          </w:tcPr>
          <w:p>
            <w:pPr>
              <w:spacing w:after="0"/>
              <w:rPr>
                <w:sz w:val="17"/>
                <w:szCs w:val="17"/>
                <w:color w:val="auto"/>
              </w:rPr>
            </w:pPr>
          </w:p>
        </w:tc>
        <w:tc>
          <w:tcPr>
            <w:tcW w:w="2140" w:type="dxa"/>
            <w:vAlign w:val="bottom"/>
            <w:shd w:val="clear" w:color="auto" w:fill="D1D2D4"/>
          </w:tcPr>
          <w:p>
            <w:pPr>
              <w:ind w:left="1840"/>
              <w:spacing w:after="0"/>
              <w:rPr>
                <w:sz w:val="20"/>
                <w:szCs w:val="20"/>
                <w:color w:val="auto"/>
              </w:rPr>
            </w:pPr>
            <w:r>
              <w:rPr>
                <w:rFonts w:ascii="Arial" w:cs="Arial" w:eastAsia="Arial" w:hAnsi="Arial"/>
                <w:sz w:val="16"/>
                <w:szCs w:val="16"/>
                <w:color w:val="auto"/>
              </w:rPr>
              <w:t>—</w:t>
            </w:r>
          </w:p>
        </w:tc>
        <w:tc>
          <w:tcPr>
            <w:tcW w:w="29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Arial" w:cs="Arial" w:eastAsia="Arial" w:hAnsi="Arial"/>
                <w:sz w:val="16"/>
                <w:szCs w:val="16"/>
                <w:color w:val="auto"/>
              </w:rPr>
              <w:t>June 27, 2025 – July 24, 2025</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24,996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118.61</w:t>
            </w:r>
          </w:p>
        </w:tc>
        <w:tc>
          <w:tcPr>
            <w:tcW w:w="80" w:type="dxa"/>
            <w:vAlign w:val="bottom"/>
          </w:tcPr>
          <w:p>
            <w:pPr>
              <w:spacing w:after="0"/>
              <w:rPr>
                <w:sz w:val="17"/>
                <w:szCs w:val="17"/>
                <w:color w:val="auto"/>
              </w:rPr>
            </w:pPr>
          </w:p>
        </w:tc>
        <w:tc>
          <w:tcPr>
            <w:tcW w:w="2140" w:type="dxa"/>
            <w:vAlign w:val="bottom"/>
          </w:tcPr>
          <w:p>
            <w:pPr>
              <w:ind w:left="1840"/>
              <w:spacing w:after="0"/>
              <w:rPr>
                <w:sz w:val="20"/>
                <w:szCs w:val="20"/>
                <w:color w:val="auto"/>
              </w:rPr>
            </w:pPr>
            <w:r>
              <w:rPr>
                <w:rFonts w:ascii="Arial" w:cs="Arial" w:eastAsia="Arial" w:hAnsi="Arial"/>
                <w:sz w:val="16"/>
                <w:szCs w:val="16"/>
                <w:color w:val="auto"/>
              </w:rPr>
              <w:t>—</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July 25, 2025 – August 28, 2025</w:t>
            </w:r>
          </w:p>
        </w:tc>
        <w:tc>
          <w:tcPr>
            <w:tcW w:w="140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1D2D4"/>
          </w:tcPr>
          <w:p>
            <w:pPr>
              <w:spacing w:after="0"/>
              <w:rPr>
                <w:sz w:val="17"/>
                <w:szCs w:val="17"/>
                <w:color w:val="auto"/>
              </w:rPr>
            </w:pPr>
          </w:p>
        </w:tc>
        <w:tc>
          <w:tcPr>
            <w:tcW w:w="12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D1D2D4"/>
          </w:tcPr>
          <w:p>
            <w:pPr>
              <w:spacing w:after="0"/>
              <w:rPr>
                <w:sz w:val="17"/>
                <w:szCs w:val="17"/>
                <w:color w:val="auto"/>
              </w:rPr>
            </w:pPr>
          </w:p>
        </w:tc>
        <w:tc>
          <w:tcPr>
            <w:tcW w:w="2140" w:type="dxa"/>
            <w:vAlign w:val="bottom"/>
            <w:tcBorders>
              <w:bottom w:val="single" w:sz="8" w:color="auto"/>
            </w:tcBorders>
            <w:shd w:val="clear" w:color="auto" w:fill="D1D2D4"/>
          </w:tcPr>
          <w:p>
            <w:pPr>
              <w:ind w:left="1840"/>
              <w:spacing w:after="0"/>
              <w:rPr>
                <w:sz w:val="20"/>
                <w:szCs w:val="20"/>
                <w:color w:val="auto"/>
              </w:rPr>
            </w:pPr>
            <w:r>
              <w:rPr>
                <w:rFonts w:ascii="Arial" w:cs="Arial" w:eastAsia="Arial" w:hAnsi="Arial"/>
                <w:sz w:val="16"/>
                <w:szCs w:val="16"/>
                <w:color w:val="auto"/>
              </w:rPr>
              <w:t>—</w:t>
            </w:r>
          </w:p>
        </w:tc>
        <w:tc>
          <w:tcPr>
            <w:tcW w:w="29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24,996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118.61</w:t>
            </w:r>
          </w:p>
        </w:tc>
        <w:tc>
          <w:tcPr>
            <w:tcW w:w="80" w:type="dxa"/>
            <w:vAlign w:val="bottom"/>
          </w:tcPr>
          <w:p>
            <w:pPr>
              <w:spacing w:after="0"/>
              <w:rPr>
                <w:sz w:val="17"/>
                <w:szCs w:val="17"/>
                <w:color w:val="auto"/>
              </w:rPr>
            </w:pPr>
          </w:p>
        </w:tc>
        <w:tc>
          <w:tcPr>
            <w:tcW w:w="2140" w:type="dxa"/>
            <w:vAlign w:val="bottom"/>
            <w:tcBorders>
              <w:bottom w:val="single" w:sz="8" w:color="auto"/>
            </w:tcBorders>
          </w:tcPr>
          <w:p>
            <w:pPr>
              <w:ind w:left="1840"/>
              <w:spacing w:after="0"/>
              <w:rPr>
                <w:sz w:val="20"/>
                <w:szCs w:val="20"/>
                <w:color w:val="auto"/>
              </w:rPr>
            </w:pPr>
            <w:r>
              <w:rPr>
                <w:rFonts w:ascii="Arial" w:cs="Arial" w:eastAsia="Arial" w:hAnsi="Arial"/>
                <w:sz w:val="16"/>
                <w:szCs w:val="16"/>
                <w:color w:val="auto"/>
              </w:rPr>
              <w:t>—</w:t>
            </w:r>
          </w:p>
        </w:tc>
        <w:tc>
          <w:tcPr>
            <w:tcW w:w="2980" w:type="dxa"/>
            <w:vAlign w:val="bottom"/>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Performance Graph</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following graph illustrates a five-year comparison of cumulative total returns for our common stock, the S&amp;P 500 Composite Index, and the Philadelphia Semiconductor Index (SOX) from August 31, 2020, through August 31, 2025.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5076190" cy="2332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7619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Note: Management cautions that the stock price performance information shown in the graph above may not be indicative of current stock price levels or future stock price performance.</w:t>
      </w:r>
    </w:p>
    <w:p>
      <w:pPr>
        <w:spacing w:after="0" w:line="18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performance graph above assumes $100 was invested on August 31, 2020, in common stock of Micron Technology, Inc., the S&amp;P 500 Composite Index, and the Philadelphia Semiconductor Index (SOX). Any dividends paid during the periods presented were assumed to be reinvested. The performance was plotted using the following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2025</w:t>
            </w:r>
          </w:p>
        </w:tc>
      </w:tr>
      <w:tr>
        <w:trPr>
          <w:trHeight w:val="28"/>
        </w:trPr>
        <w:tc>
          <w:tcPr>
            <w:tcW w:w="3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4"/>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Technology, Inc.</w:t>
            </w:r>
          </w:p>
        </w:tc>
        <w:tc>
          <w:tcPr>
            <w:tcW w:w="112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162</w:t>
            </w:r>
          </w:p>
        </w:tc>
        <w:tc>
          <w:tcPr>
            <w:tcW w:w="24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216</w:t>
            </w:r>
          </w:p>
        </w:tc>
        <w:tc>
          <w:tcPr>
            <w:tcW w:w="24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268</w:t>
            </w:r>
          </w:p>
        </w:tc>
      </w:tr>
      <w:tr>
        <w:trPr>
          <w:trHeight w:val="204"/>
        </w:trPr>
        <w:tc>
          <w:tcPr>
            <w:tcW w:w="3760" w:type="dxa"/>
            <w:vAlign w:val="bottom"/>
          </w:tcPr>
          <w:p>
            <w:pPr>
              <w:ind w:left="20"/>
              <w:spacing w:after="0"/>
              <w:rPr>
                <w:sz w:val="20"/>
                <w:szCs w:val="20"/>
                <w:color w:val="auto"/>
              </w:rPr>
            </w:pPr>
            <w:r>
              <w:rPr>
                <w:rFonts w:ascii="Arial" w:cs="Arial" w:eastAsia="Arial" w:hAnsi="Arial"/>
                <w:sz w:val="16"/>
                <w:szCs w:val="16"/>
                <w:color w:val="auto"/>
              </w:rPr>
              <w:t>S&amp;P 500 Composite Index</w:t>
            </w:r>
          </w:p>
        </w:tc>
        <w:tc>
          <w:tcPr>
            <w:tcW w:w="1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04"/>
        </w:trPr>
        <w:tc>
          <w:tcPr>
            <w:tcW w:w="3760" w:type="dxa"/>
            <w:vAlign w:val="bottom"/>
            <w:shd w:val="clear" w:color="auto" w:fill="D1D2D4"/>
          </w:tcPr>
          <w:p>
            <w:pPr>
              <w:ind w:left="20"/>
              <w:spacing w:after="0"/>
              <w:rPr>
                <w:sz w:val="20"/>
                <w:szCs w:val="20"/>
                <w:color w:val="auto"/>
              </w:rPr>
            </w:pPr>
            <w:r>
              <w:rPr>
                <w:rFonts w:ascii="Arial" w:cs="Arial" w:eastAsia="Arial" w:hAnsi="Arial"/>
                <w:sz w:val="16"/>
                <w:szCs w:val="16"/>
                <w:color w:val="auto"/>
              </w:rPr>
              <w:t>Philadelphia Semiconductor Index (SOX)</w:t>
            </w:r>
          </w:p>
        </w:tc>
        <w:tc>
          <w:tcPr>
            <w:tcW w:w="1120" w:type="dxa"/>
            <w:vAlign w:val="bottom"/>
            <w:shd w:val="clear" w:color="auto" w:fill="D1D2D4"/>
          </w:tcPr>
          <w:p>
            <w:pPr>
              <w:spacing w:after="0"/>
              <w:rPr>
                <w:sz w:val="17"/>
                <w:szCs w:val="17"/>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D1D2D4"/>
          </w:tcPr>
          <w:p>
            <w:pPr>
              <w:spacing w:after="0"/>
              <w:rPr>
                <w:sz w:val="17"/>
                <w:szCs w:val="17"/>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D1D2D4"/>
          </w:tcPr>
          <w:p>
            <w:pPr>
              <w:spacing w:after="0"/>
              <w:rPr>
                <w:sz w:val="17"/>
                <w:szCs w:val="17"/>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D1D2D4"/>
          </w:tcPr>
          <w:p>
            <w:pPr>
              <w:spacing w:after="0"/>
              <w:rPr>
                <w:sz w:val="17"/>
                <w:szCs w:val="17"/>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D1D2D4"/>
          </w:tcPr>
          <w:p>
            <w:pPr>
              <w:spacing w:after="0"/>
              <w:rPr>
                <w:sz w:val="17"/>
                <w:szCs w:val="17"/>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D1D2D4"/>
          </w:tcPr>
          <w:p>
            <w:pPr>
              <w:spacing w:after="0"/>
              <w:rPr>
                <w:sz w:val="17"/>
                <w:szCs w:val="17"/>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0" w:name="page51"/>
    <w:bookmarkEnd w:id="5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ind w:right="1020"/>
        <w:spacing w:after="0" w:line="283" w:lineRule="auto"/>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134" w:lineRule="exact"/>
        <w:rPr>
          <w:sz w:val="20"/>
          <w:szCs w:val="20"/>
          <w:color w:val="auto"/>
        </w:rPr>
      </w:pPr>
    </w:p>
    <w:p>
      <w:pPr>
        <w:jc w:val="both"/>
        <w:ind w:right="160"/>
        <w:spacing w:after="0" w:line="248"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28, 2025. All period references are to our fiscal periods unless otherwise indicated. Our fiscal year is the 52</w:t>
      </w:r>
      <w:r>
        <w:rPr>
          <w:rFonts w:ascii="Arial" w:cs="Arial" w:eastAsia="Arial" w:hAnsi="Arial"/>
          <w:sz w:val="16"/>
          <w:szCs w:val="16"/>
          <w:color w:val="auto"/>
        </w:rPr>
        <w:t>-</w:t>
      </w:r>
      <w:r>
        <w:rPr>
          <w:rFonts w:ascii="Arial" w:cs="Arial" w:eastAsia="Arial" w:hAnsi="Arial"/>
          <w:sz w:val="16"/>
          <w:szCs w:val="16"/>
          <w:i w:val="1"/>
          <w:iCs w:val="1"/>
          <w:color w:val="auto"/>
        </w:rPr>
        <w:t xml:space="preserve"> or 53-week period ending on the Thursday closest to August 31. Fiscal 2025, 2024, and 2023 each contained 52 weeks. All tabular dollar amounts are in millions, except per share amounts.</w:t>
      </w:r>
    </w:p>
    <w:p>
      <w:pPr>
        <w:spacing w:after="0" w:line="182"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Overview</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For an overview of our business, see Part I, Item 1. Business, Overview.</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Industry Conditions</w:t>
      </w:r>
    </w:p>
    <w:p>
      <w:pPr>
        <w:spacing w:after="0" w:line="240"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AI-driven demand is accelerating and is outpacing industry supply. In 2025, we benefited from substantial improvements in DRAM pricing, volumes and margins as compared to 2024, reflecting strong demand growth, driven in part by the continued advancement of AI. During 2025, we shifted a portion of our DRAM supply to the data center and hyperscale cloud markets to meet the strong demand fueled by AI, with emphasis on HBM products, resulting in a revenue mix weighted more prominently toward segments experiencing higher growth. The pivot to higher-growth segments, together with our strong execution, robust overall industry DRAM demand, and constrained supply, has led to improved profitability across our DRAM portfolio. In 2025, NAND revenue increased from 2024 on higher bit shipments due to demand growth. The 2025 NAND gross margin percentage increased from 2024 due to cost reductions. We continue to prudently manage our NAND business to ensure we align our supply growth and technology node cadence with our projections of the demand environment.</w:t>
      </w:r>
    </w:p>
    <w:p>
      <w:pPr>
        <w:spacing w:after="0" w:line="19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Throughout 2024, we experienced substantial improvements in pricing and margins due to improving market conditions as compared to 2023. Increasing demand growth, driven in part by deployment of AI and mostly normal customer inventories, combined with industry-wide supply discipline, resulted in an industry supply and demand balance that substantially improved from downturn conditions in memory and storage markets during 2023. In connection with improved market conditions in 2024, we reinstated our bonuses and phased out certain other temporary cost-saving measures that were implemented in 2023.</w:t>
      </w:r>
    </w:p>
    <w:p>
      <w:pPr>
        <w:spacing w:after="0" w:line="205"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In 2023, China’s Cyberspace Administration (the “CAC”) conducted a cybersecurity review of our products sold in China and decided that our products presented a cybersecurity risk. The CAC determined that critical information infrastructure operators in China may not purchase Micron products. The CAC decision has impacted our business, particularly in the domestic data center and networking markets in China, and we have been working to mitigate that impact.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1" w:name="page52"/>
    <w:bookmarkEnd w:id="5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28"/>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37,378</w:t>
            </w:r>
          </w:p>
        </w:tc>
        <w:tc>
          <w:tcPr>
            <w:tcW w:w="28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100 %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25,111</w:t>
            </w:r>
          </w:p>
        </w:tc>
        <w:tc>
          <w:tcPr>
            <w:tcW w:w="30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100 %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15,540</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100 %</w:t>
            </w:r>
          </w:p>
        </w:tc>
      </w:tr>
      <w:tr>
        <w:trPr>
          <w:trHeight w:val="204"/>
        </w:trPr>
        <w:tc>
          <w:tcPr>
            <w:tcW w:w="56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22,505</w:t>
            </w:r>
          </w:p>
        </w:tc>
        <w:tc>
          <w:tcPr>
            <w:tcW w:w="280" w:type="dxa"/>
            <w:vAlign w:val="bottom"/>
            <w:tcBorders>
              <w:bottom w:val="single" w:sz="8" w:color="D1D2D4"/>
            </w:tcBorders>
          </w:tcPr>
          <w:p>
            <w:pPr>
              <w:spacing w:after="0"/>
              <w:rPr>
                <w:sz w:val="17"/>
                <w:szCs w:val="17"/>
                <w:color w:val="auto"/>
              </w:rPr>
            </w:pP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60 %</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19,498</w:t>
            </w:r>
          </w:p>
        </w:tc>
        <w:tc>
          <w:tcPr>
            <w:tcW w:w="3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78 %</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16,956</w:t>
            </w:r>
          </w:p>
        </w:tc>
        <w:tc>
          <w:tcPr>
            <w:tcW w:w="3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109 %</w:t>
            </w:r>
          </w:p>
        </w:tc>
      </w:tr>
      <w:tr>
        <w:trPr>
          <w:trHeight w:val="196"/>
        </w:trPr>
        <w:tc>
          <w:tcPr>
            <w:tcW w:w="5660" w:type="dxa"/>
            <w:vAlign w:val="bottom"/>
            <w:shd w:val="clear" w:color="auto" w:fill="D1D2D4"/>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14,873</w:t>
            </w:r>
          </w:p>
        </w:tc>
        <w:tc>
          <w:tcPr>
            <w:tcW w:w="280" w:type="dxa"/>
            <w:vAlign w:val="bottom"/>
            <w:shd w:val="clear" w:color="auto" w:fill="D1D2D4"/>
          </w:tcPr>
          <w:p>
            <w:pPr>
              <w:spacing w:after="0"/>
              <w:rPr>
                <w:sz w:val="17"/>
                <w:szCs w:val="17"/>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40 %</w:t>
            </w:r>
          </w:p>
        </w:tc>
        <w:tc>
          <w:tcPr>
            <w:tcW w:w="16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5,613</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22 %</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(1,416)</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3,798</w:t>
            </w:r>
          </w:p>
        </w:tc>
        <w:tc>
          <w:tcPr>
            <w:tcW w:w="280" w:type="dxa"/>
            <w:vAlign w:val="bottom"/>
            <w:shd w:val="clear" w:color="auto" w:fill="D1D2D4"/>
          </w:tcPr>
          <w:p>
            <w:pPr>
              <w:spacing w:after="0"/>
              <w:rPr>
                <w:sz w:val="17"/>
                <w:szCs w:val="17"/>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10 %</w:t>
            </w:r>
          </w:p>
        </w:tc>
        <w:tc>
          <w:tcPr>
            <w:tcW w:w="16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3,430</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14 %</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3,114</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20 %</w:t>
            </w:r>
          </w:p>
        </w:tc>
      </w:tr>
      <w:tr>
        <w:trPr>
          <w:trHeight w:val="204"/>
        </w:trPr>
        <w:tc>
          <w:tcPr>
            <w:tcW w:w="56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1,205</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3 %</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1,129</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920</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Restructure and asset impairments</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39</w:t>
            </w:r>
          </w:p>
        </w:tc>
        <w:tc>
          <w:tcPr>
            <w:tcW w:w="28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200"/>
              <w:spacing w:after="0"/>
              <w:rPr>
                <w:sz w:val="20"/>
                <w:szCs w:val="20"/>
                <w:color w:val="auto"/>
              </w:rPr>
            </w:pPr>
            <w:r>
              <w:rPr>
                <w:rFonts w:ascii="Arial" w:cs="Arial" w:eastAsia="Arial" w:hAnsi="Arial"/>
                <w:sz w:val="16"/>
                <w:szCs w:val="16"/>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171</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1 %</w:t>
            </w:r>
          </w:p>
        </w:tc>
      </w:tr>
      <w:tr>
        <w:trPr>
          <w:trHeight w:val="204"/>
        </w:trPr>
        <w:tc>
          <w:tcPr>
            <w:tcW w:w="5660" w:type="dxa"/>
            <w:vAlign w:val="bottom"/>
          </w:tcPr>
          <w:p>
            <w:pPr>
              <w:ind w:left="20"/>
              <w:spacing w:after="0"/>
              <w:rPr>
                <w:sz w:val="20"/>
                <w:szCs w:val="20"/>
                <w:color w:val="auto"/>
              </w:rPr>
            </w:pPr>
            <w:r>
              <w:rPr>
                <w:rFonts w:ascii="Arial" w:cs="Arial" w:eastAsia="Arial" w:hAnsi="Arial"/>
                <w:sz w:val="16"/>
                <w:szCs w:val="16"/>
                <w:color w:val="auto"/>
              </w:rPr>
              <w:t>Other operating (income) expense, net</w:t>
            </w:r>
          </w:p>
        </w:tc>
        <w:tc>
          <w:tcPr>
            <w:tcW w:w="18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(251)</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196"/>
        </w:trPr>
        <w:tc>
          <w:tcPr>
            <w:tcW w:w="5660" w:type="dxa"/>
            <w:vAlign w:val="bottom"/>
            <w:tcBorders>
              <w:top w:val="single" w:sz="8" w:color="D1D2D4"/>
            </w:tcBorders>
            <w:shd w:val="clear" w:color="auto" w:fill="D1D2D4"/>
          </w:tcPr>
          <w:p>
            <w:pPr>
              <w:ind w:left="2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shd w:val="clear" w:color="auto" w:fill="D1D2D4"/>
          </w:tcPr>
          <w:p>
            <w:pPr>
              <w:spacing w:after="0"/>
              <w:rPr>
                <w:sz w:val="17"/>
                <w:szCs w:val="17"/>
                <w:color w:val="auto"/>
              </w:rPr>
            </w:pPr>
          </w:p>
        </w:tc>
        <w:tc>
          <w:tcPr>
            <w:tcW w:w="620" w:type="dxa"/>
            <w:vAlign w:val="bottom"/>
            <w:tcBorders>
              <w:top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9,770</w:t>
            </w:r>
          </w:p>
        </w:tc>
        <w:tc>
          <w:tcPr>
            <w:tcW w:w="280" w:type="dxa"/>
            <w:vAlign w:val="bottom"/>
            <w:tcBorders>
              <w:top w:val="single" w:sz="8" w:color="D1D2D4"/>
            </w:tcBorders>
            <w:shd w:val="clear" w:color="auto" w:fill="D1D2D4"/>
          </w:tcPr>
          <w:p>
            <w:pPr>
              <w:spacing w:after="0"/>
              <w:rPr>
                <w:sz w:val="17"/>
                <w:szCs w:val="17"/>
                <w:color w:val="auto"/>
              </w:rPr>
            </w:pPr>
          </w:p>
        </w:tc>
        <w:tc>
          <w:tcPr>
            <w:tcW w:w="56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6"/>
                <w:szCs w:val="16"/>
                <w:color w:val="auto"/>
              </w:rPr>
              <w:t>26 %</w:t>
            </w:r>
          </w:p>
        </w:tc>
        <w:tc>
          <w:tcPr>
            <w:tcW w:w="160" w:type="dxa"/>
            <w:vAlign w:val="bottom"/>
            <w:tcBorders>
              <w:top w:val="single" w:sz="8" w:color="auto"/>
            </w:tcBorders>
            <w:shd w:val="clear" w:color="auto" w:fill="D1D2D4"/>
          </w:tcPr>
          <w:p>
            <w:pPr>
              <w:spacing w:after="0"/>
              <w:rPr>
                <w:sz w:val="17"/>
                <w:szCs w:val="17"/>
                <w:color w:val="auto"/>
              </w:rPr>
            </w:pPr>
          </w:p>
        </w:tc>
        <w:tc>
          <w:tcPr>
            <w:tcW w:w="62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1,304</w:t>
            </w:r>
          </w:p>
        </w:tc>
        <w:tc>
          <w:tcPr>
            <w:tcW w:w="300" w:type="dxa"/>
            <w:vAlign w:val="bottom"/>
            <w:tcBorders>
              <w:top w:val="single" w:sz="8" w:color="D1D2D4"/>
            </w:tcBorders>
            <w:shd w:val="clear" w:color="auto" w:fill="D1D2D4"/>
          </w:tcPr>
          <w:p>
            <w:pPr>
              <w:spacing w:after="0"/>
              <w:rPr>
                <w:sz w:val="17"/>
                <w:szCs w:val="17"/>
                <w:color w:val="auto"/>
              </w:rPr>
            </w:pPr>
          </w:p>
        </w:tc>
        <w:tc>
          <w:tcPr>
            <w:tcW w:w="5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6"/>
                <w:szCs w:val="16"/>
                <w:color w:val="auto"/>
              </w:rPr>
              <w:t>5 %</w:t>
            </w:r>
          </w:p>
        </w:tc>
        <w:tc>
          <w:tcPr>
            <w:tcW w:w="180" w:type="dxa"/>
            <w:vAlign w:val="bottom"/>
            <w:tcBorders>
              <w:top w:val="single" w:sz="8" w:color="auto"/>
            </w:tcBorders>
            <w:shd w:val="clear" w:color="auto" w:fill="D1D2D4"/>
          </w:tcPr>
          <w:p>
            <w:pPr>
              <w:spacing w:after="0"/>
              <w:rPr>
                <w:sz w:val="17"/>
                <w:szCs w:val="17"/>
                <w:color w:val="auto"/>
              </w:rPr>
            </w:pPr>
          </w:p>
        </w:tc>
        <w:tc>
          <w:tcPr>
            <w:tcW w:w="62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(5,745)</w:t>
            </w:r>
          </w:p>
        </w:tc>
        <w:tc>
          <w:tcPr>
            <w:tcW w:w="300" w:type="dxa"/>
            <w:vAlign w:val="bottom"/>
            <w:tcBorders>
              <w:top w:val="single" w:sz="8" w:color="D1D2D4"/>
            </w:tcBorders>
            <w:shd w:val="clear" w:color="auto" w:fill="D1D2D4"/>
          </w:tcPr>
          <w:p>
            <w:pPr>
              <w:spacing w:after="0"/>
              <w:rPr>
                <w:sz w:val="17"/>
                <w:szCs w:val="17"/>
                <w:color w:val="auto"/>
              </w:rPr>
            </w:pPr>
          </w:p>
        </w:tc>
        <w:tc>
          <w:tcPr>
            <w:tcW w:w="5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income (expense), net</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19</w:t>
            </w:r>
          </w:p>
        </w:tc>
        <w:tc>
          <w:tcPr>
            <w:tcW w:w="28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w:t>
            </w:r>
          </w:p>
        </w:tc>
        <w:tc>
          <w:tcPr>
            <w:tcW w:w="300" w:type="dxa"/>
            <w:vAlign w:val="bottom"/>
            <w:shd w:val="clear" w:color="auto" w:fill="D1D2D4"/>
          </w:tcPr>
          <w:p>
            <w:pPr>
              <w:spacing w:after="0"/>
              <w:rPr>
                <w:sz w:val="17"/>
                <w:szCs w:val="17"/>
                <w:color w:val="auto"/>
              </w:rPr>
            </w:pPr>
          </w:p>
        </w:tc>
        <w:tc>
          <w:tcPr>
            <w:tcW w:w="720" w:type="dxa"/>
            <w:vAlign w:val="bottom"/>
            <w:gridSpan w:val="2"/>
            <w:shd w:val="clear" w:color="auto" w:fill="D1D2D4"/>
          </w:tcPr>
          <w:p>
            <w:pPr>
              <w:jc w:val="right"/>
              <w:ind w:right="200"/>
              <w:spacing w:after="0"/>
              <w:rPr>
                <w:sz w:val="20"/>
                <w:szCs w:val="20"/>
                <w:color w:val="auto"/>
              </w:rPr>
            </w:pPr>
            <w:r>
              <w:rPr>
                <w:rFonts w:ascii="Arial" w:cs="Arial" w:eastAsia="Arial" w:hAnsi="Arial"/>
                <w:sz w:val="16"/>
                <w:szCs w:val="16"/>
                <w:color w:val="auto"/>
              </w:rPr>
              <w:t>— %</w:t>
            </w: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80</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1 %</w:t>
            </w:r>
          </w:p>
        </w:tc>
      </w:tr>
      <w:tr>
        <w:trPr>
          <w:trHeight w:val="204"/>
        </w:trPr>
        <w:tc>
          <w:tcPr>
            <w:tcW w:w="5660" w:type="dxa"/>
            <w:vAlign w:val="bottom"/>
          </w:tcPr>
          <w:p>
            <w:pPr>
              <w:ind w:left="20"/>
              <w:spacing w:after="0"/>
              <w:rPr>
                <w:sz w:val="20"/>
                <w:szCs w:val="20"/>
                <w:color w:val="auto"/>
              </w:rPr>
            </w:pPr>
            <w:r>
              <w:rPr>
                <w:rFonts w:ascii="Arial" w:cs="Arial" w:eastAsia="Arial" w:hAnsi="Arial"/>
                <w:sz w:val="16"/>
                <w:szCs w:val="16"/>
                <w:color w:val="auto"/>
              </w:rPr>
              <w:t>Other non-operating income (expense), net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tax (provision) benefit</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(1,124)</w:t>
            </w:r>
          </w:p>
        </w:tc>
        <w:tc>
          <w:tcPr>
            <w:tcW w:w="280" w:type="dxa"/>
            <w:vAlign w:val="bottom"/>
            <w:shd w:val="clear" w:color="auto" w:fill="D1D2D4"/>
          </w:tcPr>
          <w:p>
            <w:pPr>
              <w:spacing w:after="0"/>
              <w:rPr>
                <w:sz w:val="17"/>
                <w:szCs w:val="17"/>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(451)</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w:t>
            </w:r>
          </w:p>
        </w:tc>
        <w:tc>
          <w:tcPr>
            <w:tcW w:w="30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6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D1D2D4"/>
            </w:tcBorders>
          </w:tcPr>
          <w:p>
            <w:pPr>
              <w:spacing w:after="0"/>
              <w:rPr>
                <w:sz w:val="17"/>
                <w:szCs w:val="17"/>
                <w:color w:val="auto"/>
              </w:rPr>
            </w:pPr>
          </w:p>
        </w:tc>
        <w:tc>
          <w:tcPr>
            <w:tcW w:w="56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D1D2D4"/>
            </w:tcBorders>
          </w:tcPr>
          <w:p>
            <w:pPr>
              <w:spacing w:after="0"/>
              <w:rPr>
                <w:sz w:val="17"/>
                <w:szCs w:val="17"/>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5660" w:type="dxa"/>
            <w:vAlign w:val="bottom"/>
            <w:shd w:val="clear" w:color="auto" w:fill="D1D2D4"/>
          </w:tcPr>
          <w:p>
            <w:pPr>
              <w:ind w:left="24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8,539</w:t>
            </w:r>
          </w:p>
        </w:tc>
        <w:tc>
          <w:tcPr>
            <w:tcW w:w="28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23 %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778</w:t>
            </w:r>
          </w:p>
        </w:tc>
        <w:tc>
          <w:tcPr>
            <w:tcW w:w="30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3 %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(5,833)</w:t>
            </w:r>
          </w:p>
        </w:tc>
        <w:tc>
          <w:tcPr>
            <w:tcW w:w="30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56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5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5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540" w:type="dxa"/>
            <w:vAlign w:val="bottom"/>
            <w:tcBorders>
              <w:top w:val="single" w:sz="8" w:color="D1D2D4"/>
            </w:tcBorders>
          </w:tcPr>
          <w:p>
            <w:pPr>
              <w:spacing w:after="0" w:line="20" w:lineRule="exact"/>
              <w:rPr>
                <w:sz w:val="1"/>
                <w:szCs w:val="1"/>
                <w:color w:val="auto"/>
              </w:rPr>
            </w:pPr>
          </w:p>
        </w:tc>
      </w:tr>
    </w:tbl>
    <w:p>
      <w:pPr>
        <w:spacing w:after="0" w:line="289" w:lineRule="exact"/>
        <w:rPr>
          <w:sz w:val="20"/>
          <w:szCs w:val="20"/>
          <w:color w:val="auto"/>
        </w:rPr>
      </w:pPr>
    </w:p>
    <w:p>
      <w:pPr>
        <w:ind w:right="780"/>
        <w:spacing w:after="0" w:line="262" w:lineRule="auto"/>
        <w:rPr>
          <w:sz w:val="20"/>
          <w:szCs w:val="20"/>
          <w:color w:val="auto"/>
        </w:rPr>
      </w:pPr>
      <w:r>
        <w:rPr>
          <w:rFonts w:ascii="Arial" w:cs="Arial" w:eastAsia="Arial" w:hAnsi="Arial"/>
          <w:sz w:val="16"/>
          <w:szCs w:val="16"/>
          <w:b w:val="1"/>
          <w:bCs w:val="1"/>
          <w:i w:val="1"/>
          <w:iCs w:val="1"/>
          <w:color w:val="auto"/>
        </w:rPr>
        <w:t xml:space="preserve">Total Revenue: </w:t>
      </w:r>
      <w:r>
        <w:rPr>
          <w:rFonts w:ascii="Arial" w:cs="Arial" w:eastAsia="Arial" w:hAnsi="Arial"/>
          <w:sz w:val="16"/>
          <w:szCs w:val="16"/>
          <w:color w:val="auto"/>
        </w:rPr>
        <w:t>Total revenue was impacted by the factors described in the section titled “Industry Conditions” above. These conditions drove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 improvements in average selling prices throughout 2025 and 2024.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Total revenue for 2025 increased 49% as compared to 2024 primarily due to increases in sales of both DRAM and NAND products.</w:t>
      </w:r>
    </w:p>
    <w:p>
      <w:pPr>
        <w:spacing w:after="0" w:line="224" w:lineRule="exact"/>
        <w:rPr>
          <w:sz w:val="20"/>
          <w:szCs w:val="20"/>
          <w:color w:val="auto"/>
        </w:rPr>
      </w:pPr>
    </w:p>
    <w:p>
      <w:pPr>
        <w:ind w:left="580" w:right="20" w:hanging="286"/>
        <w:spacing w:after="0" w:line="243"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Sales of DRAM products increased 62% primarily due to a low-40% range increase in average selling prices and a mid-teen percentage increase in bit shipments.</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Sales of NAND products increased 18% primarily due to a high-teen percentage increase in bit shipments.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Total revenue for 2024 increased 62% as compared to 2023 primarily due to increases in sales of both DRAM and NAND products.</w:t>
      </w:r>
    </w:p>
    <w:p>
      <w:pPr>
        <w:spacing w:after="0" w:line="224" w:lineRule="exact"/>
        <w:rPr>
          <w:sz w:val="20"/>
          <w:szCs w:val="20"/>
          <w:color w:val="auto"/>
        </w:rPr>
      </w:pPr>
    </w:p>
    <w:p>
      <w:pPr>
        <w:ind w:left="580" w:right="160" w:hanging="286"/>
        <w:spacing w:after="0" w:line="243"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DRAM products increased 60% primarily due to a mid-40% range increase in bit shipments and a low-teen percentage range increase in average selling prices.</w:t>
      </w:r>
    </w:p>
    <w:p>
      <w:pPr>
        <w:spacing w:after="0" w:line="1" w:lineRule="exact"/>
        <w:rPr>
          <w:rFonts w:ascii="Arial" w:cs="Arial" w:eastAsia="Arial" w:hAnsi="Arial"/>
          <w:sz w:val="16"/>
          <w:szCs w:val="16"/>
          <w:color w:val="auto"/>
        </w:rPr>
      </w:pPr>
    </w:p>
    <w:p>
      <w:pPr>
        <w:ind w:left="580" w:right="20" w:hanging="286"/>
        <w:spacing w:after="0" w:line="244"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NAND products increased 72% primarily due to a low-30% range increase in bit shipments and a low-30% percentage range increase in average selling prices.</w:t>
      </w:r>
    </w:p>
    <w:p>
      <w:pPr>
        <w:spacing w:after="0" w:line="20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b w:val="1"/>
          <w:bCs w:val="1"/>
          <w:i w:val="1"/>
          <w:iCs w:val="1"/>
          <w:color w:val="auto"/>
        </w:rPr>
        <w:t xml:space="preserve">Consolidated Gross Margin: </w:t>
      </w:r>
      <w:r>
        <w:rPr>
          <w:rFonts w:ascii="Arial" w:cs="Arial" w:eastAsia="Arial" w:hAnsi="Arial"/>
          <w:sz w:val="16"/>
          <w:szCs w:val="16"/>
          <w:color w:val="auto"/>
        </w:rPr>
        <w:t>Our consolidated gross margin has been impacted by the factors described in the section titled “Industry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and the effects of 2023 inventory write-downs on our 2024 and 2023 gross margin, as detailed in the table below. Our consolidated gross margin percentage improved to 40% for 2025 from 22% for 2024 as a result of improvements in margins for both DRAM and NAND products. DRAM margins improved primarily due to increases in average selling prices, an increased mix of higher-margin products, including HBM, and manufacturing cost reductions driven by improvements in product and process technology. NAND margins improved primarily due to manufacturing cost reductions. Our consolidated gross margin for 2024 reflected $987 million of benefit due to lower costs from the sale of inventories written down to their net realizable value in 2023 (as detailed in “Inventory NRV Write-Downs” below).</w:t>
      </w:r>
    </w:p>
    <w:p>
      <w:pPr>
        <w:spacing w:after="0" w:line="206" w:lineRule="exact"/>
        <w:rPr>
          <w:sz w:val="20"/>
          <w:szCs w:val="20"/>
          <w:color w:val="auto"/>
        </w:rPr>
      </w:pPr>
    </w:p>
    <w:p>
      <w:pPr>
        <w:jc w:val="both"/>
        <w:ind w:right="100"/>
        <w:spacing w:after="0" w:line="301" w:lineRule="auto"/>
        <w:rPr>
          <w:sz w:val="20"/>
          <w:szCs w:val="20"/>
          <w:color w:val="auto"/>
        </w:rPr>
      </w:pPr>
      <w:r>
        <w:rPr>
          <w:rFonts w:ascii="Arial" w:cs="Arial" w:eastAsia="Arial" w:hAnsi="Arial"/>
          <w:sz w:val="14"/>
          <w:szCs w:val="14"/>
          <w:color w:val="auto"/>
        </w:rPr>
        <w:t>Our consolidated gross margin percentage improved to 22% for 2024 from negative 9% for 2023 as a result of improvements in margins for both DRAM and NAND products, primarily due to increases in average selling prices, manufacturing cost reductions, the effects of charges to write down inventories to their NRV in 2023, and lower costs in 2024 from the sale of inventories written down in 2023 (as detailed in “Inventory NRV Write-Downs” below).</w:t>
      </w:r>
    </w:p>
    <w:p>
      <w:pPr>
        <w:spacing w:after="0" w:line="366"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2" w:name="page53"/>
    <w:bookmarkEnd w:id="5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i w:val="1"/>
          <w:iCs w:val="1"/>
          <w:u w:val="single" w:color="auto"/>
          <w:color w:val="auto"/>
        </w:rPr>
        <w:t>Inventory NRV Write-Downs</w:t>
      </w:r>
      <w:r>
        <w:rPr>
          <w:rFonts w:ascii="Arial" w:cs="Arial" w:eastAsia="Arial" w:hAnsi="Arial"/>
          <w:sz w:val="16"/>
          <w:szCs w:val="16"/>
          <w:i w:val="1"/>
          <w:iCs w:val="1"/>
          <w:color w:val="auto"/>
        </w:rPr>
        <w:t xml:space="preserve"> : </w:t>
      </w:r>
      <w:r>
        <w:rPr>
          <w:rFonts w:ascii="Arial" w:cs="Arial" w:eastAsia="Arial" w:hAnsi="Arial"/>
          <w:sz w:val="16"/>
          <w:szCs w:val="16"/>
          <w:color w:val="auto"/>
        </w:rPr>
        <w:t>Our consolidated gross margin was impacted by charges in 2023 to write down inventories to their estimated NRV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declines in average selling prices for both DRAM and NAND. As charges to write down inventories are recorded in advance of when inventories are sold, costs of goods sold in subsequent periods were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Provision to write down inventory to NRV</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ind w:left="800"/>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1D2D4"/>
          </w:tcPr>
          <w:p>
            <w:pPr>
              <w:jc w:val="right"/>
              <w:ind w:right="122"/>
              <w:spacing w:after="0"/>
              <w:rPr>
                <w:sz w:val="20"/>
                <w:szCs w:val="20"/>
                <w:color w:val="auto"/>
              </w:rPr>
            </w:pPr>
            <w:r>
              <w:rPr>
                <w:rFonts w:ascii="Arial" w:cs="Arial" w:eastAsia="Arial" w:hAnsi="Arial"/>
                <w:sz w:val="16"/>
                <w:szCs w:val="16"/>
                <w:color w:val="auto"/>
              </w:rPr>
              <w:t>— $</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(1,831)</w:t>
            </w:r>
          </w:p>
        </w:tc>
      </w:tr>
      <w:tr>
        <w:trPr>
          <w:trHeight w:val="204"/>
        </w:trPr>
        <w:tc>
          <w:tcPr>
            <w:tcW w:w="66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Lower costs from sale of inventory written down in prior periods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r>
      <w:tr>
        <w:trPr>
          <w:trHeight w:val="221"/>
        </w:trPr>
        <w:tc>
          <w:tcPr>
            <w:tcW w:w="6600" w:type="dxa"/>
            <w:vAlign w:val="bottom"/>
            <w:tcBorders>
              <w:bottom w:val="single" w:sz="8" w:color="D1D2D4"/>
            </w:tcBorders>
            <w:shd w:val="clear" w:color="auto" w:fill="D1D2D4"/>
          </w:tcPr>
          <w:p>
            <w:pPr>
              <w:spacing w:after="0"/>
              <w:rPr>
                <w:sz w:val="18"/>
                <w:szCs w:val="18"/>
                <w:color w:val="auto"/>
              </w:rPr>
            </w:pPr>
          </w:p>
        </w:tc>
        <w:tc>
          <w:tcPr>
            <w:tcW w:w="30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1D2D4"/>
          </w:tcPr>
          <w:p>
            <w:pPr>
              <w:ind w:left="8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987</w:t>
            </w:r>
          </w:p>
        </w:tc>
        <w:tc>
          <w:tcPr>
            <w:tcW w:w="32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(987)</w:t>
            </w:r>
          </w:p>
        </w:tc>
      </w:tr>
      <w:tr>
        <w:trPr>
          <w:trHeight w:val="20"/>
        </w:trPr>
        <w:tc>
          <w:tcPr>
            <w:tcW w:w="660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by Business Unit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28"/>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4"/>
        </w:trPr>
        <w:tc>
          <w:tcPr>
            <w:tcW w:w="5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8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13,524</w:t>
            </w:r>
          </w:p>
        </w:tc>
        <w:tc>
          <w:tcPr>
            <w:tcW w:w="320" w:type="dxa"/>
            <w:vAlign w:val="bottom"/>
            <w:shd w:val="clear" w:color="auto" w:fill="D1D2D4"/>
          </w:tcPr>
          <w:p>
            <w:pPr>
              <w:spacing w:after="0"/>
              <w:rPr>
                <w:sz w:val="17"/>
                <w:szCs w:val="17"/>
                <w:color w:val="auto"/>
              </w:rPr>
            </w:pPr>
          </w:p>
        </w:tc>
        <w:tc>
          <w:tcPr>
            <w:tcW w:w="68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36 %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3,792</w:t>
            </w:r>
          </w:p>
        </w:tc>
        <w:tc>
          <w:tcPr>
            <w:tcW w:w="320" w:type="dxa"/>
            <w:vAlign w:val="bottom"/>
            <w:shd w:val="clear" w:color="auto" w:fill="D1D2D4"/>
          </w:tcPr>
          <w:p>
            <w:pPr>
              <w:spacing w:after="0"/>
              <w:rPr>
                <w:sz w:val="17"/>
                <w:szCs w:val="17"/>
                <w:color w:val="auto"/>
              </w:rPr>
            </w:pPr>
          </w:p>
        </w:tc>
        <w:tc>
          <w:tcPr>
            <w:tcW w:w="70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15 %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1,872</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12 %</w:t>
            </w:r>
          </w:p>
        </w:tc>
      </w:tr>
      <w:tr>
        <w:trPr>
          <w:trHeight w:val="204"/>
        </w:trPr>
        <w:tc>
          <w:tcPr>
            <w:tcW w:w="5680" w:type="dxa"/>
            <w:vAlign w:val="bottom"/>
          </w:tcPr>
          <w:p>
            <w:pPr>
              <w:ind w:left="20"/>
              <w:spacing w:after="0"/>
              <w:rPr>
                <w:sz w:val="20"/>
                <w:szCs w:val="20"/>
                <w:color w:val="auto"/>
              </w:rPr>
            </w:pPr>
            <w:r>
              <w:rPr>
                <w:rFonts w:ascii="Arial" w:cs="Arial" w:eastAsia="Arial" w:hAnsi="Arial"/>
                <w:sz w:val="16"/>
                <w:szCs w:val="16"/>
                <w:color w:val="auto"/>
              </w:rPr>
              <w:t>CDBU</w:t>
            </w:r>
          </w:p>
        </w:tc>
        <w:tc>
          <w:tcPr>
            <w:tcW w:w="18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7,229</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4,984</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2,124</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4"/>
        </w:trPr>
        <w:tc>
          <w:tcPr>
            <w:tcW w:w="5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11,859</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32 %</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11,667</w:t>
            </w:r>
          </w:p>
        </w:tc>
        <w:tc>
          <w:tcPr>
            <w:tcW w:w="320" w:type="dxa"/>
            <w:vAlign w:val="bottom"/>
            <w:shd w:val="clear" w:color="auto" w:fill="D1D2D4"/>
          </w:tcPr>
          <w:p>
            <w:pPr>
              <w:spacing w:after="0"/>
              <w:rPr>
                <w:sz w:val="17"/>
                <w:szCs w:val="17"/>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46 %</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7,394</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48 %</w:t>
            </w:r>
          </w:p>
        </w:tc>
      </w:tr>
      <w:tr>
        <w:trPr>
          <w:trHeight w:val="204"/>
        </w:trPr>
        <w:tc>
          <w:tcPr>
            <w:tcW w:w="5680" w:type="dxa"/>
            <w:vAlign w:val="bottom"/>
          </w:tcPr>
          <w:p>
            <w:pPr>
              <w:ind w:left="20"/>
              <w:spacing w:after="0"/>
              <w:rPr>
                <w:sz w:val="20"/>
                <w:szCs w:val="20"/>
                <w:color w:val="auto"/>
              </w:rPr>
            </w:pPr>
            <w:r>
              <w:rPr>
                <w:rFonts w:ascii="Arial" w:cs="Arial" w:eastAsia="Arial" w:hAnsi="Arial"/>
                <w:sz w:val="16"/>
                <w:szCs w:val="16"/>
                <w:color w:val="auto"/>
              </w:rPr>
              <w:t>AEBU</w:t>
            </w:r>
          </w:p>
        </w:tc>
        <w:tc>
          <w:tcPr>
            <w:tcW w:w="18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4,753</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4,631</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18 %</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4,139</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04"/>
        </w:trPr>
        <w:tc>
          <w:tcPr>
            <w:tcW w:w="5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shd w:val="clear" w:color="auto" w:fill="D1D2D4"/>
          </w:tcPr>
          <w:p>
            <w:pPr>
              <w:spacing w:after="0"/>
              <w:rPr>
                <w:sz w:val="17"/>
                <w:szCs w:val="17"/>
                <w:color w:val="auto"/>
              </w:rPr>
            </w:pPr>
          </w:p>
        </w:tc>
        <w:tc>
          <w:tcPr>
            <w:tcW w:w="6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13</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D1D2D4"/>
          </w:tcPr>
          <w:p>
            <w:pPr>
              <w:spacing w:after="0"/>
              <w:rPr>
                <w:sz w:val="17"/>
                <w:szCs w:val="17"/>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D1D2D4"/>
          </w:tcPr>
          <w:p>
            <w:pPr>
              <w:spacing w:after="0"/>
              <w:rPr>
                <w:sz w:val="17"/>
                <w:szCs w:val="17"/>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D1D2D4"/>
          </w:tcPr>
          <w:p>
            <w:pPr>
              <w:spacing w:after="0"/>
              <w:rPr>
                <w:sz w:val="17"/>
                <w:szCs w:val="17"/>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w:t>
            </w:r>
          </w:p>
        </w:tc>
      </w:tr>
      <w:tr>
        <w:trPr>
          <w:trHeight w:val="196"/>
        </w:trPr>
        <w:tc>
          <w:tcPr>
            <w:tcW w:w="56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37,378</w:t>
            </w:r>
          </w:p>
        </w:tc>
        <w:tc>
          <w:tcPr>
            <w:tcW w:w="3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25,111</w:t>
            </w:r>
          </w:p>
        </w:tc>
        <w:tc>
          <w:tcPr>
            <w:tcW w:w="3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15,540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of total revenue may not total 100%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Changes in revenue for each business unit for 2025 as compared to 2024 were as follows:</w:t>
      </w:r>
    </w:p>
    <w:p>
      <w:pPr>
        <w:spacing w:after="0" w:line="224" w:lineRule="exact"/>
        <w:rPr>
          <w:sz w:val="20"/>
          <w:szCs w:val="20"/>
          <w:color w:val="auto"/>
        </w:rPr>
      </w:pPr>
    </w:p>
    <w:p>
      <w:pPr>
        <w:ind w:left="580" w:right="120" w:hanging="28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CMBU revenue increased 257% primarily due to increases in DRAM bit shipments and average selling prices driven by accelerating AI demand in cloud server markets for HBM, high-capacity dual in-line memory modules (“DIMMS”), and low-power server DRAM. During 2025, CMBU revenue benefited from a shift of our DRAM supply to meet the strong demand in high-value data center markets.</w:t>
      </w:r>
    </w:p>
    <w:p>
      <w:pPr>
        <w:spacing w:after="0" w:line="2" w:lineRule="exact"/>
        <w:rPr>
          <w:rFonts w:ascii="Arial" w:cs="Arial" w:eastAsia="Arial" w:hAnsi="Arial"/>
          <w:sz w:val="16"/>
          <w:szCs w:val="16"/>
          <w:color w:val="auto"/>
        </w:rPr>
      </w:pPr>
    </w:p>
    <w:p>
      <w:pPr>
        <w:ind w:left="580" w:right="660" w:hanging="286"/>
        <w:spacing w:after="0" w:line="234"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CDBU revenue increased 45% primarily due to increases in average selling prices for both data center DRAM and NAND and NAND bit shipments due to increased demand for data center SSDs.</w:t>
      </w:r>
    </w:p>
    <w:p>
      <w:pPr>
        <w:spacing w:after="0" w:line="1" w:lineRule="exact"/>
        <w:rPr>
          <w:rFonts w:ascii="Arial" w:cs="Arial" w:eastAsia="Arial" w:hAnsi="Arial"/>
          <w:sz w:val="16"/>
          <w:szCs w:val="16"/>
          <w:color w:val="auto"/>
        </w:rPr>
      </w:pPr>
    </w:p>
    <w:p>
      <w:pPr>
        <w:ind w:left="580" w:right="160" w:hanging="286"/>
        <w:spacing w:after="0" w:line="268"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MCBU revenue increased 2% primarily due to increases in DRAM and NAND revenue. Increases in MCBU DRAM sales due to higher average selling prices were partially offset by decreases in bit shipments as MCBU product supply was constrained to meet demand from higher-value segments. Increases in NAND sales due to higher bit shipments were partially offset by decreases in NAND average selling prices.</w:t>
      </w:r>
    </w:p>
    <w:p>
      <w:pPr>
        <w:ind w:left="580" w:right="160" w:hanging="286"/>
        <w:spacing w:after="0" w:line="244"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AEBU revenue increased 3% primarily due to increases in DRAM and NAND bit shipments, partially offset by declines in average selling prices for both DRAM and NAND as a result of pricing pressure for certain legacy products.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Changes in revenue for each business unit for 2024 as compared to 2023 were as follows:</w:t>
      </w:r>
    </w:p>
    <w:p>
      <w:pPr>
        <w:spacing w:after="0" w:line="224" w:lineRule="exact"/>
        <w:rPr>
          <w:sz w:val="20"/>
          <w:szCs w:val="20"/>
          <w:color w:val="auto"/>
        </w:rPr>
      </w:pPr>
    </w:p>
    <w:p>
      <w:pPr>
        <w:ind w:left="580" w:hanging="286"/>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CMBU revenue increased 103% driven by increases in DRAM bit shipments and average selling prices.</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CDBU revenue increased 135% primarily due to increases in NAND and DRAM bit shipments and average selling prices.</w:t>
      </w:r>
    </w:p>
    <w:p>
      <w:pPr>
        <w:ind w:left="580" w:right="400" w:hanging="286"/>
        <w:spacing w:after="0" w:line="234"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MCBU revenue increased 58% primarily due to increases in DRAM and NAND bit shipments and average selling prices for both mobile and client markets.</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AEBU revenue increased 12% primarily due to increases in DRAM bit shipments, partially offset by declines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3" w:name="page54"/>
    <w:bookmarkEnd w:id="53"/>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Income (Loss) by Business Unit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r>
      <w:tr>
        <w:trPr>
          <w:trHeight w:val="28"/>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6,129</w:t>
            </w:r>
          </w:p>
        </w:tc>
        <w:tc>
          <w:tcPr>
            <w:tcW w:w="320" w:type="dxa"/>
            <w:vAlign w:val="bottom"/>
            <w:shd w:val="clear" w:color="auto" w:fill="D1D2D4"/>
          </w:tcPr>
          <w:p>
            <w:pPr>
              <w:spacing w:after="0"/>
              <w:rPr>
                <w:sz w:val="17"/>
                <w:szCs w:val="17"/>
                <w:color w:val="auto"/>
              </w:rPr>
            </w:pPr>
          </w:p>
        </w:tc>
        <w:tc>
          <w:tcPr>
            <w:tcW w:w="78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45 % $</w:t>
            </w:r>
          </w:p>
        </w:tc>
        <w:tc>
          <w:tcPr>
            <w:tcW w:w="5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244</w:t>
            </w:r>
          </w:p>
        </w:tc>
        <w:tc>
          <w:tcPr>
            <w:tcW w:w="320" w:type="dxa"/>
            <w:vAlign w:val="bottom"/>
            <w:shd w:val="clear" w:color="auto" w:fill="D1D2D4"/>
          </w:tcPr>
          <w:p>
            <w:pPr>
              <w:spacing w:after="0"/>
              <w:rPr>
                <w:sz w:val="17"/>
                <w:szCs w:val="17"/>
                <w:color w:val="auto"/>
              </w:rPr>
            </w:pPr>
          </w:p>
        </w:tc>
        <w:tc>
          <w:tcPr>
            <w:tcW w:w="700" w:type="dxa"/>
            <w:vAlign w:val="bottom"/>
            <w:gridSpan w:val="2"/>
            <w:shd w:val="clear" w:color="auto" w:fill="D1D2D4"/>
          </w:tcPr>
          <w:p>
            <w:pPr>
              <w:jc w:val="right"/>
              <w:ind w:right="100"/>
              <w:spacing w:after="0"/>
              <w:rPr>
                <w:sz w:val="20"/>
                <w:szCs w:val="20"/>
                <w:color w:val="auto"/>
              </w:rPr>
            </w:pPr>
            <w:r>
              <w:rPr>
                <w:rFonts w:ascii="Arial" w:cs="Arial" w:eastAsia="Arial" w:hAnsi="Arial"/>
                <w:sz w:val="16"/>
                <w:szCs w:val="16"/>
                <w:color w:val="auto"/>
              </w:rPr>
              <w:t>6 % $</w:t>
            </w: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(768)</w:t>
            </w:r>
          </w:p>
        </w:tc>
        <w:tc>
          <w:tcPr>
            <w:tcW w:w="32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r>
      <w:tr>
        <w:trPr>
          <w:trHeight w:val="204"/>
        </w:trPr>
        <w:tc>
          <w:tcPr>
            <w:tcW w:w="5660" w:type="dxa"/>
            <w:vAlign w:val="bottom"/>
          </w:tcPr>
          <w:p>
            <w:pPr>
              <w:ind w:left="20"/>
              <w:spacing w:after="0"/>
              <w:rPr>
                <w:sz w:val="20"/>
                <w:szCs w:val="20"/>
                <w:color w:val="auto"/>
              </w:rPr>
            </w:pPr>
            <w:r>
              <w:rPr>
                <w:rFonts w:ascii="Arial" w:cs="Arial" w:eastAsia="Arial" w:hAnsi="Arial"/>
                <w:sz w:val="16"/>
                <w:szCs w:val="16"/>
                <w:color w:val="auto"/>
              </w:rPr>
              <w:t>CDBU</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2,180</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30 %</w:t>
            </w:r>
          </w:p>
        </w:tc>
        <w:tc>
          <w:tcPr>
            <w:tcW w:w="28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255</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(563)</w:t>
            </w: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8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1,981</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17 %</w:t>
            </w:r>
          </w:p>
        </w:tc>
        <w:tc>
          <w:tcPr>
            <w:tcW w:w="280" w:type="dxa"/>
            <w:vAlign w:val="bottom"/>
            <w:shd w:val="clear" w:color="auto" w:fill="D1D2D4"/>
          </w:tcPr>
          <w:p>
            <w:pPr>
              <w:spacing w:after="0"/>
              <w:rPr>
                <w:sz w:val="17"/>
                <w:szCs w:val="17"/>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spacing w:after="0"/>
              <w:rPr>
                <w:sz w:val="17"/>
                <w:szCs w:val="17"/>
                <w:color w:val="auto"/>
              </w:rPr>
            </w:pPr>
          </w:p>
        </w:tc>
        <w:tc>
          <w:tcPr>
            <w:tcW w:w="700" w:type="dxa"/>
            <w:vAlign w:val="bottom"/>
            <w:gridSpan w:val="2"/>
            <w:shd w:val="clear" w:color="auto" w:fill="D1D2D4"/>
          </w:tcPr>
          <w:p>
            <w:pPr>
              <w:jc w:val="right"/>
              <w:ind w:right="220"/>
              <w:spacing w:after="0"/>
              <w:rPr>
                <w:sz w:val="20"/>
                <w:szCs w:val="20"/>
                <w:color w:val="auto"/>
              </w:rPr>
            </w:pPr>
            <w:r>
              <w:rPr>
                <w:rFonts w:ascii="Arial" w:cs="Arial" w:eastAsia="Arial" w:hAnsi="Arial"/>
                <w:sz w:val="16"/>
                <w:szCs w:val="16"/>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(3,189)</w:t>
            </w:r>
          </w:p>
        </w:tc>
        <w:tc>
          <w:tcPr>
            <w:tcW w:w="32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w:t>
            </w:r>
          </w:p>
        </w:tc>
      </w:tr>
      <w:tr>
        <w:trPr>
          <w:trHeight w:val="204"/>
        </w:trPr>
        <w:tc>
          <w:tcPr>
            <w:tcW w:w="5660" w:type="dxa"/>
            <w:vAlign w:val="bottom"/>
          </w:tcPr>
          <w:p>
            <w:pPr>
              <w:ind w:left="20"/>
              <w:spacing w:after="0"/>
              <w:rPr>
                <w:sz w:val="20"/>
                <w:szCs w:val="20"/>
                <w:color w:val="auto"/>
              </w:rPr>
            </w:pPr>
            <w:r>
              <w:rPr>
                <w:rFonts w:ascii="Arial" w:cs="Arial" w:eastAsia="Arial" w:hAnsi="Arial"/>
                <w:sz w:val="16"/>
                <w:szCs w:val="16"/>
                <w:color w:val="auto"/>
              </w:rPr>
              <w:t>AEBU</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557</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12 %</w:t>
            </w:r>
          </w:p>
        </w:tc>
        <w:tc>
          <w:tcPr>
            <w:tcW w:w="28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432</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9 %</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680</w:t>
            </w: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04"/>
        </w:trPr>
        <w:tc>
          <w:tcPr>
            <w:tcW w:w="5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shd w:val="clear" w:color="auto" w:fill="D1D2D4"/>
          </w:tcPr>
          <w:p>
            <w:pPr>
              <w:spacing w:after="0"/>
              <w:rPr>
                <w:sz w:val="17"/>
                <w:szCs w:val="17"/>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tcBorders>
            <w:shd w:val="clear" w:color="auto" w:fill="D1D2D4"/>
          </w:tcPr>
          <w:p>
            <w:pPr>
              <w:spacing w:after="0"/>
              <w:rPr>
                <w:sz w:val="17"/>
                <w:szCs w:val="17"/>
                <w:color w:val="auto"/>
              </w:rPr>
            </w:pPr>
          </w:p>
        </w:tc>
        <w:tc>
          <w:tcPr>
            <w:tcW w:w="5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18</w:t>
            </w:r>
          </w:p>
        </w:tc>
        <w:tc>
          <w:tcPr>
            <w:tcW w:w="320" w:type="dxa"/>
            <w:vAlign w:val="bottom"/>
            <w:shd w:val="clear" w:color="auto" w:fill="D1D2D4"/>
          </w:tcPr>
          <w:p>
            <w:pPr>
              <w:spacing w:after="0"/>
              <w:rPr>
                <w:sz w:val="17"/>
                <w:szCs w:val="17"/>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49 %</w:t>
            </w:r>
          </w:p>
        </w:tc>
        <w:tc>
          <w:tcPr>
            <w:tcW w:w="200" w:type="dxa"/>
            <w:vAlign w:val="bottom"/>
            <w:tcBorders>
              <w:bottom w:val="single" w:sz="8" w:color="auto"/>
            </w:tcBorders>
            <w:shd w:val="clear" w:color="auto" w:fill="D1D2D4"/>
          </w:tcPr>
          <w:p>
            <w:pPr>
              <w:spacing w:after="0"/>
              <w:rPr>
                <w:sz w:val="17"/>
                <w:szCs w:val="17"/>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32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73 %</w:t>
            </w:r>
          </w:p>
        </w:tc>
      </w:tr>
      <w:tr>
        <w:trPr>
          <w:trHeight w:val="196"/>
        </w:trPr>
        <w:tc>
          <w:tcPr>
            <w:tcW w:w="566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10,846</w:t>
            </w:r>
          </w:p>
        </w:tc>
        <w:tc>
          <w:tcPr>
            <w:tcW w:w="3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948</w:t>
            </w:r>
          </w:p>
        </w:tc>
        <w:tc>
          <w:tcPr>
            <w:tcW w:w="3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(3,832)</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reflect operating income (loss) as a percentage of revenue for each business unit.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income or loss for each business unit for 2025 as compared to 2024 were as follows:</w:t>
      </w:r>
    </w:p>
    <w:p>
      <w:pPr>
        <w:spacing w:after="0" w:line="224" w:lineRule="exact"/>
        <w:rPr>
          <w:sz w:val="20"/>
          <w:szCs w:val="20"/>
          <w:color w:val="auto"/>
        </w:rPr>
      </w:pPr>
    </w:p>
    <w:p>
      <w:pPr>
        <w:ind w:left="580" w:right="60" w:hanging="286"/>
        <w:spacing w:after="0" w:line="275"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CMBU operating income increased primarily due to higher bit shipments and increases in average selling prices driven by robust AI demand in cloud server markets, particularly for HBM, DIMMs, and low-power server DRAM products. CMBU operating income benefited from a shift of our DRAM supply to meet the strong demand in high-value data center markets. These improvements were partially offset by higher R&amp;D expenses.</w:t>
      </w:r>
    </w:p>
    <w:p>
      <w:pPr>
        <w:ind w:left="580" w:right="60" w:hanging="286"/>
        <w:spacing w:after="0" w:line="234"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CDBU operating income increased primarily due to increases in data center average selling prices, higher bit shipments, and manufacturing cost reductions.</w:t>
      </w:r>
    </w:p>
    <w:p>
      <w:pPr>
        <w:spacing w:after="0" w:line="1" w:lineRule="exact"/>
        <w:rPr>
          <w:rFonts w:ascii="Arial" w:cs="Arial" w:eastAsia="Arial" w:hAnsi="Arial"/>
          <w:sz w:val="16"/>
          <w:szCs w:val="16"/>
          <w:color w:val="auto"/>
        </w:rPr>
      </w:pPr>
    </w:p>
    <w:p>
      <w:pPr>
        <w:jc w:val="both"/>
        <w:ind w:left="580" w:right="140" w:hanging="286"/>
        <w:spacing w:after="0" w:line="268"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MCBU operating income (loss) improved primarily due to increases in DRAM average selling prices, manufacturing cost reductions, and higher NAND bit shipments, partially offset by decreases in NAND average selling prices. MCBU operating income (loss) was also adversely impacted by decreases in DRAM bit shipments as MCBU product supply was constrained to meet demand from higher-value segments.</w:t>
      </w:r>
    </w:p>
    <w:p>
      <w:pPr>
        <w:ind w:left="580" w:hanging="286"/>
        <w:spacing w:after="0" w:line="244"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AEBU operating income increased primarily due to manufacturing cost reductions and higher bit shipments, partially offset by declines in average selling prices.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income or loss for each business unit for 2024 as compared to 2023 were as follows:</w:t>
      </w:r>
    </w:p>
    <w:p>
      <w:pPr>
        <w:spacing w:after="0" w:line="224" w:lineRule="exact"/>
        <w:rPr>
          <w:sz w:val="20"/>
          <w:szCs w:val="20"/>
          <w:color w:val="auto"/>
        </w:rPr>
      </w:pPr>
    </w:p>
    <w:p>
      <w:pPr>
        <w:ind w:left="580" w:right="460" w:hanging="286"/>
        <w:spacing w:after="0" w:line="243"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CMBU operating income (loss) improved primarily due to higher bit shipments, increases in average selling prices, and manufacturing cost reductions.</w:t>
      </w:r>
    </w:p>
    <w:p>
      <w:pPr>
        <w:spacing w:after="0" w:line="1" w:lineRule="exact"/>
        <w:rPr>
          <w:rFonts w:ascii="Arial" w:cs="Arial" w:eastAsia="Arial" w:hAnsi="Arial"/>
          <w:sz w:val="16"/>
          <w:szCs w:val="16"/>
          <w:color w:val="auto"/>
        </w:rPr>
      </w:pPr>
    </w:p>
    <w:p>
      <w:pPr>
        <w:ind w:left="580" w:right="560" w:hanging="286"/>
        <w:spacing w:after="0" w:line="234"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CDBU operating income (loss) improved primarily due to higher NAND and DRAM bit shipments, increases in average selling prices, and manufacturing cost reductions, partially offset by higher R&amp;D expenses.</w:t>
      </w:r>
    </w:p>
    <w:p>
      <w:pPr>
        <w:spacing w:after="0" w:line="1" w:lineRule="exact"/>
        <w:rPr>
          <w:rFonts w:ascii="Arial" w:cs="Arial" w:eastAsia="Arial" w:hAnsi="Arial"/>
          <w:sz w:val="16"/>
          <w:szCs w:val="16"/>
          <w:color w:val="auto"/>
        </w:rPr>
      </w:pPr>
    </w:p>
    <w:p>
      <w:pPr>
        <w:ind w:left="580" w:right="460" w:hanging="286"/>
        <w:spacing w:after="0" w:line="234"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MCBU operating income (loss) improved primarily due to increases in average selling prices, higher bit shipments, and manufacturing cost reductions.</w:t>
      </w:r>
    </w:p>
    <w:p>
      <w:pPr>
        <w:spacing w:after="0" w:line="1" w:lineRule="exact"/>
        <w:rPr>
          <w:rFonts w:ascii="Arial" w:cs="Arial" w:eastAsia="Arial" w:hAnsi="Arial"/>
          <w:sz w:val="16"/>
          <w:szCs w:val="16"/>
          <w:color w:val="auto"/>
        </w:rPr>
      </w:pPr>
    </w:p>
    <w:p>
      <w:pPr>
        <w:ind w:left="580" w:right="440" w:hanging="286"/>
        <w:spacing w:after="0" w:line="244"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AEBU operating income decreased primarily due to declines in average selling prices, partially offset by manufacturing cost reductions and higher bit shipments.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Expenses and Other</w:t>
      </w:r>
    </w:p>
    <w:p>
      <w:pPr>
        <w:spacing w:after="0" w:line="24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expenses vary primarily with the number of development and pre-qualification wafers processed and end-product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developed, personnel costs, and the cost of advanced equipment dedicated to new product and process development.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205" w:lineRule="exact"/>
        <w:rPr>
          <w:sz w:val="20"/>
          <w:szCs w:val="20"/>
          <w:color w:val="auto"/>
        </w:rPr>
      </w:pPr>
    </w:p>
    <w:p>
      <w:pPr>
        <w:ind w:right="240"/>
        <w:spacing w:after="0" w:line="301" w:lineRule="auto"/>
        <w:rPr>
          <w:sz w:val="20"/>
          <w:szCs w:val="20"/>
          <w:color w:val="auto"/>
        </w:rPr>
      </w:pPr>
      <w:r>
        <w:rPr>
          <w:rFonts w:ascii="Arial" w:cs="Arial" w:eastAsia="Arial" w:hAnsi="Arial"/>
          <w:sz w:val="14"/>
          <w:szCs w:val="14"/>
          <w:color w:val="auto"/>
        </w:rPr>
        <w:t>R&amp;D expenses for 2025 increased 11% as compared to 2024 primarily due to increases in employee compensation, depreciation expense, and higher volumes of development and pre-qualification wafers. R&amp;D expenses for 2024 increased 10% as compared to 2023 primarily due to an increase in employee compensation and higher volumes of development and pre-qualification wafers, partially offset by an increase in government incentives.</w:t>
      </w:r>
    </w:p>
    <w:p>
      <w:pPr>
        <w:spacing w:after="0" w:line="162" w:lineRule="exact"/>
        <w:rPr>
          <w:sz w:val="20"/>
          <w:szCs w:val="20"/>
          <w:color w:val="auto"/>
        </w:rPr>
      </w:pPr>
    </w:p>
    <w:p>
      <w:pPr>
        <w:ind w:right="540"/>
        <w:spacing w:after="0" w:line="248"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SG&amp;A expenses for 2025 increased 7% as compared to 2024 primarily due to an increase in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and professional services. SG&amp;A expenses for 2024 increased 23% as compared to 2023 primarily due to an increase in employee compensation.</w:t>
      </w:r>
    </w:p>
    <w:p>
      <w:pPr>
        <w:spacing w:after="0" w:line="200" w:lineRule="exact"/>
        <w:rPr>
          <w:sz w:val="20"/>
          <w:szCs w:val="20"/>
          <w:color w:val="auto"/>
        </w:rPr>
      </w:pPr>
    </w:p>
    <w:p>
      <w:pPr>
        <w:spacing w:after="0" w:line="20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4" w:name="page55"/>
    <w:bookmarkEnd w:id="5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 xml:space="preserve">Interest Income (Expense), Net: </w:t>
      </w:r>
      <w:r>
        <w:rPr>
          <w:rFonts w:ascii="Arial" w:cs="Arial" w:eastAsia="Arial" w:hAnsi="Arial"/>
          <w:sz w:val="14"/>
          <w:szCs w:val="14"/>
          <w:color w:val="auto"/>
        </w:rPr>
        <w:t>Interest income (expense) improved in 2025 as compared to 2024 primarily due to decreases in interest expense as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result of increased capitalized interest driven by higher levels of building construction, partially offset by decreases in interest income due to lower interest rates on our cash and investments. Interest income (expense) deteriorated for 2024 as compared to 2023 primarily due to increases in interest expense as a result of higher interest rates on our debt, partially offset by increases in interest income due to higher interest rates on our cash and investments.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Our income tax (provision) benefit consisted of the following:</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r>
      <w:tr>
        <w:trPr>
          <w:trHeight w:val="28"/>
        </w:trPr>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4"/>
        </w:trPr>
        <w:tc>
          <w:tcPr>
            <w:tcW w:w="5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(loss) before taxes</w:t>
            </w:r>
          </w:p>
        </w:tc>
        <w:tc>
          <w:tcPr>
            <w:tcW w:w="840" w:type="dxa"/>
            <w:vAlign w:val="bottom"/>
            <w:shd w:val="clear" w:color="auto" w:fill="D1D2D4"/>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9,654</w:t>
            </w:r>
          </w:p>
        </w:tc>
        <w:tc>
          <w:tcPr>
            <w:tcW w:w="320" w:type="dxa"/>
            <w:vAlign w:val="bottom"/>
            <w:shd w:val="clear" w:color="auto" w:fill="D1D2D4"/>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1,240</w:t>
            </w:r>
          </w:p>
        </w:tc>
        <w:tc>
          <w:tcPr>
            <w:tcW w:w="320" w:type="dxa"/>
            <w:vAlign w:val="bottom"/>
            <w:shd w:val="clear" w:color="auto" w:fill="D1D2D4"/>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(5,658)</w:t>
            </w:r>
          </w:p>
        </w:tc>
      </w:tr>
      <w:tr>
        <w:trPr>
          <w:trHeight w:val="204"/>
        </w:trPr>
        <w:tc>
          <w:tcPr>
            <w:tcW w:w="58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84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(1,124)</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(451)</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(177)</w:t>
            </w:r>
          </w:p>
        </w:tc>
      </w:tr>
      <w:tr>
        <w:trPr>
          <w:trHeight w:val="204"/>
        </w:trPr>
        <w:tc>
          <w:tcPr>
            <w:tcW w:w="5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Effective tax rate</w:t>
            </w:r>
          </w:p>
        </w:tc>
        <w:tc>
          <w:tcPr>
            <w:tcW w:w="84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11.6 %</w:t>
            </w:r>
          </w:p>
        </w:tc>
        <w:tc>
          <w:tcPr>
            <w:tcW w:w="3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36.4 %</w:t>
            </w:r>
          </w:p>
        </w:tc>
        <w:tc>
          <w:tcPr>
            <w:tcW w:w="3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w:t>
            </w:r>
          </w:p>
        </w:tc>
      </w:tr>
    </w:tbl>
    <w:p>
      <w:pPr>
        <w:spacing w:after="0" w:line="289"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The change in our effective tax rate for 2025 as compared to 2024, and for 2024 as compared to 2023, were primarily due to changes in profitability. Despite a consolidated pre-tax loss on a worldwide basis in 2023, we had taxes payable in certain geographies due to minimum taxable income reportable in those geographies.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$ 1.05 billion (benefiting our diluted earnings per share by $0.93) for 2025. As a result of the low level of profitability and the jurisdictional mix of income, the benefit from tax incentive arrangements was not material for 2024 or 2023.</w:t>
      </w:r>
    </w:p>
    <w:p>
      <w:pPr>
        <w:spacing w:after="0" w:line="205"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Further changes in the tax laws of foreign jurisdictions could arise as a result of the base erosion and profit-shifting project, including Pillar Two Model Rules (“Pillar Two”), undertaken by the Organisation for Economic Co-operation and Development. On November 27, 2024, Singapore enacted legislation to implement Pillar Two, which will apply to us starting in 2026. We continue to monitor for additional guidance and legislative changes related to Pillar Two in the jurisdictions where we operate.</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Further information can be found in the following notes contained in Item 8. Financial Statements and Supplementary Data, Notes to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w:t>
      </w:r>
    </w:p>
    <w:p>
      <w:pPr>
        <w:spacing w:after="0" w:line="210" w:lineRule="exact"/>
        <w:rPr>
          <w:sz w:val="20"/>
          <w:szCs w:val="20"/>
          <w:color w:val="auto"/>
        </w:rPr>
      </w:pPr>
    </w:p>
    <w:p>
      <w:pPr>
        <w:ind w:left="580" w:hanging="28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12. Debt</w:t>
      </w:r>
    </w:p>
    <w:p>
      <w:pPr>
        <w:spacing w:after="0" w:line="10" w:lineRule="exact"/>
        <w:rPr>
          <w:rFonts w:ascii="Arial" w:cs="Arial" w:eastAsia="Arial" w:hAnsi="Arial"/>
          <w:sz w:val="16"/>
          <w:szCs w:val="16"/>
          <w:color w:val="auto"/>
        </w:rPr>
      </w:pPr>
    </w:p>
    <w:p>
      <w:pPr>
        <w:ind w:left="580" w:hanging="286"/>
        <w:spacing w:after="0" w:line="234"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18. Equity Compensation Plans</w:t>
      </w:r>
    </w:p>
    <w:p>
      <w:pPr>
        <w:ind w:left="580" w:hanging="286"/>
        <w:spacing w:after="0" w:line="234"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22. Restructure and Asset Impairments</w:t>
      </w:r>
    </w:p>
    <w:p>
      <w:pPr>
        <w:ind w:left="580" w:hanging="286"/>
        <w:spacing w:after="0" w:line="234"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23. Other Operating (Income) Expense, Net</w:t>
      </w:r>
    </w:p>
    <w:p>
      <w:pPr>
        <w:ind w:left="580" w:hanging="286"/>
        <w:spacing w:after="0" w:line="234"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24. Other Non-Operating Income (Expense), Net</w:t>
      </w:r>
    </w:p>
    <w:p>
      <w:pPr>
        <w:ind w:left="580" w:hanging="28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Note 25. Income Taxes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5" w:name="page56"/>
    <w:bookmarkEnd w:id="5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Liquidity and Capital Resources</w:t>
      </w:r>
    </w:p>
    <w:p>
      <w:pPr>
        <w:spacing w:after="0" w:line="249"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$11.94 billion as of August 28, 2025, and $9.15 billion as of August 29, 2024. Our cash and investments consist primarily of bank deposits, money market funds, and liquid investment-grade, fixed-income securities, which are diversified among industries and individual issuers. To mitigate credit risk, we invest through high -credit-quality financial institutions and by policy generally limit the concentration of credit exposure by restricting the amount of investments with any single obligor. As of August 28, 2025, $5.20 billion of our cash and marketable investments was held by our foreign subsidiaries.</w:t>
      </w:r>
    </w:p>
    <w:p>
      <w:pPr>
        <w:spacing w:after="0" w:line="206"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August 28, 2025, $3.50 billion was available to draw under our Revolving Credit Facility. Funding of certain significant capital projects is also dependent on the receipt of government incentives. Our incentives are conditioned upon achieving or maintaining certain outcomes and satisfying compliance requirements and are subject to reduction, termination, or clawback.</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To develop new product and process technology, support future growth, achieve operating efficiencies, and maintain product quality, we must continue to invest in manufacturing technologies, facilities and equipment, and R&amp;D. We estimate capital expenditures for property, plant, and equipment, net of proceeds from government incentives, to be approximately $4.5 billion in first quarter of 2026. While quarterly expenditures may fluctuate, this level serves as a reasonable quarterly baseline for the planned capital expenditures for 2026. Actual amounts for 2026 will vary depending on market conditions and may vary from quarter to quarter due to the timing of expenditures and proceeds from government incentives. As of August 28, 2025, we had purchase obligations of approximately $1.77 billion for the acquisition of property, plant, and equipment, substantially all of which is expected to be paid within one year. For a description of other contractual obligations, such as leases, debt, and commitments, see Item 8. Financial Statements and Supplementary Data, Notes to Consolidated Financial Statements, Note 9. Leases, as well as Note 12. Debt and Note 13. Commitments.</w:t>
      </w:r>
    </w:p>
    <w:p>
      <w:pPr>
        <w:spacing w:after="0" w:line="183" w:lineRule="exact"/>
        <w:rPr>
          <w:sz w:val="20"/>
          <w:szCs w:val="20"/>
          <w:color w:val="auto"/>
        </w:rPr>
      </w:pPr>
    </w:p>
    <w:p>
      <w:pPr>
        <w:ind w:right="100"/>
        <w:spacing w:after="0" w:line="231" w:lineRule="auto"/>
        <w:rPr>
          <w:sz w:val="20"/>
          <w:szCs w:val="20"/>
          <w:color w:val="auto"/>
        </w:rPr>
      </w:pPr>
      <w:r>
        <w:rPr>
          <w:rFonts w:ascii="Arial" w:cs="Arial" w:eastAsia="Arial" w:hAnsi="Arial"/>
          <w:sz w:val="16"/>
          <w:szCs w:val="16"/>
          <w:color w:val="auto"/>
        </w:rPr>
        <w:t>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w:t>
      </w:r>
    </w:p>
    <w:p>
      <w:pPr>
        <w:spacing w:after="0" w:line="19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As part of this plan, in September 2022, we broke ground on a leading-edge memory manufacturing fab in Boise, Idaho. Construction of the fab began in October 2023, with first DRAM wafer output projected in the second half of calendar 2027. In June 2025, in connection with certain amendments to our CHIPS Act agreements, we announced plans for a second leading-edge memory manufacturing fab in Idaho to serve growing market demand fueled by AI.</w:t>
      </w:r>
    </w:p>
    <w:p>
      <w:pPr>
        <w:spacing w:after="0" w:line="200" w:lineRule="exact"/>
        <w:rPr>
          <w:sz w:val="20"/>
          <w:szCs w:val="20"/>
          <w:color w:val="auto"/>
        </w:rPr>
      </w:pPr>
    </w:p>
    <w:p>
      <w:pPr>
        <w:ind w:right="340"/>
        <w:spacing w:after="0" w:line="244" w:lineRule="auto"/>
        <w:rPr>
          <w:sz w:val="20"/>
          <w:szCs w:val="20"/>
          <w:color w:val="auto"/>
        </w:rPr>
      </w:pPr>
      <w:r>
        <w:rPr>
          <w:rFonts w:ascii="Arial" w:cs="Arial" w:eastAsia="Arial" w:hAnsi="Arial"/>
          <w:sz w:val="16"/>
          <w:szCs w:val="16"/>
          <w:color w:val="auto"/>
        </w:rPr>
        <w:t>Our announced plan for New York includes construction of a leading-edge DRAM memory manufacturing site, consisting of up to four fabs to be built over the next 20-plus years, in Clay, New York. We continue to work with state and federal authorities for approval to start ground preparation, and anticipate production to ramp after the completion of the second Idaho fab. We expect these new fabs to be key to meeting our requirements for additional wafer capacity, in line with industry demand trends and our objective of maintaining stable bit share.</w:t>
      </w:r>
    </w:p>
    <w:p>
      <w:pPr>
        <w:spacing w:after="0" w:line="20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6" w:name="page57"/>
    <w:bookmarkEnd w:id="5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addition to the CHIPS Act direct funding, we receive a 35% investment tax credit on qualified investments in U.S. semiconductor manufacturing under the CHIPS Act. We have also signed a non -binding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200"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Outside the U.S.,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spacing w:after="0" w:line="222" w:lineRule="exact"/>
        <w:rPr>
          <w:sz w:val="20"/>
          <w:szCs w:val="20"/>
          <w:color w:val="auto"/>
        </w:rPr>
      </w:pPr>
    </w:p>
    <w:p>
      <w:pPr>
        <w:ind w:left="580" w:hanging="286"/>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India: </w:t>
      </w:r>
      <w:r>
        <w:rPr>
          <w:rFonts w:ascii="Arial" w:cs="Arial" w:eastAsia="Arial" w:hAnsi="Arial"/>
          <w:sz w:val="16"/>
          <w:szCs w:val="16"/>
          <w:color w:val="auto"/>
        </w:rPr>
        <w:t>our construction is progressing for the assembly and test facility in Gujarat to address demand in the latter half of this decade;</w:t>
      </w:r>
    </w:p>
    <w:p>
      <w:pPr>
        <w:spacing w:after="0" w:line="8" w:lineRule="exact"/>
        <w:rPr>
          <w:rFonts w:ascii="Arial" w:cs="Arial" w:eastAsia="Arial" w:hAnsi="Arial"/>
          <w:sz w:val="18"/>
          <w:szCs w:val="18"/>
          <w:color w:val="auto"/>
        </w:rPr>
      </w:pPr>
    </w:p>
    <w:p>
      <w:pPr>
        <w:ind w:left="580" w:hanging="286"/>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Japan: </w:t>
      </w:r>
      <w:r>
        <w:rPr>
          <w:rFonts w:ascii="Arial" w:cs="Arial" w:eastAsia="Arial" w:hAnsi="Arial"/>
          <w:sz w:val="16"/>
          <w:szCs w:val="16"/>
          <w:color w:val="auto"/>
        </w:rPr>
        <w:t>we are modernizing our Hiroshima manufacturing facility to support the production of DRAM using EUV lithography;</w:t>
      </w:r>
    </w:p>
    <w:p>
      <w:pPr>
        <w:ind w:left="580" w:right="140" w:hanging="286"/>
        <w:spacing w:after="0" w:line="234"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we broke ground on an HBM advanced packaging facility to meaningfully expand our total advanced packaging capacity beginning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calendar 2027; and</w:t>
      </w:r>
    </w:p>
    <w:p>
      <w:pPr>
        <w:spacing w:after="0" w:line="1" w:lineRule="exact"/>
        <w:rPr>
          <w:rFonts w:ascii="Arial" w:cs="Arial" w:eastAsia="Arial" w:hAnsi="Arial"/>
          <w:sz w:val="16"/>
          <w:szCs w:val="16"/>
          <w:color w:val="auto"/>
        </w:rPr>
      </w:pPr>
    </w:p>
    <w:p>
      <w:pPr>
        <w:ind w:left="580" w:hanging="28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Taiwan: </w:t>
      </w:r>
      <w:r>
        <w:rPr>
          <w:rFonts w:ascii="Arial" w:cs="Arial" w:eastAsia="Arial" w:hAnsi="Arial"/>
          <w:sz w:val="16"/>
          <w:szCs w:val="16"/>
          <w:color w:val="auto"/>
        </w:rPr>
        <w:t>we are modernizing our production capacity for DRAM and HBM products to meet rising market demand.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See Item 8. Financial Statements and Supplementary Data, Notes to Consolidated Financial Statements, Note 20. Government Incentives.</w:t>
      </w:r>
    </w:p>
    <w:p>
      <w:pPr>
        <w:spacing w:after="0" w:line="22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10b5- 1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August 28, 2025, we had repurchased an aggregate of $ 7.19 billion under the authorization. See Item 8. Financial Statements and Supplementary Data, Notes to Consolidated Financial Statements, Note 15. Equity, as well as Note 20. Government Incentives.</w:t>
      </w:r>
    </w:p>
    <w:p>
      <w:pPr>
        <w:spacing w:after="0" w:line="204"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On September 23, 2025, our Board of Directors declared a quarterly dividend of $0.115 per share, payable in cash on October 21, 2025, to shareholders of record as of the close of business on October 3, 2025.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76"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We expect that our cash and investments, cash flows from operations, funding from government incentives,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17,525</w:t>
            </w:r>
          </w:p>
        </w:tc>
        <w:tc>
          <w:tcPr>
            <w:tcW w:w="30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8,507</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1,559</w:t>
            </w:r>
          </w:p>
        </w:tc>
      </w:tr>
      <w:tr>
        <w:trPr>
          <w:trHeight w:val="204"/>
        </w:trPr>
        <w:tc>
          <w:tcPr>
            <w:tcW w:w="664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(14,087)</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(8,309)</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(6,191)</w:t>
            </w: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(850)</w:t>
            </w:r>
          </w:p>
        </w:tc>
        <w:tc>
          <w:tcPr>
            <w:tcW w:w="30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(1,842)</w:t>
            </w: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4,983</w:t>
            </w:r>
          </w:p>
        </w:tc>
      </w:tr>
      <w:tr>
        <w:trPr>
          <w:trHeight w:val="204"/>
        </w:trPr>
        <w:tc>
          <w:tcPr>
            <w:tcW w:w="66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21"/>
        </w:trPr>
        <w:tc>
          <w:tcPr>
            <w:tcW w:w="66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2,594</w:t>
            </w:r>
          </w:p>
        </w:tc>
        <w:tc>
          <w:tcPr>
            <w:tcW w:w="30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(1,604)</w:t>
            </w:r>
          </w:p>
        </w:tc>
        <w:tc>
          <w:tcPr>
            <w:tcW w:w="28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664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provided by operating activities reflects net income (loss) adjusted for certain non-cash items, including depreciation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amortization of intangible assets, stock-based compensation, inventory write-downs, and asset impairments, and the effects of changes in operating assets and liabilities.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7" w:name="page58"/>
    <w:bookmarkEnd w:id="57"/>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increase in cash provided by operating activities for 2025 as compared to 2024 was primarily due to higher net income in 2025 adjusted for non -cash items, the effect of changes in receivables and accounts payable and accrued expenses, and a decrease in inventory, partially offset by a decrease in other current liabilities.</w:t>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increase in cash provided by operating activities for 2024 as compared to 2023 was primarily due to net income in 2024 adjusted for non-cash items, the effect of an increase in accounts payable and accrued expenses, and an increase in other current liabilities largely due to customer prepayments to secure product supply, partially offset by an increase in receivables.</w:t>
      </w:r>
    </w:p>
    <w:p>
      <w:pPr>
        <w:spacing w:after="0" w:line="198" w:lineRule="exact"/>
        <w:rPr>
          <w:sz w:val="20"/>
          <w:szCs w:val="20"/>
          <w:color w:val="auto"/>
        </w:rPr>
      </w:pPr>
    </w:p>
    <w:p>
      <w:pPr>
        <w:jc w:val="both"/>
        <w:ind w:right="600"/>
        <w:spacing w:after="0" w:line="24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For 2025, net cash used for investing activities consisted primarily of $15.86 billion of expenditures for property, plant,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$192 million of net outflows from purchases, maturities, and sales of available-for-sale securities, partially offset by $2.01 billion of proceeds from government incentives to offset capital expenditures.</w:t>
      </w:r>
    </w:p>
    <w:p>
      <w:pPr>
        <w:spacing w:after="0" w:line="198"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For 2024, net cash used for investing activities consisted primarily of $8.39 billion of expenditures for property, plant, and equipment, and $205 million of net outflows from purchases, maturities, and sales of available-for-sale securities, partially offset by $315 million of proceeds from government incentives to offset capital expenditures.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For 2023, net cash used for investing activities consisted primarily of $7.68 billion of expenditures for property, plant, and equipment, partially offset by $710 million of proceeds from government incentives to offset capital expenditures, and $868 million of net inflows from maturities, sales, and purchases of available-for-sale securities.</w:t>
      </w:r>
    </w:p>
    <w:p>
      <w:pPr>
        <w:spacing w:after="0" w:line="198"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b w:val="1"/>
          <w:bCs w:val="1"/>
          <w:i w:val="1"/>
          <w:iCs w:val="1"/>
          <w:color w:val="auto"/>
        </w:rPr>
        <w:t xml:space="preserve">Financing Activities: </w:t>
      </w:r>
      <w:r>
        <w:rPr>
          <w:rFonts w:ascii="Arial" w:cs="Arial" w:eastAsia="Arial" w:hAnsi="Arial"/>
          <w:sz w:val="14"/>
          <w:szCs w:val="14"/>
          <w:color w:val="auto"/>
        </w:rPr>
        <w:t>For 2025, net cash used for financing activities consisted primarily of $4.62 billion of repayments of debt, which included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prepayment of the 2026 Notes, 2026 Term Loan A, 2027 Notes, 2027 Term Loan A, and a portion of the 2029 Term Loan A borrowings; and $522 million for payments of dividends to shareholders; partially offset by approximately $4.43 billion of proceeds from the issuance of the 2029 Term Loan A,</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2032 Notes, 2035 A Notes, and 2035 B Notes. See Item 8. Financial Statements and Supplementary Data, Notes to Consolidated Financial Statements, Note 12. Debt.</w:t>
      </w:r>
    </w:p>
    <w:p>
      <w:pPr>
        <w:spacing w:after="0" w:line="20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For 2024, net cash used for financing activities consisted primarily of $1.90 billion of repayments of debt, which included the prepayment of the 2024 Term Loan A and the 2025 Term Loan A borrowings, $513 million for payments of dividends to shareholders, $300 million for the acquisition of 3.2 million shares of our common stock under our share repurchase authorization, and $149 million of payments on equipment purchase contracts, partially offset by approximately $1.00 billion of proceeds from the issuance of the 2031 Notes.</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For 2023, net cash provided by financing activities consisted primarily of $3.20 billion of proceeds from our 2025, 2026, and 2027 Term Loan A borrowings, $1.27 billion from the issuance of the 2029 B Notes, $ 896 million from the issuance of the 2033 B Notes, $749 million from the issuance of the 2033 A Notes, and $599 million from the issuance of the 2028 Notes. Cash used for financing activities included $761 million for repayments of debt, $504 million for payments of dividends to shareholders, $425 million for the acquisition of 8.6 million shares of our common stock under our share repurchase authorization, and $138 million of payments on equipment purchase contracts.</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Critical Accounting Estimates</w:t>
      </w:r>
    </w:p>
    <w:p>
      <w:pPr>
        <w:spacing w:after="0" w:line="249"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3"/>
          <w:szCs w:val="13"/>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8" w:name="page59"/>
    <w:bookmarkEnd w:id="5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the possibility of losses from various contingencies. Significant judgment is necessary to estimate the probability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potential losses. An accrual is made when a potential loss is both probable and reasonably estimable. When accounting for the resolution of contingencies, significant judgment may be necessary to determine whether losses pertain to previous, current, or future periods impacting the recognition timing to results of operations.</w:t>
      </w:r>
    </w:p>
    <w:p>
      <w:pPr>
        <w:spacing w:after="0" w:line="200"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b w:val="1"/>
          <w:bCs w:val="1"/>
          <w:i w:val="1"/>
          <w:iCs w:val="1"/>
          <w:color w:val="auto"/>
        </w:rPr>
        <w:t xml:space="preserve">Goodwill: </w:t>
      </w:r>
      <w:r>
        <w:rPr>
          <w:rFonts w:ascii="Arial" w:cs="Arial" w:eastAsia="Arial" w:hAnsi="Arial"/>
          <w:sz w:val="14"/>
          <w:szCs w:val="14"/>
          <w:color w:val="auto"/>
        </w:rPr>
        <w:t>We test goodwill for impairment in our fourth quarter each year, or more frequently if indicators of an impairment exist, to determine whether 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quantitative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former Storage Business Unit reporting unit based on our quantitative assessment for impairment. As a result of reorganizing our segments in the fourth quarter of 2025, we performed a quantitative goodwill impairment assessment for each of our reporting units immediately before and after our business unit reorganization. We concluded based on both our pre- and post-reorganization impairment tests that goodwill was not impaired.</w:t>
      </w:r>
    </w:p>
    <w:p>
      <w:pPr>
        <w:spacing w:after="0" w:line="367"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 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of our reporting units to our market capitalization.</w:t>
      </w:r>
    </w:p>
    <w:p>
      <w:pPr>
        <w:spacing w:after="0" w:line="182"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b w:val="1"/>
          <w:bCs w:val="1"/>
          <w:i w:val="1"/>
          <w:iCs w:val="1"/>
          <w:color w:val="auto"/>
        </w:rPr>
        <w:t xml:space="preserve">Government incentives: </w:t>
      </w:r>
      <w:r>
        <w:rPr>
          <w:rFonts w:ascii="Arial" w:cs="Arial" w:eastAsia="Arial" w:hAnsi="Arial"/>
          <w:sz w:val="16"/>
          <w:szCs w:val="16"/>
          <w:color w:val="auto"/>
        </w:rPr>
        <w:t>We receive incentives from governmental entities related to capital expenditures, expenses, and other activities.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incentives we receive may require that we meet or maintain specified spending levels and other operational metrics and may be subject to reimbursement if such conditions are not met or maintained. Failure to comply with these terms and conditions could result in termination of incentive programs or clawbacks of incentive amounts received.</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Incentives related to specific operating activities are offset against the related expense in the period the expense is incurred. For each project, we estimate the total expected project costs and recognize a proportionate benefit as qualified project costs are incurred. As the estimated total expected qualified project cost changes, we adjust our estimate of the recognized proportionate benefit.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9" w:name="page60"/>
    <w:bookmarkEnd w:id="5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are required to estimate our provision for income taxes and amounts ultimately payable or recoverable in numerous tax jurisdictions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an assessment of our performance and other relevant factors. Realization of deferred tax assets is dependent on our ability to generate future taxable income. Our income tax provision or benefit is dependent, in part, on our ability to forecast future taxable income in Japan, Malaysia, the United States,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0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cost or net realizable value, with cost being determined on a first-in, first-out (“FIFO”) basis.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and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$750 million as of August 28, 2025.</w:t>
      </w:r>
    </w:p>
    <w:p>
      <w:pPr>
        <w:spacing w:after="0" w:line="208"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0" w:lineRule="exact"/>
        <w:rPr>
          <w:sz w:val="20"/>
          <w:szCs w:val="20"/>
          <w:color w:val="auto"/>
        </w:rPr>
      </w:pPr>
    </w:p>
    <w:p>
      <w:pPr>
        <w:ind w:right="300"/>
        <w:spacing w:after="0" w:line="279" w:lineRule="auto"/>
        <w:rPr>
          <w:sz w:val="20"/>
          <w:szCs w:val="20"/>
          <w:color w:val="auto"/>
        </w:rPr>
      </w:pPr>
      <w:r>
        <w:rPr>
          <w:rFonts w:ascii="Arial" w:cs="Arial" w:eastAsia="Arial" w:hAnsi="Arial"/>
          <w:sz w:val="14"/>
          <w:szCs w:val="14"/>
          <w:b w:val="1"/>
          <w:bCs w:val="1"/>
          <w:i w:val="1"/>
          <w:iCs w:val="1"/>
          <w:color w:val="auto"/>
        </w:rPr>
        <w:t xml:space="preserve">Property, plant, and equipment: </w:t>
      </w:r>
      <w:r>
        <w:rPr>
          <w:rFonts w:ascii="Arial" w:cs="Arial" w:eastAsia="Arial" w:hAnsi="Arial"/>
          <w:sz w:val="14"/>
          <w:szCs w:val="14"/>
          <w:color w:val="auto"/>
        </w:rPr>
        <w:t>We periodically assess the estimated useful lives of our property, plant, and equipment based on technology node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pacing w:after="0" w:line="17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 xml:space="preserve">Revenue recognition: </w:t>
      </w:r>
      <w:r>
        <w:rPr>
          <w:rFonts w:ascii="Arial" w:cs="Arial" w:eastAsia="Arial" w:hAnsi="Arial"/>
          <w:sz w:val="14"/>
          <w:szCs w:val="14"/>
          <w:color w:val="auto"/>
        </w:rPr>
        <w:t>Revenue is primarily recognized at a point in time when control of the promised goods is transferred to our customers in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amount that reflects the consideration we expect to be entitled to in exchange for those goods. Contracts with our customers are generally short -term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0" w:name="page61"/>
    <w:bookmarkEnd w:id="6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Recently Adopted Accounting Standards</w:t>
      </w:r>
    </w:p>
    <w:p>
      <w:pPr>
        <w:spacing w:after="0" w:line="249" w:lineRule="exact"/>
        <w:rPr>
          <w:sz w:val="20"/>
          <w:szCs w:val="20"/>
          <w:color w:val="auto"/>
        </w:rPr>
      </w:pPr>
    </w:p>
    <w:p>
      <w:pPr>
        <w:ind w:right="720"/>
        <w:spacing w:after="0" w:line="262" w:lineRule="auto"/>
        <w:rPr>
          <w:sz w:val="20"/>
          <w:szCs w:val="20"/>
          <w:color w:val="auto"/>
        </w:rPr>
      </w:pPr>
      <w:r>
        <w:rPr>
          <w:rFonts w:ascii="Arial" w:cs="Arial" w:eastAsia="Arial" w:hAnsi="Arial"/>
          <w:sz w:val="16"/>
          <w:szCs w:val="16"/>
          <w:color w:val="auto"/>
        </w:rPr>
        <w:t>See Item 8. Financial Statements and Supplementary Data, Notes to Consolidated Financial Statements, Note 2. Recently Adopted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Recently Issued Accounting Standards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See Item 8. Financial Statements and Supplementary Data, Notes to Consolidated Financial Statements, Note 3. Recently Issued Accounting Standards.</w:t>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4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We are exposed to interest rate risk related to our indebtedness and our investment portfolio, and as a result, the fair value of our debt fluctuates with changes in market interest rates. As of August 28, 2025 and August 29, 2024, we had fixed-rate debt with an aggregate carrying value of $10.55 billion and $8.52 billion, respectively. We estimate that, as of August 28, 2025 and August 29, 2024, a hypothetical 1% decrease in market interest rates would increase the fair value of our fixed-rate debt by approximately $660 million and $520 million, respectively.</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Interest rate risk related to our investment portfolio is managed by primarily investing in shorter term securities. We estimate that, as of August 28, 2025 and August 29, 2024, a hypothetical 1% increase in interest rates would decrease the fair value of our portfolio by approximately $20 million. Such impact would only be realized if investments were sold prior to maturity.</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As of August 28, 2025, we had floating rate debt with an aggregate principal amount of $984 million, and as of August 29, 2024, we had floating -rate debt and fixed-rate debt that was swapped to floating-rate debt with an aggregate principal amount of $2.89 billion. A hypothetical 1% increase in the interest rates of this debt would result in an increase in annual interest expense of $10 million and $29 million as of August 28, 2025 and August 29, 2024,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Foreign Currency Exchange Rate Risk</w:t>
      </w:r>
    </w:p>
    <w:p>
      <w:pPr>
        <w:spacing w:after="0" w:line="228"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information in this section should be read in conjunction with the information related to changes in the currency exchange rates in Part I, Item 1A. Risk Factors, “Risks Related to Capitalization and Financial Markets—Changes in foreign currency exchange rates could materially adversely affect our business, results of operations, or financial condition.”</w:t>
      </w:r>
    </w:p>
    <w:p>
      <w:pPr>
        <w:spacing w:after="0" w:line="198"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Canadian dollar, Chinese yuan, euro, Indian rupee, Japanese yen, Malaysian ringgit, New Taiwan dollar, and Singapore dollar. We have established currency risk management programs for our monetary assets and liabilities, investments in debt instruments, and forecasted future cash flows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1" w:name="page62"/>
    <w:bookmarkEnd w:id="61"/>
    <w:p>
      <w:pPr>
        <w:ind w:left="9360"/>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Based on monetary assets and liabilities and investments in debt instruments denominated in foreign currencies, we estimate that a hypothetical 10% adverse change in exchange rates versus the U.S. dollar would result in losses of approximately $572 million as of August 28, 2025, and $480 million as of August 29, 2024.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We may also hedge currency risk arising from foreign currency-denominated investments in debt instruments with currency forward contracts that generally mature within one year.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Notes to Consolidated Financial Statements, Note 17. Derivative Instruments.</w:t>
      </w:r>
    </w:p>
    <w:p>
      <w:pPr>
        <w:spacing w:after="0" w:line="200" w:lineRule="exact"/>
        <w:rPr>
          <w:sz w:val="20"/>
          <w:szCs w:val="20"/>
          <w:color w:val="auto"/>
        </w:rPr>
      </w:pPr>
    </w:p>
    <w:p>
      <w:pPr>
        <w:spacing w:after="0" w:line="21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280" w:type="dxa"/>
            <w:vAlign w:val="bottom"/>
            <w:gridSpan w:val="3"/>
          </w:tcPr>
          <w:p>
            <w:pPr>
              <w:ind w:left="106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856"/>
        </w:trPr>
        <w:tc>
          <w:tcPr>
            <w:tcW w:w="8300" w:type="dxa"/>
            <w:vAlign w:val="bottom"/>
          </w:tcPr>
          <w:p>
            <w:pPr>
              <w:spacing w:after="0"/>
              <w:rPr>
                <w:sz w:val="20"/>
                <w:szCs w:val="20"/>
                <w:color w:val="auto"/>
              </w:rPr>
            </w:pPr>
            <w:r>
              <w:rPr>
                <w:rFonts w:ascii="Arial" w:cs="Arial" w:eastAsia="Arial" w:hAnsi="Arial"/>
                <w:sz w:val="23"/>
                <w:szCs w:val="23"/>
                <w:b w:val="1"/>
                <w:bCs w:val="1"/>
                <w:color w:val="auto"/>
              </w:rPr>
              <w:t>ITEM 8. FINANCIAL STATEMENTS AND SUPPLEMENTARY DATA</w:t>
            </w:r>
          </w:p>
        </w:tc>
        <w:tc>
          <w:tcPr>
            <w:tcW w:w="106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624"/>
        </w:trPr>
        <w:tc>
          <w:tcPr>
            <w:tcW w:w="8300" w:type="dxa"/>
            <w:vAlign w:val="bottom"/>
            <w:tcBorders>
              <w:bottom w:val="single" w:sz="8" w:color="auto"/>
            </w:tcBorders>
          </w:tcPr>
          <w:p>
            <w:pPr>
              <w:spacing w:after="0"/>
              <w:rPr>
                <w:sz w:val="20"/>
                <w:szCs w:val="20"/>
                <w:color w:val="auto"/>
              </w:rPr>
            </w:pPr>
            <w:r>
              <w:rPr>
                <w:rFonts w:ascii="Arial" w:cs="Arial" w:eastAsia="Arial" w:hAnsi="Arial"/>
                <w:sz w:val="35"/>
                <w:szCs w:val="35"/>
                <w:b w:val="1"/>
                <w:bCs w:val="1"/>
                <w:color w:val="auto"/>
              </w:rPr>
              <w:t>Index to Consolidated Financial Statements</w:t>
            </w:r>
          </w:p>
        </w:tc>
        <w:tc>
          <w:tcPr>
            <w:tcW w:w="1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8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8300" w:type="dxa"/>
            <w:vAlign w:val="bottom"/>
            <w:shd w:val="clear" w:color="auto" w:fill="D1D2D4"/>
          </w:tcPr>
          <w:p>
            <w:pPr>
              <w:ind w:left="20"/>
              <w:spacing w:after="0"/>
              <w:rPr>
                <w:rFonts w:ascii="Arial" w:cs="Arial" w:eastAsia="Arial" w:hAnsi="Arial"/>
                <w:sz w:val="16"/>
                <w:szCs w:val="16"/>
                <w:color w:val="auto"/>
              </w:rPr>
            </w:pPr>
            <w:hyperlink w:anchor="page63">
              <w:r>
                <w:rPr>
                  <w:rFonts w:ascii="Arial" w:cs="Arial" w:eastAsia="Arial" w:hAnsi="Arial"/>
                  <w:sz w:val="16"/>
                  <w:szCs w:val="16"/>
                  <w:color w:val="auto"/>
                </w:rPr>
                <w:t>Consolidated Statements of Operations</w:t>
              </w:r>
            </w:hyperlink>
          </w:p>
        </w:tc>
        <w:tc>
          <w:tcPr>
            <w:tcW w:w="2260" w:type="dxa"/>
            <w:vAlign w:val="bottom"/>
            <w:gridSpan w:val="2"/>
            <w:shd w:val="clear" w:color="auto" w:fill="D1D2D4"/>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64</w:t>
              </w:r>
            </w:hyperlink>
          </w:p>
        </w:tc>
        <w:tc>
          <w:tcPr>
            <w:tcW w:w="20" w:type="dxa"/>
            <w:vAlign w:val="bottom"/>
          </w:tcPr>
          <w:p>
            <w:pPr>
              <w:spacing w:after="0"/>
              <w:rPr>
                <w:sz w:val="17"/>
                <w:szCs w:val="17"/>
                <w:color w:val="auto"/>
              </w:rPr>
            </w:pPr>
          </w:p>
        </w:tc>
      </w:tr>
      <w:tr>
        <w:trPr>
          <w:trHeight w:val="204"/>
        </w:trPr>
        <w:tc>
          <w:tcPr>
            <w:tcW w:w="8300" w:type="dxa"/>
            <w:vAlign w:val="bottom"/>
          </w:tcPr>
          <w:p>
            <w:pPr>
              <w:ind w:left="20"/>
              <w:spacing w:after="0"/>
              <w:rPr>
                <w:rFonts w:ascii="Arial" w:cs="Arial" w:eastAsia="Arial" w:hAnsi="Arial"/>
                <w:sz w:val="16"/>
                <w:szCs w:val="16"/>
                <w:color w:val="auto"/>
              </w:rPr>
            </w:pPr>
            <w:hyperlink w:anchor="page64">
              <w:r>
                <w:rPr>
                  <w:rFonts w:ascii="Arial" w:cs="Arial" w:eastAsia="Arial" w:hAnsi="Arial"/>
                  <w:sz w:val="16"/>
                  <w:szCs w:val="16"/>
                  <w:color w:val="auto"/>
                </w:rPr>
                <w:t xml:space="preserve">Consolidated Statements of Comprehensive Income </w:t>
              </w:r>
            </w:hyperlink>
            <w:r>
              <w:rPr>
                <w:rFonts w:ascii="Arial" w:cs="Arial" w:eastAsia="Arial" w:hAnsi="Arial"/>
                <w:sz w:val="16"/>
                <w:szCs w:val="16"/>
                <w:color w:val="auto"/>
              </w:rPr>
              <w:t>(Loss)</w:t>
            </w:r>
          </w:p>
        </w:tc>
        <w:tc>
          <w:tcPr>
            <w:tcW w:w="2260" w:type="dxa"/>
            <w:vAlign w:val="bottom"/>
            <w:gridSpan w:val="2"/>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65</w:t>
              </w:r>
            </w:hyperlink>
          </w:p>
        </w:tc>
        <w:tc>
          <w:tcPr>
            <w:tcW w:w="20" w:type="dxa"/>
            <w:vAlign w:val="bottom"/>
          </w:tcPr>
          <w:p>
            <w:pPr>
              <w:spacing w:after="0"/>
              <w:rPr>
                <w:sz w:val="17"/>
                <w:szCs w:val="17"/>
                <w:color w:val="auto"/>
              </w:rPr>
            </w:pPr>
          </w:p>
        </w:tc>
      </w:tr>
      <w:tr>
        <w:trPr>
          <w:trHeight w:val="204"/>
        </w:trPr>
        <w:tc>
          <w:tcPr>
            <w:tcW w:w="8300" w:type="dxa"/>
            <w:vAlign w:val="bottom"/>
            <w:shd w:val="clear" w:color="auto" w:fill="D1D2D4"/>
          </w:tcPr>
          <w:p>
            <w:pPr>
              <w:ind w:left="20"/>
              <w:spacing w:after="0"/>
              <w:rPr>
                <w:rFonts w:ascii="Arial" w:cs="Arial" w:eastAsia="Arial" w:hAnsi="Arial"/>
                <w:sz w:val="16"/>
                <w:szCs w:val="16"/>
                <w:color w:val="auto"/>
              </w:rPr>
            </w:pPr>
            <w:hyperlink w:anchor="page65">
              <w:r>
                <w:rPr>
                  <w:rFonts w:ascii="Arial" w:cs="Arial" w:eastAsia="Arial" w:hAnsi="Arial"/>
                  <w:sz w:val="16"/>
                  <w:szCs w:val="16"/>
                  <w:color w:val="auto"/>
                </w:rPr>
                <w:t>Consolidated Balance Sheets</w:t>
              </w:r>
            </w:hyperlink>
          </w:p>
        </w:tc>
        <w:tc>
          <w:tcPr>
            <w:tcW w:w="2260" w:type="dxa"/>
            <w:vAlign w:val="bottom"/>
            <w:gridSpan w:val="2"/>
            <w:shd w:val="clear" w:color="auto" w:fill="D1D2D4"/>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66</w:t>
              </w:r>
            </w:hyperlink>
          </w:p>
        </w:tc>
        <w:tc>
          <w:tcPr>
            <w:tcW w:w="20" w:type="dxa"/>
            <w:vAlign w:val="bottom"/>
          </w:tcPr>
          <w:p>
            <w:pPr>
              <w:spacing w:after="0"/>
              <w:rPr>
                <w:sz w:val="17"/>
                <w:szCs w:val="17"/>
                <w:color w:val="auto"/>
              </w:rPr>
            </w:pPr>
          </w:p>
        </w:tc>
      </w:tr>
      <w:tr>
        <w:trPr>
          <w:trHeight w:val="204"/>
        </w:trPr>
        <w:tc>
          <w:tcPr>
            <w:tcW w:w="8300" w:type="dxa"/>
            <w:vAlign w:val="bottom"/>
          </w:tcPr>
          <w:p>
            <w:pPr>
              <w:ind w:left="20"/>
              <w:spacing w:after="0"/>
              <w:rPr>
                <w:rFonts w:ascii="Arial" w:cs="Arial" w:eastAsia="Arial" w:hAnsi="Arial"/>
                <w:sz w:val="16"/>
                <w:szCs w:val="16"/>
                <w:color w:val="auto"/>
              </w:rPr>
            </w:pPr>
            <w:hyperlink w:anchor="page66">
              <w:r>
                <w:rPr>
                  <w:rFonts w:ascii="Arial" w:cs="Arial" w:eastAsia="Arial" w:hAnsi="Arial"/>
                  <w:sz w:val="16"/>
                  <w:szCs w:val="16"/>
                  <w:color w:val="auto"/>
                </w:rPr>
                <w:t>Consolidated Statements of Changes in Equity</w:t>
              </w:r>
            </w:hyperlink>
          </w:p>
        </w:tc>
        <w:tc>
          <w:tcPr>
            <w:tcW w:w="2260" w:type="dxa"/>
            <w:vAlign w:val="bottom"/>
            <w:gridSpan w:val="2"/>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67</w:t>
              </w:r>
            </w:hyperlink>
          </w:p>
        </w:tc>
        <w:tc>
          <w:tcPr>
            <w:tcW w:w="20" w:type="dxa"/>
            <w:vAlign w:val="bottom"/>
          </w:tcPr>
          <w:p>
            <w:pPr>
              <w:spacing w:after="0"/>
              <w:rPr>
                <w:sz w:val="17"/>
                <w:szCs w:val="17"/>
                <w:color w:val="auto"/>
              </w:rPr>
            </w:pPr>
          </w:p>
        </w:tc>
      </w:tr>
      <w:tr>
        <w:trPr>
          <w:trHeight w:val="204"/>
        </w:trPr>
        <w:tc>
          <w:tcPr>
            <w:tcW w:w="8300" w:type="dxa"/>
            <w:vAlign w:val="bottom"/>
            <w:shd w:val="clear" w:color="auto" w:fill="D1D2D4"/>
          </w:tcPr>
          <w:p>
            <w:pPr>
              <w:ind w:left="20"/>
              <w:spacing w:after="0"/>
              <w:rPr>
                <w:rFonts w:ascii="Arial" w:cs="Arial" w:eastAsia="Arial" w:hAnsi="Arial"/>
                <w:sz w:val="16"/>
                <w:szCs w:val="16"/>
                <w:color w:val="auto"/>
              </w:rPr>
            </w:pPr>
            <w:hyperlink w:anchor="page67">
              <w:r>
                <w:rPr>
                  <w:rFonts w:ascii="Arial" w:cs="Arial" w:eastAsia="Arial" w:hAnsi="Arial"/>
                  <w:sz w:val="16"/>
                  <w:szCs w:val="16"/>
                  <w:color w:val="auto"/>
                </w:rPr>
                <w:t>Consolidated Statements of Cash Flows</w:t>
              </w:r>
            </w:hyperlink>
          </w:p>
        </w:tc>
        <w:tc>
          <w:tcPr>
            <w:tcW w:w="2260" w:type="dxa"/>
            <w:vAlign w:val="bottom"/>
            <w:gridSpan w:val="2"/>
            <w:shd w:val="clear" w:color="auto" w:fill="D1D2D4"/>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68</w:t>
              </w:r>
            </w:hyperlink>
          </w:p>
        </w:tc>
        <w:tc>
          <w:tcPr>
            <w:tcW w:w="20" w:type="dxa"/>
            <w:vAlign w:val="bottom"/>
          </w:tcPr>
          <w:p>
            <w:pPr>
              <w:spacing w:after="0"/>
              <w:rPr>
                <w:sz w:val="17"/>
                <w:szCs w:val="17"/>
                <w:color w:val="auto"/>
              </w:rPr>
            </w:pPr>
          </w:p>
        </w:tc>
      </w:tr>
      <w:tr>
        <w:trPr>
          <w:trHeight w:val="204"/>
        </w:trPr>
        <w:tc>
          <w:tcPr>
            <w:tcW w:w="8300" w:type="dxa"/>
            <w:vAlign w:val="bottom"/>
          </w:tcPr>
          <w:p>
            <w:pPr>
              <w:ind w:left="20"/>
              <w:spacing w:after="0"/>
              <w:rPr>
                <w:rFonts w:ascii="Arial" w:cs="Arial" w:eastAsia="Arial" w:hAnsi="Arial"/>
                <w:sz w:val="16"/>
                <w:szCs w:val="16"/>
                <w:color w:val="auto"/>
              </w:rPr>
            </w:pPr>
            <w:hyperlink w:anchor="page68">
              <w:r>
                <w:rPr>
                  <w:rFonts w:ascii="Arial" w:cs="Arial" w:eastAsia="Arial" w:hAnsi="Arial"/>
                  <w:sz w:val="16"/>
                  <w:szCs w:val="16"/>
                  <w:color w:val="auto"/>
                </w:rPr>
                <w:t>Notes to Consolidated Financial Statements</w:t>
              </w:r>
            </w:hyperlink>
          </w:p>
        </w:tc>
        <w:tc>
          <w:tcPr>
            <w:tcW w:w="2260" w:type="dxa"/>
            <w:vAlign w:val="bottom"/>
            <w:gridSpan w:val="2"/>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69</w:t>
              </w:r>
            </w:hyperlink>
          </w:p>
        </w:tc>
        <w:tc>
          <w:tcPr>
            <w:tcW w:w="20" w:type="dxa"/>
            <w:vAlign w:val="bottom"/>
          </w:tcPr>
          <w:p>
            <w:pPr>
              <w:spacing w:after="0"/>
              <w:rPr>
                <w:sz w:val="17"/>
                <w:szCs w:val="17"/>
                <w:color w:val="auto"/>
              </w:rPr>
            </w:pPr>
          </w:p>
        </w:tc>
      </w:tr>
      <w:tr>
        <w:trPr>
          <w:trHeight w:val="204"/>
        </w:trPr>
        <w:tc>
          <w:tcPr>
            <w:tcW w:w="8300" w:type="dxa"/>
            <w:vAlign w:val="bottom"/>
            <w:shd w:val="clear" w:color="auto" w:fill="D1D2D4"/>
          </w:tcPr>
          <w:p>
            <w:pPr>
              <w:ind w:left="20"/>
              <w:spacing w:after="0"/>
              <w:rPr>
                <w:rFonts w:ascii="Arial" w:cs="Arial" w:eastAsia="Arial" w:hAnsi="Arial"/>
                <w:sz w:val="16"/>
                <w:szCs w:val="16"/>
                <w:color w:val="auto"/>
              </w:rPr>
            </w:pPr>
            <w:hyperlink w:anchor="page98">
              <w:r>
                <w:rPr>
                  <w:rFonts w:ascii="Arial" w:cs="Arial" w:eastAsia="Arial" w:hAnsi="Arial"/>
                  <w:sz w:val="16"/>
                  <w:szCs w:val="16"/>
                  <w:color w:val="auto"/>
                </w:rPr>
                <w:t>Report of Independent Registered Public Accounting Firm (PCAOB ID 238)</w:t>
              </w:r>
            </w:hyperlink>
          </w:p>
        </w:tc>
        <w:tc>
          <w:tcPr>
            <w:tcW w:w="2260" w:type="dxa"/>
            <w:vAlign w:val="bottom"/>
            <w:gridSpan w:val="2"/>
            <w:shd w:val="clear" w:color="auto" w:fill="D1D2D4"/>
          </w:tcPr>
          <w:p>
            <w:pPr>
              <w:jc w:val="right"/>
              <w:spacing w:after="0"/>
              <w:rPr>
                <w:rFonts w:ascii="Arial" w:cs="Arial" w:eastAsia="Arial" w:hAnsi="Arial"/>
                <w:sz w:val="16"/>
                <w:szCs w:val="16"/>
                <w:color w:val="auto"/>
              </w:rPr>
            </w:pPr>
            <w:hyperlink w:anchor="page98">
              <w:r>
                <w:rPr>
                  <w:rFonts w:ascii="Arial" w:cs="Arial" w:eastAsia="Arial" w:hAnsi="Arial"/>
                  <w:sz w:val="16"/>
                  <w:szCs w:val="16"/>
                  <w:color w:val="auto"/>
                </w:rPr>
                <w:t>99</w:t>
              </w:r>
            </w:hyperlink>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937"/>
        </w:trPr>
        <w:tc>
          <w:tcPr>
            <w:tcW w:w="6660" w:type="dxa"/>
            <w:vAlign w:val="bottom"/>
          </w:tcPr>
          <w:p>
            <w:pPr>
              <w:spacing w:after="0"/>
              <w:rPr>
                <w:sz w:val="20"/>
                <w:szCs w:val="20"/>
                <w:color w:val="auto"/>
              </w:rPr>
            </w:pPr>
            <w:r>
              <w:rPr>
                <w:rFonts w:ascii="Arial" w:cs="Arial" w:eastAsia="Arial" w:hAnsi="Arial"/>
                <w:sz w:val="35"/>
                <w:szCs w:val="35"/>
                <w:b w:val="1"/>
                <w:bCs w:val="1"/>
                <w:color w:val="auto"/>
              </w:rPr>
              <w:t>Micron Technology,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660" w:type="dxa"/>
            <w:vAlign w:val="bottom"/>
          </w:tcPr>
          <w:p>
            <w:pPr>
              <w:spacing w:after="0"/>
              <w:rPr>
                <w:sz w:val="20"/>
                <w:szCs w:val="20"/>
                <w:color w:val="auto"/>
              </w:rPr>
            </w:pPr>
            <w:r>
              <w:rPr>
                <w:rFonts w:ascii="Arial" w:cs="Arial" w:eastAsia="Arial" w:hAnsi="Arial"/>
                <w:sz w:val="35"/>
                <w:szCs w:val="35"/>
                <w:b w:val="1"/>
                <w:bCs w:val="1"/>
                <w:color w:val="auto"/>
              </w:rPr>
              <w:t>Consolidated Statements of Operations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660" w:type="dxa"/>
            <w:vAlign w:val="bottom"/>
          </w:tcPr>
          <w:p>
            <w:pPr>
              <w:spacing w:after="0"/>
              <w:rPr>
                <w:sz w:val="20"/>
                <w:szCs w:val="20"/>
                <w:color w:val="auto"/>
              </w:rPr>
            </w:pPr>
            <w:r>
              <w:rPr>
                <w:rFonts w:ascii="Arial" w:cs="Arial" w:eastAsia="Arial" w:hAnsi="Arial"/>
                <w:sz w:val="16"/>
                <w:szCs w:val="16"/>
                <w:color w:val="auto"/>
              </w:rPr>
              <w:t>(In millions, except per share amounts)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60" w:type="dxa"/>
            <w:vAlign w:val="bottom"/>
          </w:tcPr>
          <w:p>
            <w:pPr>
              <w:spacing w:after="0"/>
              <w:rPr>
                <w:sz w:val="14"/>
                <w:szCs w:val="14"/>
                <w:color w:val="auto"/>
              </w:rPr>
            </w:pPr>
          </w:p>
        </w:tc>
        <w:tc>
          <w:tcPr>
            <w:tcW w:w="1120" w:type="dxa"/>
            <w:vAlign w:val="bottom"/>
          </w:tcPr>
          <w:p>
            <w:pPr>
              <w:jc w:val="right"/>
              <w:ind w:right="162"/>
              <w:spacing w:after="0" w:line="166" w:lineRule="exact"/>
              <w:rPr>
                <w:sz w:val="20"/>
                <w:szCs w:val="20"/>
                <w:color w:val="auto"/>
              </w:rPr>
            </w:pPr>
            <w:r>
              <w:rPr>
                <w:rFonts w:ascii="Arial" w:cs="Arial" w:eastAsia="Arial" w:hAnsi="Arial"/>
                <w:sz w:val="16"/>
                <w:szCs w:val="16"/>
                <w:b w:val="1"/>
                <w:bCs w:val="1"/>
                <w:color w:val="auto"/>
              </w:rPr>
              <w:t>August 28,</w:t>
            </w:r>
          </w:p>
        </w:tc>
        <w:tc>
          <w:tcPr>
            <w:tcW w:w="180" w:type="dxa"/>
            <w:vAlign w:val="bottom"/>
          </w:tcPr>
          <w:p>
            <w:pPr>
              <w:spacing w:after="0"/>
              <w:rPr>
                <w:sz w:val="14"/>
                <w:szCs w:val="14"/>
                <w:color w:val="auto"/>
              </w:rPr>
            </w:pPr>
          </w:p>
        </w:tc>
        <w:tc>
          <w:tcPr>
            <w:tcW w:w="1140" w:type="dxa"/>
            <w:vAlign w:val="bottom"/>
          </w:tcPr>
          <w:p>
            <w:pPr>
              <w:jc w:val="right"/>
              <w:ind w:right="182"/>
              <w:spacing w:after="0" w:line="166" w:lineRule="exact"/>
              <w:rPr>
                <w:sz w:val="20"/>
                <w:szCs w:val="20"/>
                <w:color w:val="auto"/>
              </w:rPr>
            </w:pPr>
            <w:r>
              <w:rPr>
                <w:rFonts w:ascii="Arial" w:cs="Arial" w:eastAsia="Arial" w:hAnsi="Arial"/>
                <w:sz w:val="16"/>
                <w:szCs w:val="16"/>
                <w:b w:val="1"/>
                <w:bCs w:val="1"/>
                <w:color w:val="auto"/>
              </w:rPr>
              <w:t>August 29,</w:t>
            </w:r>
          </w:p>
        </w:tc>
        <w:tc>
          <w:tcPr>
            <w:tcW w:w="100" w:type="dxa"/>
            <w:vAlign w:val="bottom"/>
          </w:tcPr>
          <w:p>
            <w:pPr>
              <w:spacing w:after="0"/>
              <w:rPr>
                <w:sz w:val="14"/>
                <w:szCs w:val="14"/>
                <w:color w:val="auto"/>
              </w:rPr>
            </w:pPr>
          </w:p>
        </w:tc>
        <w:tc>
          <w:tcPr>
            <w:tcW w:w="1220" w:type="dxa"/>
            <w:vAlign w:val="bottom"/>
            <w:gridSpan w:val="2"/>
          </w:tcPr>
          <w:p>
            <w:pPr>
              <w:ind w:left="160"/>
              <w:spacing w:after="0" w:line="166"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04"/>
        </w:trPr>
        <w:tc>
          <w:tcPr>
            <w:tcW w:w="66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37,378</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25,111</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22,505</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19,498</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D1D2D4"/>
          </w:tcPr>
          <w:p>
            <w:pPr>
              <w:ind w:left="200"/>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14,873</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5,613</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3,798</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1,205</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Restructure and asset impairments</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operating (income) expense,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D1D2D4"/>
          </w:tcPr>
          <w:p>
            <w:pPr>
              <w:ind w:left="20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9,770</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(477)</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non-operating income (expense), net</w:t>
            </w:r>
          </w:p>
        </w:tc>
        <w:tc>
          <w:tcPr>
            <w:tcW w:w="16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shd w:val="clear" w:color="auto" w:fill="D1D2D4"/>
          </w:tcPr>
          <w:p>
            <w:pPr>
              <w:spacing w:after="0"/>
              <w:rPr>
                <w:sz w:val="17"/>
                <w:szCs w:val="17"/>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9,654</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16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shd w:val="clear" w:color="auto" w:fill="D1D2D4"/>
          </w:tcPr>
          <w:p>
            <w:pPr>
              <w:spacing w:after="0"/>
              <w:rPr>
                <w:sz w:val="17"/>
                <w:szCs w:val="17"/>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1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7.65</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7.59</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Number of shares used in per share calculations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D1D2D4"/>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1,116</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60" w:type="dxa"/>
            <w:vAlign w:val="bottom"/>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1,125</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64" w:name="page65"/>
    <w:bookmarkEnd w:id="6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Micron Technology, Inc.</w:t>
      </w:r>
    </w:p>
    <w:p>
      <w:pPr>
        <w:spacing w:after="0" w:line="4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Consolidated Statements of Comprehensive Income (Loss)</w:t>
      </w:r>
    </w:p>
    <w:tbl>
      <w:tblPr>
        <w:tblLayout w:type="fixed"/>
        <w:tblInd w:w="0" w:type="dxa"/>
        <w:tblCellMar>
          <w:top w:w="0" w:type="dxa"/>
          <w:left w:w="0" w:type="dxa"/>
          <w:bottom w:w="0" w:type="dxa"/>
          <w:right w:w="0" w:type="dxa"/>
        </w:tblCellMar>
      </w:tblPr>
      <w:tr>
        <w:trPr>
          <w:trHeight w:val="200"/>
        </w:trPr>
        <w:tc>
          <w:tcPr>
            <w:tcW w:w="6720" w:type="dxa"/>
            <w:vAlign w:val="bottom"/>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3"/>
                <w:szCs w:val="13"/>
                <w:color w:val="auto"/>
              </w:rPr>
            </w:pPr>
          </w:p>
        </w:tc>
        <w:tc>
          <w:tcPr>
            <w:tcW w:w="1080" w:type="dxa"/>
            <w:vAlign w:val="bottom"/>
          </w:tcPr>
          <w:p>
            <w:pPr>
              <w:jc w:val="right"/>
              <w:ind w:right="142"/>
              <w:spacing w:after="0" w:line="158" w:lineRule="exact"/>
              <w:rPr>
                <w:sz w:val="20"/>
                <w:szCs w:val="20"/>
                <w:color w:val="auto"/>
              </w:rPr>
            </w:pPr>
            <w:r>
              <w:rPr>
                <w:rFonts w:ascii="Arial" w:cs="Arial" w:eastAsia="Arial" w:hAnsi="Arial"/>
                <w:sz w:val="16"/>
                <w:szCs w:val="16"/>
                <w:b w:val="1"/>
                <w:bCs w:val="1"/>
                <w:color w:val="auto"/>
              </w:rPr>
              <w:t>August 28,</w:t>
            </w:r>
          </w:p>
        </w:tc>
        <w:tc>
          <w:tcPr>
            <w:tcW w:w="200" w:type="dxa"/>
            <w:vAlign w:val="bottom"/>
          </w:tcPr>
          <w:p>
            <w:pPr>
              <w:spacing w:after="0"/>
              <w:rPr>
                <w:sz w:val="13"/>
                <w:szCs w:val="13"/>
                <w:color w:val="auto"/>
              </w:rPr>
            </w:pPr>
          </w:p>
        </w:tc>
        <w:tc>
          <w:tcPr>
            <w:tcW w:w="1080" w:type="dxa"/>
            <w:vAlign w:val="bottom"/>
          </w:tcPr>
          <w:p>
            <w:pPr>
              <w:jc w:val="right"/>
              <w:ind w:right="142"/>
              <w:spacing w:after="0" w:line="158" w:lineRule="exact"/>
              <w:rPr>
                <w:sz w:val="20"/>
                <w:szCs w:val="20"/>
                <w:color w:val="auto"/>
              </w:rPr>
            </w:pPr>
            <w:r>
              <w:rPr>
                <w:rFonts w:ascii="Arial" w:cs="Arial" w:eastAsia="Arial" w:hAnsi="Arial"/>
                <w:sz w:val="16"/>
                <w:szCs w:val="16"/>
                <w:b w:val="1"/>
                <w:bCs w:val="1"/>
                <w:color w:val="auto"/>
              </w:rPr>
              <w:t>August 29,</w:t>
            </w:r>
          </w:p>
        </w:tc>
        <w:tc>
          <w:tcPr>
            <w:tcW w:w="200" w:type="dxa"/>
            <w:vAlign w:val="bottom"/>
          </w:tcPr>
          <w:p>
            <w:pPr>
              <w:spacing w:after="0"/>
              <w:rPr>
                <w:sz w:val="13"/>
                <w:szCs w:val="13"/>
                <w:color w:val="auto"/>
              </w:rPr>
            </w:pPr>
          </w:p>
        </w:tc>
        <w:tc>
          <w:tcPr>
            <w:tcW w:w="1100" w:type="dxa"/>
            <w:vAlign w:val="bottom"/>
          </w:tcPr>
          <w:p>
            <w:pPr>
              <w:jc w:val="right"/>
              <w:ind w:right="162"/>
              <w:spacing w:after="0" w:line="158"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04"/>
        </w:trPr>
        <w:tc>
          <w:tcPr>
            <w:tcW w:w="6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8,539</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(5,833)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20" w:type="dxa"/>
            <w:vAlign w:val="bottom"/>
          </w:tcPr>
          <w:p>
            <w:pPr>
              <w:ind w:left="120"/>
              <w:spacing w:after="0"/>
              <w:rPr>
                <w:sz w:val="20"/>
                <w:szCs w:val="20"/>
                <w:color w:val="auto"/>
              </w:rPr>
            </w:pPr>
            <w:r>
              <w:rPr>
                <w:rFonts w:ascii="Arial" w:cs="Arial" w:eastAsia="Arial" w:hAnsi="Arial"/>
                <w:sz w:val="16"/>
                <w:szCs w:val="16"/>
                <w:color w:val="auto"/>
              </w:rPr>
              <w:t>Gains (losses) on derivative instruments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4"/>
        </w:trPr>
        <w:tc>
          <w:tcPr>
            <w:tcW w:w="67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Pension liability adjustments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D1D2D4"/>
          </w:tcPr>
          <w:p>
            <w:pPr>
              <w:spacing w:after="0"/>
              <w:rPr>
                <w:sz w:val="17"/>
                <w:szCs w:val="17"/>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4"/>
        </w:trPr>
        <w:tc>
          <w:tcPr>
            <w:tcW w:w="6720" w:type="dxa"/>
            <w:vAlign w:val="bottom"/>
          </w:tcPr>
          <w:p>
            <w:pPr>
              <w:ind w:left="120"/>
              <w:spacing w:after="0"/>
              <w:rPr>
                <w:sz w:val="20"/>
                <w:szCs w:val="20"/>
                <w:color w:val="auto"/>
              </w:rPr>
            </w:pPr>
            <w:r>
              <w:rPr>
                <w:rFonts w:ascii="Arial" w:cs="Arial" w:eastAsia="Arial" w:hAnsi="Arial"/>
                <w:sz w:val="16"/>
                <w:szCs w:val="16"/>
                <w:color w:val="auto"/>
              </w:rPr>
              <w:t>Unrealized gains (losses) on investments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4"/>
        </w:trPr>
        <w:tc>
          <w:tcPr>
            <w:tcW w:w="67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7"/>
                <w:szCs w:val="17"/>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D1D2D4"/>
            </w:tcBorders>
          </w:tcPr>
          <w:p>
            <w:pPr>
              <w:ind w:left="20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Total comprehensive income (loss)</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8,641</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956</w:t>
            </w:r>
          </w:p>
        </w:tc>
        <w:tc>
          <w:tcPr>
            <w:tcW w:w="20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0"/>
        </w:trPr>
        <w:tc>
          <w:tcPr>
            <w:tcW w:w="67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5" w:name="page66"/>
    <w:bookmarkEnd w:id="6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Micron Technology, Inc.</w:t>
      </w:r>
    </w:p>
    <w:p>
      <w:pPr>
        <w:spacing w:after="0" w:line="4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Consolidated Balance Sheets</w:t>
      </w:r>
    </w:p>
    <w:p>
      <w:pPr>
        <w:sectPr>
          <w:pgSz w:w="11900" w:h="16840" w:orient="portrait"/>
          <w:cols w:equalWidth="0" w:num="1">
            <w:col w:w="10580"/>
          </w:cols>
          <w:pgMar w:left="660" w:top="557" w:right="660" w:bottom="1440" w:gutter="0" w:footer="0" w:header="0"/>
        </w:sectPr>
      </w:pPr>
    </w:p>
    <w:p>
      <w:pPr>
        <w:spacing w:after="0"/>
        <w:rPr>
          <w:sz w:val="20"/>
          <w:szCs w:val="20"/>
          <w:color w:val="auto"/>
        </w:rPr>
      </w:pPr>
      <w:r>
        <w:rPr>
          <w:rFonts w:ascii="Arial" w:cs="Arial" w:eastAsia="Arial" w:hAnsi="Arial"/>
          <w:sz w:val="14"/>
          <w:szCs w:val="14"/>
          <w:color w:val="auto"/>
        </w:rPr>
        <w:t>(In millions, except par value amounts)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670750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29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6707505" cy="1295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707505" cy="1295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70750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current assets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marketable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707505" cy="1295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Property, plant, and equipment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707505" cy="129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Intangible assets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707505" cy="129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p>
    <w:p>
      <w:pPr>
        <w:jc w:val="center"/>
        <w:ind w:right="5580"/>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707505" cy="152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58" w:lineRule="exact"/>
        <w:rPr>
          <w:sz w:val="20"/>
          <w:szCs w:val="20"/>
          <w:color w:val="auto"/>
        </w:rPr>
      </w:pPr>
    </w:p>
    <w:p>
      <w:pPr>
        <w:jc w:val="center"/>
        <w:ind w:right="554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August 28,</w:t>
            </w:r>
          </w:p>
        </w:tc>
        <w:tc>
          <w:tcPr>
            <w:tcW w:w="200" w:type="dxa"/>
            <w:vAlign w:val="bottom"/>
          </w:tcPr>
          <w:p>
            <w:pPr>
              <w:spacing w:after="0"/>
              <w:rPr>
                <w:sz w:val="16"/>
                <w:szCs w:val="16"/>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b w:val="1"/>
                <w:bCs w:val="1"/>
                <w:color w:val="auto"/>
              </w:rPr>
              <w:t>August 29,</w:t>
            </w:r>
          </w:p>
        </w:tc>
      </w:tr>
      <w:tr>
        <w:trPr>
          <w:trHeight w:val="215"/>
        </w:trPr>
        <w:tc>
          <w:tcPr>
            <w:tcW w:w="160" w:type="dxa"/>
            <w:vAlign w:val="bottom"/>
          </w:tcPr>
          <w:p>
            <w:pPr>
              <w:spacing w:after="0"/>
              <w:rPr>
                <w:sz w:val="18"/>
                <w:szCs w:val="18"/>
                <w:color w:val="auto"/>
              </w:rPr>
            </w:pPr>
          </w:p>
        </w:tc>
        <w:tc>
          <w:tcPr>
            <w:tcW w:w="1100" w:type="dxa"/>
            <w:vAlign w:val="bottom"/>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1100" w:type="dxa"/>
            <w:vAlign w:val="bottom"/>
          </w:tcPr>
          <w:p>
            <w:pPr>
              <w:jc w:val="right"/>
              <w:ind w:right="382"/>
              <w:spacing w:after="0"/>
              <w:rPr>
                <w:sz w:val="20"/>
                <w:szCs w:val="20"/>
                <w:color w:val="auto"/>
              </w:rPr>
            </w:pPr>
            <w:r>
              <w:rPr>
                <w:rFonts w:ascii="Arial" w:cs="Arial" w:eastAsia="Arial" w:hAnsi="Arial"/>
                <w:sz w:val="16"/>
                <w:szCs w:val="16"/>
                <w:b w:val="1"/>
                <w:bCs w:val="1"/>
                <w:color w:val="auto"/>
              </w:rPr>
              <w:t>2024</w:t>
            </w:r>
          </w:p>
        </w:tc>
      </w:tr>
      <w:tr>
        <w:trPr>
          <w:trHeight w:val="44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9,642</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7,041</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665</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1,065</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9,265</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6,615</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8,355</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8,875</w:t>
            </w:r>
          </w:p>
        </w:tc>
      </w:tr>
      <w:tr>
        <w:trPr>
          <w:trHeight w:val="203"/>
        </w:trPr>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r>
      <w:tr>
        <w:trPr>
          <w:trHeight w:val="197"/>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28,841</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24,372</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1,629</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46,590</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39,749</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736</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04"/>
        </w:trPr>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1,150</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03"/>
        </w:trPr>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2,783</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r>
      <w:tr>
        <w:trPr>
          <w:trHeight w:val="19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82,798</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ectPr>
          <w:pgSz w:w="11900" w:h="16840" w:orient="portrait"/>
          <w:cols w:equalWidth="0" w:num="2">
            <w:col w:w="7280" w:space="720"/>
            <w:col w:w="2580"/>
          </w:cols>
          <w:pgMar w:left="660" w:top="557" w:right="66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0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9,649</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04"/>
        </w:trPr>
        <w:tc>
          <w:tcPr>
            <w:tcW w:w="8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Current debt</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current liabilities</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196"/>
        </w:trPr>
        <w:tc>
          <w:tcPr>
            <w:tcW w:w="80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11,454</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9,248</w:t>
            </w:r>
          </w:p>
        </w:tc>
        <w:tc>
          <w:tcPr>
            <w:tcW w:w="0" w:type="dxa"/>
            <w:vAlign w:val="bottom"/>
          </w:tcPr>
          <w:p>
            <w:pPr>
              <w:spacing w:after="0"/>
              <w:rPr>
                <w:sz w:val="1"/>
                <w:szCs w:val="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14,017</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12,966</w:t>
            </w:r>
          </w:p>
        </w:tc>
        <w:tc>
          <w:tcPr>
            <w:tcW w:w="0" w:type="dxa"/>
            <w:vAlign w:val="bottom"/>
          </w:tcPr>
          <w:p>
            <w:pPr>
              <w:spacing w:after="0"/>
              <w:rPr>
                <w:sz w:val="1"/>
                <w:szCs w:val="1"/>
                <w:color w:val="auto"/>
              </w:rPr>
            </w:pPr>
          </w:p>
        </w:tc>
      </w:tr>
      <w:tr>
        <w:trPr>
          <w:trHeight w:val="204"/>
        </w:trPr>
        <w:tc>
          <w:tcPr>
            <w:tcW w:w="8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701</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Noncurrent unearned government incentives</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1,018</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4"/>
        </w:trPr>
        <w:tc>
          <w:tcPr>
            <w:tcW w:w="8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1,443</w:t>
            </w:r>
          </w:p>
        </w:tc>
        <w:tc>
          <w:tcPr>
            <w:tcW w:w="42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D1D2D4"/>
            </w:tcBorders>
          </w:tcPr>
          <w:p>
            <w:pPr>
              <w:ind w:left="30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24,285</w:t>
            </w:r>
          </w:p>
        </w:tc>
        <w:tc>
          <w:tcPr>
            <w:tcW w:w="0" w:type="dxa"/>
            <w:vAlign w:val="bottom"/>
          </w:tcPr>
          <w:p>
            <w:pPr>
              <w:spacing w:after="0"/>
              <w:rPr>
                <w:sz w:val="1"/>
                <w:szCs w:val="1"/>
                <w:color w:val="auto"/>
              </w:rPr>
            </w:pPr>
          </w:p>
        </w:tc>
      </w:tr>
      <w:tr>
        <w:trPr>
          <w:trHeight w:val="196"/>
        </w:trPr>
        <w:tc>
          <w:tcPr>
            <w:tcW w:w="8000" w:type="dxa"/>
            <w:vAlign w:val="bottom"/>
            <w:shd w:val="clear" w:color="auto" w:fill="D1D2D4"/>
          </w:tcPr>
          <w:p>
            <w:pPr>
              <w:spacing w:after="0"/>
              <w:rPr>
                <w:sz w:val="17"/>
                <w:szCs w:val="17"/>
                <w:color w:val="auto"/>
              </w:rPr>
            </w:pP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D1D2D4"/>
          </w:tcPr>
          <w:p>
            <w:pPr>
              <w:spacing w:after="0"/>
              <w:rPr>
                <w:sz w:val="18"/>
                <w:szCs w:val="18"/>
                <w:color w:val="auto"/>
              </w:rPr>
            </w:pPr>
          </w:p>
        </w:tc>
        <w:tc>
          <w:tcPr>
            <w:tcW w:w="42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42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D1D2D4"/>
          </w:tcPr>
          <w:p>
            <w:pPr>
              <w:ind w:left="200"/>
              <w:spacing w:after="0" w:line="157" w:lineRule="exact"/>
              <w:rPr>
                <w:sz w:val="20"/>
                <w:szCs w:val="20"/>
                <w:color w:val="auto"/>
              </w:rPr>
            </w:pPr>
            <w:r>
              <w:rPr>
                <w:rFonts w:ascii="Arial" w:cs="Arial" w:eastAsia="Arial" w:hAnsi="Arial"/>
                <w:sz w:val="16"/>
                <w:szCs w:val="16"/>
                <w:color w:val="auto"/>
              </w:rPr>
              <w:t>Common stock, $0.10 par value, 3,000 shares authorized, 1,266 shares issued and 1,122 outstanding</w:t>
            </w:r>
          </w:p>
        </w:tc>
        <w:tc>
          <w:tcPr>
            <w:tcW w:w="420" w:type="dxa"/>
            <w:vAlign w:val="bottom"/>
            <w:shd w:val="clear" w:color="auto" w:fill="D1D2D4"/>
          </w:tcPr>
          <w:p>
            <w:pPr>
              <w:spacing w:after="0"/>
              <w:rPr>
                <w:sz w:val="13"/>
                <w:szCs w:val="13"/>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420" w:type="dxa"/>
            <w:vAlign w:val="bottom"/>
            <w:shd w:val="clear" w:color="auto" w:fill="D1D2D4"/>
          </w:tcPr>
          <w:p>
            <w:pPr>
              <w:spacing w:after="0"/>
              <w:rPr>
                <w:sz w:val="13"/>
                <w:szCs w:val="13"/>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80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(1,253 shares issued and 1,109 outstanding as of August 29, 2024)</w:t>
            </w:r>
          </w:p>
        </w:tc>
        <w:tc>
          <w:tcPr>
            <w:tcW w:w="420" w:type="dxa"/>
            <w:vAlign w:val="bottom"/>
            <w:shd w:val="clear" w:color="auto" w:fill="D1D2D4"/>
          </w:tcPr>
          <w:p>
            <w:pPr>
              <w:spacing w:after="0"/>
              <w:rPr>
                <w:sz w:val="17"/>
                <w:szCs w:val="17"/>
                <w:color w:val="auto"/>
              </w:rPr>
            </w:pPr>
          </w:p>
        </w:tc>
        <w:tc>
          <w:tcPr>
            <w:tcW w:w="860" w:type="dxa"/>
            <w:vAlign w:val="bottom"/>
            <w:vMerge w:val="continue"/>
            <w:shd w:val="clear" w:color="auto" w:fill="D1D2D4"/>
          </w:tcPr>
          <w:p>
            <w:pPr>
              <w:spacing w:after="0"/>
              <w:rPr>
                <w:sz w:val="17"/>
                <w:szCs w:val="17"/>
                <w:color w:val="auto"/>
              </w:rPr>
            </w:pPr>
          </w:p>
        </w:tc>
        <w:tc>
          <w:tcPr>
            <w:tcW w:w="420" w:type="dxa"/>
            <w:vAlign w:val="bottom"/>
            <w:shd w:val="clear" w:color="auto" w:fill="D1D2D4"/>
          </w:tcPr>
          <w:p>
            <w:pPr>
              <w:spacing w:after="0"/>
              <w:rPr>
                <w:sz w:val="17"/>
                <w:szCs w:val="17"/>
                <w:color w:val="auto"/>
              </w:rPr>
            </w:pPr>
          </w:p>
        </w:tc>
        <w:tc>
          <w:tcPr>
            <w:tcW w:w="8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6"/>
                <w:szCs w:val="16"/>
                <w:color w:val="auto"/>
              </w:rPr>
              <w:t>Additional capital</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13,339</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12,115</w:t>
            </w:r>
          </w:p>
        </w:tc>
        <w:tc>
          <w:tcPr>
            <w:tcW w:w="0" w:type="dxa"/>
            <w:vAlign w:val="bottom"/>
          </w:tcPr>
          <w:p>
            <w:pPr>
              <w:spacing w:after="0"/>
              <w:rPr>
                <w:sz w:val="1"/>
                <w:szCs w:val="1"/>
                <w:color w:val="auto"/>
              </w:rPr>
            </w:pPr>
          </w:p>
        </w:tc>
      </w:tr>
      <w:tr>
        <w:trPr>
          <w:trHeight w:val="204"/>
        </w:trPr>
        <w:tc>
          <w:tcPr>
            <w:tcW w:w="80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Retained earnings</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48,583</w:t>
            </w:r>
          </w:p>
        </w:tc>
        <w:tc>
          <w:tcPr>
            <w:tcW w:w="42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40,877</w:t>
            </w: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6"/>
                <w:szCs w:val="16"/>
                <w:color w:val="auto"/>
              </w:rPr>
              <w:t>Treasury stock, 144 shares held (144 shares as of August 29, 2024)</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(7,852)</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204"/>
        </w:trPr>
        <w:tc>
          <w:tcPr>
            <w:tcW w:w="80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D1D2D4"/>
            </w:tcBorders>
          </w:tcPr>
          <w:p>
            <w:pPr>
              <w:ind w:left="300"/>
              <w:spacing w:after="0"/>
              <w:rPr>
                <w:sz w:val="20"/>
                <w:szCs w:val="20"/>
                <w:color w:val="auto"/>
              </w:rPr>
            </w:pPr>
            <w:r>
              <w:rPr>
                <w:rFonts w:ascii="Arial" w:cs="Arial" w:eastAsia="Arial" w:hAnsi="Arial"/>
                <w:sz w:val="16"/>
                <w:szCs w:val="16"/>
                <w:color w:val="auto"/>
              </w:rPr>
              <w:t>Total equity</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54,165</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45,131</w:t>
            </w:r>
          </w:p>
        </w:tc>
        <w:tc>
          <w:tcPr>
            <w:tcW w:w="0" w:type="dxa"/>
            <w:vAlign w:val="bottom"/>
          </w:tcPr>
          <w:p>
            <w:pPr>
              <w:spacing w:after="0"/>
              <w:rPr>
                <w:sz w:val="1"/>
                <w:szCs w:val="1"/>
                <w:color w:val="auto"/>
              </w:rPr>
            </w:pPr>
          </w:p>
        </w:tc>
      </w:tr>
      <w:tr>
        <w:trPr>
          <w:trHeight w:val="221"/>
        </w:trPr>
        <w:tc>
          <w:tcPr>
            <w:tcW w:w="800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6"/>
                <w:szCs w:val="16"/>
                <w:color w:val="auto"/>
              </w:rPr>
              <w:t>Total liabilities and equity</w:t>
            </w:r>
          </w:p>
        </w:tc>
        <w:tc>
          <w:tcPr>
            <w:tcW w:w="420" w:type="dxa"/>
            <w:vAlign w:val="bottom"/>
            <w:tcBorders>
              <w:bottom w:val="single" w:sz="8" w:color="auto"/>
            </w:tcBorders>
            <w:shd w:val="clear" w:color="auto" w:fill="D1D2D4"/>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82,798</w:t>
            </w:r>
          </w:p>
        </w:tc>
        <w:tc>
          <w:tcPr>
            <w:tcW w:w="420" w:type="dxa"/>
            <w:vAlign w:val="bottom"/>
            <w:tcBorders>
              <w:bottom w:val="single" w:sz="8" w:color="auto"/>
            </w:tcBorders>
            <w:shd w:val="clear" w:color="auto" w:fill="D1D2D4"/>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69,416</w:t>
            </w:r>
          </w:p>
        </w:tc>
        <w:tc>
          <w:tcPr>
            <w:tcW w:w="0" w:type="dxa"/>
            <w:vAlign w:val="bottom"/>
          </w:tcPr>
          <w:p>
            <w:pPr>
              <w:spacing w:after="0"/>
              <w:rPr>
                <w:sz w:val="1"/>
                <w:szCs w:val="1"/>
                <w:color w:val="auto"/>
              </w:rPr>
            </w:pPr>
          </w:p>
        </w:tc>
      </w:tr>
      <w:tr>
        <w:trPr>
          <w:trHeight w:val="20"/>
        </w:trPr>
        <w:tc>
          <w:tcPr>
            <w:tcW w:w="80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693420" cy="1447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4"/>
          <w:szCs w:val="14"/>
          <w:b w:val="1"/>
          <w:bCs w:val="1"/>
          <w:color w:val="auto"/>
        </w:rPr>
        <w:t xml:space="preserv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74930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4"/>
          </w:tcPr>
          <w:p>
            <w:pPr>
              <w:ind w:left="4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901"/>
        </w:trPr>
        <w:tc>
          <w:tcPr>
            <w:tcW w:w="4420" w:type="dxa"/>
            <w:vAlign w:val="bottom"/>
            <w:gridSpan w:val="3"/>
          </w:tcPr>
          <w:p>
            <w:pPr>
              <w:spacing w:after="0"/>
              <w:rPr>
                <w:sz w:val="20"/>
                <w:szCs w:val="20"/>
                <w:color w:val="auto"/>
              </w:rPr>
            </w:pPr>
            <w:r>
              <w:rPr>
                <w:rFonts w:ascii="Arial" w:cs="Arial" w:eastAsia="Arial" w:hAnsi="Arial"/>
                <w:sz w:val="35"/>
                <w:szCs w:val="35"/>
                <w:b w:val="1"/>
                <w:bCs w:val="1"/>
                <w:color w:val="auto"/>
              </w:rPr>
              <w:t>Micron Technology, Inc.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BD03F7"/>
            </w:tcBorders>
          </w:tcPr>
          <w:p>
            <w:pPr>
              <w:spacing w:after="0"/>
              <w:rPr>
                <w:sz w:val="24"/>
                <w:szCs w:val="24"/>
                <w:color w:val="auto"/>
              </w:rPr>
            </w:pPr>
          </w:p>
        </w:tc>
        <w:tc>
          <w:tcPr>
            <w:tcW w:w="10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860" w:type="dxa"/>
            <w:vAlign w:val="bottom"/>
            <w:gridSpan w:val="11"/>
          </w:tcPr>
          <w:p>
            <w:pPr>
              <w:spacing w:after="0"/>
              <w:rPr>
                <w:sz w:val="20"/>
                <w:szCs w:val="20"/>
                <w:color w:val="auto"/>
              </w:rPr>
            </w:pPr>
            <w:r>
              <w:rPr>
                <w:rFonts w:ascii="Arial" w:cs="Arial" w:eastAsia="Arial" w:hAnsi="Arial"/>
                <w:sz w:val="35"/>
                <w:szCs w:val="35"/>
                <w:b w:val="1"/>
                <w:bCs w:val="1"/>
                <w:color w:val="auto"/>
              </w:rPr>
              <w:t>Consolidated Statements of Changes in Equity</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20" w:type="dxa"/>
            <w:vAlign w:val="bottom"/>
            <w:gridSpan w:val="2"/>
          </w:tcPr>
          <w:p>
            <w:pPr>
              <w:spacing w:after="0"/>
              <w:rPr>
                <w:sz w:val="20"/>
                <w:szCs w:val="20"/>
                <w:color w:val="auto"/>
              </w:rPr>
            </w:pPr>
            <w:r>
              <w:rPr>
                <w:rFonts w:ascii="Arial" w:cs="Arial" w:eastAsia="Arial" w:hAnsi="Arial"/>
                <w:sz w:val="16"/>
                <w:szCs w:val="16"/>
                <w:color w:val="auto"/>
              </w:rPr>
              <w:t>(In millions, except per share amounts)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22"/>
              <w:spacing w:after="0"/>
              <w:rPr>
                <w:sz w:val="20"/>
                <w:szCs w:val="20"/>
                <w:color w:val="auto"/>
              </w:rPr>
            </w:pPr>
            <w:r>
              <w:rPr>
                <w:rFonts w:ascii="Arial" w:cs="Arial" w:eastAsia="Arial" w:hAnsi="Arial"/>
                <w:sz w:val="16"/>
                <w:szCs w:val="16"/>
                <w:b w:val="1"/>
                <w:bCs w:val="1"/>
                <w:color w:val="auto"/>
                <w:w w:val="97"/>
              </w:rPr>
              <w:t>Accumulated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0"/>
                <w:szCs w:val="10"/>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4"/>
              </w:rPr>
              <w:t>Retained</w:t>
            </w:r>
          </w:p>
        </w:tc>
        <w:tc>
          <w:tcPr>
            <w:tcW w:w="8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0"/>
                <w:szCs w:val="10"/>
                <w:color w:val="auto"/>
              </w:rPr>
            </w:pPr>
          </w:p>
        </w:tc>
        <w:tc>
          <w:tcPr>
            <w:tcW w:w="1320" w:type="dxa"/>
            <w:vAlign w:val="bottom"/>
          </w:tcPr>
          <w:p>
            <w:pPr>
              <w:jc w:val="center"/>
              <w:ind w:right="22"/>
              <w:spacing w:after="0" w:line="124"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240"/>
              <w:spacing w:after="0" w:line="12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22"/>
              <w:spacing w:after="0" w:line="156" w:lineRule="exact"/>
              <w:rPr>
                <w:sz w:val="20"/>
                <w:szCs w:val="20"/>
                <w:color w:val="auto"/>
              </w:rPr>
            </w:pPr>
            <w:r>
              <w:rPr>
                <w:rFonts w:ascii="Arial" w:cs="Arial" w:eastAsia="Arial" w:hAnsi="Arial"/>
                <w:sz w:val="16"/>
                <w:szCs w:val="16"/>
                <w:b w:val="1"/>
                <w:bCs w:val="1"/>
                <w:color w:val="auto"/>
                <w:w w:val="98"/>
              </w:rPr>
              <w:t>Comprehensive</w:t>
            </w:r>
          </w:p>
        </w:tc>
        <w:tc>
          <w:tcPr>
            <w:tcW w:w="40" w:type="dxa"/>
            <w:vAlign w:val="bottom"/>
          </w:tcPr>
          <w:p>
            <w:pPr>
              <w:spacing w:after="0"/>
              <w:rPr>
                <w:sz w:val="13"/>
                <w:szCs w:val="13"/>
                <w:color w:val="auto"/>
              </w:rPr>
            </w:pPr>
          </w:p>
        </w:tc>
        <w:tc>
          <w:tcPr>
            <w:tcW w:w="1220" w:type="dxa"/>
            <w:vAlign w:val="bottom"/>
            <w:gridSpan w:val="3"/>
          </w:tcPr>
          <w:p>
            <w:pPr>
              <w:jc w:val="center"/>
              <w:ind w:right="60"/>
              <w:spacing w:after="0" w:line="156" w:lineRule="exact"/>
              <w:rPr>
                <w:sz w:val="20"/>
                <w:szCs w:val="20"/>
                <w:color w:val="auto"/>
              </w:rPr>
            </w:pPr>
            <w:r>
              <w:rPr>
                <w:rFonts w:ascii="Arial" w:cs="Arial" w:eastAsia="Arial" w:hAnsi="Arial"/>
                <w:sz w:val="16"/>
                <w:szCs w:val="16"/>
                <w:b w:val="1"/>
                <w:bCs w:val="1"/>
                <w:color w:val="auto"/>
                <w:w w:val="97"/>
              </w:rPr>
              <w:t>Shareholders’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2"/>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680" w:type="dxa"/>
            <w:vAlign w:val="bottom"/>
          </w:tcPr>
          <w:p>
            <w:pPr>
              <w:jc w:val="right"/>
              <w:ind w:right="122"/>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7"/>
                <w:szCs w:val="17"/>
                <w:color w:val="auto"/>
              </w:rPr>
            </w:pPr>
          </w:p>
        </w:tc>
        <w:tc>
          <w:tcPr>
            <w:tcW w:w="1320" w:type="dxa"/>
            <w:vAlign w:val="bottom"/>
          </w:tcPr>
          <w:p>
            <w:pPr>
              <w:jc w:val="center"/>
              <w:ind w:right="22"/>
              <w:spacing w:after="0"/>
              <w:rPr>
                <w:sz w:val="20"/>
                <w:szCs w:val="20"/>
                <w:color w:val="auto"/>
              </w:rPr>
            </w:pPr>
            <w:r>
              <w:rPr>
                <w:rFonts w:ascii="Arial" w:cs="Arial" w:eastAsia="Arial" w:hAnsi="Arial"/>
                <w:sz w:val="16"/>
                <w:szCs w:val="16"/>
                <w:b w:val="1"/>
                <w:bCs w:val="1"/>
                <w:color w:val="auto"/>
                <w:w w:val="97"/>
              </w:rPr>
              <w:t>Income (Loss)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September 1, 2022</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D1D2D4"/>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10,197</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47,274</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(7,127)</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24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49,907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(5,833)</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248</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Repurchase of stock – repurchase program</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D1D2D4"/>
          </w:tcPr>
          <w:p>
            <w:pPr>
              <w:ind w:left="20"/>
              <w:spacing w:after="0" w:line="157" w:lineRule="exact"/>
              <w:rPr>
                <w:sz w:val="20"/>
                <w:szCs w:val="20"/>
                <w:color w:val="auto"/>
              </w:rPr>
            </w:pPr>
            <w:r>
              <w:rPr>
                <w:rFonts w:ascii="Arial" w:cs="Arial" w:eastAsia="Arial" w:hAnsi="Arial"/>
                <w:sz w:val="16"/>
                <w:szCs w:val="16"/>
                <w:color w:val="auto"/>
              </w:rPr>
              <w:t>Repurchase of stock – withholdings on</w:t>
            </w:r>
          </w:p>
        </w:tc>
        <w:tc>
          <w:tcPr>
            <w:tcW w:w="1000" w:type="dxa"/>
            <w:vAlign w:val="bottom"/>
            <w:vMerge w:val="restart"/>
            <w:shd w:val="clear" w:color="auto" w:fill="D1D2D4"/>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D1D2D4"/>
          </w:tcPr>
          <w:p>
            <w:pPr>
              <w:spacing w:after="0"/>
              <w:rPr>
                <w:sz w:val="13"/>
                <w:szCs w:val="13"/>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1320" w:type="dxa"/>
            <w:vAlign w:val="bottom"/>
            <w:vMerge w:val="restart"/>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3"/>
                <w:szCs w:val="13"/>
                <w:color w:val="auto"/>
              </w:rPr>
            </w:pPr>
          </w:p>
        </w:tc>
        <w:tc>
          <w:tcPr>
            <w:tcW w:w="20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equity awards</w:t>
            </w:r>
          </w:p>
        </w:tc>
        <w:tc>
          <w:tcPr>
            <w:tcW w:w="1000" w:type="dxa"/>
            <w:vAlign w:val="bottom"/>
            <w:vMerge w:val="continue"/>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20" w:type="dxa"/>
            <w:vAlign w:val="bottom"/>
            <w:vMerge w:val="continue"/>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vMerge w:val="continue"/>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tcPr>
          <w:p>
            <w:pPr>
              <w:ind w:left="20"/>
              <w:spacing w:after="0" w:line="157" w:lineRule="exact"/>
              <w:rPr>
                <w:sz w:val="20"/>
                <w:szCs w:val="20"/>
                <w:color w:val="auto"/>
              </w:rPr>
            </w:pPr>
            <w:r>
              <w:rPr>
                <w:rFonts w:ascii="Arial" w:cs="Arial" w:eastAsia="Arial" w:hAnsi="Arial"/>
                <w:sz w:val="16"/>
                <w:szCs w:val="16"/>
                <w:color w:val="auto"/>
              </w:rPr>
              <w:t>Dividends and dividend equivalents declared</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(509)</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($0.460 per share)</w:t>
            </w: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31, 2023</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D1D2D4"/>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124</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11,036</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40,824</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(312)</w:t>
            </w:r>
          </w:p>
        </w:tc>
        <w:tc>
          <w:tcPr>
            <w:tcW w:w="24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44,120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778</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178</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Repurchase of stock – repurchase program</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D1D2D4"/>
          </w:tcPr>
          <w:p>
            <w:pPr>
              <w:ind w:left="20"/>
              <w:spacing w:after="0" w:line="157" w:lineRule="exact"/>
              <w:rPr>
                <w:sz w:val="20"/>
                <w:szCs w:val="20"/>
                <w:color w:val="auto"/>
              </w:rPr>
            </w:pPr>
            <w:r>
              <w:rPr>
                <w:rFonts w:ascii="Arial" w:cs="Arial" w:eastAsia="Arial" w:hAnsi="Arial"/>
                <w:sz w:val="16"/>
                <w:szCs w:val="16"/>
                <w:color w:val="auto"/>
              </w:rPr>
              <w:t>Repurchase of stock – withholdings on</w:t>
            </w:r>
          </w:p>
        </w:tc>
        <w:tc>
          <w:tcPr>
            <w:tcW w:w="1000" w:type="dxa"/>
            <w:vAlign w:val="bottom"/>
            <w:vMerge w:val="restart"/>
            <w:shd w:val="clear" w:color="auto" w:fill="D1D2D4"/>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(207)</w:t>
            </w:r>
          </w:p>
        </w:tc>
        <w:tc>
          <w:tcPr>
            <w:tcW w:w="160" w:type="dxa"/>
            <w:vAlign w:val="bottom"/>
            <w:shd w:val="clear" w:color="auto" w:fill="D1D2D4"/>
          </w:tcPr>
          <w:p>
            <w:pPr>
              <w:spacing w:after="0"/>
              <w:rPr>
                <w:sz w:val="13"/>
                <w:szCs w:val="13"/>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1320" w:type="dxa"/>
            <w:vAlign w:val="bottom"/>
            <w:vMerge w:val="restart"/>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3"/>
                <w:szCs w:val="13"/>
                <w:color w:val="auto"/>
              </w:rPr>
            </w:pPr>
          </w:p>
        </w:tc>
        <w:tc>
          <w:tcPr>
            <w:tcW w:w="20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equity awards</w:t>
            </w:r>
          </w:p>
        </w:tc>
        <w:tc>
          <w:tcPr>
            <w:tcW w:w="1000" w:type="dxa"/>
            <w:vAlign w:val="bottom"/>
            <w:vMerge w:val="continue"/>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20" w:type="dxa"/>
            <w:vAlign w:val="bottom"/>
            <w:vMerge w:val="continue"/>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vMerge w:val="continue"/>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tcPr>
          <w:p>
            <w:pPr>
              <w:ind w:left="20"/>
              <w:spacing w:after="0" w:line="157" w:lineRule="exact"/>
              <w:rPr>
                <w:sz w:val="20"/>
                <w:szCs w:val="20"/>
                <w:color w:val="auto"/>
              </w:rPr>
            </w:pPr>
            <w:r>
              <w:rPr>
                <w:rFonts w:ascii="Arial" w:cs="Arial" w:eastAsia="Arial" w:hAnsi="Arial"/>
                <w:sz w:val="16"/>
                <w:szCs w:val="16"/>
                <w:color w:val="auto"/>
              </w:rPr>
              <w:t>Dividends and dividend equivalents declared</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($0.460 per share)</w:t>
            </w: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29, 2024</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D1D2D4"/>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12,115</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40,877</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(134)</w:t>
            </w:r>
          </w:p>
        </w:tc>
        <w:tc>
          <w:tcPr>
            <w:tcW w:w="24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45,131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8,539</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8,539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102</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7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D1D2D4"/>
          </w:tcPr>
          <w:p>
            <w:pPr>
              <w:spacing w:after="0"/>
              <w:rPr>
                <w:sz w:val="17"/>
                <w:szCs w:val="17"/>
                <w:color w:val="auto"/>
              </w:rPr>
            </w:pP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tcPr>
          <w:p>
            <w:pPr>
              <w:ind w:left="20"/>
              <w:spacing w:after="0" w:line="157" w:lineRule="exact"/>
              <w:rPr>
                <w:sz w:val="20"/>
                <w:szCs w:val="20"/>
                <w:color w:val="auto"/>
              </w:rPr>
            </w:pPr>
            <w:r>
              <w:rPr>
                <w:rFonts w:ascii="Arial" w:cs="Arial" w:eastAsia="Arial" w:hAnsi="Arial"/>
                <w:sz w:val="16"/>
                <w:szCs w:val="16"/>
                <w:color w:val="auto"/>
              </w:rPr>
              <w:t>Repurchase of stock – withholdings on</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color w:val="auto"/>
              </w:rPr>
              <w:t>employee equity awards</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D1D2D4"/>
          </w:tcPr>
          <w:p>
            <w:pPr>
              <w:ind w:left="20"/>
              <w:spacing w:after="0" w:line="157" w:lineRule="exact"/>
              <w:rPr>
                <w:sz w:val="20"/>
                <w:szCs w:val="20"/>
                <w:color w:val="auto"/>
              </w:rPr>
            </w:pPr>
            <w:r>
              <w:rPr>
                <w:rFonts w:ascii="Arial" w:cs="Arial" w:eastAsia="Arial" w:hAnsi="Arial"/>
                <w:sz w:val="16"/>
                <w:szCs w:val="16"/>
                <w:color w:val="auto"/>
              </w:rPr>
              <w:t>Dividends and dividend equivalents declared</w:t>
            </w:r>
          </w:p>
        </w:tc>
        <w:tc>
          <w:tcPr>
            <w:tcW w:w="1000" w:type="dxa"/>
            <w:vAlign w:val="bottom"/>
            <w:vMerge w:val="restart"/>
            <w:shd w:val="clear" w:color="auto" w:fill="D1D2D4"/>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74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3"/>
                <w:szCs w:val="13"/>
                <w:color w:val="auto"/>
              </w:rPr>
            </w:pP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(527)</w:t>
            </w:r>
          </w:p>
        </w:tc>
        <w:tc>
          <w:tcPr>
            <w:tcW w:w="160" w:type="dxa"/>
            <w:vAlign w:val="bottom"/>
            <w:shd w:val="clear" w:color="auto" w:fill="D1D2D4"/>
          </w:tcPr>
          <w:p>
            <w:pPr>
              <w:spacing w:after="0"/>
              <w:rPr>
                <w:sz w:val="13"/>
                <w:szCs w:val="13"/>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1320" w:type="dxa"/>
            <w:vAlign w:val="bottom"/>
            <w:vMerge w:val="restart"/>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0" w:type="dxa"/>
            <w:vAlign w:val="bottom"/>
            <w:shd w:val="clear" w:color="auto" w:fill="D1D2D4"/>
          </w:tcPr>
          <w:p>
            <w:pPr>
              <w:spacing w:after="0"/>
              <w:rPr>
                <w:sz w:val="13"/>
                <w:szCs w:val="13"/>
                <w:color w:val="auto"/>
              </w:rPr>
            </w:pPr>
          </w:p>
        </w:tc>
        <w:tc>
          <w:tcPr>
            <w:tcW w:w="20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($0.460 per share)</w:t>
            </w:r>
          </w:p>
        </w:tc>
        <w:tc>
          <w:tcPr>
            <w:tcW w:w="1000" w:type="dxa"/>
            <w:vAlign w:val="bottom"/>
            <w:tcBorders>
              <w:bottom w:val="single" w:sz="8" w:color="auto"/>
            </w:tcBorders>
            <w:vMerge w:val="continue"/>
            <w:shd w:val="clear" w:color="auto" w:fill="D1D2D4"/>
          </w:tcPr>
          <w:p>
            <w:pPr>
              <w:spacing w:after="0"/>
              <w:rPr>
                <w:sz w:val="17"/>
                <w:szCs w:val="17"/>
                <w:color w:val="auto"/>
              </w:rPr>
            </w:pPr>
          </w:p>
        </w:tc>
        <w:tc>
          <w:tcPr>
            <w:tcW w:w="10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740" w:type="dxa"/>
            <w:vAlign w:val="bottom"/>
            <w:tcBorders>
              <w:bottom w:val="single" w:sz="8" w:color="auto"/>
            </w:tcBorders>
            <w:vMerge w:val="continue"/>
            <w:shd w:val="clear" w:color="auto" w:fill="D1D2D4"/>
          </w:tcPr>
          <w:p>
            <w:pPr>
              <w:spacing w:after="0"/>
              <w:rPr>
                <w:sz w:val="17"/>
                <w:szCs w:val="17"/>
                <w:color w:val="auto"/>
              </w:rPr>
            </w:pPr>
          </w:p>
        </w:tc>
        <w:tc>
          <w:tcPr>
            <w:tcW w:w="10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vMerge w:val="continue"/>
            <w:shd w:val="clear" w:color="auto" w:fill="D1D2D4"/>
          </w:tcPr>
          <w:p>
            <w:pPr>
              <w:spacing w:after="0"/>
              <w:rPr>
                <w:sz w:val="17"/>
                <w:szCs w:val="17"/>
                <w:color w:val="auto"/>
              </w:rPr>
            </w:pPr>
          </w:p>
        </w:tc>
        <w:tc>
          <w:tcPr>
            <w:tcW w:w="16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vMerge w:val="continue"/>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1320" w:type="dxa"/>
            <w:vAlign w:val="bottom"/>
            <w:tcBorders>
              <w:bottom w:val="single" w:sz="8" w:color="auto"/>
            </w:tcBorders>
            <w:vMerge w:val="continue"/>
            <w:shd w:val="clear" w:color="auto" w:fill="D1D2D4"/>
          </w:tcPr>
          <w:p>
            <w:pPr>
              <w:spacing w:after="0"/>
              <w:rPr>
                <w:sz w:val="17"/>
                <w:szCs w:val="17"/>
                <w:color w:val="auto"/>
              </w:rPr>
            </w:pPr>
          </w:p>
        </w:tc>
        <w:tc>
          <w:tcPr>
            <w:tcW w:w="40" w:type="dxa"/>
            <w:vAlign w:val="bottom"/>
            <w:tcBorders>
              <w:bottom w:val="single" w:sz="8" w:color="auto"/>
            </w:tcBorders>
            <w:shd w:val="clear" w:color="auto" w:fill="D1D2D4"/>
          </w:tcPr>
          <w:p>
            <w:pPr>
              <w:spacing w:after="0"/>
              <w:rPr>
                <w:sz w:val="17"/>
                <w:szCs w:val="17"/>
                <w:color w:val="auto"/>
              </w:rPr>
            </w:pPr>
          </w:p>
        </w:tc>
        <w:tc>
          <w:tcPr>
            <w:tcW w:w="2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vMerge w:val="continue"/>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Balance as of August 28, 2025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13,339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gridSpan w:val="4"/>
          </w:tcPr>
          <w:p>
            <w:pPr>
              <w:ind w:left="6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937"/>
        </w:trPr>
        <w:tc>
          <w:tcPr>
            <w:tcW w:w="6780" w:type="dxa"/>
            <w:vAlign w:val="bottom"/>
          </w:tcPr>
          <w:p>
            <w:pPr>
              <w:spacing w:after="0"/>
              <w:rPr>
                <w:sz w:val="20"/>
                <w:szCs w:val="20"/>
                <w:color w:val="auto"/>
              </w:rPr>
            </w:pPr>
            <w:r>
              <w:rPr>
                <w:rFonts w:ascii="Arial" w:cs="Arial" w:eastAsia="Arial" w:hAnsi="Arial"/>
                <w:sz w:val="35"/>
                <w:szCs w:val="35"/>
                <w:b w:val="1"/>
                <w:bCs w:val="1"/>
                <w:color w:val="auto"/>
              </w:rPr>
              <w:t>Micron Technology, Inc.</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BD03F7"/>
            </w:tcBorders>
          </w:tcPr>
          <w:p>
            <w:pPr>
              <w:spacing w:after="0"/>
              <w:rPr>
                <w:sz w:val="24"/>
                <w:szCs w:val="24"/>
                <w:color w:val="auto"/>
              </w:rPr>
            </w:pPr>
          </w:p>
        </w:tc>
        <w:tc>
          <w:tcPr>
            <w:tcW w:w="108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780" w:type="dxa"/>
            <w:vAlign w:val="bottom"/>
          </w:tcPr>
          <w:p>
            <w:pPr>
              <w:spacing w:after="0"/>
              <w:rPr>
                <w:sz w:val="20"/>
                <w:szCs w:val="20"/>
                <w:color w:val="auto"/>
              </w:rPr>
            </w:pPr>
            <w:r>
              <w:rPr>
                <w:rFonts w:ascii="Arial" w:cs="Arial" w:eastAsia="Arial" w:hAnsi="Arial"/>
                <w:sz w:val="35"/>
                <w:szCs w:val="35"/>
                <w:b w:val="1"/>
                <w:bCs w:val="1"/>
                <w:color w:val="auto"/>
              </w:rPr>
              <w:t>Consolidated Statements of Cash Flows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780" w:type="dxa"/>
            <w:vAlign w:val="bottom"/>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4"/>
                <w:szCs w:val="14"/>
                <w:color w:val="auto"/>
              </w:rPr>
            </w:pPr>
          </w:p>
        </w:tc>
        <w:tc>
          <w:tcPr>
            <w:tcW w:w="1080" w:type="dxa"/>
            <w:vAlign w:val="bottom"/>
          </w:tcPr>
          <w:p>
            <w:pPr>
              <w:jc w:val="right"/>
              <w:ind w:right="142"/>
              <w:spacing w:after="0" w:line="166" w:lineRule="exact"/>
              <w:rPr>
                <w:sz w:val="20"/>
                <w:szCs w:val="20"/>
                <w:color w:val="auto"/>
              </w:rPr>
            </w:pPr>
            <w:r>
              <w:rPr>
                <w:rFonts w:ascii="Arial" w:cs="Arial" w:eastAsia="Arial" w:hAnsi="Arial"/>
                <w:sz w:val="16"/>
                <w:szCs w:val="16"/>
                <w:b w:val="1"/>
                <w:bCs w:val="1"/>
                <w:color w:val="auto"/>
              </w:rPr>
              <w:t>August 28,</w:t>
            </w:r>
          </w:p>
        </w:tc>
        <w:tc>
          <w:tcPr>
            <w:tcW w:w="180" w:type="dxa"/>
            <w:vAlign w:val="bottom"/>
          </w:tcPr>
          <w:p>
            <w:pPr>
              <w:spacing w:after="0"/>
              <w:rPr>
                <w:sz w:val="14"/>
                <w:szCs w:val="14"/>
                <w:color w:val="auto"/>
              </w:rPr>
            </w:pPr>
          </w:p>
        </w:tc>
        <w:tc>
          <w:tcPr>
            <w:tcW w:w="1080" w:type="dxa"/>
            <w:vAlign w:val="bottom"/>
          </w:tcPr>
          <w:p>
            <w:pPr>
              <w:jc w:val="right"/>
              <w:ind w:right="142"/>
              <w:spacing w:after="0" w:line="166" w:lineRule="exact"/>
              <w:rPr>
                <w:sz w:val="20"/>
                <w:szCs w:val="20"/>
                <w:color w:val="auto"/>
              </w:rPr>
            </w:pPr>
            <w:r>
              <w:rPr>
                <w:rFonts w:ascii="Arial" w:cs="Arial" w:eastAsia="Arial" w:hAnsi="Arial"/>
                <w:sz w:val="16"/>
                <w:szCs w:val="16"/>
                <w:b w:val="1"/>
                <w:bCs w:val="1"/>
                <w:color w:val="auto"/>
              </w:rPr>
              <w:t>August 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60"/>
              <w:spacing w:after="0" w:line="166" w:lineRule="exact"/>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04"/>
        </w:trPr>
        <w:tc>
          <w:tcPr>
            <w:tcW w:w="67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8,539</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778</w:t>
            </w: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0"/>
              <w:spacing w:after="0"/>
              <w:rPr>
                <w:sz w:val="20"/>
                <w:szCs w:val="20"/>
                <w:color w:val="auto"/>
              </w:rPr>
            </w:pPr>
            <w:r>
              <w:rPr>
                <w:rFonts w:ascii="Arial" w:cs="Arial" w:eastAsia="Arial" w:hAnsi="Arial"/>
                <w:sz w:val="16"/>
                <w:szCs w:val="16"/>
                <w:color w:val="auto"/>
              </w:rPr>
              <w:t>Depreciation expense and amortization of intangible assets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8,352</w:t>
            </w:r>
          </w:p>
        </w:tc>
        <w:tc>
          <w:tcPr>
            <w:tcW w:w="18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7,780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972</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833</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0"/>
              <w:spacing w:after="0"/>
              <w:rPr>
                <w:sz w:val="20"/>
                <w:szCs w:val="20"/>
                <w:color w:val="auto"/>
              </w:rPr>
            </w:pPr>
            <w:r>
              <w:rPr>
                <w:rFonts w:ascii="Arial" w:cs="Arial" w:eastAsia="Arial" w:hAnsi="Arial"/>
                <w:sz w:val="16"/>
                <w:szCs w:val="16"/>
                <w:color w:val="auto"/>
              </w:rPr>
              <w:t>Provision to write down inventories to net realizable value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Goodwill impairment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32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(1,776)</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(3,581)</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3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862</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1,915</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(272)</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328</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281</w:t>
            </w:r>
          </w:p>
        </w:tc>
        <w:tc>
          <w:tcPr>
            <w:tcW w:w="60" w:type="dxa"/>
            <w:vAlign w:val="bottom"/>
            <w:tcBorders>
              <w:bottom w:val="single" w:sz="8" w:color="auto"/>
            </w:tcBorders>
            <w:shd w:val="clear" w:color="auto" w:fill="D1D2D4"/>
          </w:tcPr>
          <w:p>
            <w:pPr>
              <w:spacing w:after="0"/>
              <w:rPr>
                <w:sz w:val="17"/>
                <w:szCs w:val="17"/>
                <w:color w:val="auto"/>
              </w:rPr>
            </w:pPr>
          </w:p>
        </w:tc>
        <w:tc>
          <w:tcPr>
            <w:tcW w:w="12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8,507</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7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6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Expenditures for property, plant, and equipment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(15,857)</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(8,386)</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government incentives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2,005</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315</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Proceeds from maturities and sales of available-for-sale securities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1,698</w:t>
            </w:r>
          </w:p>
        </w:tc>
        <w:tc>
          <w:tcPr>
            <w:tcW w:w="18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1,794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(33)</w:t>
            </w:r>
          </w:p>
        </w:tc>
        <w:tc>
          <w:tcPr>
            <w:tcW w:w="60" w:type="dxa"/>
            <w:vAlign w:val="bottom"/>
            <w:tcBorders>
              <w:bottom w:val="single" w:sz="8" w:color="auto"/>
            </w:tcBorders>
            <w:shd w:val="clear" w:color="auto" w:fill="D1D2D4"/>
          </w:tcPr>
          <w:p>
            <w:pPr>
              <w:spacing w:after="0"/>
              <w:rPr>
                <w:sz w:val="17"/>
                <w:szCs w:val="17"/>
                <w:color w:val="auto"/>
              </w:rPr>
            </w:pPr>
          </w:p>
        </w:tc>
        <w:tc>
          <w:tcPr>
            <w:tcW w:w="12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7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6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Repayments of debt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(4,619)</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(1,897)</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Payments of dividends to shareholders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Repurchases of common stock - repurchase program</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(300)</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Payments on equipment purchase contracts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issuance of debt</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4,430</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999</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(850)</w:t>
            </w:r>
          </w:p>
        </w:tc>
        <w:tc>
          <w:tcPr>
            <w:tcW w:w="18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(1,842)</w:t>
            </w:r>
          </w:p>
        </w:tc>
        <w:tc>
          <w:tcPr>
            <w:tcW w:w="60" w:type="dxa"/>
            <w:vAlign w:val="bottom"/>
            <w:tcBorders>
              <w:bottom w:val="single" w:sz="8" w:color="auto"/>
            </w:tcBorders>
            <w:shd w:val="clear" w:color="auto" w:fill="D1D2D4"/>
          </w:tcPr>
          <w:p>
            <w:pPr>
              <w:spacing w:after="0"/>
              <w:rPr>
                <w:sz w:val="17"/>
                <w:szCs w:val="17"/>
                <w:color w:val="auto"/>
              </w:rPr>
            </w:pPr>
          </w:p>
        </w:tc>
        <w:tc>
          <w:tcPr>
            <w:tcW w:w="120" w:type="dxa"/>
            <w:vAlign w:val="bottom"/>
            <w:tcBorders>
              <w:bottom w:val="single" w:sz="8" w:color="auto"/>
            </w:tcBorders>
            <w:shd w:val="clear" w:color="auto" w:fill="D1D2D4"/>
          </w:tcPr>
          <w:p>
            <w:pPr>
              <w:spacing w:after="0"/>
              <w:rPr>
                <w:sz w:val="17"/>
                <w:szCs w:val="17"/>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4,983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40</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2,594</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(1,604)</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7,052</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8,656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9,646</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7,052</w:t>
            </w:r>
          </w:p>
        </w:tc>
        <w:tc>
          <w:tcPr>
            <w:tcW w:w="180" w:type="dxa"/>
            <w:vAlign w:val="bottom"/>
            <w:tcBorders>
              <w:bottom w:val="single" w:sz="8" w:color="auto"/>
            </w:tcBorders>
            <w:gridSpan w:val="2"/>
            <w:shd w:val="clear" w:color="auto" w:fill="D1D2D4"/>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Arial" w:cs="Arial" w:eastAsia="Arial" w:hAnsi="Arial"/>
                <w:sz w:val="16"/>
                <w:szCs w:val="16"/>
                <w:color w:val="auto"/>
              </w:rPr>
              <w:t>Income taxes paid, net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(583)</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paid, net of amounts capitalized</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(418)</w:t>
            </w:r>
          </w:p>
        </w:tc>
        <w:tc>
          <w:tcPr>
            <w:tcW w:w="18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(503)</w:t>
            </w:r>
          </w:p>
        </w:tc>
        <w:tc>
          <w:tcPr>
            <w:tcW w:w="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80" w:type="dxa"/>
            <w:vAlign w:val="bottom"/>
          </w:tcPr>
          <w:p>
            <w:pPr>
              <w:ind w:left="20"/>
              <w:spacing w:after="0"/>
              <w:rPr>
                <w:sz w:val="20"/>
                <w:szCs w:val="20"/>
                <w:color w:val="auto"/>
              </w:rPr>
            </w:pPr>
            <w:r>
              <w:rPr>
                <w:rFonts w:ascii="Arial" w:cs="Arial" w:eastAsia="Arial" w:hAnsi="Arial"/>
                <w:sz w:val="16"/>
                <w:szCs w:val="16"/>
                <w:color w:val="auto"/>
              </w:rPr>
              <w:t>Non-cash equipment acquisitions on contracts payable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271145</wp:posOffset>
            </wp:positionV>
            <wp:extent cx="693420"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68" w:name="page69"/>
    <w:bookmarkEnd w:id="6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Micron Technology, Inc.</w:t>
      </w:r>
    </w:p>
    <w:p>
      <w:pPr>
        <w:spacing w:after="0" w:line="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rPr>
          <w:sz w:val="20"/>
          <w:szCs w:val="20"/>
          <w:color w:val="auto"/>
        </w:rPr>
      </w:pPr>
      <w:r>
        <w:rPr>
          <w:rFonts w:ascii="Arial" w:cs="Arial" w:eastAsia="Arial" w:hAnsi="Arial"/>
          <w:sz w:val="16"/>
          <w:szCs w:val="16"/>
          <w:color w:val="auto"/>
        </w:rPr>
        <w:t>(All tabular amounts in millions, except per share amounts)</w:t>
      </w:r>
    </w:p>
    <w:p>
      <w:pPr>
        <w:spacing w:after="0" w:line="19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of Presentation</w:t>
      </w:r>
    </w:p>
    <w:p>
      <w:pPr>
        <w:spacing w:after="0" w:line="240"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 xml:space="preserve">We are an industry leader in innovative memory and storage solutions transforming how the world uses information to enrich life </w:t>
      </w:r>
      <w:r>
        <w:rPr>
          <w:rFonts w:ascii="Arial" w:cs="Arial" w:eastAsia="Arial" w:hAnsi="Arial"/>
          <w:sz w:val="16"/>
          <w:szCs w:val="16"/>
          <w:i w:val="1"/>
          <w:iCs w:val="1"/>
          <w:color w:val="auto"/>
        </w:rPr>
        <w:t>for all</w:t>
      </w:r>
      <w:r>
        <w:rPr>
          <w:rFonts w:ascii="Arial" w:cs="Arial" w:eastAsia="Arial" w:hAnsi="Arial"/>
          <w:sz w:val="16"/>
          <w:szCs w:val="16"/>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94" w:lineRule="exact"/>
        <w:rPr>
          <w:sz w:val="20"/>
          <w:szCs w:val="20"/>
          <w:color w:val="auto"/>
        </w:rPr>
      </w:pPr>
    </w:p>
    <w:p>
      <w:pPr>
        <w:ind w:right="160"/>
        <w:spacing w:after="0" w:line="301" w:lineRule="auto"/>
        <w:rPr>
          <w:sz w:val="20"/>
          <w:szCs w:val="20"/>
          <w:color w:val="auto"/>
        </w:rPr>
      </w:pPr>
      <w:r>
        <w:rPr>
          <w:rFonts w:ascii="Arial" w:cs="Arial" w:eastAsia="Arial" w:hAnsi="Arial"/>
          <w:sz w:val="14"/>
          <w:szCs w:val="14"/>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prior-period amounts to conform to current-period presentation.</w:t>
      </w:r>
    </w:p>
    <w:p>
      <w:pPr>
        <w:spacing w:after="0" w:line="162"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auto"/>
        </w:rPr>
        <w:t>Our fiscal year is the 52- or 53-week period ending on the Thursday closest to August 31. Fiscal 2025, 2024, and 2023 each contained 52 weeks. All period references are to our fiscal periods unless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Derivative and Hedging Instruments</w:t>
      </w:r>
    </w:p>
    <w:p>
      <w:pPr>
        <w:spacing w:after="0" w:line="24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We use derivative instruments to manage our exposure to changes in currency exchange rates from (1) our monetary assets and liabilities denominated in currencies other than the U.S. dollar, (2) non-U.S.-dollar- denominated investments in debt instruments, and (3) forecasted cash flows for certain capital expenditures and manufacturing costs. We also use derivative instruments to manage our exposure to changes in commodity prices for manufacturing supplies. Derivative instruments are measured at their fair values and recognized as either assets or liabilities.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fair value hedges, changes in the fair values of the derivative instruments and the offsetting changes in the fair values of the underlying hedged items are both recognized in earnings. For foreign currency and commodity derivative instruments designated as cash flow hedges or fair value hedges, time value is excluded from the assessment of effectiveness and the gains and losses attributable to time value are recognized in earnings through an amortization approach. Cash flows from derivative instruments designated as cash flow hedges or fair value hedges are classified in the same category as the items being hedged.</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9" w:name="page70"/>
    <w:bookmarkEnd w:id="6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240" w:lineRule="exact"/>
        <w:rPr>
          <w:sz w:val="20"/>
          <w:szCs w:val="20"/>
          <w:color w:val="auto"/>
        </w:rPr>
      </w:pPr>
    </w:p>
    <w:p>
      <w:pPr>
        <w:ind w:right="440"/>
        <w:spacing w:after="0" w:line="244" w:lineRule="auto"/>
        <w:rPr>
          <w:sz w:val="20"/>
          <w:szCs w:val="20"/>
          <w:color w:val="auto"/>
        </w:rPr>
      </w:pPr>
      <w:r>
        <w:rPr>
          <w:rFonts w:ascii="Arial" w:cs="Arial" w:eastAsia="Arial" w:hAnsi="Arial"/>
          <w:sz w:val="16"/>
          <w:szCs w:val="16"/>
          <w:color w:val="auto"/>
        </w:rPr>
        <w:t>Cash equivalents include highly liquid short-term investments with original maturities at the time of purchase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Functional Currency</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U.S. dollar is the functional currency for us and all of our consolidated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Goodwill</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perform an annual impairment assessment for goodwill in our fourth quarter each year.</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Incentives</w:t>
      </w:r>
    </w:p>
    <w:p>
      <w:pPr>
        <w:spacing w:after="0" w:line="240"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We receive incentives from governmental entities related to capital expenditures, expenses, and other activities. The government incentives we receive may require that we meet or maintain specified spending levels and other operational metrics and may be subject to reimbursement if such conditions are not met or maintained. 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including by constructive receipt, from incentives related to the acquisition of property, plant, and equipment is included as an investing activity. For each project, we estimate the total expected project costs and recognize a proportionate benefit as qualified project costs are incurred. As the estimated total expected qualified project cost changes, we adjust our estimate of the recognized proportionate benefit.</w:t>
      </w: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Inventories</w:t>
      </w:r>
    </w:p>
    <w:p>
      <w:pPr>
        <w:spacing w:after="0" w:line="24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Leases</w:t>
      </w:r>
    </w:p>
    <w:p>
      <w:pPr>
        <w:spacing w:after="0" w:line="24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determine if an arrangement is a lease, or contains a lease, at the inception of the arrangement and evaluate whether the lease is an operating lease or a finance lease at the commencement date. We recognize right -of-use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0" w:name="page71"/>
    <w:bookmarkEnd w:id="7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and Process Technology</w:t>
      </w:r>
    </w:p>
    <w:p>
      <w:pPr>
        <w:spacing w:after="0" w:line="24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Costs incurred to (1) acquire product and process technology, (2) patent technology, and (3) keep patents in force,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Warranty</w:t>
      </w:r>
    </w:p>
    <w:p>
      <w:pPr>
        <w:spacing w:after="0" w:line="240"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Plant, and Equipment</w:t>
      </w:r>
    </w:p>
    <w:p>
      <w:pPr>
        <w:spacing w:after="0" w:line="240"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200"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color w:val="auto"/>
        </w:rPr>
        <w:t>We capitalize interest on borrowings during the period of time we carry out the activities necessary to bring assets to the condition of their intended use and location. We utilize a weighted-average capitalization rate that is based on our consolidated debt portfolio. Capitalized interest becomes part of the cost of assets.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24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Recognition</w:t>
      </w:r>
    </w:p>
    <w:p>
      <w:pPr>
        <w:spacing w:after="0" w:line="240"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 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w:t>
      </w:r>
    </w:p>
    <w:p>
      <w:pPr>
        <w:spacing w:after="0" w:line="240"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Stock-based compensation is measured at the grant date, based on the fair value of the award, and recognized as expense under the straight -line attribution method over the requisite service period. We account for forfeitures as they occur. We issue new shares upon the exercise of stock options, conversion of share units, or issuance of shares under our ESPP.</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Treasury Stock</w:t>
      </w:r>
    </w:p>
    <w:p>
      <w:pPr>
        <w:spacing w:after="0" w:line="240" w:lineRule="exact"/>
        <w:rPr>
          <w:sz w:val="20"/>
          <w:szCs w:val="20"/>
          <w:color w:val="auto"/>
        </w:rPr>
      </w:pPr>
    </w:p>
    <w:p>
      <w:pPr>
        <w:ind w:right="620"/>
        <w:spacing w:after="0" w:line="262" w:lineRule="auto"/>
        <w:rPr>
          <w:sz w:val="20"/>
          <w:szCs w:val="20"/>
          <w:color w:val="auto"/>
        </w:rPr>
      </w:pPr>
      <w:r>
        <w:rPr>
          <w:rFonts w:ascii="Arial" w:cs="Arial" w:eastAsia="Arial" w:hAnsi="Arial"/>
          <w:sz w:val="16"/>
          <w:szCs w:val="16"/>
          <w:color w:val="auto"/>
        </w:rPr>
        <w:t>Treasury stock is carried at cost. When we retire our treasury stock, any excess of the repurchase price paid over par value is allocated between additional capital and retained earnings.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1" w:name="page72"/>
    <w:bookmarkEnd w:id="7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Estimates</w:t>
      </w:r>
    </w:p>
    <w:p>
      <w:pPr>
        <w:spacing w:after="0" w:line="24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 Recently Adopted Accounting Standards</w:t>
      </w:r>
    </w:p>
    <w:p>
      <w:pPr>
        <w:spacing w:after="0" w:line="249"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2023-07 (ASC Topic 280), </w:t>
      </w:r>
      <w:r>
        <w:rPr>
          <w:rFonts w:ascii="Arial" w:cs="Arial" w:eastAsia="Arial" w:hAnsi="Arial"/>
          <w:sz w:val="16"/>
          <w:szCs w:val="16"/>
          <w:i w:val="1"/>
          <w:iCs w:val="1"/>
          <w:color w:val="auto"/>
        </w:rPr>
        <w:t xml:space="preserve">Improvements to Reportable Segment Disclosures </w:t>
      </w:r>
      <w:r>
        <w:rPr>
          <w:rFonts w:ascii="Arial" w:cs="Arial" w:eastAsia="Arial" w:hAnsi="Arial"/>
          <w:sz w:val="16"/>
          <w:szCs w:val="16"/>
          <w:color w:val="auto"/>
        </w:rPr>
        <w:t>. This ASU expands on existing reportable segment disclosure requirements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disclosures about significant segment expenses. We adopted this ASU in the fourth quarter of 2025 on a retrospective basis. Adoption of this ASU resulted in increased disclosures in the Notes to Consolidated Financial Statements. See Note 27. Segment and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3. Recently Issued Accounting Standards</w:t>
      </w:r>
    </w:p>
    <w:p>
      <w:pPr>
        <w:spacing w:after="0" w:line="249"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 xml:space="preserve">In December 2023, the FASB issued ASU 2023- 09 (ASC Topic 740),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xml:space="preserve"> . This ASU requires disaggregated income tax disclosures on the rate reconciliation and income taxes paid. This ASU will be effective for our annual reporting for 2026 on a prospective basis, with retrospective application permitted. Adoption of this new guidance will result in increased disclosures in the Notes to Consolidated Financial Statements.</w:t>
      </w:r>
    </w:p>
    <w:p>
      <w:pPr>
        <w:spacing w:after="0" w:line="200" w:lineRule="exact"/>
        <w:rPr>
          <w:sz w:val="20"/>
          <w:szCs w:val="20"/>
          <w:color w:val="auto"/>
        </w:rPr>
      </w:pPr>
    </w:p>
    <w:p>
      <w:pPr>
        <w:ind w:right="100"/>
        <w:spacing w:after="0" w:line="301" w:lineRule="auto"/>
        <w:rPr>
          <w:sz w:val="20"/>
          <w:szCs w:val="20"/>
          <w:color w:val="auto"/>
        </w:rPr>
      </w:pPr>
      <w:r>
        <w:rPr>
          <w:rFonts w:ascii="Arial" w:cs="Arial" w:eastAsia="Arial" w:hAnsi="Arial"/>
          <w:sz w:val="14"/>
          <w:szCs w:val="14"/>
          <w:color w:val="auto"/>
        </w:rPr>
        <w:t xml:space="preserve">In November 2024, the FASB issued ASU 2024-03 (ASC Topic 220),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xml:space="preserve"> . This ASU requires disclosure of certain expenses in the notes to the financial statements. This ASU will be effective for our annual reporting for 2028 on a prospective basis, with retrospective application permitted. Adoption of this new guidance will result in increased disclosures in the Notes to Consolidated Financial Statements.</w:t>
      </w:r>
    </w:p>
    <w:p>
      <w:pPr>
        <w:spacing w:after="0" w:line="162" w:lineRule="exact"/>
        <w:rPr>
          <w:sz w:val="20"/>
          <w:szCs w:val="20"/>
          <w:color w:val="auto"/>
        </w:rPr>
      </w:pPr>
    </w:p>
    <w:p>
      <w:pPr>
        <w:ind w:right="220"/>
        <w:spacing w:after="0" w:line="231" w:lineRule="auto"/>
        <w:rPr>
          <w:sz w:val="20"/>
          <w:szCs w:val="20"/>
          <w:color w:val="auto"/>
        </w:rPr>
      </w:pPr>
      <w:r>
        <w:rPr>
          <w:rFonts w:ascii="Arial" w:cs="Arial" w:eastAsia="Arial" w:hAnsi="Arial"/>
          <w:sz w:val="16"/>
          <w:szCs w:val="16"/>
          <w:color w:val="auto"/>
        </w:rPr>
        <w:t xml:space="preserve">In September 2025, the FASB issued ASU 2025-06 (ASC Topic 350), </w:t>
      </w: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xml:space="preserve"> . This ASU makes targeted improvements to the accounting for internal -use software and ASU will be effective for the first quarter of 2029, with early adoption permitted. This ASU provides for adoption on a prospective basis, with retrospective or modified retrospective application permitted. We are evaluating the timing and effects of our adoption of this new guidance on our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4. Variable Interest Entities</w:t>
      </w:r>
    </w:p>
    <w:p>
      <w:pPr>
        <w:spacing w:after="0" w:line="24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have the power to direct the activities of the Lease SPEs that most significantly impact their economic performance and, as such, we do not consolidate them. As of August 28, 2025, we had approximately $1.58 billion of financial lease liabilities and right-of-use assets under these arrangements.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2" w:name="page73"/>
    <w:bookmarkEnd w:id="7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5. Cash and Investments</w:t>
      </w:r>
    </w:p>
    <w:p>
      <w:pPr>
        <w:spacing w:after="0" w:line="24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All of our short-term investments and long-term marketable investments were classified as available for sale as of the dates noted below. Cash and cash equivalents and the fair values of our available-for-sale securities, which approximated amortized costs, were as follows:</w:t>
      </w:r>
    </w:p>
    <w:p>
      <w:pPr>
        <w:sectPr>
          <w:pgSz w:w="11900" w:h="16840" w:orient="portrait"/>
          <w:cols w:equalWidth="0" w:num="1">
            <w:col w:w="10580"/>
          </w:cols>
          <w:pgMar w:left="660" w:top="557" w:right="660" w:bottom="1440" w:gutter="0" w:footer="0" w:header="0"/>
        </w:sectPr>
      </w:pPr>
    </w:p>
    <w:p>
      <w:pPr>
        <w:ind w:left="3300"/>
        <w:spacing w:after="0"/>
        <w:rPr>
          <w:sz w:val="20"/>
          <w:szCs w:val="20"/>
          <w:color w:val="auto"/>
        </w:rPr>
      </w:pPr>
      <w:r>
        <w:rPr>
          <w:rFonts w:ascii="Arial" w:cs="Arial" w:eastAsia="Arial" w:hAnsi="Arial"/>
          <w:sz w:val="16"/>
          <w:szCs w:val="16"/>
          <w:b w:val="1"/>
          <w:bCs w:val="1"/>
          <w:color w:val="auto"/>
        </w:rPr>
        <w:t>As of August 28,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7"/>
              </w:rPr>
              <w:t>Cash and</w:t>
            </w: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Short-term</w:t>
            </w:r>
          </w:p>
        </w:tc>
        <w:tc>
          <w:tcPr>
            <w:tcW w:w="126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8"/>
              </w:rPr>
              <w:t>Long-term</w:t>
            </w: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Total Fair</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Cash</w:t>
            </w:r>
          </w:p>
        </w:tc>
        <w:tc>
          <w:tcPr>
            <w:tcW w:w="1120" w:type="dxa"/>
            <w:vAlign w:val="bottom"/>
            <w:vMerge w:val="continue"/>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8"/>
              </w:rPr>
              <w:t>Marketable</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Equivalents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Investments</w:t>
            </w:r>
          </w:p>
        </w:tc>
        <w:tc>
          <w:tcPr>
            <w:tcW w:w="126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b w:val="1"/>
                <w:bCs w:val="1"/>
                <w:color w:val="auto"/>
                <w:w w:val="95"/>
              </w:rPr>
              <w:t>Investments</w:t>
            </w:r>
            <w:r>
              <w:rPr>
                <w:rFonts w:ascii="Arial" w:cs="Arial" w:eastAsia="Arial" w:hAnsi="Arial"/>
                <w:sz w:val="21"/>
                <w:szCs w:val="21"/>
                <w:color w:val="auto"/>
                <w:w w:val="95"/>
                <w:vertAlign w:val="superscript"/>
              </w:rPr>
              <w:t>(1)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As of August 29,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7"/>
              </w:rPr>
              <w:t>Cash and</w:t>
            </w: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Short-term</w:t>
            </w:r>
          </w:p>
        </w:tc>
        <w:tc>
          <w:tcPr>
            <w:tcW w:w="124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96"/>
              </w:rPr>
              <w:t>Long-term</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Total Fair</w:t>
            </w:r>
          </w:p>
        </w:tc>
        <w:tc>
          <w:tcPr>
            <w:tcW w:w="0" w:type="dxa"/>
            <w:vAlign w:val="bottom"/>
          </w:tcPr>
          <w:p>
            <w:pPr>
              <w:spacing w:after="0"/>
              <w:rPr>
                <w:sz w:val="1"/>
                <w:szCs w:val="1"/>
                <w:color w:val="auto"/>
              </w:rPr>
            </w:pPr>
          </w:p>
        </w:tc>
      </w:tr>
      <w:tr>
        <w:trPr>
          <w:trHeight w:val="156"/>
        </w:trPr>
        <w:tc>
          <w:tcPr>
            <w:tcW w:w="10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Cash</w:t>
            </w:r>
          </w:p>
        </w:tc>
        <w:tc>
          <w:tcPr>
            <w:tcW w:w="1120" w:type="dxa"/>
            <w:vAlign w:val="bottom"/>
            <w:vMerge w:val="continue"/>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8"/>
              </w:rPr>
              <w:t>Marketable</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Equivalents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Investments</w:t>
            </w:r>
          </w:p>
        </w:tc>
        <w:tc>
          <w:tcPr>
            <w:tcW w:w="124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b w:val="1"/>
                <w:bCs w:val="1"/>
                <w:color w:val="auto"/>
                <w:w w:val="94"/>
              </w:rPr>
              <w:t>Investments</w:t>
            </w:r>
            <w:r>
              <w:rPr>
                <w:rFonts w:ascii="Arial" w:cs="Arial" w:eastAsia="Arial" w:hAnsi="Arial"/>
                <w:sz w:val="21"/>
                <w:szCs w:val="21"/>
                <w:color w:val="auto"/>
                <w:w w:val="94"/>
                <w:vertAlign w:val="superscript"/>
              </w:rPr>
              <w:t>(1)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40" w:orient="portrait"/>
          <w:cols w:equalWidth="0" w:num="2">
            <w:col w:w="6240" w:space="100"/>
            <w:col w:w="4240"/>
          </w:cols>
          <w:pgMar w:left="660" w:top="557" w:right="66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D1D2D4"/>
          </w:tcPr>
          <w:p>
            <w:pPr>
              <w:jc w:val="right"/>
              <w:ind w:right="16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7,875</w:t>
            </w:r>
          </w:p>
        </w:tc>
        <w:tc>
          <w:tcPr>
            <w:tcW w:w="440" w:type="dxa"/>
            <w:vAlign w:val="bottom"/>
            <w:shd w:val="clear" w:color="auto" w:fill="D1D2D4"/>
          </w:tcPr>
          <w:p>
            <w:pPr>
              <w:jc w:val="right"/>
              <w:ind w:right="26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1D2D4"/>
          </w:tcPr>
          <w:p>
            <w:pPr>
              <w:jc w:val="right"/>
              <w:ind w:right="282"/>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7,875</w:t>
            </w:r>
          </w:p>
        </w:tc>
        <w:tc>
          <w:tcPr>
            <w:tcW w:w="460" w:type="dxa"/>
            <w:vAlign w:val="bottom"/>
            <w:gridSpan w:val="2"/>
            <w:shd w:val="clear" w:color="auto" w:fill="D1D2D4"/>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6,654</w:t>
            </w:r>
          </w:p>
        </w:tc>
        <w:tc>
          <w:tcPr>
            <w:tcW w:w="360" w:type="dxa"/>
            <w:vAlign w:val="bottom"/>
            <w:shd w:val="clear" w:color="auto" w:fill="D1D2D4"/>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1D2D4"/>
          </w:tcPr>
          <w:p>
            <w:pPr>
              <w:jc w:val="right"/>
              <w:ind w:right="282"/>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6,654</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line="204" w:lineRule="exact"/>
              <w:rPr>
                <w:sz w:val="20"/>
                <w:szCs w:val="20"/>
                <w:color w:val="auto"/>
              </w:rPr>
            </w:pPr>
            <w:r>
              <w:rPr>
                <w:rFonts w:ascii="Arial" w:cs="Arial" w:eastAsia="Arial" w:hAnsi="Arial"/>
                <w:sz w:val="16"/>
                <w:szCs w:val="16"/>
                <w:color w:val="auto"/>
              </w:rPr>
              <w:t>Level 1</w:t>
            </w:r>
            <w:r>
              <w:rPr>
                <w:rFonts w:ascii="Arial" w:cs="Arial" w:eastAsia="Arial" w:hAnsi="Arial"/>
                <w:sz w:val="21"/>
                <w:szCs w:val="21"/>
                <w:color w:val="auto"/>
                <w:vertAlign w:val="superscript"/>
              </w:rPr>
              <w:t>(2)</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80" w:type="dxa"/>
            <w:vAlign w:val="bottom"/>
            <w:shd w:val="clear" w:color="auto" w:fill="D1D2D4"/>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410</w:t>
            </w:r>
          </w:p>
        </w:tc>
        <w:tc>
          <w:tcPr>
            <w:tcW w:w="44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D1D2D4"/>
          </w:tcPr>
          <w:p>
            <w:pPr>
              <w:spacing w:after="0"/>
              <w:rPr>
                <w:sz w:val="17"/>
                <w:szCs w:val="17"/>
                <w:color w:val="auto"/>
              </w:rPr>
            </w:pP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20</w:t>
            </w: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line="204" w:lineRule="exact"/>
              <w:rPr>
                <w:sz w:val="20"/>
                <w:szCs w:val="20"/>
                <w:color w:val="auto"/>
              </w:rPr>
            </w:pPr>
            <w:r>
              <w:rPr>
                <w:rFonts w:ascii="Arial" w:cs="Arial" w:eastAsia="Arial" w:hAnsi="Arial"/>
                <w:sz w:val="16"/>
                <w:szCs w:val="16"/>
                <w:color w:val="auto"/>
              </w:rPr>
              <w:t>Level 2</w:t>
            </w:r>
            <w:r>
              <w:rPr>
                <w:rFonts w:ascii="Arial" w:cs="Arial" w:eastAsia="Arial" w:hAnsi="Arial"/>
                <w:sz w:val="21"/>
                <w:szCs w:val="21"/>
                <w:color w:val="auto"/>
                <w:vertAlign w:val="superscript"/>
              </w:rPr>
              <w:t>(3)</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8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Certificates of deposit</w:t>
            </w:r>
          </w:p>
        </w:tc>
        <w:tc>
          <w:tcPr>
            <w:tcW w:w="34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1,292</w:t>
            </w:r>
          </w:p>
        </w:tc>
        <w:tc>
          <w:tcPr>
            <w:tcW w:w="44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50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D1D2D4"/>
          </w:tcPr>
          <w:p>
            <w:pPr>
              <w:spacing w:after="0"/>
              <w:rPr>
                <w:sz w:val="17"/>
                <w:szCs w:val="17"/>
                <w:color w:val="auto"/>
              </w:rPr>
            </w:pP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316</w:t>
            </w: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48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4"/>
        </w:trPr>
        <w:tc>
          <w:tcPr>
            <w:tcW w:w="1980" w:type="dxa"/>
            <w:vAlign w:val="bottom"/>
          </w:tcPr>
          <w:p>
            <w:pPr>
              <w:ind w:left="120"/>
              <w:spacing w:after="0"/>
              <w:rPr>
                <w:sz w:val="20"/>
                <w:szCs w:val="20"/>
                <w:color w:val="auto"/>
              </w:rPr>
            </w:pPr>
            <w:r>
              <w:rPr>
                <w:rFonts w:ascii="Arial" w:cs="Arial" w:eastAsia="Arial" w:hAnsi="Arial"/>
                <w:sz w:val="16"/>
                <w:szCs w:val="16"/>
                <w:color w:val="auto"/>
              </w:rPr>
              <w:t>Corporate bonds</w:t>
            </w:r>
          </w:p>
        </w:tc>
        <w:tc>
          <w:tcPr>
            <w:tcW w:w="34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559</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1,047</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771</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4"/>
        </w:trPr>
        <w:tc>
          <w:tcPr>
            <w:tcW w:w="1980" w:type="dxa"/>
            <w:vAlign w:val="bottom"/>
            <w:shd w:val="clear" w:color="auto" w:fill="D1D2D4"/>
          </w:tcPr>
          <w:p>
            <w:pPr>
              <w:ind w:left="120"/>
              <w:spacing w:after="0"/>
              <w:rPr>
                <w:sz w:val="20"/>
                <w:szCs w:val="20"/>
                <w:color w:val="auto"/>
              </w:rPr>
            </w:pPr>
            <w:r>
              <w:rPr>
                <w:rFonts w:ascii="Arial" w:cs="Arial" w:eastAsia="Arial" w:hAnsi="Arial"/>
                <w:sz w:val="16"/>
                <w:szCs w:val="16"/>
                <w:color w:val="auto"/>
              </w:rPr>
              <w:t>Asset-backed securities</w:t>
            </w:r>
          </w:p>
        </w:tc>
        <w:tc>
          <w:tcPr>
            <w:tcW w:w="34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44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w:t>
            </w:r>
          </w:p>
        </w:tc>
        <w:tc>
          <w:tcPr>
            <w:tcW w:w="50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521</w:t>
            </w:r>
          </w:p>
        </w:tc>
        <w:tc>
          <w:tcPr>
            <w:tcW w:w="200" w:type="dxa"/>
            <w:vAlign w:val="bottom"/>
            <w:shd w:val="clear" w:color="auto" w:fill="D1D2D4"/>
          </w:tcPr>
          <w:p>
            <w:pPr>
              <w:spacing w:after="0"/>
              <w:rPr>
                <w:sz w:val="17"/>
                <w:szCs w:val="17"/>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D1D2D4"/>
          </w:tcPr>
          <w:p>
            <w:pPr>
              <w:spacing w:after="0"/>
              <w:rPr>
                <w:sz w:val="17"/>
                <w:szCs w:val="17"/>
                <w:color w:val="auto"/>
              </w:rPr>
            </w:pP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360" w:type="dxa"/>
            <w:vAlign w:val="bottom"/>
            <w:shd w:val="clear" w:color="auto" w:fill="D1D2D4"/>
          </w:tcPr>
          <w:p>
            <w:pPr>
              <w:spacing w:after="0"/>
              <w:rPr>
                <w:sz w:val="17"/>
                <w:szCs w:val="17"/>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w:t>
            </w:r>
          </w:p>
        </w:tc>
        <w:tc>
          <w:tcPr>
            <w:tcW w:w="48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433</w:t>
            </w:r>
          </w:p>
        </w:tc>
        <w:tc>
          <w:tcPr>
            <w:tcW w:w="240" w:type="dxa"/>
            <w:vAlign w:val="bottom"/>
            <w:shd w:val="clear" w:color="auto" w:fill="D1D2D4"/>
          </w:tcPr>
          <w:p>
            <w:pPr>
              <w:spacing w:after="0"/>
              <w:rPr>
                <w:sz w:val="17"/>
                <w:szCs w:val="17"/>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4"/>
        </w:trPr>
        <w:tc>
          <w:tcPr>
            <w:tcW w:w="1980" w:type="dxa"/>
            <w:vAlign w:val="bottom"/>
          </w:tcPr>
          <w:p>
            <w:pPr>
              <w:ind w:left="120"/>
              <w:spacing w:after="0"/>
              <w:rPr>
                <w:sz w:val="20"/>
                <w:szCs w:val="20"/>
                <w:color w:val="auto"/>
              </w:rPr>
            </w:pPr>
            <w:r>
              <w:rPr>
                <w:rFonts w:ascii="Arial" w:cs="Arial" w:eastAsia="Arial" w:hAnsi="Arial"/>
                <w:sz w:val="16"/>
                <w:szCs w:val="16"/>
                <w:color w:val="auto"/>
              </w:rPr>
              <w:t>Government securities</w:t>
            </w:r>
          </w:p>
        </w:tc>
        <w:tc>
          <w:tcPr>
            <w:tcW w:w="34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4"/>
        </w:trPr>
        <w:tc>
          <w:tcPr>
            <w:tcW w:w="198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auto"/>
            </w:tcBorders>
            <w:shd w:val="clear" w:color="auto" w:fill="D1D2D4"/>
          </w:tcPr>
          <w:p>
            <w:pPr>
              <w:spacing w:after="0"/>
              <w:rPr>
                <w:sz w:val="17"/>
                <w:szCs w:val="17"/>
                <w:color w:val="auto"/>
              </w:rPr>
            </w:pPr>
          </w:p>
        </w:tc>
        <w:tc>
          <w:tcPr>
            <w:tcW w:w="7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auto"/>
            </w:tcBorders>
            <w:shd w:val="clear" w:color="auto" w:fill="D1D2D4"/>
          </w:tcPr>
          <w:p>
            <w:pPr>
              <w:spacing w:after="0"/>
              <w:rPr>
                <w:sz w:val="17"/>
                <w:szCs w:val="17"/>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shd w:val="clear" w:color="auto" w:fill="D1D2D4"/>
          </w:tcPr>
          <w:p>
            <w:pPr>
              <w:spacing w:after="0"/>
              <w:rPr>
                <w:sz w:val="17"/>
                <w:szCs w:val="17"/>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7"/>
                <w:szCs w:val="17"/>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spacing w:after="0"/>
              <w:rPr>
                <w:sz w:val="17"/>
                <w:szCs w:val="17"/>
                <w:color w:val="auto"/>
              </w:rPr>
            </w:pPr>
          </w:p>
        </w:tc>
        <w:tc>
          <w:tcPr>
            <w:tcW w:w="7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shd w:val="clear" w:color="auto" w:fill="D1D2D4"/>
          </w:tcPr>
          <w:p>
            <w:pPr>
              <w:spacing w:after="0"/>
              <w:rPr>
                <w:sz w:val="17"/>
                <w:szCs w:val="17"/>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160</w:t>
            </w:r>
          </w:p>
        </w:tc>
        <w:tc>
          <w:tcPr>
            <w:tcW w:w="480" w:type="dxa"/>
            <w:vAlign w:val="bottom"/>
            <w:tcBorders>
              <w:bottom w:val="single" w:sz="8" w:color="auto"/>
            </w:tcBorders>
            <w:shd w:val="clear" w:color="auto" w:fill="D1D2D4"/>
          </w:tcPr>
          <w:p>
            <w:pPr>
              <w:spacing w:after="0"/>
              <w:rPr>
                <w:sz w:val="17"/>
                <w:szCs w:val="17"/>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7"/>
                <w:szCs w:val="17"/>
                <w:color w:val="auto"/>
              </w:rPr>
            </w:pPr>
          </w:p>
        </w:tc>
        <w:tc>
          <w:tcPr>
            <w:tcW w:w="5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9,642</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7,041</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4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9,152</w:t>
            </w:r>
          </w:p>
        </w:tc>
        <w:tc>
          <w:tcPr>
            <w:tcW w:w="0" w:type="dxa"/>
            <w:vAlign w:val="bottom"/>
          </w:tcPr>
          <w:p>
            <w:pPr>
              <w:spacing w:after="0"/>
              <w:rPr>
                <w:sz w:val="1"/>
                <w:szCs w:val="1"/>
                <w:color w:val="auto"/>
              </w:rPr>
            </w:pPr>
          </w:p>
        </w:tc>
      </w:tr>
      <w:tr>
        <w:trPr>
          <w:trHeight w:val="20"/>
        </w:trPr>
        <w:tc>
          <w:tcPr>
            <w:tcW w:w="1980" w:type="dxa"/>
            <w:vAlign w:val="bottom"/>
            <w:tcBorders>
              <w:bottom w:val="single" w:sz="8" w:color="D1D2D4"/>
            </w:tcBorders>
          </w:tcPr>
          <w:p>
            <w:pPr>
              <w:spacing w:after="0" w:line="20" w:lineRule="exact"/>
              <w:rPr>
                <w:sz w:val="1"/>
                <w:szCs w:val="1"/>
                <w:color w:val="auto"/>
              </w:rPr>
            </w:pPr>
          </w:p>
        </w:tc>
        <w:tc>
          <w:tcPr>
            <w:tcW w:w="340" w:type="dxa"/>
            <w:vAlign w:val="bottom"/>
            <w:tcBorders>
              <w:bottom w:val="single" w:sz="8" w:color="D1D2D4"/>
            </w:tcBorders>
          </w:tcPr>
          <w:p>
            <w:pPr>
              <w:spacing w:after="0" w:line="20" w:lineRule="exact"/>
              <w:rPr>
                <w:sz w:val="1"/>
                <w:szCs w:val="1"/>
                <w:color w:val="auto"/>
              </w:rPr>
            </w:pPr>
          </w:p>
        </w:tc>
        <w:tc>
          <w:tcPr>
            <w:tcW w:w="72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80" w:type="dxa"/>
            <w:vAlign w:val="bottom"/>
            <w:shd w:val="clear" w:color="auto" w:fill="D1D2D4"/>
          </w:tcPr>
          <w:p>
            <w:pPr>
              <w:ind w:left="20"/>
              <w:spacing w:after="0" w:line="168" w:lineRule="exact"/>
              <w:rPr>
                <w:sz w:val="20"/>
                <w:szCs w:val="20"/>
                <w:color w:val="auto"/>
              </w:rPr>
            </w:pPr>
            <w:r>
              <w:rPr>
                <w:rFonts w:ascii="Arial" w:cs="Arial" w:eastAsia="Arial" w:hAnsi="Arial"/>
                <w:sz w:val="14"/>
                <w:szCs w:val="14"/>
                <w:color w:val="auto"/>
              </w:rPr>
              <w:t>Restricted cash</w:t>
            </w:r>
            <w:r>
              <w:rPr>
                <w:rFonts w:ascii="Arial" w:cs="Arial" w:eastAsia="Arial" w:hAnsi="Arial"/>
                <w:sz w:val="19"/>
                <w:szCs w:val="19"/>
                <w:color w:val="auto"/>
                <w:vertAlign w:val="superscript"/>
              </w:rPr>
              <w:t>(4)</w:t>
            </w:r>
          </w:p>
        </w:tc>
        <w:tc>
          <w:tcPr>
            <w:tcW w:w="340" w:type="dxa"/>
            <w:vAlign w:val="bottom"/>
            <w:tcBorders>
              <w:bottom w:val="single" w:sz="8" w:color="auto"/>
            </w:tcBorders>
            <w:shd w:val="clear" w:color="auto" w:fill="D1D2D4"/>
          </w:tcPr>
          <w:p>
            <w:pPr>
              <w:spacing w:after="0"/>
              <w:rPr>
                <w:sz w:val="14"/>
                <w:szCs w:val="14"/>
                <w:color w:val="auto"/>
              </w:rPr>
            </w:pPr>
          </w:p>
        </w:tc>
        <w:tc>
          <w:tcPr>
            <w:tcW w:w="720" w:type="dxa"/>
            <w:vAlign w:val="bottom"/>
            <w:tcBorders>
              <w:bottom w:val="single" w:sz="8" w:color="auto"/>
            </w:tcBorders>
            <w:shd w:val="clear" w:color="auto" w:fill="D1D2D4"/>
          </w:tcPr>
          <w:p>
            <w:pPr>
              <w:jc w:val="right"/>
              <w:ind w:right="22"/>
              <w:spacing w:after="0" w:line="168" w:lineRule="exact"/>
              <w:rPr>
                <w:sz w:val="20"/>
                <w:szCs w:val="20"/>
                <w:color w:val="auto"/>
              </w:rPr>
            </w:pPr>
            <w:r>
              <w:rPr>
                <w:rFonts w:ascii="Arial" w:cs="Arial" w:eastAsia="Arial" w:hAnsi="Arial"/>
                <w:sz w:val="16"/>
                <w:szCs w:val="16"/>
                <w:color w:val="auto"/>
              </w:rPr>
              <w:t>4</w:t>
            </w:r>
          </w:p>
        </w:tc>
        <w:tc>
          <w:tcPr>
            <w:tcW w:w="440" w:type="dxa"/>
            <w:vAlign w:val="bottom"/>
            <w:shd w:val="clear" w:color="auto" w:fill="D1D2D4"/>
          </w:tcPr>
          <w:p>
            <w:pPr>
              <w:spacing w:after="0"/>
              <w:rPr>
                <w:sz w:val="14"/>
                <w:szCs w:val="14"/>
                <w:color w:val="auto"/>
              </w:rPr>
            </w:pPr>
          </w:p>
        </w:tc>
        <w:tc>
          <w:tcPr>
            <w:tcW w:w="660" w:type="dxa"/>
            <w:vAlign w:val="bottom"/>
            <w:shd w:val="clear" w:color="auto" w:fill="D1D2D4"/>
          </w:tcPr>
          <w:p>
            <w:pPr>
              <w:spacing w:after="0"/>
              <w:rPr>
                <w:sz w:val="14"/>
                <w:szCs w:val="14"/>
                <w:color w:val="auto"/>
              </w:rPr>
            </w:pPr>
          </w:p>
        </w:tc>
        <w:tc>
          <w:tcPr>
            <w:tcW w:w="50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20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360" w:type="dxa"/>
            <w:vAlign w:val="bottom"/>
            <w:tcBorders>
              <w:bottom w:val="single" w:sz="8" w:color="auto"/>
            </w:tcBorders>
            <w:shd w:val="clear" w:color="auto" w:fill="D1D2D4"/>
          </w:tcPr>
          <w:p>
            <w:pPr>
              <w:spacing w:after="0"/>
              <w:rPr>
                <w:sz w:val="14"/>
                <w:szCs w:val="14"/>
                <w:color w:val="auto"/>
              </w:rPr>
            </w:pPr>
          </w:p>
        </w:tc>
        <w:tc>
          <w:tcPr>
            <w:tcW w:w="720" w:type="dxa"/>
            <w:vAlign w:val="bottom"/>
            <w:tcBorders>
              <w:bottom w:val="single" w:sz="8" w:color="auto"/>
            </w:tcBorders>
            <w:shd w:val="clear" w:color="auto" w:fill="D1D2D4"/>
          </w:tcPr>
          <w:p>
            <w:pPr>
              <w:jc w:val="right"/>
              <w:ind w:right="2"/>
              <w:spacing w:after="0" w:line="168" w:lineRule="exact"/>
              <w:rPr>
                <w:sz w:val="20"/>
                <w:szCs w:val="20"/>
                <w:color w:val="auto"/>
              </w:rPr>
            </w:pPr>
            <w:r>
              <w:rPr>
                <w:rFonts w:ascii="Arial" w:cs="Arial" w:eastAsia="Arial" w:hAnsi="Arial"/>
                <w:sz w:val="16"/>
                <w:szCs w:val="16"/>
                <w:color w:val="auto"/>
              </w:rPr>
              <w:t>11</w:t>
            </w:r>
          </w:p>
        </w:tc>
        <w:tc>
          <w:tcPr>
            <w:tcW w:w="36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48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80" w:type="dxa"/>
            <w:vAlign w:val="bottom"/>
          </w:tcPr>
          <w:p>
            <w:pPr>
              <w:ind w:left="20"/>
              <w:spacing w:after="0" w:line="137" w:lineRule="exact"/>
              <w:rPr>
                <w:sz w:val="20"/>
                <w:szCs w:val="20"/>
                <w:color w:val="auto"/>
              </w:rPr>
            </w:pPr>
            <w:r>
              <w:rPr>
                <w:rFonts w:ascii="Arial" w:cs="Arial" w:eastAsia="Arial" w:hAnsi="Arial"/>
                <w:sz w:val="14"/>
                <w:szCs w:val="14"/>
                <w:color w:val="auto"/>
              </w:rPr>
              <w:t>Cash, cash equivalents,</w:t>
            </w:r>
          </w:p>
        </w:tc>
        <w:tc>
          <w:tcPr>
            <w:tcW w:w="340" w:type="dxa"/>
            <w:vAlign w:val="bottom"/>
            <w:vMerge w:val="restart"/>
          </w:tcPr>
          <w:p>
            <w:pPr>
              <w:jc w:val="right"/>
              <w:ind w:right="16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color w:val="auto"/>
              </w:rPr>
              <w:t>9,646</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color w:val="auto"/>
              </w:rPr>
              <w:t>7,052</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20"/>
              <w:spacing w:after="0" w:line="179" w:lineRule="exact"/>
              <w:rPr>
                <w:sz w:val="20"/>
                <w:szCs w:val="20"/>
                <w:color w:val="auto"/>
              </w:rPr>
            </w:pPr>
            <w:r>
              <w:rPr>
                <w:rFonts w:ascii="Arial" w:cs="Arial" w:eastAsia="Arial" w:hAnsi="Arial"/>
                <w:sz w:val="16"/>
                <w:szCs w:val="16"/>
                <w:color w:val="auto"/>
              </w:rPr>
              <w:t>and restricted cash</w:t>
            </w:r>
          </w:p>
        </w:tc>
        <w:tc>
          <w:tcPr>
            <w:tcW w:w="3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220" w:right="120" w:hanging="214"/>
        <w:spacing w:after="0" w:line="205" w:lineRule="auto"/>
        <w:tabs>
          <w:tab w:leader="none" w:pos="22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The maturities of long-term marketable investments primarily range from one to five years, except for asset-backed securities which are not due at a single maturity date.</w:t>
      </w:r>
    </w:p>
    <w:p>
      <w:pPr>
        <w:ind w:left="220" w:hanging="214"/>
        <w:spacing w:after="0" w:line="197" w:lineRule="auto"/>
        <w:tabs>
          <w:tab w:leader="none" w:pos="22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i w:val="1"/>
          <w:iCs w:val="1"/>
          <w:color w:val="auto"/>
        </w:rPr>
        <w:t>The fair value of Level 1 securities is measured based on quoted prices in active markets for identical assets.</w:t>
      </w:r>
    </w:p>
    <w:p>
      <w:pPr>
        <w:ind w:left="220" w:right="60" w:hanging="214"/>
        <w:spacing w:after="0" w:line="214" w:lineRule="auto"/>
        <w:tabs>
          <w:tab w:leader="none" w:pos="22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28, 2025 or August 29, 2024.</w:t>
      </w:r>
    </w:p>
    <w:p>
      <w:pPr>
        <w:spacing w:after="0" w:line="2" w:lineRule="exact"/>
        <w:rPr>
          <w:rFonts w:ascii="Arial" w:cs="Arial" w:eastAsia="Arial" w:hAnsi="Arial"/>
          <w:sz w:val="22"/>
          <w:szCs w:val="22"/>
          <w:i w:val="1"/>
          <w:iCs w:val="1"/>
          <w:color w:val="auto"/>
          <w:vertAlign w:val="superscript"/>
        </w:rPr>
      </w:pPr>
    </w:p>
    <w:p>
      <w:pPr>
        <w:ind w:left="220" w:hanging="214"/>
        <w:spacing w:after="0" w:line="181" w:lineRule="auto"/>
        <w:tabs>
          <w:tab w:leader="none" w:pos="22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Restricted cash is included in other current assets.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gains and losses from sales of available-for-sale securities were not material for any period presented.</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Non-marketable Equity Investments</w:t>
      </w:r>
    </w:p>
    <w:p>
      <w:pPr>
        <w:spacing w:after="0" w:line="240" w:lineRule="exact"/>
        <w:rPr>
          <w:sz w:val="20"/>
          <w:szCs w:val="20"/>
          <w:color w:val="auto"/>
        </w:rPr>
      </w:pPr>
    </w:p>
    <w:p>
      <w:pPr>
        <w:jc w:val="both"/>
        <w:ind w:right="440"/>
        <w:spacing w:after="0" w:line="272" w:lineRule="auto"/>
        <w:rPr>
          <w:sz w:val="20"/>
          <w:szCs w:val="20"/>
          <w:color w:val="auto"/>
        </w:rPr>
      </w:pPr>
      <w:r>
        <w:rPr>
          <w:rFonts w:ascii="Arial" w:cs="Arial" w:eastAsia="Arial" w:hAnsi="Arial"/>
          <w:sz w:val="14"/>
          <w:szCs w:val="14"/>
          <w:color w:val="auto"/>
        </w:rPr>
        <w:t>In addition to the amounts included in the table above, we had $194 million and $190 million of non-marketable equity investments without a readily determinable fair value that were included in other noncurrent assets as of August 28, 2025 and August 29, 2024, respectively. For non-marketable investments, we recognized net losses in other non-operating income (expense) of $10 million, $32 million, and $7 million in 2025, 2024, and 2023, respectively. Our non-marketable equity investments are recorded at fair value on a non-recurring basis and classified as Level 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1010"/>
        </w:trPr>
        <w:tc>
          <w:tcPr>
            <w:tcW w:w="7900" w:type="dxa"/>
            <w:vAlign w:val="bottom"/>
          </w:tcPr>
          <w:p>
            <w:pPr>
              <w:spacing w:after="0"/>
              <w:rPr>
                <w:sz w:val="20"/>
                <w:szCs w:val="20"/>
                <w:color w:val="auto"/>
              </w:rPr>
            </w:pPr>
            <w:r>
              <w:rPr>
                <w:rFonts w:ascii="Arial" w:cs="Arial" w:eastAsia="Arial" w:hAnsi="Arial"/>
                <w:sz w:val="35"/>
                <w:szCs w:val="35"/>
                <w:b w:val="1"/>
                <w:bCs w:val="1"/>
                <w:color w:val="auto"/>
              </w:rPr>
              <w:t>Note 6. Receivables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97"/>
              </w:rPr>
              <w:t>August 28,</w:t>
            </w:r>
          </w:p>
        </w:tc>
        <w:tc>
          <w:tcPr>
            <w:tcW w:w="140" w:type="dxa"/>
            <w:vAlign w:val="bottom"/>
          </w:tcPr>
          <w:p>
            <w:pPr>
              <w:spacing w:after="0"/>
              <w:rPr>
                <w:sz w:val="24"/>
                <w:szCs w:val="24"/>
                <w:color w:val="auto"/>
              </w:rPr>
            </w:pPr>
          </w:p>
        </w:tc>
        <w:tc>
          <w:tcPr>
            <w:tcW w:w="1200" w:type="dxa"/>
            <w:vAlign w:val="bottom"/>
            <w:tcBorders>
              <w:top w:val="single" w:sz="8" w:color="BD03F7"/>
            </w:tcBorders>
            <w:vMerge w:val="restart"/>
          </w:tcPr>
          <w:p>
            <w:pPr>
              <w:jc w:val="center"/>
              <w:ind w:right="42"/>
              <w:spacing w:after="0"/>
              <w:rPr>
                <w:sz w:val="20"/>
                <w:szCs w:val="20"/>
                <w:color w:val="auto"/>
              </w:rPr>
            </w:pPr>
            <w:r>
              <w:rPr>
                <w:rFonts w:ascii="Arial" w:cs="Arial" w:eastAsia="Arial" w:hAnsi="Arial"/>
                <w:sz w:val="16"/>
                <w:szCs w:val="16"/>
                <w:b w:val="1"/>
                <w:bCs w:val="1"/>
                <w:color w:val="auto"/>
                <w:w w:val="97"/>
              </w:rPr>
              <w:t>August 29,</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9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2025</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5"/>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shd w:val="clear" w:color="auto" w:fill="D1D2D4"/>
          </w:tcPr>
          <w:p>
            <w:pPr>
              <w:ind w:left="20"/>
              <w:spacing w:after="0"/>
              <w:rPr>
                <w:sz w:val="20"/>
                <w:szCs w:val="20"/>
                <w:color w:val="auto"/>
              </w:rPr>
            </w:pPr>
            <w:r>
              <w:rPr>
                <w:rFonts w:ascii="Arial" w:cs="Arial" w:eastAsia="Arial" w:hAnsi="Arial"/>
                <w:sz w:val="16"/>
                <w:szCs w:val="16"/>
                <w:color w:val="auto"/>
              </w:rPr>
              <w:t>Trade receivables</w:t>
            </w:r>
          </w:p>
        </w:tc>
        <w:tc>
          <w:tcPr>
            <w:tcW w:w="20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7,163</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20"/>
              <w:spacing w:after="0"/>
              <w:rPr>
                <w:sz w:val="20"/>
                <w:szCs w:val="20"/>
                <w:color w:val="auto"/>
              </w:rPr>
            </w:pPr>
            <w:r>
              <w:rPr>
                <w:rFonts w:ascii="Arial" w:cs="Arial" w:eastAsia="Arial" w:hAnsi="Arial"/>
                <w:sz w:val="16"/>
                <w:szCs w:val="16"/>
                <w:color w:val="auto"/>
              </w:rPr>
              <w:t>Government incentives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and other taxes</w:t>
            </w:r>
          </w:p>
        </w:tc>
        <w:tc>
          <w:tcPr>
            <w:tcW w:w="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436</w:t>
            </w: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D1D2D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1D2D4"/>
          </w:tcPr>
          <w:p>
            <w:pPr>
              <w:spacing w:after="0"/>
              <w:rPr>
                <w:sz w:val="18"/>
                <w:szCs w:val="18"/>
                <w:color w:val="auto"/>
              </w:rPr>
            </w:pPr>
          </w:p>
        </w:tc>
        <w:tc>
          <w:tcPr>
            <w:tcW w:w="20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9,265</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35"/>
                <w:szCs w:val="35"/>
                <w:b w:val="1"/>
                <w:bCs w:val="1"/>
                <w:color w:val="auto"/>
              </w:rPr>
              <w:t>Note 7. Inventories</w:t>
            </w:r>
          </w:p>
        </w:tc>
        <w:tc>
          <w:tcPr>
            <w:tcW w:w="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7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7"/>
              </w:rPr>
              <w:t>August 28,</w:t>
            </w:r>
          </w:p>
        </w:tc>
        <w:tc>
          <w:tcPr>
            <w:tcW w:w="140" w:type="dxa"/>
            <w:vAlign w:val="bottom"/>
          </w:tcPr>
          <w:p>
            <w:pPr>
              <w:spacing w:after="0"/>
              <w:rPr>
                <w:sz w:val="24"/>
                <w:szCs w:val="2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7"/>
              </w:rPr>
              <w:t>August 29,</w:t>
            </w:r>
          </w:p>
        </w:tc>
        <w:tc>
          <w:tcPr>
            <w:tcW w:w="0" w:type="dxa"/>
            <w:vAlign w:val="bottom"/>
          </w:tcPr>
          <w:p>
            <w:pPr>
              <w:spacing w:after="0"/>
              <w:rPr>
                <w:sz w:val="1"/>
                <w:szCs w:val="1"/>
                <w:color w:val="auto"/>
              </w:rPr>
            </w:pPr>
          </w:p>
        </w:tc>
      </w:tr>
      <w:tr>
        <w:trPr>
          <w:trHeight w:val="134"/>
        </w:trPr>
        <w:tc>
          <w:tcPr>
            <w:tcW w:w="7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9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2025</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gridSpan w:val="2"/>
            <w:shd w:val="clear" w:color="auto" w:fill="D1D2D4"/>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1,094</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6,401</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Raw materials and supplies</w:t>
            </w:r>
          </w:p>
        </w:tc>
        <w:tc>
          <w:tcPr>
            <w:tcW w:w="20" w:type="dxa"/>
            <w:vAlign w:val="bottom"/>
            <w:tcBorders>
              <w:bottom w:val="single" w:sz="8" w:color="auto"/>
            </w:tcBorders>
            <w:shd w:val="clear" w:color="auto" w:fill="D1D2D4"/>
          </w:tcPr>
          <w:p>
            <w:pPr>
              <w:spacing w:after="0"/>
              <w:rPr>
                <w:sz w:val="17"/>
                <w:szCs w:val="17"/>
                <w:color w:val="auto"/>
              </w:rPr>
            </w:pP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860</w:t>
            </w:r>
          </w:p>
        </w:tc>
        <w:tc>
          <w:tcPr>
            <w:tcW w:w="140" w:type="dxa"/>
            <w:vAlign w:val="bottom"/>
            <w:tcBorders>
              <w:bottom w:val="single" w:sz="8" w:color="auto"/>
            </w:tcBorders>
            <w:shd w:val="clear" w:color="auto" w:fill="D1D2D4"/>
          </w:tcPr>
          <w:p>
            <w:pPr>
              <w:spacing w:after="0"/>
              <w:rPr>
                <w:sz w:val="17"/>
                <w:szCs w:val="17"/>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In 2023, we recorded charges of $1.83 billion to cost of goods sold to write down the carrying value of work in process and finished goods inventories to their estimated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8. Property, Plant, and Equipment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5"/>
                <w:szCs w:val="15"/>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rPr>
              <w:t>August 28,</w:t>
            </w:r>
          </w:p>
        </w:tc>
        <w:tc>
          <w:tcPr>
            <w:tcW w:w="180" w:type="dxa"/>
            <w:vAlign w:val="bottom"/>
          </w:tcPr>
          <w:p>
            <w:pPr>
              <w:spacing w:after="0"/>
              <w:rPr>
                <w:sz w:val="15"/>
                <w:szCs w:val="15"/>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420</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4"/>
        </w:trPr>
        <w:tc>
          <w:tcPr>
            <w:tcW w:w="796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22,173</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20"/>
              <w:spacing w:after="0" w:line="204" w:lineRule="exact"/>
              <w:rPr>
                <w:sz w:val="20"/>
                <w:szCs w:val="20"/>
                <w:color w:val="auto"/>
              </w:rPr>
            </w:pPr>
            <w:r>
              <w:rPr>
                <w:rFonts w:ascii="Arial" w:cs="Arial" w:eastAsia="Arial" w:hAnsi="Arial"/>
                <w:sz w:val="16"/>
                <w:szCs w:val="16"/>
                <w:color w:val="auto"/>
              </w:rPr>
              <w:t>Equipment</w:t>
            </w:r>
            <w:r>
              <w:rPr>
                <w:rFonts w:ascii="Arial" w:cs="Arial" w:eastAsia="Arial" w:hAnsi="Arial"/>
                <w:sz w:val="21"/>
                <w:szCs w:val="21"/>
                <w:color w:val="auto"/>
                <w:vertAlign w:val="superscript"/>
              </w:rPr>
              <w:t>(1)</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79,934</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70,813</w:t>
            </w:r>
          </w:p>
        </w:tc>
        <w:tc>
          <w:tcPr>
            <w:tcW w:w="0" w:type="dxa"/>
            <w:vAlign w:val="bottom"/>
          </w:tcPr>
          <w:p>
            <w:pPr>
              <w:spacing w:after="0"/>
              <w:rPr>
                <w:sz w:val="1"/>
                <w:szCs w:val="1"/>
                <w:color w:val="auto"/>
              </w:rPr>
            </w:pPr>
          </w:p>
        </w:tc>
      </w:tr>
      <w:tr>
        <w:trPr>
          <w:trHeight w:val="204"/>
        </w:trPr>
        <w:tc>
          <w:tcPr>
            <w:tcW w:w="7960" w:type="dxa"/>
            <w:vAlign w:val="bottom"/>
          </w:tcPr>
          <w:p>
            <w:pPr>
              <w:ind w:left="20"/>
              <w:spacing w:after="0" w:line="204" w:lineRule="exact"/>
              <w:rPr>
                <w:sz w:val="20"/>
                <w:szCs w:val="20"/>
                <w:color w:val="auto"/>
              </w:rPr>
            </w:pPr>
            <w:r>
              <w:rPr>
                <w:rFonts w:ascii="Arial" w:cs="Arial" w:eastAsia="Arial" w:hAnsi="Arial"/>
                <w:sz w:val="16"/>
                <w:szCs w:val="16"/>
                <w:color w:val="auto"/>
              </w:rPr>
              <w:t>Construction in progress</w:t>
            </w:r>
            <w:r>
              <w:rPr>
                <w:rFonts w:ascii="Arial" w:cs="Arial" w:eastAsia="Arial" w:hAnsi="Arial"/>
                <w:sz w:val="21"/>
                <w:szCs w:val="21"/>
                <w:color w:val="auto"/>
                <w:vertAlign w:val="superscript"/>
              </w:rPr>
              <w:t>(2)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5,518</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3,444</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Software</w:t>
            </w:r>
          </w:p>
        </w:tc>
        <w:tc>
          <w:tcPr>
            <w:tcW w:w="16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1,651</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109,696</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96,047</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(63,106)</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(56,298)</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46,590</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20" w:hanging="214"/>
        <w:spacing w:after="0"/>
        <w:tabs>
          <w:tab w:leader="none" w:pos="22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Includes costs related to equipment not placed into service of $4.05 billion as of August 28, 2025 and $3.10 billion as of August 29, 2024.</w:t>
      </w:r>
    </w:p>
    <w:p>
      <w:pPr>
        <w:ind w:left="220" w:hanging="214"/>
        <w:spacing w:after="0" w:line="181" w:lineRule="auto"/>
        <w:tabs>
          <w:tab w:leader="none" w:pos="22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Primarily includes building-related construction and tool installation.</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Depreciation expense was $8.28 billion, $7.70 billion, and $7.67 billion for 2025, 2024, and 2023, respectively. Interest capitalized as part of the cost of property, plant, and equipment was $321 million, $225 million, and $208 million for 2025, 2024, and 2023,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9. Leases</w:t>
      </w:r>
    </w:p>
    <w:p>
      <w:pPr>
        <w:spacing w:after="0" w:line="249"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have finance and operating leases through which we obtain the right to use facilities, land, and equipment that support our business operations. Our finance leases consist primarily of (1) equipment leases and (2) gas and other supply agreements that are deemed to contain embedded leases. Ou r operating leases consist primarily of offices, laboratories, other facilities, and land. Certain of our operating leases include one or more options to extend the lease term for periods from one year to 10 years for real estate and one year to 99 years for land. In determining the lease term, we assess whether we are reasonably certain to exercise any options to renew or terminate a lease or to purchase the right-of-use asset.</w:t>
      </w:r>
    </w:p>
    <w:p>
      <w:pPr>
        <w:spacing w:after="0" w:line="200" w:lineRule="exact"/>
        <w:rPr>
          <w:sz w:val="20"/>
          <w:szCs w:val="20"/>
          <w:color w:val="auto"/>
        </w:rPr>
      </w:pPr>
    </w:p>
    <w:p>
      <w:pPr>
        <w:spacing w:after="0" w:line="20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74" w:name="page75"/>
    <w:bookmarkEnd w:id="7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The components of lease cost are presented below:</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r>
      <w:tr>
        <w:trPr>
          <w:trHeight w:val="28"/>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4"/>
        </w:trPr>
        <w:tc>
          <w:tcPr>
            <w:tcW w:w="6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Finance lease cost</w:t>
            </w: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r>
      <w:tr>
        <w:trPr>
          <w:trHeight w:val="204"/>
        </w:trPr>
        <w:tc>
          <w:tcPr>
            <w:tcW w:w="6700" w:type="dxa"/>
            <w:vAlign w:val="bottom"/>
          </w:tcPr>
          <w:p>
            <w:pPr>
              <w:ind w:left="120"/>
              <w:spacing w:after="0"/>
              <w:rPr>
                <w:sz w:val="20"/>
                <w:szCs w:val="20"/>
                <w:color w:val="auto"/>
              </w:rPr>
            </w:pPr>
            <w:r>
              <w:rPr>
                <w:rFonts w:ascii="Arial" w:cs="Arial" w:eastAsia="Arial" w:hAnsi="Arial"/>
                <w:sz w:val="16"/>
                <w:szCs w:val="16"/>
                <w:color w:val="auto"/>
              </w:rPr>
              <w:t>Amortization of right-of-use asset</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176</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4"/>
        </w:trPr>
        <w:tc>
          <w:tcPr>
            <w:tcW w:w="67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Interest on lease liability</w:t>
            </w: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w:t>
            </w:r>
          </w:p>
        </w:tc>
      </w:tr>
      <w:tr>
        <w:trPr>
          <w:trHeight w:val="204"/>
        </w:trPr>
        <w:tc>
          <w:tcPr>
            <w:tcW w:w="6700" w:type="dxa"/>
            <w:vAlign w:val="bottom"/>
            <w:tcBorders>
              <w:bottom w:val="single" w:sz="8" w:color="D1D2D4"/>
            </w:tcBorders>
          </w:tcPr>
          <w:p>
            <w:pPr>
              <w:ind w:left="20"/>
              <w:spacing w:after="0" w:line="204" w:lineRule="exact"/>
              <w:rPr>
                <w:sz w:val="20"/>
                <w:szCs w:val="20"/>
                <w:color w:val="auto"/>
              </w:rPr>
            </w:pPr>
            <w:r>
              <w:rPr>
                <w:rFonts w:ascii="Arial" w:cs="Arial" w:eastAsia="Arial" w:hAnsi="Arial"/>
                <w:sz w:val="16"/>
                <w:szCs w:val="16"/>
                <w:color w:val="auto"/>
              </w:rPr>
              <w:t>Operating lease cost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21"/>
        </w:trPr>
        <w:tc>
          <w:tcPr>
            <w:tcW w:w="6700" w:type="dxa"/>
            <w:vAlign w:val="bottom"/>
            <w:tcBorders>
              <w:bottom w:val="single" w:sz="8" w:color="D1D2D4"/>
            </w:tcBorders>
            <w:shd w:val="clear" w:color="auto" w:fill="D1D2D4"/>
          </w:tcPr>
          <w:p>
            <w:pPr>
              <w:spacing w:after="0"/>
              <w:rPr>
                <w:sz w:val="18"/>
                <w:szCs w:val="18"/>
                <w:color w:val="auto"/>
              </w:rPr>
            </w:pPr>
          </w:p>
        </w:tc>
        <w:tc>
          <w:tcPr>
            <w:tcW w:w="30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615</w:t>
            </w:r>
          </w:p>
        </w:tc>
        <w:tc>
          <w:tcPr>
            <w:tcW w:w="30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266</w:t>
            </w:r>
          </w:p>
        </w:tc>
      </w:tr>
      <w:tr>
        <w:trPr>
          <w:trHeight w:val="20"/>
        </w:trPr>
        <w:tc>
          <w:tcPr>
            <w:tcW w:w="670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60" w:hanging="154"/>
        <w:spacing w:after="0"/>
        <w:tabs>
          <w:tab w:leader="none" w:pos="16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3"/>
          <w:szCs w:val="13"/>
          <w:i w:val="1"/>
          <w:iCs w:val="1"/>
          <w:color w:val="auto"/>
        </w:rPr>
        <w:t>Includes short-term and variable lease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gridSpan w:val="2"/>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For the year ended</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Cash flows used for operating activities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ind w:left="80"/>
              <w:spacing w:after="0"/>
              <w:rPr>
                <w:sz w:val="20"/>
                <w:szCs w:val="20"/>
                <w:color w:val="auto"/>
              </w:rPr>
            </w:pPr>
            <w:r>
              <w:rPr>
                <w:rFonts w:ascii="Arial" w:cs="Arial" w:eastAsia="Arial" w:hAnsi="Arial"/>
                <w:sz w:val="16"/>
                <w:szCs w:val="16"/>
                <w:color w:val="auto"/>
              </w:rPr>
              <w:t>Finance leases</w:t>
            </w:r>
          </w:p>
        </w:tc>
        <w:tc>
          <w:tcPr>
            <w:tcW w:w="5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104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D1D2D4"/>
          </w:tcPr>
          <w:p>
            <w:pPr>
              <w:spacing w:after="0"/>
              <w:rPr>
                <w:sz w:val="17"/>
                <w:szCs w:val="17"/>
                <w:color w:val="auto"/>
              </w:rPr>
            </w:pPr>
          </w:p>
        </w:tc>
        <w:tc>
          <w:tcPr>
            <w:tcW w:w="6320" w:type="dxa"/>
            <w:vAlign w:val="bottom"/>
            <w:shd w:val="clear" w:color="auto" w:fill="D1D2D4"/>
          </w:tcPr>
          <w:p>
            <w:pPr>
              <w:ind w:left="80"/>
              <w:spacing w:after="0"/>
              <w:rPr>
                <w:sz w:val="20"/>
                <w:szCs w:val="20"/>
                <w:color w:val="auto"/>
              </w:rPr>
            </w:pPr>
            <w:r>
              <w:rPr>
                <w:rFonts w:ascii="Arial" w:cs="Arial" w:eastAsia="Arial" w:hAnsi="Arial"/>
                <w:sz w:val="16"/>
                <w:szCs w:val="16"/>
                <w:color w:val="auto"/>
              </w:rPr>
              <w:t>Operating leases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149</w:t>
            </w:r>
          </w:p>
        </w:tc>
        <w:tc>
          <w:tcPr>
            <w:tcW w:w="13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139</w:t>
            </w:r>
          </w:p>
        </w:tc>
        <w:tc>
          <w:tcPr>
            <w:tcW w:w="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Cash flows used for financing activities – Finance leases</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6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Non-cash acquisitions of right-of-use assets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ind w:left="80"/>
              <w:spacing w:after="0"/>
              <w:rPr>
                <w:sz w:val="20"/>
                <w:szCs w:val="20"/>
                <w:color w:val="auto"/>
              </w:rPr>
            </w:pPr>
            <w:r>
              <w:rPr>
                <w:rFonts w:ascii="Arial" w:cs="Arial" w:eastAsia="Arial" w:hAnsi="Arial"/>
                <w:sz w:val="16"/>
                <w:szCs w:val="16"/>
                <w:color w:val="auto"/>
              </w:rPr>
              <w:t>Finance leases</w:t>
            </w: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D1D2D4"/>
          </w:tcPr>
          <w:p>
            <w:pPr>
              <w:spacing w:after="0"/>
              <w:rPr>
                <w:sz w:val="17"/>
                <w:szCs w:val="17"/>
                <w:color w:val="auto"/>
              </w:rPr>
            </w:pPr>
          </w:p>
        </w:tc>
        <w:tc>
          <w:tcPr>
            <w:tcW w:w="6320" w:type="dxa"/>
            <w:vAlign w:val="bottom"/>
            <w:shd w:val="clear" w:color="auto" w:fill="D1D2D4"/>
          </w:tcPr>
          <w:p>
            <w:pPr>
              <w:ind w:left="80"/>
              <w:spacing w:after="0"/>
              <w:rPr>
                <w:sz w:val="20"/>
                <w:szCs w:val="20"/>
                <w:color w:val="auto"/>
              </w:rPr>
            </w:pPr>
            <w:r>
              <w:rPr>
                <w:rFonts w:ascii="Arial" w:cs="Arial" w:eastAsia="Arial" w:hAnsi="Arial"/>
                <w:sz w:val="16"/>
                <w:szCs w:val="16"/>
                <w:color w:val="auto"/>
              </w:rPr>
              <w:t>Operating leases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166</w:t>
            </w:r>
          </w:p>
        </w:tc>
        <w:tc>
          <w:tcPr>
            <w:tcW w:w="1040" w:type="dxa"/>
            <w:vAlign w:val="bottom"/>
            <w:shd w:val="clear" w:color="auto" w:fill="D1D2D4"/>
          </w:tcPr>
          <w:p>
            <w:pPr>
              <w:spacing w:after="0"/>
              <w:rPr>
                <w:sz w:val="17"/>
                <w:szCs w:val="17"/>
                <w:color w:val="auto"/>
              </w:rPr>
            </w:pPr>
          </w:p>
        </w:tc>
        <w:tc>
          <w:tcPr>
            <w:tcW w:w="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6360" w:type="dxa"/>
            <w:vAlign w:val="bottom"/>
            <w:gridSpan w:val="2"/>
          </w:tcPr>
          <w:p>
            <w:pPr>
              <w:spacing w:after="0"/>
              <w:rPr>
                <w:sz w:val="20"/>
                <w:szCs w:val="20"/>
                <w:color w:val="auto"/>
              </w:rPr>
            </w:pPr>
            <w:r>
              <w:rPr>
                <w:rFonts w:ascii="Arial" w:cs="Arial" w:eastAsia="Arial" w:hAnsi="Arial"/>
                <w:sz w:val="16"/>
                <w:szCs w:val="16"/>
                <w:color w:val="auto"/>
              </w:rPr>
              <w:t>Supplemental balance sheet information related to leases was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320" w:type="dxa"/>
            <w:vAlign w:val="bottom"/>
            <w:vMerge w:val="restart"/>
          </w:tcPr>
          <w:p>
            <w:pPr>
              <w:spacing w:after="0"/>
              <w:rPr>
                <w:sz w:val="20"/>
                <w:szCs w:val="20"/>
                <w:color w:val="auto"/>
              </w:rPr>
            </w:pPr>
            <w:r>
              <w:rPr>
                <w:rFonts w:ascii="Arial" w:cs="Arial" w:eastAsia="Arial" w:hAnsi="Arial"/>
                <w:sz w:val="16"/>
                <w:szCs w:val="16"/>
                <w:b w:val="1"/>
                <w:bCs w:val="1"/>
                <w:color w:val="auto"/>
              </w:rPr>
              <w:t>As of</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62"/>
              <w:spacing w:after="0" w:line="166" w:lineRule="exact"/>
              <w:rPr>
                <w:sz w:val="20"/>
                <w:szCs w:val="20"/>
                <w:color w:val="auto"/>
              </w:rPr>
            </w:pPr>
            <w:r>
              <w:rPr>
                <w:rFonts w:ascii="Arial" w:cs="Arial" w:eastAsia="Arial" w:hAnsi="Arial"/>
                <w:sz w:val="16"/>
                <w:szCs w:val="16"/>
                <w:b w:val="1"/>
                <w:bCs w:val="1"/>
                <w:color w:val="auto"/>
              </w:rPr>
              <w:t>August 28,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line="166"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shd w:val="clear" w:color="auto" w:fill="D1D2D4"/>
          </w:tcPr>
          <w:p>
            <w:pPr>
              <w:spacing w:after="0"/>
              <w:rPr>
                <w:sz w:val="20"/>
                <w:szCs w:val="20"/>
                <w:color w:val="auto"/>
              </w:rPr>
            </w:pPr>
            <w:r>
              <w:rPr>
                <w:rFonts w:ascii="Arial" w:cs="Arial" w:eastAsia="Arial" w:hAnsi="Arial"/>
                <w:sz w:val="16"/>
                <w:szCs w:val="16"/>
                <w:color w:val="auto"/>
              </w:rPr>
              <w:t>Finance lease right-of-use assets (included in property, plant, and equipment)</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3,004</w:t>
            </w:r>
          </w:p>
        </w:tc>
        <w:tc>
          <w:tcPr>
            <w:tcW w:w="2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2,038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Current operating lease liabilities (included in accounts payable and accrued expenses)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632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98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140" w:type="dxa"/>
            <w:vAlign w:val="bottom"/>
            <w:shd w:val="clear" w:color="auto" w:fill="D1D2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Weighted-average remaining lease term (in years)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shd w:val="clear" w:color="auto" w:fill="D1D2D4"/>
          </w:tcPr>
          <w:p>
            <w:pPr>
              <w:ind w:left="100"/>
              <w:spacing w:after="0"/>
              <w:rPr>
                <w:sz w:val="20"/>
                <w:szCs w:val="20"/>
                <w:color w:val="auto"/>
              </w:rPr>
            </w:pPr>
            <w:r>
              <w:rPr>
                <w:rFonts w:ascii="Arial" w:cs="Arial" w:eastAsia="Arial" w:hAnsi="Arial"/>
                <w:sz w:val="16"/>
                <w:szCs w:val="16"/>
                <w:color w:val="auto"/>
              </w:rPr>
              <w:t>Finance leases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ind w:left="100"/>
              <w:spacing w:after="0"/>
              <w:rPr>
                <w:sz w:val="20"/>
                <w:szCs w:val="20"/>
                <w:color w:val="auto"/>
              </w:rPr>
            </w:pPr>
            <w:r>
              <w:rPr>
                <w:rFonts w:ascii="Arial" w:cs="Arial" w:eastAsia="Arial" w:hAnsi="Arial"/>
                <w:sz w:val="16"/>
                <w:szCs w:val="16"/>
                <w:color w:val="auto"/>
              </w:rPr>
              <w:t>Operating leases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shd w:val="clear" w:color="auto" w:fill="D1D2D4"/>
          </w:tcPr>
          <w:p>
            <w:pPr>
              <w:spacing w:after="0"/>
              <w:rPr>
                <w:sz w:val="20"/>
                <w:szCs w:val="20"/>
                <w:color w:val="auto"/>
              </w:rPr>
            </w:pPr>
            <w:r>
              <w:rPr>
                <w:rFonts w:ascii="Arial" w:cs="Arial" w:eastAsia="Arial" w:hAnsi="Arial"/>
                <w:sz w:val="16"/>
                <w:szCs w:val="16"/>
                <w:color w:val="auto"/>
              </w:rPr>
              <w:t>Weighted-average discount rate</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tcPr>
          <w:p>
            <w:pPr>
              <w:ind w:left="100"/>
              <w:spacing w:after="0"/>
              <w:rPr>
                <w:sz w:val="20"/>
                <w:szCs w:val="20"/>
                <w:color w:val="auto"/>
              </w:rPr>
            </w:pPr>
            <w:r>
              <w:rPr>
                <w:rFonts w:ascii="Arial" w:cs="Arial" w:eastAsia="Arial" w:hAnsi="Arial"/>
                <w:sz w:val="16"/>
                <w:szCs w:val="16"/>
                <w:color w:val="auto"/>
              </w:rPr>
              <w:t>Finance leases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2"/>
          </w:tcPr>
          <w:p>
            <w:pPr>
              <w:jc w:val="right"/>
              <w:ind w:right="42"/>
              <w:spacing w:after="0"/>
              <w:rPr>
                <w:sz w:val="20"/>
                <w:szCs w:val="20"/>
                <w:color w:val="auto"/>
              </w:rPr>
            </w:pPr>
            <w:r>
              <w:rPr>
                <w:rFonts w:ascii="Arial" w:cs="Arial" w:eastAsia="Arial" w:hAnsi="Arial"/>
                <w:sz w:val="16"/>
                <w:szCs w:val="16"/>
                <w:color w:val="auto"/>
              </w:rPr>
              <w:t>5.19 %</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320" w:type="dxa"/>
            <w:vAlign w:val="bottom"/>
            <w:shd w:val="clear" w:color="auto" w:fill="D1D2D4"/>
          </w:tcPr>
          <w:p>
            <w:pPr>
              <w:ind w:left="100"/>
              <w:spacing w:after="0"/>
              <w:rPr>
                <w:sz w:val="20"/>
                <w:szCs w:val="20"/>
                <w:color w:val="auto"/>
              </w:rPr>
            </w:pPr>
            <w:r>
              <w:rPr>
                <w:rFonts w:ascii="Arial" w:cs="Arial" w:eastAsia="Arial" w:hAnsi="Arial"/>
                <w:sz w:val="16"/>
                <w:szCs w:val="16"/>
                <w:color w:val="auto"/>
              </w:rPr>
              <w:t>Operating leases</w:t>
            </w:r>
          </w:p>
        </w:tc>
        <w:tc>
          <w:tcPr>
            <w:tcW w:w="5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320" w:type="dxa"/>
            <w:vAlign w:val="bottom"/>
            <w:gridSpan w:val="2"/>
            <w:shd w:val="clear" w:color="auto" w:fill="D1D2D4"/>
          </w:tcPr>
          <w:p>
            <w:pPr>
              <w:jc w:val="right"/>
              <w:ind w:right="42"/>
              <w:spacing w:after="0"/>
              <w:rPr>
                <w:sz w:val="20"/>
                <w:szCs w:val="20"/>
                <w:color w:val="auto"/>
              </w:rPr>
            </w:pPr>
            <w:r>
              <w:rPr>
                <w:rFonts w:ascii="Arial" w:cs="Arial" w:eastAsia="Arial" w:hAnsi="Arial"/>
                <w:sz w:val="16"/>
                <w:szCs w:val="16"/>
                <w:color w:val="auto"/>
              </w:rPr>
              <w:t>4.26 %</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ind w:left="6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750"/>
        </w:trPr>
        <w:tc>
          <w:tcPr>
            <w:tcW w:w="7840" w:type="dxa"/>
            <w:vAlign w:val="bottom"/>
          </w:tcPr>
          <w:p>
            <w:pPr>
              <w:spacing w:after="0"/>
              <w:rPr>
                <w:sz w:val="20"/>
                <w:szCs w:val="20"/>
                <w:color w:val="auto"/>
              </w:rPr>
            </w:pPr>
            <w:r>
              <w:rPr>
                <w:rFonts w:ascii="Arial" w:cs="Arial" w:eastAsia="Arial" w:hAnsi="Arial"/>
                <w:sz w:val="16"/>
                <w:szCs w:val="16"/>
                <w:color w:val="auto"/>
              </w:rPr>
              <w:t>As of August 28, 2025, maturities of lease liabilities by fiscal year were as follows: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78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Finance Leases</w:t>
            </w:r>
          </w:p>
        </w:tc>
        <w:tc>
          <w:tcPr>
            <w:tcW w:w="1440" w:type="dxa"/>
            <w:vAlign w:val="bottom"/>
            <w:gridSpan w:val="4"/>
          </w:tcPr>
          <w:p>
            <w:pPr>
              <w:ind w:left="60"/>
              <w:spacing w:after="0"/>
              <w:rPr>
                <w:sz w:val="20"/>
                <w:szCs w:val="20"/>
                <w:color w:val="auto"/>
              </w:rPr>
            </w:pPr>
            <w:r>
              <w:rPr>
                <w:rFonts w:ascii="Arial" w:cs="Arial" w:eastAsia="Arial" w:hAnsi="Arial"/>
                <w:sz w:val="16"/>
                <w:szCs w:val="16"/>
                <w:b w:val="1"/>
                <w:bCs w:val="1"/>
                <w:color w:val="auto"/>
              </w:rPr>
              <w:t>Operating Leases</w:t>
            </w:r>
          </w:p>
        </w:tc>
      </w:tr>
      <w:tr>
        <w:trPr>
          <w:trHeight w:val="28"/>
        </w:trPr>
        <w:tc>
          <w:tcPr>
            <w:tcW w:w="78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7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2026</w:t>
            </w:r>
          </w:p>
        </w:tc>
        <w:tc>
          <w:tcPr>
            <w:tcW w:w="460" w:type="dxa"/>
            <w:vAlign w:val="bottom"/>
            <w:shd w:val="clear" w:color="auto" w:fill="D1D2D4"/>
          </w:tcPr>
          <w:p>
            <w:pPr>
              <w:jc w:val="right"/>
              <w:ind w:right="2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675</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r>
      <w:tr>
        <w:trPr>
          <w:trHeight w:val="204"/>
        </w:trPr>
        <w:tc>
          <w:tcPr>
            <w:tcW w:w="7840" w:type="dxa"/>
            <w:vAlign w:val="bottom"/>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w:t>
            </w:r>
          </w:p>
        </w:tc>
        <w:tc>
          <w:tcPr>
            <w:tcW w:w="16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r>
      <w:tr>
        <w:trPr>
          <w:trHeight w:val="204"/>
        </w:trPr>
        <w:tc>
          <w:tcPr>
            <w:tcW w:w="7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2028</w:t>
            </w:r>
          </w:p>
        </w:tc>
        <w:tc>
          <w:tcPr>
            <w:tcW w:w="46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640</w:t>
            </w:r>
          </w:p>
        </w:tc>
        <w:tc>
          <w:tcPr>
            <w:tcW w:w="160" w:type="dxa"/>
            <w:vAlign w:val="bottom"/>
            <w:shd w:val="clear" w:color="auto" w:fill="D1D2D4"/>
          </w:tcPr>
          <w:p>
            <w:pPr>
              <w:spacing w:after="0"/>
              <w:rPr>
                <w:sz w:val="17"/>
                <w:szCs w:val="17"/>
                <w:color w:val="auto"/>
              </w:rPr>
            </w:pPr>
          </w:p>
        </w:tc>
        <w:tc>
          <w:tcPr>
            <w:tcW w:w="126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r>
      <w:tr>
        <w:trPr>
          <w:trHeight w:val="204"/>
        </w:trPr>
        <w:tc>
          <w:tcPr>
            <w:tcW w:w="7840" w:type="dxa"/>
            <w:vAlign w:val="bottom"/>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548</w:t>
            </w:r>
          </w:p>
        </w:tc>
        <w:tc>
          <w:tcPr>
            <w:tcW w:w="16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r>
      <w:tr>
        <w:trPr>
          <w:trHeight w:val="204"/>
        </w:trPr>
        <w:tc>
          <w:tcPr>
            <w:tcW w:w="7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2030</w:t>
            </w:r>
          </w:p>
        </w:tc>
        <w:tc>
          <w:tcPr>
            <w:tcW w:w="46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336</w:t>
            </w:r>
          </w:p>
        </w:tc>
        <w:tc>
          <w:tcPr>
            <w:tcW w:w="160" w:type="dxa"/>
            <w:vAlign w:val="bottom"/>
            <w:shd w:val="clear" w:color="auto" w:fill="D1D2D4"/>
          </w:tcPr>
          <w:p>
            <w:pPr>
              <w:spacing w:after="0"/>
              <w:rPr>
                <w:sz w:val="17"/>
                <w:szCs w:val="17"/>
                <w:color w:val="auto"/>
              </w:rPr>
            </w:pPr>
          </w:p>
        </w:tc>
        <w:tc>
          <w:tcPr>
            <w:tcW w:w="126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204"/>
        </w:trPr>
        <w:tc>
          <w:tcPr>
            <w:tcW w:w="7840" w:type="dxa"/>
            <w:vAlign w:val="bottom"/>
          </w:tcPr>
          <w:p>
            <w:pPr>
              <w:ind w:left="20"/>
              <w:spacing w:after="0"/>
              <w:rPr>
                <w:sz w:val="20"/>
                <w:szCs w:val="20"/>
                <w:color w:val="auto"/>
              </w:rPr>
            </w:pPr>
            <w:r>
              <w:rPr>
                <w:rFonts w:ascii="Arial" w:cs="Arial" w:eastAsia="Arial" w:hAnsi="Arial"/>
                <w:sz w:val="16"/>
                <w:szCs w:val="16"/>
                <w:color w:val="auto"/>
              </w:rPr>
              <w:t>2031 and thereafter</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16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17"/>
                <w:szCs w:val="17"/>
                <w:color w:val="auto"/>
              </w:rPr>
            </w:pPr>
          </w:p>
        </w:tc>
      </w:tr>
      <w:tr>
        <w:trPr>
          <w:trHeight w:val="204"/>
        </w:trPr>
        <w:tc>
          <w:tcPr>
            <w:tcW w:w="7840" w:type="dxa"/>
            <w:vAlign w:val="bottom"/>
            <w:shd w:val="clear" w:color="auto" w:fill="D1D2D4"/>
          </w:tcPr>
          <w:p>
            <w:pPr>
              <w:ind w:left="20"/>
              <w:spacing w:after="0"/>
              <w:rPr>
                <w:sz w:val="20"/>
                <w:szCs w:val="20"/>
                <w:color w:val="auto"/>
              </w:rPr>
            </w:pPr>
            <w:r>
              <w:rPr>
                <w:rFonts w:ascii="Arial" w:cs="Arial" w:eastAsia="Arial" w:hAnsi="Arial"/>
                <w:sz w:val="16"/>
                <w:szCs w:val="16"/>
                <w:color w:val="auto"/>
              </w:rPr>
              <w:t>Less imputed interest</w:t>
            </w:r>
          </w:p>
        </w:tc>
        <w:tc>
          <w:tcPr>
            <w:tcW w:w="460" w:type="dxa"/>
            <w:vAlign w:val="bottom"/>
            <w:tcBorders>
              <w:bottom w:val="single" w:sz="8" w:color="auto"/>
            </w:tcBorders>
            <w:shd w:val="clear" w:color="auto" w:fill="D1D2D4"/>
          </w:tcPr>
          <w:p>
            <w:pPr>
              <w:spacing w:after="0"/>
              <w:rPr>
                <w:sz w:val="17"/>
                <w:szCs w:val="17"/>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gridSpan w:val="2"/>
            <w:shd w:val="clear" w:color="auto" w:fill="D1D2D4"/>
          </w:tcPr>
          <w:p>
            <w:pPr>
              <w:jc w:val="right"/>
              <w:ind w:right="40"/>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7"/>
                <w:szCs w:val="17"/>
                <w:color w:val="auto"/>
              </w:rPr>
            </w:pPr>
          </w:p>
        </w:tc>
      </w:tr>
      <w:tr>
        <w:trPr>
          <w:trHeight w:val="196"/>
        </w:trPr>
        <w:tc>
          <w:tcPr>
            <w:tcW w:w="7840" w:type="dxa"/>
            <w:vAlign w:val="bottom"/>
          </w:tcPr>
          <w:p>
            <w:pPr>
              <w:spacing w:after="0"/>
              <w:rPr>
                <w:sz w:val="17"/>
                <w:szCs w:val="17"/>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775</w:t>
            </w:r>
          </w:p>
        </w:tc>
        <w:tc>
          <w:tcPr>
            <w:tcW w:w="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table above excludes obligations for leases that have been executed but have not yet commenced. As of August 28, 2025, excluded obligations consisted of $1.16 billion of finance lease obligations over a weighted-average period of 15 years for gas supply arrangements deemed to contain embedded leases and equipment leases. We will recognize right-of-use assets and associated lease liabilities at the time such assets become available for our use.</w:t>
      </w:r>
    </w:p>
    <w:p>
      <w:pPr>
        <w:spacing w:after="0" w:line="1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10. Intangible Assets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822"/>
              <w:spacing w:after="0"/>
              <w:rPr>
                <w:sz w:val="20"/>
                <w:szCs w:val="20"/>
                <w:color w:val="auto"/>
              </w:rPr>
            </w:pPr>
            <w:r>
              <w:rPr>
                <w:rFonts w:ascii="Arial" w:cs="Arial" w:eastAsia="Arial" w:hAnsi="Arial"/>
                <w:sz w:val="16"/>
                <w:szCs w:val="16"/>
                <w:b w:val="1"/>
                <w:bCs w:val="1"/>
                <w:color w:val="auto"/>
                <w:w w:val="97"/>
              </w:rPr>
              <w:t>As of August 28, 2025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822"/>
              <w:spacing w:after="0"/>
              <w:rPr>
                <w:sz w:val="20"/>
                <w:szCs w:val="20"/>
                <w:color w:val="auto"/>
              </w:rPr>
            </w:pPr>
            <w:r>
              <w:rPr>
                <w:rFonts w:ascii="Arial" w:cs="Arial" w:eastAsia="Arial" w:hAnsi="Arial"/>
                <w:sz w:val="16"/>
                <w:szCs w:val="16"/>
                <w:b w:val="1"/>
                <w:bCs w:val="1"/>
                <w:color w:val="auto"/>
                <w:w w:val="97"/>
              </w:rPr>
              <w:t>As of August 29, 2024</w:t>
            </w:r>
          </w:p>
        </w:tc>
        <w:tc>
          <w:tcPr>
            <w:tcW w:w="1120" w:type="dxa"/>
            <w:vAlign w:val="bottom"/>
            <w:tcBorders>
              <w:bottom w:val="single" w:sz="8" w:color="auto"/>
            </w:tcBorders>
          </w:tcPr>
          <w:p>
            <w:pPr>
              <w:spacing w:after="0"/>
              <w:rPr>
                <w:sz w:val="16"/>
                <w:szCs w:val="16"/>
                <w:color w:val="auto"/>
              </w:rPr>
            </w:pPr>
          </w:p>
        </w:tc>
      </w:tr>
      <w:tr>
        <w:trPr>
          <w:trHeight w:val="148"/>
        </w:trPr>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02"/>
              <w:spacing w:after="0" w:line="148" w:lineRule="exact"/>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2"/>
                <w:szCs w:val="12"/>
                <w:color w:val="auto"/>
              </w:rPr>
            </w:pPr>
          </w:p>
        </w:tc>
        <w:tc>
          <w:tcPr>
            <w:tcW w:w="1200" w:type="dxa"/>
            <w:vAlign w:val="bottom"/>
          </w:tcPr>
          <w:p>
            <w:pPr>
              <w:jc w:val="center"/>
              <w:ind w:right="62"/>
              <w:spacing w:after="0" w:line="148" w:lineRule="exact"/>
              <w:rPr>
                <w:sz w:val="20"/>
                <w:szCs w:val="20"/>
                <w:color w:val="auto"/>
              </w:rPr>
            </w:pPr>
            <w:r>
              <w:rPr>
                <w:rFonts w:ascii="Arial" w:cs="Arial" w:eastAsia="Arial" w:hAnsi="Arial"/>
                <w:sz w:val="16"/>
                <w:szCs w:val="16"/>
                <w:b w:val="1"/>
                <w:bCs w:val="1"/>
                <w:color w:val="auto"/>
                <w:w w:val="97"/>
              </w:rPr>
              <w:t>Accumulated</w:t>
            </w:r>
          </w:p>
        </w:tc>
        <w:tc>
          <w:tcPr>
            <w:tcW w:w="180" w:type="dxa"/>
            <w:vAlign w:val="bottom"/>
          </w:tcPr>
          <w:p>
            <w:pPr>
              <w:spacing w:after="0"/>
              <w:rPr>
                <w:sz w:val="12"/>
                <w:szCs w:val="12"/>
                <w:color w:val="auto"/>
              </w:rPr>
            </w:pPr>
          </w:p>
        </w:tc>
        <w:tc>
          <w:tcPr>
            <w:tcW w:w="1120" w:type="dxa"/>
            <w:vAlign w:val="bottom"/>
          </w:tcPr>
          <w:p>
            <w:pPr>
              <w:jc w:val="right"/>
              <w:ind w:right="82"/>
              <w:spacing w:after="0" w:line="148" w:lineRule="exact"/>
              <w:rPr>
                <w:sz w:val="20"/>
                <w:szCs w:val="20"/>
                <w:color w:val="auto"/>
              </w:rPr>
            </w:pPr>
            <w:r>
              <w:rPr>
                <w:rFonts w:ascii="Arial" w:cs="Arial" w:eastAsia="Arial" w:hAnsi="Arial"/>
                <w:sz w:val="16"/>
                <w:szCs w:val="16"/>
                <w:b w:val="1"/>
                <w:bCs w:val="1"/>
                <w:color w:val="auto"/>
                <w:w w:val="97"/>
              </w:rPr>
              <w:t>Net Carrying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02"/>
              <w:spacing w:after="0" w:line="148" w:lineRule="exact"/>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2"/>
                <w:szCs w:val="12"/>
                <w:color w:val="auto"/>
              </w:rPr>
            </w:pPr>
          </w:p>
        </w:tc>
        <w:tc>
          <w:tcPr>
            <w:tcW w:w="1200" w:type="dxa"/>
            <w:vAlign w:val="bottom"/>
          </w:tcPr>
          <w:p>
            <w:pPr>
              <w:jc w:val="center"/>
              <w:ind w:right="62"/>
              <w:spacing w:after="0" w:line="148" w:lineRule="exact"/>
              <w:rPr>
                <w:sz w:val="20"/>
                <w:szCs w:val="20"/>
                <w:color w:val="auto"/>
              </w:rPr>
            </w:pPr>
            <w:r>
              <w:rPr>
                <w:rFonts w:ascii="Arial" w:cs="Arial" w:eastAsia="Arial" w:hAnsi="Arial"/>
                <w:sz w:val="16"/>
                <w:szCs w:val="16"/>
                <w:b w:val="1"/>
                <w:bCs w:val="1"/>
                <w:color w:val="auto"/>
                <w:w w:val="97"/>
              </w:rPr>
              <w:t>Accumulated</w:t>
            </w:r>
          </w:p>
        </w:tc>
        <w:tc>
          <w:tcPr>
            <w:tcW w:w="180" w:type="dxa"/>
            <w:vAlign w:val="bottom"/>
          </w:tcPr>
          <w:p>
            <w:pPr>
              <w:spacing w:after="0"/>
              <w:rPr>
                <w:sz w:val="12"/>
                <w:szCs w:val="12"/>
                <w:color w:val="auto"/>
              </w:rPr>
            </w:pPr>
          </w:p>
        </w:tc>
        <w:tc>
          <w:tcPr>
            <w:tcW w:w="1120" w:type="dxa"/>
            <w:vAlign w:val="bottom"/>
          </w:tcPr>
          <w:p>
            <w:pPr>
              <w:jc w:val="right"/>
              <w:ind w:right="82"/>
              <w:spacing w:after="0" w:line="148" w:lineRule="exact"/>
              <w:rPr>
                <w:sz w:val="20"/>
                <w:szCs w:val="20"/>
                <w:color w:val="auto"/>
              </w:rPr>
            </w:pPr>
            <w:r>
              <w:rPr>
                <w:rFonts w:ascii="Arial" w:cs="Arial" w:eastAsia="Arial" w:hAnsi="Arial"/>
                <w:sz w:val="16"/>
                <w:szCs w:val="16"/>
                <w:b w:val="1"/>
                <w:bCs w:val="1"/>
                <w:color w:val="auto"/>
                <w:w w:val="97"/>
              </w:rPr>
              <w:t>Net Carrying</w:t>
            </w:r>
          </w:p>
        </w:tc>
      </w:tr>
      <w:tr>
        <w:trPr>
          <w:trHeight w:val="204"/>
        </w:trPr>
        <w:tc>
          <w:tcPr>
            <w:tcW w:w="2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8"/>
              </w:rPr>
              <w:t>Amortization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8"/>
              </w:rPr>
              <w:t>Amortization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Amount</w:t>
            </w:r>
          </w:p>
        </w:tc>
      </w:tr>
      <w:tr>
        <w:trPr>
          <w:trHeight w:val="28"/>
        </w:trPr>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4"/>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Product and process technology</w:t>
            </w:r>
          </w:p>
        </w:tc>
        <w:tc>
          <w:tcPr>
            <w:tcW w:w="22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662</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445</w:t>
            </w:r>
          </w:p>
        </w:tc>
        <w:tc>
          <w:tcPr>
            <w:tcW w:w="320" w:type="dxa"/>
            <w:vAlign w:val="bottom"/>
            <w:gridSpan w:val="2"/>
            <w:shd w:val="clear" w:color="auto" w:fill="D1D2D4"/>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(278)</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405</w:t>
            </w:r>
          </w:p>
        </w:tc>
      </w:tr>
      <w:tr>
        <w:trPr>
          <w:trHeight w:val="204"/>
        </w:trPr>
        <w:tc>
          <w:tcPr>
            <w:tcW w:w="26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D1D2D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r>
      <w:tr>
        <w:trPr>
          <w:trHeight w:val="216"/>
        </w:trPr>
        <w:tc>
          <w:tcPr>
            <w:tcW w:w="2660" w:type="dxa"/>
            <w:vAlign w:val="bottom"/>
            <w:shd w:val="clear" w:color="auto" w:fill="D1D2D4"/>
          </w:tcPr>
          <w:p>
            <w:pPr>
              <w:spacing w:after="0"/>
              <w:rPr>
                <w:sz w:val="18"/>
                <w:szCs w:val="18"/>
                <w:color w:val="auto"/>
              </w:rPr>
            </w:pPr>
          </w:p>
        </w:tc>
        <w:tc>
          <w:tcPr>
            <w:tcW w:w="22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670</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453</w:t>
            </w:r>
          </w:p>
        </w:tc>
        <w:tc>
          <w:tcPr>
            <w:tcW w:w="320" w:type="dxa"/>
            <w:vAlign w:val="bottom"/>
            <w:gridSpan w:val="2"/>
            <w:shd w:val="clear" w:color="auto" w:fill="D1D2D4"/>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(278)</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416</w:t>
            </w:r>
          </w:p>
        </w:tc>
      </w:tr>
      <w:tr>
        <w:trPr>
          <w:trHeight w:val="20"/>
        </w:trPr>
        <w:tc>
          <w:tcPr>
            <w:tcW w:w="26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In 2025, 2024, and 2023, we capitalized $112 million, $84 million, and $87 million, respectively, for product and process technology with weighted-average useful lives of 9 years, 10 years, and 9 years, respectively. Amortization expense was $71 million, $82 million, and $86 million for 2025, 2024, and 2023, respectively. Expected amortization expense is $73 million for 2026, $65 million for 2027, $62 million for 2028, $55 million for 2029, $57 million for 2030, and $141 million for 2031 and thereafter.</w:t>
      </w:r>
    </w:p>
    <w:p>
      <w:pPr>
        <w:spacing w:after="0" w:line="1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11. Accounts Payable and Accrued Expenses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rPr>
              <w:t>August 28,</w:t>
            </w:r>
          </w:p>
        </w:tc>
        <w:tc>
          <w:tcPr>
            <w:tcW w:w="2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04"/>
        </w:trPr>
        <w:tc>
          <w:tcPr>
            <w:tcW w:w="7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3,132</w:t>
            </w:r>
          </w:p>
        </w:tc>
        <w:tc>
          <w:tcPr>
            <w:tcW w:w="2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4,391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Salaries, wages, and benefits</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1,116</w:t>
            </w: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Income and other taxes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628</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457200</wp:posOffset>
            </wp:positionV>
            <wp:extent cx="693420" cy="144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76" w:name="page77"/>
    <w:bookmarkEnd w:id="7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12. Debt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August 28, 2025</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7"/>
              </w:rPr>
              <w:t>As of August 29, 2024</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42"/>
              <w:spacing w:after="0"/>
              <w:rPr>
                <w:sz w:val="20"/>
                <w:szCs w:val="20"/>
                <w:color w:val="auto"/>
              </w:rPr>
            </w:pPr>
            <w:r>
              <w:rPr>
                <w:rFonts w:ascii="Arial" w:cs="Arial" w:eastAsia="Arial" w:hAnsi="Arial"/>
                <w:sz w:val="16"/>
                <w:szCs w:val="16"/>
                <w:b w:val="1"/>
                <w:bCs w:val="1"/>
                <w:color w:val="auto"/>
                <w:w w:val="98"/>
              </w:rPr>
              <w:t>Net Carrying 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center"/>
              <w:ind w:right="22"/>
              <w:spacing w:after="0"/>
              <w:rPr>
                <w:sz w:val="20"/>
                <w:szCs w:val="20"/>
                <w:color w:val="auto"/>
              </w:rPr>
            </w:pPr>
            <w:r>
              <w:rPr>
                <w:rFonts w:ascii="Arial" w:cs="Arial" w:eastAsia="Arial" w:hAnsi="Arial"/>
                <w:sz w:val="16"/>
                <w:szCs w:val="16"/>
                <w:b w:val="1"/>
                <w:bCs w:val="1"/>
                <w:color w:val="auto"/>
                <w:w w:val="98"/>
              </w:rPr>
              <w:t>Net Carrying Amount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5"/>
              </w:rPr>
              <w:t>Stated Rate</w:t>
            </w:r>
          </w:p>
        </w:tc>
        <w:tc>
          <w:tcPr>
            <w:tcW w:w="760" w:type="dxa"/>
            <w:vAlign w:val="bottom"/>
          </w:tcPr>
          <w:p>
            <w:pPr>
              <w:jc w:val="right"/>
              <w:spacing w:after="0" w:line="148" w:lineRule="exact"/>
              <w:rPr>
                <w:sz w:val="20"/>
                <w:szCs w:val="20"/>
                <w:color w:val="auto"/>
              </w:rPr>
            </w:pPr>
            <w:r>
              <w:rPr>
                <w:rFonts w:ascii="Arial" w:cs="Arial" w:eastAsia="Arial" w:hAnsi="Arial"/>
                <w:sz w:val="16"/>
                <w:szCs w:val="16"/>
                <w:b w:val="1"/>
                <w:bCs w:val="1"/>
                <w:color w:val="auto"/>
              </w:rPr>
              <w:t>Effective</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Principal</w:t>
            </w:r>
          </w:p>
        </w:tc>
        <w:tc>
          <w:tcPr>
            <w:tcW w:w="1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Current</w:t>
            </w:r>
          </w:p>
        </w:tc>
        <w:tc>
          <w:tcPr>
            <w:tcW w:w="180" w:type="dxa"/>
            <w:vAlign w:val="bottom"/>
          </w:tcPr>
          <w:p>
            <w:pPr>
              <w:spacing w:after="0"/>
              <w:rPr>
                <w:sz w:val="12"/>
                <w:szCs w:val="12"/>
                <w:color w:val="auto"/>
              </w:rPr>
            </w:pPr>
          </w:p>
        </w:tc>
        <w:tc>
          <w:tcPr>
            <w:tcW w:w="640" w:type="dxa"/>
            <w:vAlign w:val="bottom"/>
          </w:tcPr>
          <w:p>
            <w:pPr>
              <w:jc w:val="center"/>
              <w:ind w:right="42"/>
              <w:spacing w:after="0" w:line="148" w:lineRule="exact"/>
              <w:rPr>
                <w:sz w:val="20"/>
                <w:szCs w:val="20"/>
                <w:color w:val="auto"/>
              </w:rPr>
            </w:pPr>
            <w:r>
              <w:rPr>
                <w:rFonts w:ascii="Arial" w:cs="Arial" w:eastAsia="Arial" w:hAnsi="Arial"/>
                <w:sz w:val="16"/>
                <w:szCs w:val="16"/>
                <w:b w:val="1"/>
                <w:bCs w:val="1"/>
                <w:color w:val="auto"/>
                <w:w w:val="98"/>
              </w:rPr>
              <w:t>Long-</w:t>
            </w:r>
          </w:p>
        </w:tc>
        <w:tc>
          <w:tcPr>
            <w:tcW w:w="180" w:type="dxa"/>
            <w:vAlign w:val="bottom"/>
          </w:tcPr>
          <w:p>
            <w:pPr>
              <w:spacing w:after="0"/>
              <w:rPr>
                <w:sz w:val="12"/>
                <w:szCs w:val="12"/>
                <w:color w:val="auto"/>
              </w:rPr>
            </w:pPr>
          </w:p>
        </w:tc>
        <w:tc>
          <w:tcPr>
            <w:tcW w:w="6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Principal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6"/>
              </w:rPr>
              <w:t>Current</w:t>
            </w:r>
          </w:p>
        </w:tc>
        <w:tc>
          <w:tcPr>
            <w:tcW w:w="180" w:type="dxa"/>
            <w:vAlign w:val="bottom"/>
          </w:tcPr>
          <w:p>
            <w:pPr>
              <w:spacing w:after="0"/>
              <w:rPr>
                <w:sz w:val="12"/>
                <w:szCs w:val="12"/>
                <w:color w:val="auto"/>
              </w:rPr>
            </w:pPr>
          </w:p>
        </w:tc>
        <w:tc>
          <w:tcPr>
            <w:tcW w:w="660" w:type="dxa"/>
            <w:vAlign w:val="bottom"/>
          </w:tcPr>
          <w:p>
            <w:pPr>
              <w:jc w:val="center"/>
              <w:ind w:right="62"/>
              <w:spacing w:after="0" w:line="148" w:lineRule="exact"/>
              <w:rPr>
                <w:sz w:val="20"/>
                <w:szCs w:val="20"/>
                <w:color w:val="auto"/>
              </w:rPr>
            </w:pPr>
            <w:r>
              <w:rPr>
                <w:rFonts w:ascii="Arial" w:cs="Arial" w:eastAsia="Arial" w:hAnsi="Arial"/>
                <w:sz w:val="16"/>
                <w:szCs w:val="16"/>
                <w:b w:val="1"/>
                <w:bCs w:val="1"/>
                <w:color w:val="auto"/>
                <w:w w:val="98"/>
              </w:rPr>
              <w:t>Long-</w:t>
            </w:r>
          </w:p>
        </w:tc>
        <w:tc>
          <w:tcPr>
            <w:tcW w:w="160" w:type="dxa"/>
            <w:vAlign w:val="bottom"/>
          </w:tcPr>
          <w:p>
            <w:pPr>
              <w:spacing w:after="0"/>
              <w:rPr>
                <w:sz w:val="12"/>
                <w:szCs w:val="12"/>
                <w:color w:val="auto"/>
              </w:rPr>
            </w:pPr>
          </w:p>
        </w:tc>
        <w:tc>
          <w:tcPr>
            <w:tcW w:w="6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Rate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7"/>
              </w:rPr>
              <w:t>Term</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2028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5.375 %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5.52</w:t>
            </w:r>
          </w:p>
        </w:tc>
        <w:tc>
          <w:tcPr>
            <w:tcW w:w="360" w:type="dxa"/>
            <w:vAlign w:val="bottom"/>
            <w:gridSpan w:val="2"/>
            <w:shd w:val="clear" w:color="auto" w:fill="D1D2D4"/>
          </w:tcPr>
          <w:p>
            <w:pPr>
              <w:ind w:left="20"/>
              <w:spacing w:after="0"/>
              <w:rPr>
                <w:sz w:val="20"/>
                <w:szCs w:val="20"/>
                <w:color w:val="auto"/>
              </w:rPr>
            </w:pPr>
            <w:r>
              <w:rPr>
                <w:rFonts w:ascii="Arial" w:cs="Arial" w:eastAsia="Arial" w:hAnsi="Arial"/>
                <w:sz w:val="16"/>
                <w:szCs w:val="16"/>
                <w:color w:val="auto"/>
              </w:rPr>
              <w:t>% $</w:t>
            </w: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D1D2D4"/>
          </w:tcPr>
          <w:p>
            <w:pPr>
              <w:ind w:left="460"/>
              <w:spacing w:after="0"/>
              <w:rPr>
                <w:sz w:val="20"/>
                <w:szCs w:val="20"/>
                <w:color w:val="auto"/>
              </w:rPr>
            </w:pPr>
            <w:r>
              <w:rPr>
                <w:rFonts w:ascii="Arial" w:cs="Arial" w:eastAsia="Arial" w:hAnsi="Arial"/>
                <w:sz w:val="16"/>
                <w:szCs w:val="16"/>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540</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540</w:t>
            </w:r>
          </w:p>
        </w:tc>
        <w:tc>
          <w:tcPr>
            <w:tcW w:w="300" w:type="dxa"/>
            <w:vAlign w:val="bottom"/>
            <w:gridSpan w:val="2"/>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600</w:t>
            </w:r>
          </w:p>
        </w:tc>
        <w:tc>
          <w:tcPr>
            <w:tcW w:w="160" w:type="dxa"/>
            <w:vAlign w:val="bottom"/>
            <w:gridSpan w:val="2"/>
            <w:shd w:val="clear" w:color="auto" w:fill="D1D2D4"/>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597</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2029 Term Loan A</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5.455 %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5.49</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2029 A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5.327 %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5.40</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698</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700</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698</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2029 B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6.750 %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6.54</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1,168</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2030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4.663 %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4.73</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794</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850</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847</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2031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5.300 %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5.41</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994</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2032 Green Bonds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2.703 %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2.77</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996</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996</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2032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5.650 %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5.79</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2033 A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5.875 %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5.96</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746</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750</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745</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2033 B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5.875 %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6.01</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2035 A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5.800 %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5.90</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992</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2035 B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6.050 %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6.14</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1,241</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2041 Notes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3.366 %</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3.41</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497</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500</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497</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2051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3.477 %</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3.52</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2026 Term Loan A</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N/A</w:t>
            </w:r>
          </w:p>
        </w:tc>
        <w:tc>
          <w:tcPr>
            <w:tcW w:w="1120" w:type="dxa"/>
            <w:vAlign w:val="bottom"/>
            <w:gridSpan w:val="3"/>
            <w:shd w:val="clear" w:color="auto" w:fill="D1D2D4"/>
          </w:tcPr>
          <w:p>
            <w:pPr>
              <w:ind w:left="66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922</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872</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2026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1120" w:type="dxa"/>
            <w:vAlign w:val="bottom"/>
            <w:gridSpan w:val="3"/>
          </w:tcPr>
          <w:p>
            <w:pPr>
              <w:ind w:left="660"/>
              <w:spacing w:after="0"/>
              <w:rPr>
                <w:sz w:val="20"/>
                <w:szCs w:val="20"/>
                <w:color w:val="auto"/>
              </w:rPr>
            </w:pPr>
            <w:r>
              <w:rPr>
                <w:rFonts w:ascii="Arial" w:cs="Arial" w:eastAsia="Arial" w:hAnsi="Arial"/>
                <w:sz w:val="16"/>
                <w:szCs w:val="16"/>
                <w:color w:val="auto"/>
              </w:rPr>
              <w:t>N/A</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2027 Term Loan A</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N/A</w:t>
            </w:r>
          </w:p>
        </w:tc>
        <w:tc>
          <w:tcPr>
            <w:tcW w:w="1120" w:type="dxa"/>
            <w:vAlign w:val="bottom"/>
            <w:gridSpan w:val="3"/>
            <w:shd w:val="clear" w:color="auto" w:fill="D1D2D4"/>
          </w:tcPr>
          <w:p>
            <w:pPr>
              <w:ind w:left="66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660" w:type="dxa"/>
            <w:vAlign w:val="bottom"/>
            <w:shd w:val="clear" w:color="auto" w:fill="D1D2D4"/>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1,065</w:t>
            </w:r>
          </w:p>
        </w:tc>
        <w:tc>
          <w:tcPr>
            <w:tcW w:w="6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1,006</w:t>
            </w:r>
          </w:p>
        </w:tc>
        <w:tc>
          <w:tcPr>
            <w:tcW w:w="160" w:type="dxa"/>
            <w:vAlign w:val="bottom"/>
            <w:shd w:val="clear" w:color="auto" w:fill="D1D2D4"/>
          </w:tcPr>
          <w:p>
            <w:pPr>
              <w:spacing w:after="0"/>
              <w:rPr>
                <w:sz w:val="17"/>
                <w:szCs w:val="17"/>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rPr>
                <w:sz w:val="20"/>
                <w:szCs w:val="20"/>
                <w:color w:val="auto"/>
              </w:rPr>
            </w:pPr>
            <w:r>
              <w:rPr>
                <w:rFonts w:ascii="Arial" w:cs="Arial" w:eastAsia="Arial" w:hAnsi="Arial"/>
                <w:sz w:val="16"/>
                <w:szCs w:val="16"/>
                <w:color w:val="auto"/>
              </w:rPr>
              <w:t>2027 Notes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1120" w:type="dxa"/>
            <w:vAlign w:val="bottom"/>
            <w:gridSpan w:val="3"/>
          </w:tcPr>
          <w:p>
            <w:pPr>
              <w:ind w:left="660"/>
              <w:spacing w:after="0"/>
              <w:rPr>
                <w:sz w:val="20"/>
                <w:szCs w:val="20"/>
                <w:color w:val="auto"/>
              </w:rPr>
            </w:pPr>
            <w:r>
              <w:rPr>
                <w:rFonts w:ascii="Arial" w:cs="Arial" w:eastAsia="Arial" w:hAnsi="Arial"/>
                <w:sz w:val="16"/>
                <w:szCs w:val="16"/>
                <w:color w:val="auto"/>
              </w:rPr>
              <w:t>N/A</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838</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4"/>
        </w:trPr>
        <w:tc>
          <w:tcPr>
            <w:tcW w:w="204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Finance lease obligations</w:t>
            </w:r>
          </w:p>
        </w:tc>
        <w:tc>
          <w:tcPr>
            <w:tcW w:w="9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N/A</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5.19</w:t>
            </w:r>
          </w:p>
        </w:tc>
        <w:tc>
          <w:tcPr>
            <w:tcW w:w="180" w:type="dxa"/>
            <w:vAlign w:val="bottom"/>
            <w:shd w:val="clear" w:color="auto" w:fill="D1D2D4"/>
          </w:tcPr>
          <w:p>
            <w:pPr>
              <w:ind w:left="20"/>
              <w:spacing w:after="0"/>
              <w:rPr>
                <w:sz w:val="20"/>
                <w:szCs w:val="20"/>
                <w:color w:val="auto"/>
              </w:rPr>
            </w:pPr>
            <w:r>
              <w:rPr>
                <w:rFonts w:ascii="Arial" w:cs="Arial" w:eastAsia="Arial" w:hAnsi="Arial"/>
                <w:sz w:val="16"/>
                <w:szCs w:val="16"/>
                <w:color w:val="auto"/>
                <w:w w:val="98"/>
              </w:rPr>
              <w:t>%</w:t>
            </w:r>
          </w:p>
        </w:tc>
        <w:tc>
          <w:tcPr>
            <w:tcW w:w="180" w:type="dxa"/>
            <w:vAlign w:val="bottom"/>
            <w:tcBorders>
              <w:bottom w:val="single" w:sz="8" w:color="auto"/>
            </w:tcBorders>
            <w:shd w:val="clear" w:color="auto" w:fill="D1D2D4"/>
          </w:tcPr>
          <w:p>
            <w:pPr>
              <w:spacing w:after="0"/>
              <w:rPr>
                <w:sz w:val="17"/>
                <w:szCs w:val="17"/>
                <w:color w:val="auto"/>
              </w:rPr>
            </w:pPr>
          </w:p>
        </w:tc>
        <w:tc>
          <w:tcPr>
            <w:tcW w:w="64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3,044</w:t>
            </w:r>
          </w:p>
        </w:tc>
        <w:tc>
          <w:tcPr>
            <w:tcW w:w="120" w:type="dxa"/>
            <w:vAlign w:val="bottom"/>
            <w:tcBorders>
              <w:bottom w:val="single" w:sz="8" w:color="auto"/>
            </w:tcBorders>
            <w:shd w:val="clear" w:color="auto" w:fill="D1D2D4"/>
          </w:tcPr>
          <w:p>
            <w:pPr>
              <w:spacing w:after="0"/>
              <w:rPr>
                <w:sz w:val="17"/>
                <w:szCs w:val="17"/>
                <w:color w:val="auto"/>
              </w:rPr>
            </w:pPr>
          </w:p>
        </w:tc>
        <w:tc>
          <w:tcPr>
            <w:tcW w:w="660" w:type="dxa"/>
            <w:vAlign w:val="bottom"/>
            <w:tcBorders>
              <w:bottom w:val="single" w:sz="8" w:color="auto"/>
            </w:tcBorders>
            <w:shd w:val="clear" w:color="auto" w:fill="D1D2D4"/>
          </w:tcPr>
          <w:p>
            <w:pPr>
              <w:ind w:left="360"/>
              <w:spacing w:after="0"/>
              <w:rPr>
                <w:sz w:val="20"/>
                <w:szCs w:val="20"/>
                <w:color w:val="auto"/>
              </w:rPr>
            </w:pPr>
            <w:r>
              <w:rPr>
                <w:rFonts w:ascii="Arial" w:cs="Arial" w:eastAsia="Arial" w:hAnsi="Arial"/>
                <w:sz w:val="16"/>
                <w:szCs w:val="16"/>
                <w:color w:val="auto"/>
              </w:rPr>
              <w:t>560</w:t>
            </w:r>
          </w:p>
        </w:tc>
        <w:tc>
          <w:tcPr>
            <w:tcW w:w="180" w:type="dxa"/>
            <w:vAlign w:val="bottom"/>
            <w:tcBorders>
              <w:bottom w:val="single" w:sz="8" w:color="auto"/>
            </w:tcBorders>
            <w:shd w:val="clear" w:color="auto" w:fill="D1D2D4"/>
          </w:tcPr>
          <w:p>
            <w:pPr>
              <w:spacing w:after="0"/>
              <w:rPr>
                <w:sz w:val="17"/>
                <w:szCs w:val="17"/>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2,484</w:t>
            </w:r>
          </w:p>
        </w:tc>
        <w:tc>
          <w:tcPr>
            <w:tcW w:w="180" w:type="dxa"/>
            <w:vAlign w:val="bottom"/>
            <w:tcBorders>
              <w:bottom w:val="single" w:sz="8" w:color="auto"/>
            </w:tcBorders>
            <w:shd w:val="clear" w:color="auto" w:fill="D1D2D4"/>
          </w:tcPr>
          <w:p>
            <w:pPr>
              <w:spacing w:after="0"/>
              <w:rPr>
                <w:sz w:val="17"/>
                <w:szCs w:val="17"/>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D1D2D4"/>
          </w:tcPr>
          <w:p>
            <w:pPr>
              <w:spacing w:after="0"/>
              <w:rPr>
                <w:sz w:val="17"/>
                <w:szCs w:val="17"/>
                <w:color w:val="auto"/>
              </w:rPr>
            </w:pPr>
          </w:p>
        </w:tc>
        <w:tc>
          <w:tcPr>
            <w:tcW w:w="200" w:type="dxa"/>
            <w:vAlign w:val="bottom"/>
            <w:tcBorders>
              <w:bottom w:val="single" w:sz="8" w:color="auto"/>
            </w:tcBorders>
            <w:shd w:val="clear" w:color="auto" w:fill="D1D2D4"/>
          </w:tcPr>
          <w:p>
            <w:pPr>
              <w:spacing w:after="0"/>
              <w:rPr>
                <w:sz w:val="17"/>
                <w:szCs w:val="17"/>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2,054</w:t>
            </w:r>
          </w:p>
        </w:tc>
        <w:tc>
          <w:tcPr>
            <w:tcW w:w="60" w:type="dxa"/>
            <w:vAlign w:val="bottom"/>
            <w:tcBorders>
              <w:bottom w:val="single" w:sz="8" w:color="auto"/>
            </w:tcBorders>
            <w:shd w:val="clear" w:color="auto" w:fill="D1D2D4"/>
          </w:tcPr>
          <w:p>
            <w:pPr>
              <w:spacing w:after="0"/>
              <w:rPr>
                <w:sz w:val="17"/>
                <w:szCs w:val="17"/>
                <w:color w:val="auto"/>
              </w:rPr>
            </w:pPr>
          </w:p>
        </w:tc>
        <w:tc>
          <w:tcPr>
            <w:tcW w:w="10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325</w:t>
            </w:r>
          </w:p>
        </w:tc>
        <w:tc>
          <w:tcPr>
            <w:tcW w:w="180" w:type="dxa"/>
            <w:vAlign w:val="bottom"/>
            <w:tcBorders>
              <w:bottom w:val="single" w:sz="8" w:color="auto"/>
            </w:tcBorders>
            <w:shd w:val="clear" w:color="auto" w:fill="D1D2D4"/>
          </w:tcPr>
          <w:p>
            <w:pPr>
              <w:spacing w:after="0"/>
              <w:rPr>
                <w:sz w:val="17"/>
                <w:szCs w:val="17"/>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1,729</w:t>
            </w:r>
          </w:p>
        </w:tc>
        <w:tc>
          <w:tcPr>
            <w:tcW w:w="160" w:type="dxa"/>
            <w:vAlign w:val="bottom"/>
            <w:tcBorders>
              <w:bottom w:val="single" w:sz="8" w:color="auto"/>
            </w:tcBorders>
            <w:shd w:val="clear" w:color="auto" w:fill="D1D2D4"/>
          </w:tcPr>
          <w:p>
            <w:pPr>
              <w:spacing w:after="0"/>
              <w:rPr>
                <w:sz w:val="17"/>
                <w:szCs w:val="17"/>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14,625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360"/>
              <w:spacing w:after="0"/>
              <w:rPr>
                <w:sz w:val="20"/>
                <w:szCs w:val="20"/>
                <w:color w:val="auto"/>
              </w:rPr>
            </w:pPr>
            <w:r>
              <w:rPr>
                <w:rFonts w:ascii="Arial" w:cs="Arial" w:eastAsia="Arial" w:hAnsi="Arial"/>
                <w:sz w:val="16"/>
                <w:szCs w:val="16"/>
                <w:color w:val="auto"/>
              </w:rPr>
              <w:t>560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14,017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14,577</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13,491</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12,966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13,397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As of August 28, 2025,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2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808"/>
        </w:trPr>
        <w:tc>
          <w:tcPr>
            <w:tcW w:w="2920" w:type="dxa"/>
            <w:vAlign w:val="bottom"/>
            <w:gridSpan w:val="2"/>
          </w:tcPr>
          <w:p>
            <w:pPr>
              <w:spacing w:after="0"/>
              <w:rPr>
                <w:sz w:val="20"/>
                <w:szCs w:val="20"/>
                <w:color w:val="auto"/>
              </w:rPr>
            </w:pPr>
            <w:r>
              <w:rPr>
                <w:rFonts w:ascii="Arial" w:cs="Arial" w:eastAsia="Arial" w:hAnsi="Arial"/>
                <w:sz w:val="19"/>
                <w:szCs w:val="19"/>
                <w:b w:val="1"/>
                <w:bCs w:val="1"/>
                <w:color w:val="auto"/>
              </w:rPr>
              <w:t>Debt Activity</w:t>
            </w: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580" w:type="dxa"/>
            <w:vAlign w:val="bottom"/>
            <w:gridSpan w:val="3"/>
          </w:tcPr>
          <w:p>
            <w:pPr>
              <w:spacing w:after="0"/>
              <w:rPr>
                <w:sz w:val="20"/>
                <w:szCs w:val="20"/>
                <w:color w:val="auto"/>
              </w:rPr>
            </w:pPr>
            <w:r>
              <w:rPr>
                <w:rFonts w:ascii="Arial" w:cs="Arial" w:eastAsia="Arial" w:hAnsi="Arial"/>
                <w:sz w:val="16"/>
                <w:szCs w:val="16"/>
                <w:color w:val="auto"/>
              </w:rPr>
              <w:t>The table below presents the effects of debt issuances and prepayment activities in 2025:</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42"/>
              <w:spacing w:after="0" w:line="166" w:lineRule="exact"/>
              <w:rPr>
                <w:sz w:val="20"/>
                <w:szCs w:val="20"/>
                <w:color w:val="auto"/>
              </w:rPr>
            </w:pPr>
            <w:r>
              <w:rPr>
                <w:rFonts w:ascii="Arial" w:cs="Arial" w:eastAsia="Arial" w:hAnsi="Arial"/>
                <w:sz w:val="16"/>
                <w:szCs w:val="16"/>
                <w:b w:val="1"/>
                <w:bCs w:val="1"/>
                <w:color w:val="auto"/>
                <w:w w:val="95"/>
              </w:rPr>
              <w:t>Increase</w:t>
            </w:r>
          </w:p>
        </w:tc>
        <w:tc>
          <w:tcPr>
            <w:tcW w:w="120" w:type="dxa"/>
            <w:vAlign w:val="bottom"/>
          </w:tcPr>
          <w:p>
            <w:pPr>
              <w:spacing w:after="0"/>
              <w:rPr>
                <w:sz w:val="14"/>
                <w:szCs w:val="14"/>
                <w:color w:val="auto"/>
              </w:rPr>
            </w:pPr>
          </w:p>
        </w:tc>
        <w:tc>
          <w:tcPr>
            <w:tcW w:w="1220" w:type="dxa"/>
            <w:vAlign w:val="bottom"/>
          </w:tcPr>
          <w:p>
            <w:pPr>
              <w:jc w:val="center"/>
              <w:ind w:right="2"/>
              <w:spacing w:after="0" w:line="166" w:lineRule="exact"/>
              <w:rPr>
                <w:sz w:val="20"/>
                <w:szCs w:val="20"/>
                <w:color w:val="auto"/>
              </w:rPr>
            </w:pPr>
            <w:r>
              <w:rPr>
                <w:rFonts w:ascii="Arial" w:cs="Arial" w:eastAsia="Arial" w:hAnsi="Arial"/>
                <w:sz w:val="16"/>
                <w:szCs w:val="16"/>
                <w:b w:val="1"/>
                <w:bCs w:val="1"/>
                <w:color w:val="auto"/>
                <w:w w:val="95"/>
              </w:rPr>
              <w:t>Increase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140"/>
              <w:spacing w:after="0" w:line="166" w:lineRule="exact"/>
              <w:rPr>
                <w:sz w:val="20"/>
                <w:szCs w:val="20"/>
                <w:color w:val="auto"/>
              </w:rPr>
            </w:pPr>
            <w:r>
              <w:rPr>
                <w:rFonts w:ascii="Arial" w:cs="Arial" w:eastAsia="Arial" w:hAnsi="Arial"/>
                <w:sz w:val="16"/>
                <w:szCs w:val="16"/>
                <w:b w:val="1"/>
                <w:bCs w:val="1"/>
                <w:color w:val="auto"/>
                <w:w w:val="98"/>
              </w:rPr>
              <w:t>Increase</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660" w:type="dxa"/>
            <w:vAlign w:val="bottom"/>
            <w:vMerge w:val="restart"/>
          </w:tcPr>
          <w:p>
            <w:pPr>
              <w:ind w:left="1520"/>
              <w:spacing w:after="0"/>
              <w:rPr>
                <w:sz w:val="20"/>
                <w:szCs w:val="20"/>
                <w:color w:val="auto"/>
              </w:rPr>
            </w:pPr>
            <w:r>
              <w:rPr>
                <w:rFonts w:ascii="Arial" w:cs="Arial" w:eastAsia="Arial" w:hAnsi="Arial"/>
                <w:sz w:val="16"/>
                <w:szCs w:val="16"/>
                <w:b w:val="1"/>
                <w:bCs w:val="1"/>
                <w:color w:val="auto"/>
              </w:rPr>
              <w:t>Transaction Date</w:t>
            </w:r>
          </w:p>
        </w:tc>
        <w:tc>
          <w:tcPr>
            <w:tcW w:w="140" w:type="dxa"/>
            <w:vAlign w:val="bottom"/>
          </w:tcPr>
          <w:p>
            <w:pPr>
              <w:spacing w:after="0"/>
              <w:rPr>
                <w:sz w:val="13"/>
                <w:szCs w:val="13"/>
                <w:color w:val="auto"/>
              </w:rPr>
            </w:pPr>
          </w:p>
        </w:tc>
        <w:tc>
          <w:tcPr>
            <w:tcW w:w="114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7"/>
              </w:rPr>
              <w:t>(Decrease) in</w:t>
            </w:r>
          </w:p>
        </w:tc>
        <w:tc>
          <w:tcPr>
            <w:tcW w:w="120" w:type="dxa"/>
            <w:vAlign w:val="bottom"/>
          </w:tcPr>
          <w:p>
            <w:pPr>
              <w:spacing w:after="0"/>
              <w:rPr>
                <w:sz w:val="13"/>
                <w:szCs w:val="13"/>
                <w:color w:val="auto"/>
              </w:rPr>
            </w:pPr>
          </w:p>
        </w:tc>
        <w:tc>
          <w:tcPr>
            <w:tcW w:w="1220" w:type="dxa"/>
            <w:vAlign w:val="bottom"/>
          </w:tcPr>
          <w:p>
            <w:pPr>
              <w:jc w:val="center"/>
              <w:ind w:right="2"/>
              <w:spacing w:after="0" w:line="156" w:lineRule="exact"/>
              <w:rPr>
                <w:sz w:val="20"/>
                <w:szCs w:val="20"/>
                <w:color w:val="auto"/>
              </w:rPr>
            </w:pPr>
            <w:r>
              <w:rPr>
                <w:rFonts w:ascii="Arial" w:cs="Arial" w:eastAsia="Arial" w:hAnsi="Arial"/>
                <w:sz w:val="16"/>
                <w:szCs w:val="16"/>
                <w:b w:val="1"/>
                <w:bCs w:val="1"/>
                <w:color w:val="auto"/>
                <w:w w:val="97"/>
              </w:rPr>
              <w:t>(Decrease) in</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jc w:val="center"/>
              <w:ind w:right="160"/>
              <w:spacing w:after="0" w:line="156" w:lineRule="exact"/>
              <w:rPr>
                <w:sz w:val="20"/>
                <w:szCs w:val="20"/>
                <w:color w:val="auto"/>
              </w:rPr>
            </w:pPr>
            <w:r>
              <w:rPr>
                <w:rFonts w:ascii="Arial" w:cs="Arial" w:eastAsia="Arial" w:hAnsi="Arial"/>
                <w:sz w:val="16"/>
                <w:szCs w:val="16"/>
                <w:b w:val="1"/>
                <w:bCs w:val="1"/>
                <w:color w:val="auto"/>
                <w:w w:val="97"/>
              </w:rPr>
              <w:t>(Decrease) in</w:t>
            </w: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42"/>
              <w:spacing w:after="0"/>
              <w:rPr>
                <w:sz w:val="20"/>
                <w:szCs w:val="20"/>
                <w:color w:val="auto"/>
              </w:rPr>
            </w:pPr>
            <w:r>
              <w:rPr>
                <w:rFonts w:ascii="Arial" w:cs="Arial" w:eastAsia="Arial" w:hAnsi="Arial"/>
                <w:sz w:val="16"/>
                <w:szCs w:val="16"/>
                <w:b w:val="1"/>
                <w:bCs w:val="1"/>
                <w:color w:val="auto"/>
                <w:w w:val="97"/>
              </w:rPr>
              <w:t>Principal</w:t>
            </w:r>
          </w:p>
        </w:tc>
        <w:tc>
          <w:tcPr>
            <w:tcW w:w="120" w:type="dxa"/>
            <w:vAlign w:val="bottom"/>
          </w:tcPr>
          <w:p>
            <w:pPr>
              <w:spacing w:after="0"/>
              <w:rPr>
                <w:sz w:val="17"/>
                <w:szCs w:val="17"/>
                <w:color w:val="auto"/>
              </w:rPr>
            </w:pPr>
          </w:p>
        </w:tc>
        <w:tc>
          <w:tcPr>
            <w:tcW w:w="1220" w:type="dxa"/>
            <w:vAlign w:val="bottom"/>
          </w:tcPr>
          <w:p>
            <w:pPr>
              <w:jc w:val="center"/>
              <w:ind w:right="2"/>
              <w:spacing w:after="0"/>
              <w:rPr>
                <w:sz w:val="20"/>
                <w:szCs w:val="20"/>
                <w:color w:val="auto"/>
              </w:rPr>
            </w:pPr>
            <w:r>
              <w:rPr>
                <w:rFonts w:ascii="Arial" w:cs="Arial" w:eastAsia="Arial" w:hAnsi="Arial"/>
                <w:sz w:val="16"/>
                <w:szCs w:val="16"/>
                <w:b w:val="1"/>
                <w:bCs w:val="1"/>
                <w:color w:val="auto"/>
                <w:w w:val="97"/>
              </w:rPr>
              <w:t>Carrying Value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Cash</w:t>
            </w:r>
          </w:p>
        </w:tc>
        <w:tc>
          <w:tcPr>
            <w:tcW w:w="0" w:type="dxa"/>
            <w:vAlign w:val="bottom"/>
          </w:tcPr>
          <w:p>
            <w:pPr>
              <w:spacing w:after="0"/>
              <w:rPr>
                <w:sz w:val="1"/>
                <w:szCs w:val="1"/>
                <w:color w:val="auto"/>
              </w:rPr>
            </w:pPr>
          </w:p>
        </w:tc>
      </w:tr>
      <w:tr>
        <w:trPr>
          <w:trHeight w:val="28"/>
        </w:trPr>
        <w:tc>
          <w:tcPr>
            <w:tcW w:w="480" w:type="dxa"/>
            <w:vAlign w:val="bottom"/>
            <w:tcBorders>
              <w:top w:val="single" w:sz="8" w:color="auto"/>
            </w:tcBorders>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36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Issuances</w:t>
            </w:r>
          </w:p>
        </w:tc>
        <w:tc>
          <w:tcPr>
            <w:tcW w:w="366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2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Pr>
          <w:p>
            <w:pPr>
              <w:jc w:val="right"/>
              <w:spacing w:after="0"/>
              <w:rPr>
                <w:sz w:val="20"/>
                <w:szCs w:val="20"/>
                <w:color w:val="auto"/>
              </w:rPr>
            </w:pPr>
            <w:r>
              <w:rPr>
                <w:rFonts w:ascii="Arial" w:cs="Arial" w:eastAsia="Arial" w:hAnsi="Arial"/>
                <w:sz w:val="16"/>
                <w:szCs w:val="16"/>
                <w:color w:val="auto"/>
              </w:rPr>
              <w:t>2035</w:t>
            </w:r>
          </w:p>
        </w:tc>
        <w:tc>
          <w:tcPr>
            <w:tcW w:w="2440" w:type="dxa"/>
            <w:vAlign w:val="bottom"/>
          </w:tcPr>
          <w:p>
            <w:pPr>
              <w:ind w:left="20"/>
              <w:spacing w:after="0"/>
              <w:rPr>
                <w:sz w:val="20"/>
                <w:szCs w:val="20"/>
                <w:color w:val="auto"/>
              </w:rPr>
            </w:pPr>
            <w:r>
              <w:rPr>
                <w:rFonts w:ascii="Arial" w:cs="Arial" w:eastAsia="Arial" w:hAnsi="Arial"/>
                <w:sz w:val="16"/>
                <w:szCs w:val="16"/>
                <w:color w:val="auto"/>
              </w:rPr>
              <w:t>A Notes</w:t>
            </w:r>
          </w:p>
        </w:tc>
        <w:tc>
          <w:tcPr>
            <w:tcW w:w="3660" w:type="dxa"/>
            <w:vAlign w:val="bottom"/>
          </w:tcPr>
          <w:p>
            <w:pPr>
              <w:ind w:left="1520"/>
              <w:spacing w:after="0"/>
              <w:rPr>
                <w:sz w:val="20"/>
                <w:szCs w:val="20"/>
                <w:color w:val="auto"/>
              </w:rPr>
            </w:pPr>
            <w:r>
              <w:rPr>
                <w:rFonts w:ascii="Arial" w:cs="Arial" w:eastAsia="Arial" w:hAnsi="Arial"/>
                <w:sz w:val="16"/>
                <w:szCs w:val="16"/>
                <w:color w:val="auto"/>
              </w:rPr>
              <w:t>January 16, 2025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
              <w:spacing w:after="0"/>
              <w:rPr>
                <w:sz w:val="20"/>
                <w:szCs w:val="20"/>
                <w:color w:val="auto"/>
              </w:rPr>
            </w:pPr>
            <w:r>
              <w:rPr>
                <w:rFonts w:ascii="Arial" w:cs="Arial" w:eastAsia="Arial" w:hAnsi="Arial"/>
                <w:sz w:val="16"/>
                <w:szCs w:val="16"/>
                <w:color w:val="auto"/>
              </w:rPr>
              <w:t>992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2029</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Term Loan A</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January 17, 2025</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1,681</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ind w:right="2"/>
              <w:spacing w:after="0"/>
              <w:rPr>
                <w:sz w:val="20"/>
                <w:szCs w:val="20"/>
                <w:color w:val="auto"/>
              </w:rPr>
            </w:pPr>
            <w:r>
              <w:rPr>
                <w:rFonts w:ascii="Arial" w:cs="Arial" w:eastAsia="Arial" w:hAnsi="Arial"/>
                <w:sz w:val="16"/>
                <w:szCs w:val="16"/>
                <w:color w:val="auto"/>
              </w:rPr>
              <w:t>1,681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Pr>
          <w:p>
            <w:pPr>
              <w:jc w:val="right"/>
              <w:spacing w:after="0"/>
              <w:rPr>
                <w:sz w:val="20"/>
                <w:szCs w:val="20"/>
                <w:color w:val="auto"/>
              </w:rPr>
            </w:pPr>
            <w:r>
              <w:rPr>
                <w:rFonts w:ascii="Arial" w:cs="Arial" w:eastAsia="Arial" w:hAnsi="Arial"/>
                <w:sz w:val="16"/>
                <w:szCs w:val="16"/>
                <w:color w:val="auto"/>
              </w:rPr>
              <w:t>2032</w:t>
            </w:r>
          </w:p>
        </w:tc>
        <w:tc>
          <w:tcPr>
            <w:tcW w:w="2440" w:type="dxa"/>
            <w:vAlign w:val="bottom"/>
          </w:tcPr>
          <w:p>
            <w:pPr>
              <w:ind w:left="20"/>
              <w:spacing w:after="0"/>
              <w:rPr>
                <w:sz w:val="20"/>
                <w:szCs w:val="20"/>
                <w:color w:val="auto"/>
              </w:rPr>
            </w:pPr>
            <w:r>
              <w:rPr>
                <w:rFonts w:ascii="Arial" w:cs="Arial" w:eastAsia="Arial" w:hAnsi="Arial"/>
                <w:sz w:val="16"/>
                <w:szCs w:val="16"/>
                <w:color w:val="auto"/>
              </w:rPr>
              <w:t>Notes</w:t>
            </w:r>
          </w:p>
        </w:tc>
        <w:tc>
          <w:tcPr>
            <w:tcW w:w="3660" w:type="dxa"/>
            <w:vAlign w:val="bottom"/>
          </w:tcPr>
          <w:p>
            <w:pPr>
              <w:ind w:left="1520"/>
              <w:spacing w:after="0"/>
              <w:rPr>
                <w:sz w:val="20"/>
                <w:szCs w:val="20"/>
                <w:color w:val="auto"/>
              </w:rPr>
            </w:pPr>
            <w:r>
              <w:rPr>
                <w:rFonts w:ascii="Arial" w:cs="Arial" w:eastAsia="Arial" w:hAnsi="Arial"/>
                <w:sz w:val="16"/>
                <w:szCs w:val="16"/>
                <w:color w:val="auto"/>
              </w:rPr>
              <w:t>April 29, 2025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496</w:t>
            </w:r>
          </w:p>
        </w:tc>
        <w:tc>
          <w:tcPr>
            <w:tcW w:w="140" w:type="dxa"/>
            <w:vAlign w:val="bottom"/>
          </w:tcPr>
          <w:p>
            <w:pPr>
              <w:spacing w:after="0"/>
              <w:rPr>
                <w:sz w:val="17"/>
                <w:szCs w:val="17"/>
                <w:color w:val="auto"/>
              </w:rPr>
            </w:pPr>
          </w:p>
        </w:tc>
        <w:tc>
          <w:tcPr>
            <w:tcW w:w="1220" w:type="dxa"/>
            <w:vAlign w:val="bottom"/>
            <w:gridSpan w:val="2"/>
          </w:tcPr>
          <w:p>
            <w:pPr>
              <w:jc w:val="right"/>
              <w:ind w:right="2"/>
              <w:spacing w:after="0"/>
              <w:rPr>
                <w:sz w:val="20"/>
                <w:szCs w:val="20"/>
                <w:color w:val="auto"/>
              </w:rPr>
            </w:pPr>
            <w:r>
              <w:rPr>
                <w:rFonts w:ascii="Arial" w:cs="Arial" w:eastAsia="Arial" w:hAnsi="Arial"/>
                <w:sz w:val="16"/>
                <w:szCs w:val="16"/>
                <w:color w:val="auto"/>
              </w:rPr>
              <w:t>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2035</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B Notes</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April 29, 2025</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ind w:right="2"/>
              <w:spacing w:after="0"/>
              <w:rPr>
                <w:sz w:val="20"/>
                <w:szCs w:val="20"/>
                <w:color w:val="auto"/>
              </w:rPr>
            </w:pPr>
            <w:r>
              <w:rPr>
                <w:rFonts w:ascii="Arial" w:cs="Arial" w:eastAsia="Arial" w:hAnsi="Arial"/>
                <w:sz w:val="16"/>
                <w:szCs w:val="16"/>
                <w:color w:val="auto"/>
              </w:rPr>
              <w:t>1,241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Prepayments</w:t>
            </w: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2026</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Term Loan A</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January 17, 2025</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(896)</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Pr>
          <w:p>
            <w:pPr>
              <w:jc w:val="right"/>
              <w:spacing w:after="0"/>
              <w:rPr>
                <w:sz w:val="20"/>
                <w:szCs w:val="20"/>
                <w:color w:val="auto"/>
              </w:rPr>
            </w:pPr>
            <w:r>
              <w:rPr>
                <w:rFonts w:ascii="Arial" w:cs="Arial" w:eastAsia="Arial" w:hAnsi="Arial"/>
                <w:sz w:val="16"/>
                <w:szCs w:val="16"/>
                <w:color w:val="auto"/>
              </w:rPr>
              <w:t>2027</w:t>
            </w:r>
          </w:p>
        </w:tc>
        <w:tc>
          <w:tcPr>
            <w:tcW w:w="2440" w:type="dxa"/>
            <w:vAlign w:val="bottom"/>
          </w:tcPr>
          <w:p>
            <w:pPr>
              <w:ind w:left="20"/>
              <w:spacing w:after="0"/>
              <w:rPr>
                <w:sz w:val="20"/>
                <w:szCs w:val="20"/>
                <w:color w:val="auto"/>
              </w:rPr>
            </w:pPr>
            <w:r>
              <w:rPr>
                <w:rFonts w:ascii="Arial" w:cs="Arial" w:eastAsia="Arial" w:hAnsi="Arial"/>
                <w:sz w:val="16"/>
                <w:szCs w:val="16"/>
                <w:color w:val="auto"/>
              </w:rPr>
              <w:t>Term Loan A</w:t>
            </w:r>
          </w:p>
        </w:tc>
        <w:tc>
          <w:tcPr>
            <w:tcW w:w="3660" w:type="dxa"/>
            <w:vAlign w:val="bottom"/>
          </w:tcPr>
          <w:p>
            <w:pPr>
              <w:ind w:left="1520"/>
              <w:spacing w:after="0"/>
              <w:rPr>
                <w:sz w:val="20"/>
                <w:szCs w:val="20"/>
                <w:color w:val="auto"/>
              </w:rPr>
            </w:pPr>
            <w:r>
              <w:rPr>
                <w:rFonts w:ascii="Arial" w:cs="Arial" w:eastAsia="Arial" w:hAnsi="Arial"/>
                <w:sz w:val="16"/>
                <w:szCs w:val="16"/>
                <w:color w:val="auto"/>
              </w:rPr>
              <w:t>January 17, 2025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2026</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February 12, 2025</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(499)</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Pr>
          <w:p>
            <w:pPr>
              <w:jc w:val="right"/>
              <w:spacing w:after="0"/>
              <w:rPr>
                <w:sz w:val="20"/>
                <w:szCs w:val="20"/>
                <w:color w:val="auto"/>
              </w:rPr>
            </w:pPr>
            <w:r>
              <w:rPr>
                <w:rFonts w:ascii="Arial" w:cs="Arial" w:eastAsia="Arial" w:hAnsi="Arial"/>
                <w:sz w:val="16"/>
                <w:szCs w:val="16"/>
                <w:color w:val="auto"/>
              </w:rPr>
              <w:t>2027</w:t>
            </w:r>
          </w:p>
        </w:tc>
        <w:tc>
          <w:tcPr>
            <w:tcW w:w="2440" w:type="dxa"/>
            <w:vAlign w:val="bottom"/>
          </w:tcPr>
          <w:p>
            <w:pPr>
              <w:ind w:left="20"/>
              <w:spacing w:after="0"/>
              <w:rPr>
                <w:sz w:val="20"/>
                <w:szCs w:val="20"/>
                <w:color w:val="auto"/>
              </w:rPr>
            </w:pPr>
            <w:r>
              <w:rPr>
                <w:rFonts w:ascii="Arial" w:cs="Arial" w:eastAsia="Arial" w:hAnsi="Arial"/>
                <w:sz w:val="16"/>
                <w:szCs w:val="16"/>
                <w:color w:val="auto"/>
              </w:rPr>
              <w:t>Notes</w:t>
            </w:r>
          </w:p>
        </w:tc>
        <w:tc>
          <w:tcPr>
            <w:tcW w:w="3660" w:type="dxa"/>
            <w:vAlign w:val="bottom"/>
          </w:tcPr>
          <w:p>
            <w:pPr>
              <w:ind w:left="1520"/>
              <w:spacing w:after="0"/>
              <w:rPr>
                <w:sz w:val="20"/>
                <w:szCs w:val="20"/>
                <w:color w:val="auto"/>
              </w:rPr>
            </w:pPr>
            <w:r>
              <w:rPr>
                <w:rFonts w:ascii="Arial" w:cs="Arial" w:eastAsia="Arial" w:hAnsi="Arial"/>
                <w:sz w:val="16"/>
                <w:szCs w:val="16"/>
                <w:color w:val="auto"/>
              </w:rPr>
              <w:t>May 27, 2025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(854)</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2028</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Various dates</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Pr>
          <w:p>
            <w:pPr>
              <w:jc w:val="right"/>
              <w:spacing w:after="0"/>
              <w:rPr>
                <w:sz w:val="20"/>
                <w:szCs w:val="20"/>
                <w:color w:val="auto"/>
              </w:rPr>
            </w:pPr>
            <w:r>
              <w:rPr>
                <w:rFonts w:ascii="Arial" w:cs="Arial" w:eastAsia="Arial" w:hAnsi="Arial"/>
                <w:sz w:val="16"/>
                <w:szCs w:val="16"/>
                <w:color w:val="auto"/>
              </w:rPr>
              <w:t>2029</w:t>
            </w:r>
          </w:p>
        </w:tc>
        <w:tc>
          <w:tcPr>
            <w:tcW w:w="2440" w:type="dxa"/>
            <w:vAlign w:val="bottom"/>
          </w:tcPr>
          <w:p>
            <w:pPr>
              <w:ind w:left="20"/>
              <w:spacing w:after="0"/>
              <w:rPr>
                <w:sz w:val="20"/>
                <w:szCs w:val="20"/>
                <w:color w:val="auto"/>
              </w:rPr>
            </w:pPr>
            <w:r>
              <w:rPr>
                <w:rFonts w:ascii="Arial" w:cs="Arial" w:eastAsia="Arial" w:hAnsi="Arial"/>
                <w:sz w:val="16"/>
                <w:szCs w:val="16"/>
                <w:color w:val="auto"/>
              </w:rPr>
              <w:t>B Notes</w:t>
            </w:r>
          </w:p>
        </w:tc>
        <w:tc>
          <w:tcPr>
            <w:tcW w:w="3660" w:type="dxa"/>
            <w:vAlign w:val="bottom"/>
          </w:tcPr>
          <w:p>
            <w:pPr>
              <w:ind w:left="1520"/>
              <w:spacing w:after="0"/>
              <w:rPr>
                <w:sz w:val="20"/>
                <w:szCs w:val="20"/>
                <w:color w:val="auto"/>
              </w:rPr>
            </w:pPr>
            <w:r>
              <w:rPr>
                <w:rFonts w:ascii="Arial" w:cs="Arial" w:eastAsia="Arial" w:hAnsi="Arial"/>
                <w:sz w:val="16"/>
                <w:szCs w:val="16"/>
                <w:color w:val="auto"/>
              </w:rPr>
              <w:t>Various dates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2030</w:t>
            </w:r>
          </w:p>
        </w:tc>
        <w:tc>
          <w:tcPr>
            <w:tcW w:w="2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660" w:type="dxa"/>
            <w:vAlign w:val="bottom"/>
            <w:shd w:val="clear" w:color="auto" w:fill="D1D2D4"/>
          </w:tcPr>
          <w:p>
            <w:pPr>
              <w:ind w:left="1520"/>
              <w:spacing w:after="0"/>
              <w:rPr>
                <w:sz w:val="20"/>
                <w:szCs w:val="20"/>
                <w:color w:val="auto"/>
              </w:rPr>
            </w:pPr>
            <w:r>
              <w:rPr>
                <w:rFonts w:ascii="Arial" w:cs="Arial" w:eastAsia="Arial" w:hAnsi="Arial"/>
                <w:sz w:val="16"/>
                <w:szCs w:val="16"/>
                <w:color w:val="auto"/>
              </w:rPr>
              <w:t>Various dates</w:t>
            </w:r>
          </w:p>
        </w:tc>
        <w:tc>
          <w:tcPr>
            <w:tcW w:w="14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D1D2D4"/>
          </w:tcPr>
          <w:p>
            <w:pPr>
              <w:spacing w:after="0"/>
              <w:rPr>
                <w:sz w:val="17"/>
                <w:szCs w:val="17"/>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D1D2D4"/>
          </w:tcPr>
          <w:p>
            <w:pPr>
              <w:spacing w:after="0"/>
              <w:rPr>
                <w:sz w:val="17"/>
                <w:szCs w:val="17"/>
                <w:color w:val="auto"/>
              </w:rPr>
            </w:pPr>
          </w:p>
        </w:tc>
        <w:tc>
          <w:tcPr>
            <w:tcW w:w="12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2029</w:t>
            </w:r>
          </w:p>
        </w:tc>
        <w:tc>
          <w:tcPr>
            <w:tcW w:w="24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Term Loan A</w:t>
            </w:r>
          </w:p>
        </w:tc>
        <w:tc>
          <w:tcPr>
            <w:tcW w:w="3660" w:type="dxa"/>
            <w:vAlign w:val="bottom"/>
            <w:tcBorders>
              <w:bottom w:val="single" w:sz="8" w:color="D1D2D4"/>
            </w:tcBorders>
          </w:tcPr>
          <w:p>
            <w:pPr>
              <w:ind w:left="1520"/>
              <w:spacing w:after="0"/>
              <w:rPr>
                <w:sz w:val="20"/>
                <w:szCs w:val="20"/>
                <w:color w:val="auto"/>
              </w:rPr>
            </w:pPr>
            <w:r>
              <w:rPr>
                <w:rFonts w:ascii="Arial" w:cs="Arial" w:eastAsia="Arial" w:hAnsi="Arial"/>
                <w:sz w:val="16"/>
                <w:szCs w:val="16"/>
                <w:color w:val="auto"/>
              </w:rPr>
              <w:t>August 18, 2025</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0" w:type="dxa"/>
            <w:vAlign w:val="bottom"/>
            <w:tcBorders>
              <w:bottom w:val="single" w:sz="8" w:color="D1D2D4"/>
            </w:tcBorders>
            <w:shd w:val="clear" w:color="auto" w:fill="D1D2D4"/>
          </w:tcPr>
          <w:p>
            <w:pPr>
              <w:spacing w:after="0"/>
              <w:rPr>
                <w:sz w:val="18"/>
                <w:szCs w:val="18"/>
                <w:color w:val="auto"/>
              </w:rPr>
            </w:pPr>
          </w:p>
        </w:tc>
        <w:tc>
          <w:tcPr>
            <w:tcW w:w="2440" w:type="dxa"/>
            <w:vAlign w:val="bottom"/>
            <w:tcBorders>
              <w:bottom w:val="single" w:sz="8" w:color="D1D2D4"/>
            </w:tcBorders>
            <w:shd w:val="clear" w:color="auto" w:fill="D1D2D4"/>
          </w:tcPr>
          <w:p>
            <w:pPr>
              <w:spacing w:after="0"/>
              <w:rPr>
                <w:sz w:val="18"/>
                <w:szCs w:val="18"/>
                <w:color w:val="auto"/>
              </w:rPr>
            </w:pPr>
          </w:p>
        </w:tc>
        <w:tc>
          <w:tcPr>
            <w:tcW w:w="3660" w:type="dxa"/>
            <w:vAlign w:val="bottom"/>
            <w:tcBorders>
              <w:bottom w:val="single" w:sz="8" w:color="D1D2D4"/>
            </w:tcBorders>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D1D2D4"/>
          </w:tcPr>
          <w:p>
            <w:pPr>
              <w:jc w:val="right"/>
              <w:ind w:right="2"/>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D1D2D4"/>
            </w:tcBorders>
          </w:tcPr>
          <w:p>
            <w:pPr>
              <w:spacing w:after="0" w:line="20" w:lineRule="exact"/>
              <w:rPr>
                <w:sz w:val="1"/>
                <w:szCs w:val="1"/>
                <w:color w:val="auto"/>
              </w:rPr>
            </w:pPr>
          </w:p>
        </w:tc>
        <w:tc>
          <w:tcPr>
            <w:tcW w:w="2440" w:type="dxa"/>
            <w:vAlign w:val="bottom"/>
            <w:tcBorders>
              <w:top w:val="single" w:sz="8" w:color="D1D2D4"/>
            </w:tcBorders>
          </w:tcPr>
          <w:p>
            <w:pPr>
              <w:spacing w:after="0" w:line="20" w:lineRule="exact"/>
              <w:rPr>
                <w:sz w:val="1"/>
                <w:szCs w:val="1"/>
                <w:color w:val="auto"/>
              </w:rPr>
            </w:pPr>
          </w:p>
        </w:tc>
        <w:tc>
          <w:tcPr>
            <w:tcW w:w="36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 2021, we entered into fixed-to-floating interest rate swaps on the 2027 Notes with an aggregate $900 million notional amount equal to the principal amount of the 2027 Notes. The fixed -to- floating interest rate swaps were accounted for as fair value hedges, and as a result, the carrying value of our 2027 Notes reflected adjustments in fair value. In the third quarter of 2025, we settled these fixed-to-floating interest rate swaps in connection with the prepayment of the 2027 Notes. In the third quarter of 2025, we recognized a $46 million loss in other non-operating income (expense) on prepayment of the 2027 Notes.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Senior Unsecured Notes</w:t>
      </w:r>
    </w:p>
    <w:p>
      <w:pPr>
        <w:spacing w:after="0" w:line="240"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may redeem our 2028 Notes, 2029 A Notes, 2029 B Notes, 2030 Notes, 2031 Notes, 2032 Green Bonds, 2032 Notes, 2033 A Notes, 2033 B Notes, 2035 A Notes, 2035 B Notes, 2041 Notes, and 2051 Notes (the “Senior Unsecured Notes”), in whole or in part, at a redemption price equal to the greater of (i) 100% of the principal amount of the notes to be redeemed and (ii) the present value of the remaining scheduled payments of principal and interest, plus, in each case, accrued interest. We may also redeem any series of the Senior Unsecured Notes, in whole or in part, at a redemption price equal to 100% of the principal amount of the notes to be redeemed plus accrued interest between one and six months prior to the applicable maturity date, in accordance with the respective terms of such series.</w:t>
      </w:r>
    </w:p>
    <w:p>
      <w:pPr>
        <w:spacing w:after="0" w:line="204"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The Senior Unsecured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Senior Unsecured Notes) to (1) create or incur certain liens; (2) enter into certain sale and lease-back transactions with respect to any principal property;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each series of the Senior Unsecured Notes, we will be required to offer to repurchase the Senior Unsecured Notes of such series at a price equal to 101% of the principal amount plus accrued interest up to the repurchase date.</w:t>
      </w:r>
    </w:p>
    <w:p>
      <w:pPr>
        <w:spacing w:after="0" w:line="382"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78" w:name="page79"/>
    <w:bookmarkEnd w:id="7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2029 Term Loan A</w:t>
      </w:r>
    </w:p>
    <w:p>
      <w:pPr>
        <w:spacing w:after="0" w:line="240" w:lineRule="exact"/>
        <w:rPr>
          <w:sz w:val="20"/>
          <w:szCs w:val="20"/>
          <w:color w:val="auto"/>
        </w:rPr>
      </w:pPr>
    </w:p>
    <w:p>
      <w:pPr>
        <w:jc w:val="both"/>
        <w:ind w:right="380"/>
        <w:spacing w:after="0" w:line="301" w:lineRule="auto"/>
        <w:rPr>
          <w:sz w:val="20"/>
          <w:szCs w:val="20"/>
          <w:color w:val="auto"/>
        </w:rPr>
      </w:pPr>
      <w:r>
        <w:rPr>
          <w:rFonts w:ascii="Arial" w:cs="Arial" w:eastAsia="Arial" w:hAnsi="Arial"/>
          <w:sz w:val="14"/>
          <w:szCs w:val="14"/>
          <w:color w:val="auto"/>
        </w:rPr>
        <w:t>On January 17, 2025, we entered into a term loan agreement and borrowed $ 1.68 billion in principal amount due January 17, 2029 (the “Term Loan Agreement”). Borrowings under the Term Loan Agreement will generally bear interest at adjusted term SOFR plus an applicable interest rate margin ranging from 0.875% to 1.50%, depending on our corporate credit ratings. On August 18, 2025, we prepaid $700 million of the principal amount.</w:t>
      </w:r>
    </w:p>
    <w:p>
      <w:pPr>
        <w:spacing w:after="0" w:line="16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Term Loan Agreement requires us to maintain, on a consolidated basis, a net leverage ratio of total net indebtedness to adjusted EBITDA, as defined in the Term Loan Agreement and calculated as of the last day of each fiscal quarter, not to exceed 3.25 to 1.00, subject to a temporary four fiscal quarter increase in such maximum ratio to 3.75 to 1.00 following certain material acquisitions. Our obligations under the Term Loan Agreement are unsecured.</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Revolving Credit Facility</w:t>
      </w:r>
    </w:p>
    <w:p>
      <w:pPr>
        <w:spacing w:after="0" w:line="24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As of August 28, 2025, no amounts were outstanding under the Revolving Credit Facility and $3.50 billion was available to us. Under the Revolving Credit Facility, borrowing would generally bear interest at a rate equal to adjusted term SOFR plus 0.875% to 1.50%, depending on our corporate credit ratings. Any amounts outstanding under the Revolving Credit Facility would mature on March 12, 2030 and amounts borrowed may be prepaid without penalty. Any obligations under the Revolving Credit Facility would be unsecured.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contains the same net leverage ratio and substantially the same other covenants as the Term Loan Agreement.</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Maturities of Notes Payable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20"/>
                <w:szCs w:val="20"/>
                <w:color w:val="auto"/>
              </w:rPr>
            </w:pPr>
            <w:r>
              <w:rPr>
                <w:rFonts w:ascii="Arial" w:cs="Arial" w:eastAsia="Arial" w:hAnsi="Arial"/>
                <w:sz w:val="16"/>
                <w:szCs w:val="16"/>
                <w:color w:val="auto"/>
              </w:rPr>
              <w:t>As of August 28, 2025, maturities of notes payable and the term loan by fiscal year were as follows: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9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2026</w:t>
            </w:r>
          </w:p>
        </w:tc>
        <w:tc>
          <w:tcPr>
            <w:tcW w:w="440" w:type="dxa"/>
            <w:vAlign w:val="bottom"/>
            <w:shd w:val="clear" w:color="auto" w:fill="D1D2D4"/>
          </w:tcPr>
          <w:p>
            <w:pPr>
              <w:jc w:val="right"/>
              <w:ind w:right="2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2027</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9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2028</w:t>
            </w:r>
          </w:p>
        </w:tc>
        <w:tc>
          <w:tcPr>
            <w:tcW w:w="44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542</w:t>
            </w: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2029</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1,684</w:t>
            </w:r>
          </w:p>
        </w:tc>
      </w:tr>
      <w:tr>
        <w:trPr>
          <w:trHeight w:val="204"/>
        </w:trPr>
        <w:tc>
          <w:tcPr>
            <w:tcW w:w="9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2030</w:t>
            </w:r>
          </w:p>
        </w:tc>
        <w:tc>
          <w:tcPr>
            <w:tcW w:w="44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1,955</w:t>
            </w: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2031 and thereafter</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7,400</w:t>
            </w:r>
          </w:p>
        </w:tc>
      </w:tr>
      <w:tr>
        <w:trPr>
          <w:trHeight w:val="204"/>
        </w:trPr>
        <w:tc>
          <w:tcPr>
            <w:tcW w:w="9260" w:type="dxa"/>
            <w:vAlign w:val="bottom"/>
            <w:shd w:val="clear" w:color="auto" w:fill="D1D2D4"/>
          </w:tcPr>
          <w:p>
            <w:pPr>
              <w:ind w:left="20"/>
              <w:spacing w:after="0"/>
              <w:rPr>
                <w:sz w:val="20"/>
                <w:szCs w:val="20"/>
                <w:color w:val="auto"/>
              </w:rPr>
            </w:pPr>
            <w:r>
              <w:rPr>
                <w:rFonts w:ascii="Arial" w:cs="Arial" w:eastAsia="Arial" w:hAnsi="Arial"/>
                <w:sz w:val="16"/>
                <w:szCs w:val="16"/>
                <w:color w:val="auto"/>
              </w:rPr>
              <w:t>Unamortized issuance costs, discounts, and premium, net</w:t>
            </w:r>
          </w:p>
        </w:tc>
        <w:tc>
          <w:tcPr>
            <w:tcW w:w="440" w:type="dxa"/>
            <w:vAlign w:val="bottom"/>
            <w:tcBorders>
              <w:bottom w:val="single" w:sz="8" w:color="auto"/>
            </w:tcBorders>
            <w:shd w:val="clear" w:color="auto" w:fill="D1D2D4"/>
          </w:tcPr>
          <w:p>
            <w:pPr>
              <w:spacing w:after="0"/>
              <w:rPr>
                <w:sz w:val="17"/>
                <w:szCs w:val="17"/>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(48)</w:t>
            </w:r>
          </w:p>
        </w:tc>
      </w:tr>
      <w:tr>
        <w:trPr>
          <w:trHeight w:val="196"/>
        </w:trPr>
        <w:tc>
          <w:tcPr>
            <w:tcW w:w="926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11,533</w:t>
            </w: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13. Commitments</w:t>
      </w:r>
    </w:p>
    <w:p>
      <w:pPr>
        <w:spacing w:after="0" w:line="24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As of August 28, 2025, we had noncancelable commitments with remaining contractual terms in excess of one year of approximately $5.5 billion for purchase obligations, of which approximately $1.2 billion will be due in 2026, $1.2 billion due in 2027, $1.0 billion due in 2028, $400 million due in 2029, $400 million due in 2030, and $1.3 billion due in 2031 and thereafter. Purchase obligations primarily include payments for goods or services with either a fixed or minimum quantity and price, which includes payments for the acquisition of property, plant, and equipment. Payments for leases that have been executed but have not yet commenced are excluded.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9" w:name="page80"/>
    <w:bookmarkEnd w:id="7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14. Contingencies</w:t>
      </w:r>
    </w:p>
    <w:p>
      <w:pPr>
        <w:spacing w:after="0" w:line="249"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 Matters</w:t>
      </w:r>
    </w:p>
    <w:p>
      <w:pPr>
        <w:spacing w:after="0" w:line="24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86"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auto"/>
        </w:rPr>
        <w:t>On April 28, 2021, Netlist, Inc. (“Netlist”) filed two patent infringement actions against Micron, Micron Semiconductor Products, Inc. (“MSP”), and Micron Technology Texas, LLC (“MTEC”) in the U.S. District Court for the Western District of Texas (“W.D. Tex.”). The first complaint alleges that one U.S. patent is infringed by certain of our non -volatile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Düsseldorf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patents—U.S. Patent No. 7,619,912 (“the ‘912 patent”) and U.S. Patent No. 11,093,417 (“the ‘417 patent”)—and found that Micron should pay $ 425 million for infringement of the ‘912 patent and $20 million for infringement of the ‘417 patent. On July 9, 2025, Micron filed a notice that it will appeal the judgment.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368"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On May 19, 2025, Netlist filed a complaint against Micron, MSP, and MTEC in E.D. Tex. alleging that one U.S. patent is infringed by our HBM products. On July 8, 2025, Netlist amended the complaint to allege that one additional U.S. patent is infringed by certain of our DIMMs. On July 28, 2025, Netlist filed an additional complaint against Micron, MSP, and MTEC in E.D. Tex. alleging that one U.S. patent is infringed by certain of our DIMMs. These complaints seek damages, attorneys’ fees, and other equitable relief.</w:t>
      </w:r>
    </w:p>
    <w:p>
      <w:pPr>
        <w:spacing w:after="0" w:line="200"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color w:val="auto"/>
        </w:rPr>
        <w:t>On January 23, 2023, Besang Inc. filed a patent infringement complaint against Micron in E.D. Tex. The complaint alleges that one U.S. patent is infringed by certain of our 3D NAND and SSD products. The complaint seeks an injunction, damages, attorneys’ fees, and costs. On September 17, 2025, the District Court issued a judgment that the accused products do not infringe the asserted patent.</w:t>
      </w:r>
    </w:p>
    <w:p>
      <w:pPr>
        <w:spacing w:after="0" w:line="198"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w:t>
      </w:r>
    </w:p>
    <w:p>
      <w:pPr>
        <w:spacing w:after="0" w:line="200" w:lineRule="exact"/>
        <w:rPr>
          <w:sz w:val="20"/>
          <w:szCs w:val="20"/>
          <w:color w:val="auto"/>
        </w:rPr>
      </w:pPr>
    </w:p>
    <w:p>
      <w:pPr>
        <w:spacing w:after="0" w:line="20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0" w:name="page81"/>
    <w:bookmarkEnd w:id="8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complaint seeks an injunction, damages, attorneys’ fees, and costs. On January 22, 2024, Micron Semiconductor (Shanghai) Co., Ltd. (“MSS”) was served with three patent infringement complaints filed by YMTC in Beijing Intellectual Property Court and on February 27, 2024, Micron was served with the same complaints. The complaints assert that Micron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Micron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Micron and MSS infringed five Chinese patents owned by YMTC by importing, selling, offering for sale, and assisting others to sell certain 3D NAND products and SSDs in China. The complaint seeks an injunction, damages, attorneys’ fees, and costs.</w:t>
      </w:r>
    </w:p>
    <w:p>
      <w:pPr>
        <w:spacing w:after="0" w:line="206" w:lineRule="exact"/>
        <w:rPr>
          <w:sz w:val="20"/>
          <w:szCs w:val="20"/>
          <w:color w:val="auto"/>
        </w:rPr>
      </w:pPr>
    </w:p>
    <w:p>
      <w:pPr>
        <w:jc w:val="both"/>
        <w:ind w:right="240"/>
        <w:spacing w:after="0" w:line="235" w:lineRule="auto"/>
        <w:rPr>
          <w:sz w:val="20"/>
          <w:szCs w:val="20"/>
          <w:color w:val="auto"/>
        </w:rPr>
      </w:pPr>
      <w:r>
        <w:rPr>
          <w:rFonts w:ascii="Arial" w:cs="Arial" w:eastAsia="Arial" w:hAnsi="Arial"/>
          <w:sz w:val="16"/>
          <w:szCs w:val="16"/>
          <w:color w:val="auto"/>
        </w:rPr>
        <w:t>On October 16, 2024, Palisade Technologies, LLP filed a patent infringement lawsuit against Micron and MSP in W.D. Tex. The complaint alleges that five U.S. patents are infringed by certain of our DRAM, NAND, 3D NAND, and SSD products. The complaint seeks an injunction, damages, attorneys’ fees, and costs.</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On June 30, 2025, Advanced Memory Technologies, LLC filed a patent infringement lawsuit against Micron in W.D. Tex. alleging that four U.S. Patents are infringed by certain of our DRAM and NAND products. The complaint seeks an injunction, damages, attorneys’ fees, and costs.</w:t>
      </w:r>
    </w:p>
    <w:p>
      <w:pPr>
        <w:spacing w:after="0" w:line="187" w:lineRule="exact"/>
        <w:rPr>
          <w:sz w:val="20"/>
          <w:szCs w:val="20"/>
          <w:color w:val="auto"/>
        </w:rPr>
      </w:pPr>
    </w:p>
    <w:p>
      <w:pPr>
        <w:ind w:right="660"/>
        <w:spacing w:after="0" w:line="262" w:lineRule="auto"/>
        <w:rPr>
          <w:sz w:val="20"/>
          <w:szCs w:val="20"/>
          <w:color w:val="auto"/>
        </w:rPr>
      </w:pPr>
      <w:r>
        <w:rPr>
          <w:rFonts w:ascii="Arial" w:cs="Arial" w:eastAsia="Arial" w:hAnsi="Arial"/>
          <w:sz w:val="16"/>
          <w:szCs w:val="16"/>
          <w:color w:val="auto"/>
        </w:rPr>
        <w:t>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Class Action Matters</w:t>
      </w:r>
    </w:p>
    <w:p>
      <w:pPr>
        <w:spacing w:after="0" w:line="240"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On January 9, 2025, a putative class action complaint was filed against Micron and certain individual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alleges defendants made materially false or misleading statements during a putative class period from March 29, 2023 to December 18, 2024, regarding industry supply and demand dynamics and the demand for Micron's products, including NAND and DRAM products. The amended complaint seeks unspecified compensatory damages, attorneys’ fees and costs.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Derivative Matters</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On February 20, 2025, a shareholder derivative complaint was filed by a purported shareholder against certain individual directors and officers of Micron, allegedly on behalf of and for the benefit of Micron, in D. Idaho. On February 21, 2025, a similar related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putative class action matter. The complaints seek various unspecified damages allegedly suffered by Micron, restitution, attorneys’ fees and costs and other relief, including reforms and improvements to our corporate governance and internal procedures. On April 28, 2025, the complaints were consolidated and on May 14, 2025, the consolidated complaints were stayed until the issuance of a final decision on all motions to dismiss the securities putative class action matter or a final resolution of the putative class action matter.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On September 8, 2025, a shareholder derivative complaint was filed by a purported shareholder against certain individual directors and officers of Micron, allegedly on behalf of and for the benefit of Micron, in the United States District Court for the District of Delaware (“D. Del.”). The complaint alleges violations of the Securities and Exchange Act of 1934, breaches of fiduciary duty, unjust enrichment, insider trading and misappropriation of information, abuse of control, gross mismanagement, and waste of corporate assets. The complaint is based on substantially the same allegations of false and misleading statements and/or omissions of material information as were asserted in the putative securities class action and similar shareholder derivative suits pending in D. Idaho.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1" w:name="page82"/>
    <w:bookmarkEnd w:id="8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240"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Contingency Assessment</w:t>
      </w:r>
    </w:p>
    <w:p>
      <w:pPr>
        <w:spacing w:after="0" w:line="240"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15. Equity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 Repurchases</w:t>
      </w:r>
    </w:p>
    <w:p>
      <w:pPr>
        <w:spacing w:after="0" w:line="24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10b5- 1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8. Financial Statements and Supplementary Data, Notes to Consolidated Financial Statements, Note 20. Government Incentives. No shares were repurchased in 2025. We repurchased 3.2 million shares of our common stock for $300 million in 2024. Through August 28, 2025, we had repurchased an aggregate of $7.19 billion under the authorization. Amounts repurchased are included in treasury stock.</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240" w:lineRule="exact"/>
        <w:rPr>
          <w:sz w:val="20"/>
          <w:szCs w:val="20"/>
          <w:color w:val="auto"/>
        </w:rPr>
      </w:pPr>
    </w:p>
    <w:p>
      <w:pPr>
        <w:ind w:right="520"/>
        <w:spacing w:after="0" w:line="334" w:lineRule="auto"/>
        <w:rPr>
          <w:sz w:val="20"/>
          <w:szCs w:val="20"/>
          <w:color w:val="auto"/>
        </w:rPr>
      </w:pPr>
      <w:r>
        <w:rPr>
          <w:rFonts w:ascii="Arial" w:cs="Arial" w:eastAsia="Arial" w:hAnsi="Arial"/>
          <w:sz w:val="14"/>
          <w:szCs w:val="14"/>
          <w:color w:val="auto"/>
        </w:rPr>
        <w:t>In each quarter of 2025, we declared and paid dividends of $0.115 per share. On September 23, 2025, our Board of Directors declared a quarterly dividend of $0.115 per share, payable in cash on October 21, 2025, to shareholders of record as of the close of business on October 3, 2025.</w:t>
      </w:r>
    </w:p>
    <w:p>
      <w:pPr>
        <w:spacing w:after="0" w:line="200" w:lineRule="exact"/>
        <w:rPr>
          <w:sz w:val="20"/>
          <w:szCs w:val="20"/>
          <w:color w:val="auto"/>
        </w:rPr>
      </w:pPr>
    </w:p>
    <w:p>
      <w:pPr>
        <w:spacing w:after="0" w:line="37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2" w:name="page83"/>
    <w:bookmarkEnd w:id="8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Accumulated Other Comprehensive Income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gridSpan w:val="9"/>
          </w:tcPr>
          <w:p>
            <w:pPr>
              <w:spacing w:after="0"/>
              <w:rPr>
                <w:sz w:val="20"/>
                <w:szCs w:val="20"/>
                <w:color w:val="auto"/>
              </w:rPr>
            </w:pPr>
            <w:r>
              <w:rPr>
                <w:rFonts w:ascii="Arial" w:cs="Arial" w:eastAsia="Arial" w:hAnsi="Arial"/>
                <w:sz w:val="16"/>
                <w:szCs w:val="16"/>
                <w:color w:val="auto"/>
              </w:rPr>
              <w:t>Changes in accumulated other comprehensive income (loss) by component for the year ended August 28, 2025 were as follows: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42"/>
              <w:spacing w:after="0" w:line="166" w:lineRule="exact"/>
              <w:rPr>
                <w:sz w:val="20"/>
                <w:szCs w:val="20"/>
                <w:color w:val="auto"/>
              </w:rPr>
            </w:pPr>
            <w:r>
              <w:rPr>
                <w:rFonts w:ascii="Arial" w:cs="Arial" w:eastAsia="Arial" w:hAnsi="Arial"/>
                <w:sz w:val="16"/>
                <w:szCs w:val="16"/>
                <w:b w:val="1"/>
                <w:bCs w:val="1"/>
                <w:color w:val="auto"/>
                <w:w w:val="97"/>
              </w:rPr>
              <w:t>Cumulative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Gains (Losses)</w:t>
            </w:r>
          </w:p>
        </w:tc>
        <w:tc>
          <w:tcPr>
            <w:tcW w:w="13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Unrealized Gains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5"/>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Pension Liability</w:t>
            </w:r>
          </w:p>
        </w:tc>
        <w:tc>
          <w:tcPr>
            <w:tcW w:w="180" w:type="dxa"/>
            <w:vAlign w:val="bottom"/>
          </w:tcPr>
          <w:p>
            <w:pPr>
              <w:spacing w:after="0"/>
              <w:rPr>
                <w:sz w:val="13"/>
                <w:szCs w:val="13"/>
                <w:color w:val="auto"/>
              </w:rPr>
            </w:pPr>
          </w:p>
        </w:tc>
        <w:tc>
          <w:tcPr>
            <w:tcW w:w="112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6"/>
              </w:rPr>
              <w:t>Currency</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5"/>
              </w:rPr>
              <w:t>on Derivative</w:t>
            </w:r>
          </w:p>
        </w:tc>
        <w:tc>
          <w:tcPr>
            <w:tcW w:w="160" w:type="dxa"/>
            <w:vAlign w:val="bottom"/>
          </w:tcPr>
          <w:p>
            <w:pPr>
              <w:spacing w:after="0"/>
              <w:rPr>
                <w:sz w:val="13"/>
                <w:szCs w:val="13"/>
                <w:color w:val="auto"/>
              </w:rPr>
            </w:pPr>
          </w:p>
        </w:tc>
        <w:tc>
          <w:tcPr>
            <w:tcW w:w="1180" w:type="dxa"/>
            <w:vAlign w:val="bottom"/>
          </w:tcPr>
          <w:p>
            <w:pPr>
              <w:jc w:val="center"/>
              <w:ind w:right="62"/>
              <w:spacing w:after="0" w:line="156" w:lineRule="exact"/>
              <w:rPr>
                <w:sz w:val="20"/>
                <w:szCs w:val="20"/>
                <w:color w:val="auto"/>
              </w:rPr>
            </w:pPr>
            <w:r>
              <w:rPr>
                <w:rFonts w:ascii="Arial" w:cs="Arial" w:eastAsia="Arial" w:hAnsi="Arial"/>
                <w:sz w:val="16"/>
                <w:szCs w:val="16"/>
                <w:b w:val="1"/>
                <w:bCs w:val="1"/>
                <w:color w:val="auto"/>
                <w:w w:val="97"/>
              </w:rPr>
              <w:t>(Losses) on</w:t>
            </w: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7"/>
              </w:rPr>
              <w:t>Translation</w:t>
            </w:r>
          </w:p>
        </w:tc>
        <w:tc>
          <w:tcPr>
            <w:tcW w:w="260" w:type="dxa"/>
            <w:vAlign w:val="bottom"/>
          </w:tcPr>
          <w:p>
            <w:pPr>
              <w:spacing w:after="0"/>
              <w:rPr>
                <w:sz w:val="13"/>
                <w:szCs w:val="13"/>
                <w:color w:val="auto"/>
              </w:rPr>
            </w:pPr>
          </w:p>
        </w:tc>
        <w:tc>
          <w:tcPr>
            <w:tcW w:w="84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8"/>
              </w:rPr>
              <w:t>Instruments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8"/>
              </w:rPr>
              <w:t>Investments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7"/>
              </w:rPr>
              <w:t>Adjustment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August 29, 2024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center"/>
              <w:ind w:left="822"/>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39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37"/>
        </w:trPr>
        <w:tc>
          <w:tcPr>
            <w:tcW w:w="4220" w:type="dxa"/>
            <w:vAlign w:val="bottom"/>
          </w:tcPr>
          <w:p>
            <w:pPr>
              <w:ind w:left="220"/>
              <w:spacing w:after="0" w:line="137" w:lineRule="exact"/>
              <w:rPr>
                <w:sz w:val="20"/>
                <w:szCs w:val="20"/>
                <w:color w:val="auto"/>
              </w:rPr>
            </w:pPr>
            <w:r>
              <w:rPr>
                <w:rFonts w:ascii="Arial" w:cs="Arial" w:eastAsia="Arial" w:hAnsi="Arial"/>
                <w:sz w:val="14"/>
                <w:szCs w:val="14"/>
                <w:color w:val="auto"/>
              </w:rPr>
              <w:t>Other comprehensive income (loss) before</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1"/>
                <w:szCs w:val="11"/>
                <w:color w:val="auto"/>
              </w:rPr>
            </w:pPr>
          </w:p>
        </w:tc>
        <w:tc>
          <w:tcPr>
            <w:tcW w:w="1180" w:type="dxa"/>
            <w:vAlign w:val="bottom"/>
            <w:vMerge w:val="restart"/>
          </w:tcPr>
          <w:p>
            <w:pPr>
              <w:jc w:val="center"/>
              <w:ind w:left="822"/>
              <w:spacing w:after="0"/>
              <w:rPr>
                <w:sz w:val="20"/>
                <w:szCs w:val="20"/>
                <w:color w:val="auto"/>
              </w:rPr>
            </w:pPr>
            <w:r>
              <w:rPr>
                <w:rFonts w:ascii="Arial" w:cs="Arial" w:eastAsia="Arial" w:hAnsi="Arial"/>
                <w:sz w:val="16"/>
                <w:szCs w:val="16"/>
                <w:color w:val="auto"/>
                <w:w w:val="89"/>
              </w:rPr>
              <w:t>6</w:t>
            </w:r>
          </w:p>
        </w:tc>
        <w:tc>
          <w:tcPr>
            <w:tcW w:w="180" w:type="dxa"/>
            <w:vAlign w:val="bottom"/>
          </w:tcPr>
          <w:p>
            <w:pPr>
              <w:spacing w:after="0"/>
              <w:rPr>
                <w:sz w:val="11"/>
                <w:szCs w:val="11"/>
                <w:color w:val="auto"/>
              </w:rPr>
            </w:pPr>
          </w:p>
        </w:tc>
        <w:tc>
          <w:tcPr>
            <w:tcW w:w="1180" w:type="dxa"/>
            <w:vAlign w:val="bottom"/>
            <w:vMerge w:val="restart"/>
          </w:tcPr>
          <w:p>
            <w:pPr>
              <w:jc w:val="right"/>
              <w:ind w:right="22"/>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1"/>
                <w:szCs w:val="11"/>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rPr>
                <w:sz w:val="20"/>
                <w:szCs w:val="20"/>
                <w:color w:val="auto"/>
              </w:rPr>
            </w:pPr>
            <w:r>
              <w:rPr>
                <w:rFonts w:ascii="Arial" w:cs="Arial" w:eastAsia="Arial" w:hAnsi="Arial"/>
                <w:sz w:val="16"/>
                <w:szCs w:val="16"/>
                <w:color w:val="auto"/>
              </w:rPr>
              <w:t>reclassifications</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220" w:type="dxa"/>
            <w:vAlign w:val="bottom"/>
            <w:shd w:val="clear" w:color="auto" w:fill="D1D2D4"/>
          </w:tcPr>
          <w:p>
            <w:pPr>
              <w:ind w:left="220"/>
              <w:spacing w:after="0" w:line="157" w:lineRule="exact"/>
              <w:rPr>
                <w:sz w:val="20"/>
                <w:szCs w:val="20"/>
                <w:color w:val="auto"/>
              </w:rPr>
            </w:pPr>
            <w:r>
              <w:rPr>
                <w:rFonts w:ascii="Arial" w:cs="Arial" w:eastAsia="Arial" w:hAnsi="Arial"/>
                <w:sz w:val="16"/>
                <w:szCs w:val="16"/>
                <w:color w:val="auto"/>
              </w:rPr>
              <w:t>Amount reclassified out of accumulated other</w:t>
            </w:r>
          </w:p>
        </w:tc>
        <w:tc>
          <w:tcPr>
            <w:tcW w:w="120" w:type="dxa"/>
            <w:vAlign w:val="bottom"/>
            <w:shd w:val="clear" w:color="auto" w:fill="D1D2D4"/>
          </w:tcPr>
          <w:p>
            <w:pPr>
              <w:spacing w:after="0"/>
              <w:rPr>
                <w:sz w:val="13"/>
                <w:szCs w:val="13"/>
                <w:color w:val="auto"/>
              </w:rPr>
            </w:pPr>
          </w:p>
        </w:tc>
        <w:tc>
          <w:tcPr>
            <w:tcW w:w="112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D1D2D4"/>
          </w:tcPr>
          <w:p>
            <w:pPr>
              <w:spacing w:after="0"/>
              <w:rPr>
                <w:sz w:val="13"/>
                <w:szCs w:val="13"/>
                <w:color w:val="auto"/>
              </w:rPr>
            </w:pPr>
          </w:p>
        </w:tc>
        <w:tc>
          <w:tcPr>
            <w:tcW w:w="1180" w:type="dxa"/>
            <w:vAlign w:val="bottom"/>
            <w:vMerge w:val="restart"/>
            <w:shd w:val="clear" w:color="auto" w:fill="D1D2D4"/>
          </w:tcPr>
          <w:p>
            <w:pPr>
              <w:jc w:val="center"/>
              <w:ind w:left="822"/>
              <w:spacing w:after="0"/>
              <w:rPr>
                <w:sz w:val="20"/>
                <w:szCs w:val="20"/>
                <w:color w:val="auto"/>
              </w:rPr>
            </w:pPr>
            <w:r>
              <w:rPr>
                <w:rFonts w:ascii="Arial" w:cs="Arial" w:eastAsia="Arial" w:hAnsi="Arial"/>
                <w:sz w:val="16"/>
                <w:szCs w:val="16"/>
                <w:color w:val="auto"/>
              </w:rPr>
              <w:t>(1)</w:t>
            </w:r>
          </w:p>
        </w:tc>
        <w:tc>
          <w:tcPr>
            <w:tcW w:w="180" w:type="dxa"/>
            <w:vAlign w:val="bottom"/>
            <w:shd w:val="clear" w:color="auto" w:fill="D1D2D4"/>
          </w:tcPr>
          <w:p>
            <w:pPr>
              <w:spacing w:after="0"/>
              <w:rPr>
                <w:sz w:val="13"/>
                <w:szCs w:val="13"/>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D1D2D4"/>
          </w:tcPr>
          <w:p>
            <w:pPr>
              <w:spacing w:after="0"/>
              <w:rPr>
                <w:sz w:val="13"/>
                <w:szCs w:val="13"/>
                <w:color w:val="auto"/>
              </w:rPr>
            </w:pPr>
          </w:p>
        </w:tc>
        <w:tc>
          <w:tcPr>
            <w:tcW w:w="1120" w:type="dxa"/>
            <w:vAlign w:val="bottom"/>
            <w:vMerge w:val="restart"/>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4220" w:type="dxa"/>
            <w:vAlign w:val="bottom"/>
            <w:shd w:val="clear" w:color="auto" w:fill="D1D2D4"/>
          </w:tcPr>
          <w:p>
            <w:pPr>
              <w:ind w:left="220"/>
              <w:spacing w:after="0"/>
              <w:rPr>
                <w:sz w:val="20"/>
                <w:szCs w:val="20"/>
                <w:color w:val="auto"/>
              </w:rPr>
            </w:pPr>
            <w:r>
              <w:rPr>
                <w:rFonts w:ascii="Arial" w:cs="Arial" w:eastAsia="Arial" w:hAnsi="Arial"/>
                <w:sz w:val="16"/>
                <w:szCs w:val="16"/>
                <w:color w:val="auto"/>
              </w:rPr>
              <w:t>comprehensive income (loss)</w:t>
            </w:r>
          </w:p>
        </w:tc>
        <w:tc>
          <w:tcPr>
            <w:tcW w:w="120" w:type="dxa"/>
            <w:vAlign w:val="bottom"/>
            <w:shd w:val="clear" w:color="auto" w:fill="D1D2D4"/>
          </w:tcPr>
          <w:p>
            <w:pPr>
              <w:spacing w:after="0"/>
              <w:rPr>
                <w:sz w:val="17"/>
                <w:szCs w:val="17"/>
                <w:color w:val="auto"/>
              </w:rPr>
            </w:pPr>
          </w:p>
        </w:tc>
        <w:tc>
          <w:tcPr>
            <w:tcW w:w="112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vMerge w:val="continue"/>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80" w:type="dxa"/>
            <w:vAlign w:val="bottom"/>
            <w:vMerge w:val="continue"/>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20" w:type="dxa"/>
            <w:vAlign w:val="bottom"/>
            <w:vMerge w:val="continue"/>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84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Borders>
              <w:bottom w:val="single" w:sz="8" w:color="D1D2D4"/>
            </w:tcBorders>
          </w:tcPr>
          <w:p>
            <w:pPr>
              <w:ind w:left="2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822"/>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6"/>
        </w:trPr>
        <w:tc>
          <w:tcPr>
            <w:tcW w:w="42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auto"/>
            </w:tcBorders>
            <w:shd w:val="clear" w:color="auto" w:fill="D1D2D4"/>
          </w:tcPr>
          <w:p>
            <w:pPr>
              <w:spacing w:after="0"/>
              <w:rPr>
                <w:sz w:val="17"/>
                <w:szCs w:val="17"/>
                <w:color w:val="auto"/>
              </w:rPr>
            </w:pPr>
          </w:p>
        </w:tc>
        <w:tc>
          <w:tcPr>
            <w:tcW w:w="1180" w:type="dxa"/>
            <w:vAlign w:val="bottom"/>
            <w:tcBorders>
              <w:bottom w:val="single" w:sz="8" w:color="auto"/>
            </w:tcBorders>
            <w:shd w:val="clear" w:color="auto" w:fill="D1D2D4"/>
          </w:tcPr>
          <w:p>
            <w:pPr>
              <w:jc w:val="center"/>
              <w:ind w:left="822"/>
              <w:spacing w:after="0"/>
              <w:rPr>
                <w:sz w:val="20"/>
                <w:szCs w:val="20"/>
                <w:color w:val="auto"/>
              </w:rPr>
            </w:pPr>
            <w:r>
              <w:rPr>
                <w:rFonts w:ascii="Arial" w:cs="Arial" w:eastAsia="Arial" w:hAnsi="Arial"/>
                <w:sz w:val="16"/>
                <w:szCs w:val="16"/>
                <w:color w:val="auto"/>
                <w:w w:val="89"/>
              </w:rPr>
              <w:t>4</w:t>
            </w:r>
          </w:p>
        </w:tc>
        <w:tc>
          <w:tcPr>
            <w:tcW w:w="180" w:type="dxa"/>
            <w:vAlign w:val="bottom"/>
            <w:tcBorders>
              <w:bottom w:val="single" w:sz="8" w:color="auto"/>
            </w:tcBorders>
            <w:shd w:val="clear" w:color="auto" w:fill="D1D2D4"/>
          </w:tcPr>
          <w:p>
            <w:pPr>
              <w:spacing w:after="0"/>
              <w:rPr>
                <w:sz w:val="17"/>
                <w:szCs w:val="17"/>
                <w:color w:val="auto"/>
              </w:rPr>
            </w:pPr>
          </w:p>
        </w:tc>
        <w:tc>
          <w:tcPr>
            <w:tcW w:w="118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7"/>
                <w:szCs w:val="17"/>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As of August 28,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center"/>
              <w:ind w:left="822"/>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16.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and carrying values of our outstanding debt instruments were as follows:</w:t>
      </w:r>
    </w:p>
    <w:p>
      <w:pPr>
        <w:sectPr>
          <w:pgSz w:w="11900" w:h="16840" w:orient="portrait"/>
          <w:cols w:equalWidth="0" w:num="1">
            <w:col w:w="10580"/>
          </w:cols>
          <w:pgMar w:left="660" w:top="557" w:right="660" w:bottom="1440" w:gutter="0" w:footer="0" w:header="0"/>
        </w:sectPr>
      </w:pPr>
    </w:p>
    <w:p>
      <w:pPr>
        <w:spacing w:after="0" w:line="30"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As of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13335</wp:posOffset>
            </wp:positionV>
            <wp:extent cx="1684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12" w:lineRule="exact"/>
        <w:rPr>
          <w:sz w:val="20"/>
          <w:szCs w:val="20"/>
          <w:color w:val="auto"/>
        </w:rPr>
      </w:pPr>
    </w:p>
    <w:p>
      <w:pPr>
        <w:ind w:left="5680"/>
        <w:spacing w:after="0"/>
        <w:tabs>
          <w:tab w:leader="none" w:pos="6820" w:val="left"/>
        </w:tabs>
        <w:rPr>
          <w:sz w:val="20"/>
          <w:szCs w:val="20"/>
          <w:color w:val="auto"/>
        </w:rPr>
      </w:pPr>
      <w:r>
        <w:rPr>
          <w:rFonts w:ascii="Arial" w:cs="Arial" w:eastAsia="Arial" w:hAnsi="Arial"/>
          <w:sz w:val="14"/>
          <w:szCs w:val="14"/>
          <w:b w:val="1"/>
          <w:bCs w:val="1"/>
          <w:color w:val="auto"/>
        </w:rPr>
        <w:t>Fair</w:t>
      </w:r>
      <w:r>
        <w:rPr>
          <w:sz w:val="20"/>
          <w:szCs w:val="20"/>
          <w:color w:val="auto"/>
        </w:rPr>
        <w:tab/>
      </w:r>
      <w:r>
        <w:rPr>
          <w:rFonts w:ascii="Arial" w:cs="Arial" w:eastAsia="Arial" w:hAnsi="Arial"/>
          <w:sz w:val="14"/>
          <w:szCs w:val="14"/>
          <w:b w:val="1"/>
          <w:bCs w:val="1"/>
          <w:color w:val="auto"/>
        </w:rPr>
        <w:t>Carrying</w:t>
      </w:r>
    </w:p>
    <w:p>
      <w:pPr>
        <w:spacing w:after="0" w:line="11" w:lineRule="exact"/>
        <w:rPr>
          <w:sz w:val="20"/>
          <w:szCs w:val="20"/>
          <w:color w:val="auto"/>
        </w:rPr>
      </w:pPr>
    </w:p>
    <w:p>
      <w:pPr>
        <w:ind w:left="5620"/>
        <w:spacing w:after="0"/>
        <w:tabs>
          <w:tab w:leader="none" w:pos="6920" w:val="left"/>
        </w:tabs>
        <w:rPr>
          <w:sz w:val="20"/>
          <w:szCs w:val="20"/>
          <w:color w:val="auto"/>
        </w:rPr>
      </w:pPr>
      <w:r>
        <w:rPr>
          <w:rFonts w:ascii="Arial" w:cs="Arial" w:eastAsia="Arial" w:hAnsi="Arial"/>
          <w:sz w:val="16"/>
          <w:szCs w:val="16"/>
          <w:b w:val="1"/>
          <w:bCs w:val="1"/>
          <w:color w:val="auto"/>
        </w:rPr>
        <w:t>Value</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707505" cy="1295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496189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618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13335</wp:posOffset>
            </wp:positionV>
            <wp:extent cx="16846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4"/>
          <w:szCs w:val="14"/>
          <w:b w:val="1"/>
          <w:bCs w:val="1"/>
          <w:color w:val="auto"/>
        </w:rPr>
        <w:t>Fair</w:t>
      </w:r>
      <w:r>
        <w:rPr>
          <w:sz w:val="20"/>
          <w:szCs w:val="20"/>
          <w:color w:val="auto"/>
        </w:rPr>
        <w:tab/>
      </w:r>
      <w:r>
        <w:rPr>
          <w:rFonts w:ascii="Arial" w:cs="Arial" w:eastAsia="Arial" w:hAnsi="Arial"/>
          <w:sz w:val="14"/>
          <w:szCs w:val="14"/>
          <w:b w:val="1"/>
          <w:bCs w:val="1"/>
          <w:color w:val="auto"/>
        </w:rPr>
        <w:t>Carrying</w:t>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Value</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3175</wp:posOffset>
            </wp:positionV>
            <wp:extent cx="1684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54" w:lineRule="exact"/>
        <w:rPr>
          <w:sz w:val="20"/>
          <w:szCs w:val="20"/>
          <w:color w:val="auto"/>
        </w:rPr>
      </w:pPr>
    </w:p>
    <w:p>
      <w:pPr>
        <w:sectPr>
          <w:pgSz w:w="11900" w:h="16840" w:orient="portrait"/>
          <w:cols w:equalWidth="0" w:num="2">
            <w:col w:w="7640" w:space="720"/>
            <w:col w:w="2220"/>
          </w:cols>
          <w:pgMar w:left="660" w:top="557" w:right="660" w:bottom="1440" w:gutter="0" w:footer="0" w:header="0"/>
          <w:type w:val="continuous"/>
        </w:sectPr>
      </w:pPr>
    </w:p>
    <w:p>
      <w:pPr>
        <w:ind w:left="20"/>
        <w:spacing w:after="0"/>
        <w:tabs>
          <w:tab w:leader="none" w:pos="5160" w:val="left"/>
          <w:tab w:leader="none" w:pos="5920" w:val="left"/>
          <w:tab w:leader="none" w:pos="7240" w:val="left"/>
          <w:tab w:leader="none" w:pos="7900" w:val="left"/>
          <w:tab w:leader="none" w:pos="8680" w:val="left"/>
          <w:tab w:leader="none" w:pos="10000" w:val="left"/>
        </w:tabs>
        <w:rPr>
          <w:sz w:val="20"/>
          <w:szCs w:val="20"/>
          <w:color w:val="auto"/>
        </w:rPr>
      </w:pPr>
      <w:r>
        <w:rPr>
          <w:rFonts w:ascii="Arial" w:cs="Arial" w:eastAsia="Arial" w:hAnsi="Arial"/>
          <w:sz w:val="16"/>
          <w:szCs w:val="16"/>
          <w:color w:val="auto"/>
        </w:rPr>
        <w:t>Notes payable and term loans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11,570 $</w:t>
      </w:r>
      <w:r>
        <w:rPr>
          <w:sz w:val="20"/>
          <w:szCs w:val="20"/>
          <w:color w:val="auto"/>
        </w:rPr>
        <w:tab/>
      </w:r>
      <w:r>
        <w:rPr>
          <w:rFonts w:ascii="Arial" w:cs="Arial" w:eastAsia="Arial" w:hAnsi="Arial"/>
          <w:sz w:val="16"/>
          <w:szCs w:val="16"/>
          <w:color w:val="auto"/>
        </w:rPr>
        <w:t>11,533</w:t>
        <w:tab/>
        <w:t>$</w:t>
      </w:r>
      <w:r>
        <w:rPr>
          <w:sz w:val="20"/>
          <w:szCs w:val="20"/>
          <w:color w:val="auto"/>
        </w:rPr>
        <w:tab/>
      </w:r>
      <w:r>
        <w:rPr>
          <w:rFonts w:ascii="Arial" w:cs="Arial" w:eastAsia="Arial" w:hAnsi="Arial"/>
          <w:sz w:val="16"/>
          <w:szCs w:val="16"/>
          <w:color w:val="auto"/>
        </w:rPr>
        <w:t>11,316 $</w:t>
      </w:r>
      <w:r>
        <w:rPr>
          <w:sz w:val="20"/>
          <w:szCs w:val="20"/>
          <w:color w:val="auto"/>
        </w:rPr>
        <w:tab/>
      </w:r>
      <w:r>
        <w:rPr>
          <w:rFonts w:ascii="Arial" w:cs="Arial" w:eastAsia="Arial" w:hAnsi="Arial"/>
          <w:sz w:val="14"/>
          <w:szCs w:val="14"/>
          <w:color w:val="auto"/>
        </w:rPr>
        <w:t>11,343</w:t>
      </w:r>
    </w:p>
    <w:p>
      <w:pPr>
        <w:spacing w:after="0" w:line="30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4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1010"/>
        </w:trPr>
        <w:tc>
          <w:tcPr>
            <w:tcW w:w="5820" w:type="dxa"/>
            <w:vAlign w:val="bottom"/>
          </w:tcPr>
          <w:p>
            <w:pPr>
              <w:spacing w:after="0"/>
              <w:rPr>
                <w:sz w:val="20"/>
                <w:szCs w:val="20"/>
                <w:color w:val="auto"/>
              </w:rPr>
            </w:pPr>
            <w:r>
              <w:rPr>
                <w:rFonts w:ascii="Arial" w:cs="Arial" w:eastAsia="Arial" w:hAnsi="Arial"/>
                <w:sz w:val="35"/>
                <w:szCs w:val="35"/>
                <w:b w:val="1"/>
                <w:bCs w:val="1"/>
                <w:color w:val="auto"/>
              </w:rPr>
              <w:t>Note 17. Derivative Instruments</w:t>
            </w:r>
          </w:p>
        </w:tc>
        <w:tc>
          <w:tcPr>
            <w:tcW w:w="760" w:type="dxa"/>
            <w:vAlign w:val="bottom"/>
          </w:tcPr>
          <w:p>
            <w:pPr>
              <w:spacing w:after="0"/>
              <w:rPr>
                <w:sz w:val="24"/>
                <w:szCs w:val="24"/>
                <w:color w:val="auto"/>
              </w:rPr>
            </w:pPr>
          </w:p>
        </w:tc>
        <w:tc>
          <w:tcPr>
            <w:tcW w:w="1200" w:type="dxa"/>
            <w:vAlign w:val="bottom"/>
            <w:vMerge w:val="restart"/>
          </w:tcPr>
          <w:p>
            <w:pPr>
              <w:jc w:val="center"/>
              <w:ind w:right="103"/>
              <w:spacing w:after="0"/>
              <w:rPr>
                <w:sz w:val="20"/>
                <w:szCs w:val="20"/>
                <w:color w:val="auto"/>
              </w:rPr>
            </w:pPr>
            <w:r>
              <w:rPr>
                <w:rFonts w:ascii="Arial" w:cs="Arial" w:eastAsia="Arial" w:hAnsi="Arial"/>
                <w:sz w:val="16"/>
                <w:szCs w:val="16"/>
                <w:b w:val="1"/>
                <w:bCs w:val="1"/>
                <w:color w:val="auto"/>
                <w:w w:val="97"/>
              </w:rPr>
              <w:t>Notional or</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620"/>
              <w:spacing w:after="0" w:line="194" w:lineRule="exact"/>
              <w:rPr>
                <w:sz w:val="20"/>
                <w:szCs w:val="20"/>
                <w:color w:val="auto"/>
              </w:rPr>
            </w:pPr>
            <w:r>
              <w:rPr>
                <w:rFonts w:ascii="Arial" w:cs="Arial" w:eastAsia="Arial" w:hAnsi="Arial"/>
                <w:sz w:val="16"/>
                <w:szCs w:val="16"/>
                <w:b w:val="1"/>
                <w:bCs w:val="1"/>
                <w:color w:val="auto"/>
              </w:rPr>
              <w:t>Fair Value</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of</w:t>
            </w: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vMerge w:val="restart"/>
          </w:tcPr>
          <w:p>
            <w:pPr>
              <w:jc w:val="center"/>
              <w:ind w:right="103"/>
              <w:spacing w:after="0" w:line="108" w:lineRule="exact"/>
              <w:rPr>
                <w:sz w:val="20"/>
                <w:szCs w:val="20"/>
                <w:color w:val="auto"/>
              </w:rPr>
            </w:pPr>
            <w:r>
              <w:rPr>
                <w:rFonts w:ascii="Arial" w:cs="Arial" w:eastAsia="Arial" w:hAnsi="Arial"/>
                <w:sz w:val="12"/>
                <w:szCs w:val="12"/>
                <w:b w:val="1"/>
                <w:bCs w:val="1"/>
                <w:color w:val="auto"/>
              </w:rPr>
              <w:t>Contractual</w:t>
            </w: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5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1"/>
                <w:szCs w:val="21"/>
                <w:b w:val="1"/>
                <w:bCs w:val="1"/>
                <w:color w:val="auto"/>
                <w:vertAlign w:val="superscript"/>
              </w:rPr>
              <w:t>(2)</w:t>
            </w: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Liabilities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center"/>
              <w:ind w:right="103"/>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8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August 28, 2025</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ind w:right="23"/>
              <w:spacing w:after="0"/>
              <w:rPr>
                <w:sz w:val="20"/>
                <w:szCs w:val="20"/>
                <w:color w:val="auto"/>
              </w:rPr>
            </w:pPr>
            <w:r>
              <w:rPr>
                <w:rFonts w:ascii="Arial" w:cs="Arial" w:eastAsia="Arial" w:hAnsi="Arial"/>
                <w:sz w:val="16"/>
                <w:szCs w:val="16"/>
                <w:color w:val="auto"/>
              </w:rPr>
              <w:t>3,271</w:t>
            </w:r>
          </w:p>
        </w:tc>
        <w:tc>
          <w:tcPr>
            <w:tcW w:w="24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76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jc w:val="right"/>
              <w:ind w:right="23"/>
              <w:spacing w:after="0"/>
              <w:rPr>
                <w:sz w:val="20"/>
                <w:szCs w:val="20"/>
                <w:color w:val="auto"/>
              </w:rPr>
            </w:pPr>
            <w:r>
              <w:rPr>
                <w:rFonts w:ascii="Arial" w:cs="Arial" w:eastAsia="Arial" w:hAnsi="Arial"/>
                <w:sz w:val="16"/>
                <w:szCs w:val="16"/>
                <w:color w:val="auto"/>
              </w:rPr>
              <w:t>3,049</w:t>
            </w:r>
          </w:p>
        </w:tc>
        <w:tc>
          <w:tcPr>
            <w:tcW w:w="24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1D2D4"/>
          </w:tcPr>
          <w:p>
            <w:pPr>
              <w:spacing w:after="0"/>
              <w:rPr>
                <w:sz w:val="17"/>
                <w:szCs w:val="17"/>
                <w:color w:val="auto"/>
              </w:rPr>
            </w:pP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Non-designated currency hedges</w:t>
            </w:r>
          </w:p>
        </w:tc>
        <w:tc>
          <w:tcPr>
            <w:tcW w:w="760" w:type="dxa"/>
            <w:vAlign w:val="bottom"/>
            <w:tcBorders>
              <w:bottom w:val="single" w:sz="8" w:color="D1D2D4"/>
            </w:tcBorders>
          </w:tcPr>
          <w:p>
            <w:pPr>
              <w:spacing w:after="0"/>
              <w:rPr>
                <w:sz w:val="17"/>
                <w:szCs w:val="17"/>
                <w:color w:val="auto"/>
              </w:rPr>
            </w:pPr>
          </w:p>
        </w:tc>
        <w:tc>
          <w:tcPr>
            <w:tcW w:w="1200" w:type="dxa"/>
            <w:vAlign w:val="bottom"/>
            <w:tcBorders>
              <w:bottom w:val="single" w:sz="8" w:color="D1D2D4"/>
            </w:tcBorders>
          </w:tcPr>
          <w:p>
            <w:pPr>
              <w:jc w:val="right"/>
              <w:ind w:right="23"/>
              <w:spacing w:after="0"/>
              <w:rPr>
                <w:sz w:val="20"/>
                <w:szCs w:val="20"/>
                <w:color w:val="auto"/>
              </w:rPr>
            </w:pPr>
            <w:r>
              <w:rPr>
                <w:rFonts w:ascii="Arial" w:cs="Arial" w:eastAsia="Arial" w:hAnsi="Arial"/>
                <w:sz w:val="16"/>
                <w:szCs w:val="16"/>
                <w:color w:val="auto"/>
              </w:rPr>
              <w:t>3,477</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D1D2D4"/>
            </w:tcBorders>
            <w:shd w:val="clear" w:color="auto" w:fill="D1D2D4"/>
          </w:tcPr>
          <w:p>
            <w:pPr>
              <w:spacing w:after="0"/>
              <w:rPr>
                <w:sz w:val="18"/>
                <w:szCs w:val="18"/>
                <w:color w:val="auto"/>
              </w:rPr>
            </w:pPr>
          </w:p>
        </w:tc>
        <w:tc>
          <w:tcPr>
            <w:tcW w:w="760" w:type="dxa"/>
            <w:vAlign w:val="bottom"/>
            <w:tcBorders>
              <w:bottom w:val="single" w:sz="8" w:color="D1D2D4"/>
            </w:tcBorders>
            <w:shd w:val="clear" w:color="auto" w:fill="D1D2D4"/>
          </w:tcPr>
          <w:p>
            <w:pPr>
              <w:spacing w:after="0"/>
              <w:rPr>
                <w:sz w:val="18"/>
                <w:szCs w:val="18"/>
                <w:color w:val="auto"/>
              </w:rPr>
            </w:pPr>
          </w:p>
        </w:tc>
        <w:tc>
          <w:tcPr>
            <w:tcW w:w="1200" w:type="dxa"/>
            <w:vAlign w:val="bottom"/>
            <w:tcBorders>
              <w:bottom w:val="single" w:sz="8" w:color="D1D2D4"/>
            </w:tcBorders>
            <w:shd w:val="clear" w:color="auto" w:fill="D1D2D4"/>
          </w:tcPr>
          <w:p>
            <w:pPr>
              <w:spacing w:after="0"/>
              <w:rPr>
                <w:sz w:val="18"/>
                <w:szCs w:val="18"/>
                <w:color w:val="auto"/>
              </w:rPr>
            </w:pPr>
          </w:p>
        </w:tc>
        <w:tc>
          <w:tcPr>
            <w:tcW w:w="240" w:type="dxa"/>
            <w:vAlign w:val="bottom"/>
            <w:tcBorders>
              <w:bottom w:val="single" w:sz="8" w:color="auto"/>
            </w:tcBorders>
            <w:shd w:val="clear" w:color="auto" w:fill="D1D2D4"/>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D1D2D4"/>
            </w:tcBorders>
          </w:tcPr>
          <w:p>
            <w:pPr>
              <w:spacing w:after="0" w:line="20" w:lineRule="exact"/>
              <w:rPr>
                <w:sz w:val="1"/>
                <w:szCs w:val="1"/>
                <w:color w:val="auto"/>
              </w:rPr>
            </w:pPr>
          </w:p>
        </w:tc>
        <w:tc>
          <w:tcPr>
            <w:tcW w:w="76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August 29, 2024</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4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7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ind w:right="23"/>
              <w:spacing w:after="0"/>
              <w:rPr>
                <w:sz w:val="20"/>
                <w:szCs w:val="20"/>
                <w:color w:val="auto"/>
              </w:rPr>
            </w:pPr>
            <w:r>
              <w:rPr>
                <w:rFonts w:ascii="Arial" w:cs="Arial" w:eastAsia="Arial" w:hAnsi="Arial"/>
                <w:sz w:val="16"/>
                <w:szCs w:val="16"/>
                <w:color w:val="auto"/>
              </w:rPr>
              <w:t>3,724</w:t>
            </w:r>
          </w:p>
        </w:tc>
        <w:tc>
          <w:tcPr>
            <w:tcW w:w="24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76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471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jc w:val="right"/>
              <w:ind w:right="23"/>
              <w:spacing w:after="0"/>
              <w:rPr>
                <w:sz w:val="20"/>
                <w:szCs w:val="20"/>
                <w:color w:val="auto"/>
              </w:rPr>
            </w:pPr>
            <w:r>
              <w:rPr>
                <w:rFonts w:ascii="Arial" w:cs="Arial" w:eastAsia="Arial" w:hAnsi="Arial"/>
                <w:sz w:val="16"/>
                <w:szCs w:val="16"/>
                <w:color w:val="auto"/>
              </w:rPr>
              <w:t>2,511</w:t>
            </w:r>
          </w:p>
        </w:tc>
        <w:tc>
          <w:tcPr>
            <w:tcW w:w="24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160"/>
              <w:spacing w:after="0"/>
              <w:rPr>
                <w:sz w:val="20"/>
                <w:szCs w:val="20"/>
                <w:color w:val="auto"/>
              </w:rPr>
            </w:pPr>
            <w:r>
              <w:rPr>
                <w:rFonts w:ascii="Arial" w:cs="Arial" w:eastAsia="Arial" w:hAnsi="Arial"/>
                <w:sz w:val="16"/>
                <w:szCs w:val="16"/>
                <w:color w:val="auto"/>
              </w:rPr>
              <w:t>Fair value interest rate hedges</w:t>
            </w:r>
          </w:p>
        </w:tc>
        <w:tc>
          <w:tcPr>
            <w:tcW w:w="76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900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D1D2D4"/>
          </w:tcPr>
          <w:p>
            <w:pPr>
              <w:spacing w:after="0"/>
              <w:rPr>
                <w:sz w:val="18"/>
                <w:szCs w:val="18"/>
                <w:color w:val="auto"/>
              </w:rPr>
            </w:pPr>
          </w:p>
        </w:tc>
        <w:tc>
          <w:tcPr>
            <w:tcW w:w="76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Non-designated currency hedges</w:t>
            </w:r>
          </w:p>
        </w:tc>
        <w:tc>
          <w:tcPr>
            <w:tcW w:w="760" w:type="dxa"/>
            <w:vAlign w:val="bottom"/>
            <w:shd w:val="clear" w:color="auto" w:fill="D1D2D4"/>
          </w:tcPr>
          <w:p>
            <w:pPr>
              <w:spacing w:after="0"/>
              <w:rPr>
                <w:sz w:val="17"/>
                <w:szCs w:val="17"/>
                <w:color w:val="auto"/>
              </w:rPr>
            </w:pPr>
          </w:p>
        </w:tc>
        <w:tc>
          <w:tcPr>
            <w:tcW w:w="1200" w:type="dxa"/>
            <w:vAlign w:val="bottom"/>
            <w:shd w:val="clear" w:color="auto" w:fill="D1D2D4"/>
          </w:tcPr>
          <w:p>
            <w:pPr>
              <w:jc w:val="right"/>
              <w:ind w:right="23"/>
              <w:spacing w:after="0"/>
              <w:rPr>
                <w:sz w:val="20"/>
                <w:szCs w:val="20"/>
                <w:color w:val="auto"/>
              </w:rPr>
            </w:pPr>
            <w:r>
              <w:rPr>
                <w:rFonts w:ascii="Arial" w:cs="Arial" w:eastAsia="Arial" w:hAnsi="Arial"/>
                <w:sz w:val="16"/>
                <w:szCs w:val="16"/>
                <w:color w:val="auto"/>
              </w:rPr>
              <w:t>2,393</w:t>
            </w:r>
          </w:p>
        </w:tc>
        <w:tc>
          <w:tcPr>
            <w:tcW w:w="24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auto"/>
            </w:tcBorders>
            <w:shd w:val="clear" w:color="auto" w:fill="D1D2D4"/>
          </w:tcPr>
          <w:p>
            <w:pPr>
              <w:spacing w:after="0"/>
              <w:rPr>
                <w:sz w:val="17"/>
                <w:szCs w:val="17"/>
                <w:color w:val="auto"/>
              </w:rPr>
            </w:pPr>
          </w:p>
        </w:tc>
        <w:tc>
          <w:tcPr>
            <w:tcW w:w="124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220" w:right="240" w:hanging="214"/>
        <w:spacing w:after="0" w:line="205" w:lineRule="auto"/>
        <w:tabs>
          <w:tab w:leader="none" w:pos="22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Forward and swap contracts are measured at fair value based on market-based observable inputs including market spot and forward rates, interest rates, and credit-risk spreads (Level 2).</w:t>
      </w:r>
    </w:p>
    <w:p>
      <w:pPr>
        <w:ind w:left="220" w:hanging="214"/>
        <w:spacing w:after="0" w:line="197" w:lineRule="auto"/>
        <w:tabs>
          <w:tab w:leader="none" w:pos="220" w:val="left"/>
        </w:tabs>
        <w:numPr>
          <w:ilvl w:val="0"/>
          <w:numId w:val="3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Included in receivables and other noncurrent assets.</w:t>
      </w:r>
    </w:p>
    <w:p>
      <w:pPr>
        <w:ind w:left="220" w:hanging="214"/>
        <w:spacing w:after="0" w:line="181" w:lineRule="auto"/>
        <w:tabs>
          <w:tab w:leader="none" w:pos="22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and other noncurrent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Derivative Instruments with Hedge Accounting Designation</w:t>
      </w:r>
    </w:p>
    <w:p>
      <w:pPr>
        <w:spacing w:after="0" w:line="240"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We utilize forward and swap contracts that generally mature within two years designated as cash flow hedges to minimize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to changes in currency exchange rates or commodity prices for certain capital expenditures and manufacturing costs.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20"/>
                <w:szCs w:val="20"/>
                <w:color w:val="auto"/>
              </w:rPr>
            </w:pPr>
            <w:r>
              <w:rPr>
                <w:rFonts w:ascii="Arial" w:cs="Arial" w:eastAsia="Arial" w:hAnsi="Arial"/>
                <w:sz w:val="16"/>
                <w:szCs w:val="16"/>
                <w:color w:val="auto"/>
              </w:rPr>
              <w:t>The effects of cash flow hedging activities were as follows: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Gain (loss) from cash flow hedges in accumulated other comprehensive income (loss)</w:t>
            </w:r>
          </w:p>
        </w:tc>
        <w:tc>
          <w:tcPr>
            <w:tcW w:w="52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580" w:type="dxa"/>
            <w:vAlign w:val="bottom"/>
            <w:shd w:val="clear" w:color="auto" w:fill="D1D2D4"/>
          </w:tcPr>
          <w:p>
            <w:pPr>
              <w:spacing w:after="0"/>
              <w:rPr>
                <w:sz w:val="17"/>
                <w:szCs w:val="17"/>
                <w:color w:val="auto"/>
              </w:rPr>
            </w:pPr>
          </w:p>
        </w:tc>
        <w:tc>
          <w:tcPr>
            <w:tcW w:w="1300" w:type="dxa"/>
            <w:vAlign w:val="bottom"/>
            <w:shd w:val="clear" w:color="auto" w:fill="D1D2D4"/>
          </w:tcPr>
          <w:p>
            <w:pPr>
              <w:jc w:val="right"/>
              <w:ind w:right="682"/>
              <w:spacing w:after="0"/>
              <w:rPr>
                <w:sz w:val="20"/>
                <w:szCs w:val="20"/>
                <w:color w:val="auto"/>
              </w:rPr>
            </w:pPr>
            <w:r>
              <w:rPr>
                <w:rFonts w:ascii="Arial" w:cs="Arial" w:eastAsia="Arial" w:hAnsi="Arial"/>
                <w:sz w:val="16"/>
                <w:szCs w:val="16"/>
                <w:color w:val="auto"/>
              </w:rPr>
              <w:t>— $</w:t>
            </w:r>
          </w:p>
        </w:tc>
        <w:tc>
          <w:tcPr>
            <w:tcW w:w="4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w:t>
            </w:r>
          </w:p>
        </w:tc>
        <w:tc>
          <w:tcPr>
            <w:tcW w:w="30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4"/>
        </w:trPr>
        <w:tc>
          <w:tcPr>
            <w:tcW w:w="6440" w:type="dxa"/>
            <w:vAlign w:val="bottom"/>
          </w:tcPr>
          <w:p>
            <w:pPr>
              <w:ind w:left="20"/>
              <w:spacing w:after="0"/>
              <w:rPr>
                <w:sz w:val="20"/>
                <w:szCs w:val="20"/>
                <w:color w:val="auto"/>
              </w:rPr>
            </w:pPr>
            <w:r>
              <w:rPr>
                <w:rFonts w:ascii="Arial" w:cs="Arial" w:eastAsia="Arial" w:hAnsi="Arial"/>
                <w:sz w:val="16"/>
                <w:szCs w:val="16"/>
                <w:color w:val="auto"/>
              </w:rPr>
              <w:t>Gain (loss) excluded from effectiveness testing in cost of goods sold</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jc w:val="right"/>
              <w:ind w:right="802"/>
              <w:spacing w:after="0"/>
              <w:rPr>
                <w:sz w:val="20"/>
                <w:szCs w:val="20"/>
                <w:color w:val="auto"/>
              </w:rPr>
            </w:pPr>
            <w:r>
              <w:rPr>
                <w:rFonts w:ascii="Arial" w:cs="Arial" w:eastAsia="Arial" w:hAnsi="Arial"/>
                <w:sz w:val="16"/>
                <w:szCs w:val="16"/>
                <w:color w:val="auto"/>
              </w:rPr>
              <w:t>(107)</w:t>
            </w:r>
          </w:p>
        </w:tc>
        <w:tc>
          <w:tcPr>
            <w:tcW w:w="420" w:type="dxa"/>
            <w:vAlign w:val="bottom"/>
          </w:tcPr>
          <w:p>
            <w:pPr>
              <w:jc w:val="right"/>
              <w:spacing w:after="0"/>
              <w:rPr>
                <w:sz w:val="20"/>
                <w:szCs w:val="20"/>
                <w:color w:val="auto"/>
              </w:rPr>
            </w:pPr>
            <w:r>
              <w:rPr>
                <w:rFonts w:ascii="Arial" w:cs="Arial" w:eastAsia="Arial" w:hAnsi="Arial"/>
                <w:sz w:val="16"/>
                <w:szCs w:val="16"/>
                <w:color w:val="auto"/>
              </w:rPr>
              <w:t>(135)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57"/>
        </w:trPr>
        <w:tc>
          <w:tcPr>
            <w:tcW w:w="6440" w:type="dxa"/>
            <w:vAlign w:val="bottom"/>
            <w:shd w:val="clear" w:color="auto" w:fill="D1D2D4"/>
          </w:tcPr>
          <w:p>
            <w:pPr>
              <w:ind w:left="20"/>
              <w:spacing w:after="0" w:line="157" w:lineRule="exact"/>
              <w:rPr>
                <w:sz w:val="20"/>
                <w:szCs w:val="20"/>
                <w:color w:val="auto"/>
              </w:rPr>
            </w:pPr>
            <w:r>
              <w:rPr>
                <w:rFonts w:ascii="Arial" w:cs="Arial" w:eastAsia="Arial" w:hAnsi="Arial"/>
                <w:sz w:val="16"/>
                <w:szCs w:val="16"/>
                <w:color w:val="auto"/>
              </w:rPr>
              <w:t>Gain (loss) reclassified from accumulated other comprehensive income (loss) to earnings,</w:t>
            </w:r>
          </w:p>
        </w:tc>
        <w:tc>
          <w:tcPr>
            <w:tcW w:w="52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1300" w:type="dxa"/>
            <w:vAlign w:val="bottom"/>
            <w:vMerge w:val="restart"/>
            <w:shd w:val="clear" w:color="auto" w:fill="D1D2D4"/>
          </w:tcPr>
          <w:p>
            <w:pPr>
              <w:jc w:val="right"/>
              <w:ind w:right="802"/>
              <w:spacing w:after="0"/>
              <w:rPr>
                <w:sz w:val="20"/>
                <w:szCs w:val="20"/>
                <w:color w:val="auto"/>
              </w:rPr>
            </w:pPr>
            <w:r>
              <w:rPr>
                <w:rFonts w:ascii="Arial" w:cs="Arial" w:eastAsia="Arial" w:hAnsi="Arial"/>
                <w:sz w:val="16"/>
                <w:szCs w:val="16"/>
                <w:color w:val="auto"/>
              </w:rPr>
              <w:t>(140)</w:t>
            </w:r>
          </w:p>
        </w:tc>
        <w:tc>
          <w:tcPr>
            <w:tcW w:w="4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(172)</w:t>
            </w:r>
          </w:p>
        </w:tc>
        <w:tc>
          <w:tcPr>
            <w:tcW w:w="30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3"/>
        </w:trPr>
        <w:tc>
          <w:tcPr>
            <w:tcW w:w="64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primarily to cost of goods sold</w:t>
            </w:r>
          </w:p>
        </w:tc>
        <w:tc>
          <w:tcPr>
            <w:tcW w:w="520" w:type="dxa"/>
            <w:vAlign w:val="bottom"/>
            <w:shd w:val="clear" w:color="auto" w:fill="D1D2D4"/>
          </w:tcPr>
          <w:p>
            <w:pPr>
              <w:spacing w:after="0"/>
              <w:rPr>
                <w:sz w:val="17"/>
                <w:szCs w:val="17"/>
                <w:color w:val="auto"/>
              </w:rPr>
            </w:pPr>
          </w:p>
        </w:tc>
        <w:tc>
          <w:tcPr>
            <w:tcW w:w="580" w:type="dxa"/>
            <w:vAlign w:val="bottom"/>
            <w:shd w:val="clear" w:color="auto" w:fill="D1D2D4"/>
          </w:tcPr>
          <w:p>
            <w:pPr>
              <w:spacing w:after="0"/>
              <w:rPr>
                <w:sz w:val="17"/>
                <w:szCs w:val="17"/>
                <w:color w:val="auto"/>
              </w:rPr>
            </w:pPr>
          </w:p>
        </w:tc>
        <w:tc>
          <w:tcPr>
            <w:tcW w:w="1300" w:type="dxa"/>
            <w:vAlign w:val="bottom"/>
            <w:vMerge w:val="continue"/>
            <w:shd w:val="clear" w:color="auto" w:fill="D1D2D4"/>
          </w:tcPr>
          <w:p>
            <w:pPr>
              <w:spacing w:after="0"/>
              <w:rPr>
                <w:sz w:val="17"/>
                <w:szCs w:val="17"/>
                <w:color w:val="auto"/>
              </w:rPr>
            </w:pPr>
          </w:p>
        </w:tc>
        <w:tc>
          <w:tcPr>
            <w:tcW w:w="420" w:type="dxa"/>
            <w:vAlign w:val="bottom"/>
            <w:vMerge w:val="continue"/>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0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As of August 28, 2025, we expect to reclassify $43 million of pre-tax gains related to cash flow hedges from accumulated other comprehensive income (loss) into earnings in the next 12 months.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84" w:name="page85"/>
    <w:bookmarkEnd w:id="8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b w:val="1"/>
          <w:bCs w:val="1"/>
          <w:i w:val="1"/>
          <w:iCs w:val="1"/>
          <w:color w:val="auto"/>
        </w:rPr>
        <w:t xml:space="preserve">Fair Value Hedges: </w:t>
      </w:r>
      <w:r>
        <w:rPr>
          <w:rFonts w:ascii="Arial" w:cs="Arial" w:eastAsia="Arial" w:hAnsi="Arial"/>
          <w:sz w:val="16"/>
          <w:szCs w:val="16"/>
          <w:color w:val="auto"/>
        </w:rPr>
        <w:t>We utilize currency forward contracts that generally mature within one year designated as fair value hedges to minimize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to changes in currency exchange rates for non- U.S.- dollar-denominated cash and investments in debt securities. The fair value of our hedged cash and investments in debt securities was $3.05 billion as of August 28, 2025. The changes in the fair values of derivatives designated as fair value hedges and the offsetting changes in the underlying fair values of the hedged items are both recognized in earnings. The effects of fair value currency hedges on our consolidated statements of operations, recognized in other non-operating income (expense), net, were not material for the periods presented.</w:t>
      </w:r>
    </w:p>
    <w:p>
      <w:pPr>
        <w:spacing w:after="0" w:line="192"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We also utilized fixed-to-floating interest rate swaps designated as fair value hedges to minimize certain exposures to changes in the fair value of fixed-rate debt that result from fluctuations in benchmark interest rates. The effects of fair value hedges on our consolidated statements of operations, recognized in interest expense, were not material for the periods presented. In the third quarter of 2025, we prepaid the 2027 Notes and settled the related fixed-to-floating interest rate swaps. See Item 8. Financial Statements and Supplementary Data, Notes to Consolidated Financial Statements, Note 12. Debt.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Derivative Instruments without Hedge Accounting Designation</w:t>
      </w:r>
    </w:p>
    <w:p>
      <w:pPr>
        <w:spacing w:after="0" w:line="24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b w:val="1"/>
          <w:bCs w:val="1"/>
          <w:i w:val="1"/>
          <w:iCs w:val="1"/>
          <w:color w:val="auto"/>
        </w:rPr>
        <w:t xml:space="preserve">Currency Derivatives: </w:t>
      </w:r>
      <w:r>
        <w:rPr>
          <w:rFonts w:ascii="Arial" w:cs="Arial" w:eastAsia="Arial" w:hAnsi="Arial"/>
          <w:sz w:val="16"/>
          <w:szCs w:val="16"/>
          <w:color w:val="auto"/>
        </w:rPr>
        <w:t>We generally utilize a rolling hedge strategy with currency forward contracts that mature within three months to hedge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material for the periods presented. We do not use derivative instruments for speculative purposes.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Derivative Counterparty Credit Risk and Master Netting Arrangements</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28, 2025 and August 29, 2024, amounts netted under our master netting arrangements were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18. Equity Compensation Plans</w:t>
      </w:r>
    </w:p>
    <w:p>
      <w:pPr>
        <w:spacing w:after="0" w:line="24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As of August 28, 2025, 55 million shares of our common stock were available for future awards under our equity compensation plans, including 7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and Restricted Stock Units (“Restricted Stock Awards”)</w:t>
      </w:r>
    </w:p>
    <w:p>
      <w:pPr>
        <w:spacing w:after="0" w:line="24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As of August 28, 2025, there were 25 million shares of Restricted Stock Awards outstanding, 21 million of which are only subject to service-based vesting conditions. Service -based Restricted Stock Awards generally vest on 25% of the units granted after the first year and on 6.25% each quarter thereafter over the remaining three years of employment. Restricted Stock Awards with performance or market-based vesting conditions vest over a three -year period as conditions are met. At the end of the performance period, the number of actual shares to be awarded will vary between 0% and 200% of target amounts, depending upon the achievement level. Our unvested restricted stock awards generally include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20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750"/>
        </w:trPr>
        <w:tc>
          <w:tcPr>
            <w:tcW w:w="5300" w:type="dxa"/>
            <w:vAlign w:val="bottom"/>
          </w:tcPr>
          <w:p>
            <w:pPr>
              <w:spacing w:after="0"/>
              <w:rPr>
                <w:sz w:val="20"/>
                <w:szCs w:val="20"/>
                <w:color w:val="auto"/>
              </w:rPr>
            </w:pPr>
            <w:r>
              <w:rPr>
                <w:rFonts w:ascii="Arial" w:cs="Arial" w:eastAsia="Arial" w:hAnsi="Arial"/>
                <w:sz w:val="16"/>
                <w:szCs w:val="16"/>
                <w:color w:val="auto"/>
              </w:rPr>
              <w:t>Restricted Stock Awards activity for 2025 is summarized as follows: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gridSpan w:val="4"/>
          </w:tcPr>
          <w:p>
            <w:pPr>
              <w:jc w:val="center"/>
              <w:ind w:right="20"/>
              <w:spacing w:after="0" w:line="166" w:lineRule="exact"/>
              <w:rPr>
                <w:sz w:val="20"/>
                <w:szCs w:val="20"/>
                <w:color w:val="auto"/>
              </w:rPr>
            </w:pPr>
            <w:r>
              <w:rPr>
                <w:rFonts w:ascii="Arial" w:cs="Arial" w:eastAsia="Arial" w:hAnsi="Arial"/>
                <w:sz w:val="16"/>
                <w:szCs w:val="16"/>
                <w:b w:val="1"/>
                <w:bCs w:val="1"/>
                <w:color w:val="auto"/>
                <w:w w:val="96"/>
              </w:rPr>
              <w:t>Weighted-Average</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3"/>
                <w:szCs w:val="13"/>
                <w:color w:val="auto"/>
              </w:rPr>
            </w:pPr>
          </w:p>
        </w:tc>
        <w:tc>
          <w:tcPr>
            <w:tcW w:w="1420" w:type="dxa"/>
            <w:vAlign w:val="bottom"/>
            <w:gridSpan w:val="3"/>
          </w:tcPr>
          <w:p>
            <w:pPr>
              <w:jc w:val="center"/>
              <w:ind w:right="180"/>
              <w:spacing w:after="0" w:line="156"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Value Per Share</w:t>
            </w:r>
          </w:p>
        </w:tc>
        <w:tc>
          <w:tcPr>
            <w:tcW w:w="0" w:type="dxa"/>
            <w:vAlign w:val="bottom"/>
          </w:tcPr>
          <w:p>
            <w:pPr>
              <w:spacing w:after="0"/>
              <w:rPr>
                <w:sz w:val="1"/>
                <w:szCs w:val="1"/>
                <w:color w:val="auto"/>
              </w:rPr>
            </w:pPr>
          </w:p>
        </w:tc>
      </w:tr>
      <w:tr>
        <w:trPr>
          <w:trHeight w:val="28"/>
        </w:trPr>
        <w:tc>
          <w:tcPr>
            <w:tcW w:w="53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Outstanding as of August 29, 2024</w:t>
            </w: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340" w:type="dxa"/>
            <w:vAlign w:val="bottom"/>
            <w:shd w:val="clear" w:color="auto" w:fill="D1D2D4"/>
          </w:tcPr>
          <w:p>
            <w:pPr>
              <w:spacing w:after="0"/>
              <w:rPr>
                <w:sz w:val="17"/>
                <w:szCs w:val="17"/>
                <w:color w:val="auto"/>
              </w:rPr>
            </w:pPr>
          </w:p>
        </w:tc>
        <w:tc>
          <w:tcPr>
            <w:tcW w:w="118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28</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65.82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6"/>
                <w:szCs w:val="16"/>
                <w:color w:val="auto"/>
              </w:rPr>
              <w:t>Granted</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101.15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D1D2D4"/>
          </w:tcPr>
          <w:p>
            <w:pPr>
              <w:ind w:left="20"/>
              <w:spacing w:after="0"/>
              <w:rPr>
                <w:sz w:val="20"/>
                <w:szCs w:val="20"/>
                <w:color w:val="auto"/>
              </w:rPr>
            </w:pPr>
            <w:r>
              <w:rPr>
                <w:rFonts w:ascii="Arial" w:cs="Arial" w:eastAsia="Arial" w:hAnsi="Arial"/>
                <w:sz w:val="16"/>
                <w:szCs w:val="16"/>
                <w:color w:val="auto"/>
              </w:rPr>
              <w:t>Vested</w:t>
            </w:r>
          </w:p>
        </w:tc>
        <w:tc>
          <w:tcPr>
            <w:tcW w:w="9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34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D1D2D4"/>
          </w:tcPr>
          <w:p>
            <w:pPr>
              <w:spacing w:after="0"/>
              <w:rPr>
                <w:sz w:val="17"/>
                <w:szCs w:val="17"/>
                <w:color w:val="auto"/>
              </w:rPr>
            </w:pPr>
          </w:p>
        </w:tc>
        <w:tc>
          <w:tcPr>
            <w:tcW w:w="1400" w:type="dxa"/>
            <w:vAlign w:val="bottom"/>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64.10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Forfeited</w:t>
            </w:r>
          </w:p>
        </w:tc>
        <w:tc>
          <w:tcPr>
            <w:tcW w:w="980" w:type="dxa"/>
            <w:vAlign w:val="bottom"/>
            <w:tcBorders>
              <w:bottom w:val="single" w:sz="8" w:color="D1D2D4"/>
            </w:tcBorders>
          </w:tcPr>
          <w:p>
            <w:pPr>
              <w:spacing w:after="0"/>
              <w:rPr>
                <w:sz w:val="17"/>
                <w:szCs w:val="17"/>
                <w:color w:val="auto"/>
              </w:rPr>
            </w:pPr>
          </w:p>
        </w:tc>
        <w:tc>
          <w:tcPr>
            <w:tcW w:w="1040" w:type="dxa"/>
            <w:vAlign w:val="bottom"/>
            <w:tcBorders>
              <w:bottom w:val="single" w:sz="8" w:color="D1D2D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D1D2D4"/>
            </w:tcBorders>
          </w:tcPr>
          <w:p>
            <w:pPr>
              <w:spacing w:after="0"/>
              <w:rPr>
                <w:sz w:val="17"/>
                <w:szCs w:val="17"/>
                <w:color w:val="auto"/>
              </w:rPr>
            </w:pPr>
          </w:p>
        </w:tc>
        <w:tc>
          <w:tcPr>
            <w:tcW w:w="1400" w:type="dxa"/>
            <w:vAlign w:val="bottom"/>
            <w:tcBorders>
              <w:bottom w:val="single" w:sz="8" w:color="D1D2D4"/>
            </w:tcBorders>
            <w:gridSpan w:val="2"/>
          </w:tcPr>
          <w:p>
            <w:pPr>
              <w:jc w:val="right"/>
              <w:ind w:right="60"/>
              <w:spacing w:after="0"/>
              <w:rPr>
                <w:sz w:val="20"/>
                <w:szCs w:val="20"/>
                <w:color w:val="auto"/>
              </w:rPr>
            </w:pPr>
            <w:r>
              <w:rPr>
                <w:rFonts w:ascii="Arial" w:cs="Arial" w:eastAsia="Arial" w:hAnsi="Arial"/>
                <w:sz w:val="16"/>
                <w:szCs w:val="16"/>
                <w:color w:val="auto"/>
              </w:rPr>
              <w:t>75.31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Outstanding as of August 28, 2025</w:t>
            </w:r>
          </w:p>
        </w:tc>
        <w:tc>
          <w:tcPr>
            <w:tcW w:w="980" w:type="dxa"/>
            <w:vAlign w:val="bottom"/>
            <w:tcBorders>
              <w:bottom w:val="single" w:sz="8" w:color="D1D2D4"/>
            </w:tcBorders>
            <w:shd w:val="clear" w:color="auto" w:fill="D1D2D4"/>
          </w:tcPr>
          <w:p>
            <w:pPr>
              <w:spacing w:after="0"/>
              <w:rPr>
                <w:sz w:val="18"/>
                <w:szCs w:val="18"/>
                <w:color w:val="auto"/>
              </w:rPr>
            </w:pPr>
          </w:p>
        </w:tc>
        <w:tc>
          <w:tcPr>
            <w:tcW w:w="1040" w:type="dxa"/>
            <w:vAlign w:val="bottom"/>
            <w:tcBorders>
              <w:bottom w:val="single" w:sz="8" w:color="D1D2D4"/>
            </w:tcBorders>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34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D1D2D4"/>
            </w:tcBorders>
            <w:shd w:val="clear" w:color="auto" w:fill="D1D2D4"/>
          </w:tcPr>
          <w:p>
            <w:pPr>
              <w:spacing w:after="0"/>
              <w:rPr>
                <w:sz w:val="18"/>
                <w:szCs w:val="18"/>
                <w:color w:val="auto"/>
              </w:rPr>
            </w:pPr>
          </w:p>
        </w:tc>
        <w:tc>
          <w:tcPr>
            <w:tcW w:w="1400" w:type="dxa"/>
            <w:vAlign w:val="bottom"/>
            <w:tcBorders>
              <w:bottom w:val="single" w:sz="8" w:color="D1D2D4"/>
            </w:tcBorders>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82.12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10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1400" w:type="dxa"/>
            <w:vAlign w:val="bottom"/>
            <w:tcBorders>
              <w:top w:val="single" w:sz="8" w:color="D1D2D4"/>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Restricted stock award shares granted</w:t>
            </w:r>
          </w:p>
        </w:tc>
        <w:tc>
          <w:tcPr>
            <w:tcW w:w="980" w:type="dxa"/>
            <w:vAlign w:val="bottom"/>
            <w:shd w:val="clear" w:color="auto" w:fill="D1D2D4"/>
          </w:tcPr>
          <w:p>
            <w:pPr>
              <w:spacing w:after="0"/>
              <w:rPr>
                <w:sz w:val="17"/>
                <w:szCs w:val="17"/>
                <w:color w:val="auto"/>
              </w:rPr>
            </w:pPr>
          </w:p>
        </w:tc>
        <w:tc>
          <w:tcPr>
            <w:tcW w:w="1200" w:type="dxa"/>
            <w:vAlign w:val="bottom"/>
            <w:gridSpan w:val="2"/>
            <w:shd w:val="clear" w:color="auto" w:fill="D1D2D4"/>
          </w:tcPr>
          <w:p>
            <w:pPr>
              <w:jc w:val="right"/>
              <w:ind w:right="20"/>
              <w:spacing w:after="0"/>
              <w:rPr>
                <w:sz w:val="20"/>
                <w:szCs w:val="20"/>
                <w:color w:val="auto"/>
              </w:rPr>
            </w:pPr>
            <w:r>
              <w:rPr>
                <w:rFonts w:ascii="Arial" w:cs="Arial" w:eastAsia="Arial" w:hAnsi="Arial"/>
                <w:sz w:val="16"/>
                <w:szCs w:val="16"/>
                <w:color w:val="auto"/>
              </w:rPr>
              <w:t>11</w:t>
            </w:r>
          </w:p>
        </w:tc>
        <w:tc>
          <w:tcPr>
            <w:tcW w:w="340" w:type="dxa"/>
            <w:vAlign w:val="bottom"/>
            <w:shd w:val="clear" w:color="auto" w:fill="D1D2D4"/>
          </w:tcPr>
          <w:p>
            <w:pPr>
              <w:spacing w:after="0"/>
              <w:rPr>
                <w:sz w:val="17"/>
                <w:szCs w:val="17"/>
                <w:color w:val="auto"/>
              </w:rPr>
            </w:pPr>
          </w:p>
        </w:tc>
        <w:tc>
          <w:tcPr>
            <w:tcW w:w="1340" w:type="dxa"/>
            <w:vAlign w:val="bottom"/>
            <w:gridSpan w:val="2"/>
            <w:shd w:val="clear" w:color="auto" w:fill="D1D2D4"/>
          </w:tcPr>
          <w:p>
            <w:pPr>
              <w:jc w:val="right"/>
              <w:ind w:right="62"/>
              <w:spacing w:after="0"/>
              <w:rPr>
                <w:sz w:val="20"/>
                <w:szCs w:val="20"/>
                <w:color w:val="auto"/>
              </w:rPr>
            </w:pPr>
            <w:r>
              <w:rPr>
                <w:rFonts w:ascii="Arial" w:cs="Arial" w:eastAsia="Arial" w:hAnsi="Arial"/>
                <w:sz w:val="16"/>
                <w:szCs w:val="16"/>
                <w:color w:val="auto"/>
              </w:rPr>
              <w:t>13</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6"/>
                <w:szCs w:val="16"/>
                <w:color w:val="auto"/>
              </w:rPr>
              <w:t>Weighted-average grant-date fair value per share</w:t>
            </w:r>
          </w:p>
        </w:tc>
        <w:tc>
          <w:tcPr>
            <w:tcW w:w="9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101.15</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55.99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Aggregate vesting-date fair value of shares vested</w:t>
            </w:r>
          </w:p>
        </w:tc>
        <w:tc>
          <w:tcPr>
            <w:tcW w:w="980" w:type="dxa"/>
            <w:vAlign w:val="bottom"/>
            <w:shd w:val="clear" w:color="auto" w:fill="D1D2D4"/>
          </w:tcPr>
          <w:p>
            <w:pPr>
              <w:jc w:val="right"/>
              <w:ind w:right="182"/>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1D2D4"/>
          </w:tcPr>
          <w:p>
            <w:pPr>
              <w:jc w:val="right"/>
              <w:ind w:right="80"/>
              <w:spacing w:after="0"/>
              <w:rPr>
                <w:sz w:val="20"/>
                <w:szCs w:val="20"/>
                <w:color w:val="auto"/>
              </w:rPr>
            </w:pPr>
            <w:r>
              <w:rPr>
                <w:rFonts w:ascii="Arial" w:cs="Arial" w:eastAsia="Arial" w:hAnsi="Arial"/>
                <w:sz w:val="16"/>
                <w:szCs w:val="16"/>
                <w:color w:val="auto"/>
              </w:rPr>
              <w:t>1,322</w:t>
            </w:r>
          </w:p>
        </w:tc>
        <w:tc>
          <w:tcPr>
            <w:tcW w:w="340" w:type="dxa"/>
            <w:vAlign w:val="bottom"/>
            <w:shd w:val="clear" w:color="auto" w:fill="D1D2D4"/>
          </w:tcPr>
          <w:p>
            <w:pPr>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1,008</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D1D2D4"/>
          </w:tcPr>
          <w:p>
            <w:pPr>
              <w:jc w:val="right"/>
              <w:ind w:right="60"/>
              <w:spacing w:after="0"/>
              <w:rPr>
                <w:sz w:val="20"/>
                <w:szCs w:val="20"/>
                <w:color w:val="auto"/>
              </w:rPr>
            </w:pPr>
            <w:r>
              <w:rPr>
                <w:rFonts w:ascii="Arial" w:cs="Arial" w:eastAsia="Arial" w:hAnsi="Arial"/>
                <w:sz w:val="16"/>
                <w:szCs w:val="16"/>
                <w:color w:val="auto"/>
              </w:rPr>
              <w:t>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Stock Purchase Plan (“ESPP”)</w:t>
      </w:r>
    </w:p>
    <w:p>
      <w:pPr>
        <w:spacing w:after="0" w:line="240"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Our ESPP is offered to substantially all employees and permitted eligible employees to purchase shares of our common stock through payroll deductions of up to 15% of their eligible compensation, subject to certain limitations. The purchase price of the shares under the ESPP equals 85% of the lower of the fair market value of our common stock on either the first or last day of each six- 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2023</w:t>
            </w:r>
          </w:p>
        </w:tc>
      </w:tr>
      <w:tr>
        <w:trPr>
          <w:trHeight w:val="28"/>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4"/>
        </w:trPr>
        <w:tc>
          <w:tcPr>
            <w:tcW w:w="5080" w:type="dxa"/>
            <w:vAlign w:val="bottom"/>
            <w:shd w:val="clear" w:color="auto" w:fill="D1D2D4"/>
          </w:tcPr>
          <w:p>
            <w:pPr>
              <w:ind w:left="20"/>
              <w:spacing w:after="0"/>
              <w:rPr>
                <w:sz w:val="20"/>
                <w:szCs w:val="20"/>
                <w:color w:val="auto"/>
              </w:rPr>
            </w:pPr>
            <w:r>
              <w:rPr>
                <w:rFonts w:ascii="Arial" w:cs="Arial" w:eastAsia="Arial" w:hAnsi="Arial"/>
                <w:sz w:val="16"/>
                <w:szCs w:val="16"/>
                <w:color w:val="auto"/>
              </w:rPr>
              <w:t>Weighted-average grant-date fair value per share</w:t>
            </w:r>
          </w:p>
        </w:tc>
        <w:tc>
          <w:tcPr>
            <w:tcW w:w="96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28.99</w:t>
            </w:r>
          </w:p>
        </w:tc>
        <w:tc>
          <w:tcPr>
            <w:tcW w:w="38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26.82</w:t>
            </w:r>
          </w:p>
        </w:tc>
        <w:tc>
          <w:tcPr>
            <w:tcW w:w="360" w:type="dxa"/>
            <w:vAlign w:val="bottom"/>
            <w:shd w:val="clear" w:color="auto" w:fill="D1D2D4"/>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17.06</w:t>
            </w:r>
          </w:p>
        </w:tc>
      </w:tr>
      <w:tr>
        <w:trPr>
          <w:trHeight w:val="204"/>
        </w:trPr>
        <w:tc>
          <w:tcPr>
            <w:tcW w:w="5080" w:type="dxa"/>
            <w:vAlign w:val="bottom"/>
          </w:tcPr>
          <w:p>
            <w:pPr>
              <w:ind w:left="20"/>
              <w:spacing w:after="0"/>
              <w:rPr>
                <w:sz w:val="20"/>
                <w:szCs w:val="20"/>
                <w:color w:val="auto"/>
              </w:rPr>
            </w:pPr>
            <w:r>
              <w:rPr>
                <w:rFonts w:ascii="Arial" w:cs="Arial" w:eastAsia="Arial" w:hAnsi="Arial"/>
                <w:sz w:val="16"/>
                <w:szCs w:val="16"/>
                <w:color w:val="auto"/>
              </w:rPr>
              <w:t>Average expected life in years</w:t>
            </w:r>
          </w:p>
        </w:tc>
        <w:tc>
          <w:tcPr>
            <w:tcW w:w="96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0.5</w:t>
            </w:r>
          </w:p>
        </w:tc>
      </w:tr>
      <w:tr>
        <w:trPr>
          <w:trHeight w:val="204"/>
        </w:trPr>
        <w:tc>
          <w:tcPr>
            <w:tcW w:w="5080" w:type="dxa"/>
            <w:vAlign w:val="bottom"/>
            <w:shd w:val="clear" w:color="auto" w:fill="D1D2D4"/>
          </w:tcPr>
          <w:p>
            <w:pPr>
              <w:ind w:left="20"/>
              <w:spacing w:after="0"/>
              <w:rPr>
                <w:sz w:val="20"/>
                <w:szCs w:val="20"/>
                <w:color w:val="auto"/>
              </w:rPr>
            </w:pPr>
            <w:r>
              <w:rPr>
                <w:rFonts w:ascii="Arial" w:cs="Arial" w:eastAsia="Arial" w:hAnsi="Arial"/>
                <w:sz w:val="16"/>
                <w:szCs w:val="16"/>
                <w:color w:val="auto"/>
              </w:rPr>
              <w:t>Weighted-average expected volatility (based on implied volatility)</w:t>
            </w:r>
          </w:p>
        </w:tc>
        <w:tc>
          <w:tcPr>
            <w:tcW w:w="9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47 %</w:t>
            </w:r>
          </w:p>
        </w:tc>
        <w:tc>
          <w:tcPr>
            <w:tcW w:w="38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41 %</w:t>
            </w:r>
          </w:p>
        </w:tc>
        <w:tc>
          <w:tcPr>
            <w:tcW w:w="3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37 %</w:t>
            </w:r>
          </w:p>
        </w:tc>
      </w:tr>
      <w:tr>
        <w:trPr>
          <w:trHeight w:val="204"/>
        </w:trPr>
        <w:tc>
          <w:tcPr>
            <w:tcW w:w="5080" w:type="dxa"/>
            <w:vAlign w:val="bottom"/>
          </w:tcPr>
          <w:p>
            <w:pPr>
              <w:ind w:left="20"/>
              <w:spacing w:after="0"/>
              <w:rPr>
                <w:sz w:val="20"/>
                <w:szCs w:val="20"/>
                <w:color w:val="auto"/>
              </w:rPr>
            </w:pPr>
            <w:r>
              <w:rPr>
                <w:rFonts w:ascii="Arial" w:cs="Arial" w:eastAsia="Arial" w:hAnsi="Arial"/>
                <w:sz w:val="16"/>
                <w:szCs w:val="16"/>
                <w:color w:val="auto"/>
              </w:rPr>
              <w:t>Weighted-average risk-free interest rate</w:t>
            </w:r>
          </w:p>
        </w:tc>
        <w:tc>
          <w:tcPr>
            <w:tcW w:w="9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5.2 %</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04"/>
        </w:trPr>
        <w:tc>
          <w:tcPr>
            <w:tcW w:w="508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Expected dividend yield</w:t>
            </w:r>
          </w:p>
        </w:tc>
        <w:tc>
          <w:tcPr>
            <w:tcW w:w="9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0.5 %</w:t>
            </w:r>
          </w:p>
        </w:tc>
        <w:tc>
          <w:tcPr>
            <w:tcW w:w="38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0.5 %</w:t>
            </w:r>
          </w:p>
        </w:tc>
        <w:tc>
          <w:tcPr>
            <w:tcW w:w="360" w:type="dxa"/>
            <w:vAlign w:val="bottom"/>
            <w:shd w:val="clear" w:color="auto" w:fill="D1D2D4"/>
          </w:tcPr>
          <w:p>
            <w:pPr>
              <w:spacing w:after="0"/>
              <w:rPr>
                <w:sz w:val="17"/>
                <w:szCs w:val="17"/>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0.7 %</w:t>
            </w:r>
          </w:p>
        </w:tc>
      </w:tr>
    </w:tbl>
    <w:p>
      <w:pPr>
        <w:spacing w:after="0" w:line="28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Under the ESPP, employees purchased 4 million shares of common stock in each of 2025 and 2024, and 5 million shares of common stock in 2023, at a per share weighted-average price of $78.12, $65.72, and $51.93 in 2025, 2024, and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Options</w:t>
      </w:r>
    </w:p>
    <w:p>
      <w:pPr>
        <w:spacing w:after="0" w:line="24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As of August 28, 2025, our outstanding stock options were not material. The total intrinsic value for options exercised was $23 million, $92 million, and $30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4"/>
          </w:tcPr>
          <w:p>
            <w:pPr>
              <w:ind w:left="10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808"/>
        </w:trPr>
        <w:tc>
          <w:tcPr>
            <w:tcW w:w="6720" w:type="dxa"/>
            <w:vAlign w:val="bottom"/>
          </w:tcPr>
          <w:p>
            <w:pPr>
              <w:spacing w:after="0"/>
              <w:rPr>
                <w:sz w:val="20"/>
                <w:szCs w:val="20"/>
                <w:color w:val="auto"/>
              </w:rPr>
            </w:pPr>
            <w:r>
              <w:rPr>
                <w:rFonts w:ascii="Arial" w:cs="Arial" w:eastAsia="Arial" w:hAnsi="Arial"/>
                <w:sz w:val="19"/>
                <w:szCs w:val="19"/>
                <w:b w:val="1"/>
                <w:bCs w:val="1"/>
                <w:color w:val="auto"/>
              </w:rPr>
              <w:t>Stock-based Compensation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BD03F7"/>
            </w:tcBorders>
          </w:tcPr>
          <w:p>
            <w:pPr>
              <w:spacing w:after="0"/>
              <w:rPr>
                <w:sz w:val="24"/>
                <w:szCs w:val="24"/>
                <w:color w:val="auto"/>
              </w:rPr>
            </w:pPr>
          </w:p>
        </w:tc>
        <w:tc>
          <w:tcPr>
            <w:tcW w:w="10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r>
      <w:tr>
        <w:trPr>
          <w:trHeight w:val="28"/>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67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 by caption</w:t>
            </w:r>
          </w:p>
        </w:tc>
        <w:tc>
          <w:tcPr>
            <w:tcW w:w="2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72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409</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312</w:t>
            </w: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7"/>
                <w:szCs w:val="17"/>
                <w:color w:val="auto"/>
              </w:rPr>
            </w:pPr>
          </w:p>
        </w:tc>
      </w:tr>
      <w:tr>
        <w:trPr>
          <w:trHeight w:val="204"/>
        </w:trPr>
        <w:tc>
          <w:tcPr>
            <w:tcW w:w="67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347</w:t>
            </w: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7"/>
                <w:szCs w:val="17"/>
                <w:color w:val="auto"/>
              </w:rPr>
            </w:pPr>
          </w:p>
        </w:tc>
      </w:tr>
      <w:tr>
        <w:trPr>
          <w:trHeight w:val="204"/>
        </w:trPr>
        <w:tc>
          <w:tcPr>
            <w:tcW w:w="67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r>
      <w:tr>
        <w:trPr>
          <w:trHeight w:val="204"/>
        </w:trPr>
        <w:tc>
          <w:tcPr>
            <w:tcW w:w="67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Restructure</w:t>
            </w:r>
          </w:p>
        </w:tc>
        <w:tc>
          <w:tcPr>
            <w:tcW w:w="28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1D2D4"/>
          </w:tcPr>
          <w:p>
            <w:pPr>
              <w:spacing w:after="0"/>
              <w:rPr>
                <w:sz w:val="17"/>
                <w:szCs w:val="17"/>
                <w:color w:val="auto"/>
              </w:rPr>
            </w:pPr>
          </w:p>
        </w:tc>
        <w:tc>
          <w:tcPr>
            <w:tcW w:w="2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17"/>
                <w:szCs w:val="17"/>
                <w:color w:val="auto"/>
              </w:rPr>
            </w:pPr>
          </w:p>
        </w:tc>
      </w:tr>
      <w:tr>
        <w:trPr>
          <w:trHeight w:val="20"/>
        </w:trPr>
        <w:tc>
          <w:tcPr>
            <w:tcW w:w="672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672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0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by type of award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7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Restricted stock awards</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877</w:t>
            </w:r>
          </w:p>
        </w:tc>
        <w:tc>
          <w:tcPr>
            <w:tcW w:w="30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749</w:t>
            </w:r>
          </w:p>
        </w:tc>
        <w:tc>
          <w:tcPr>
            <w:tcW w:w="30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488</w:t>
            </w:r>
          </w:p>
        </w:tc>
        <w:tc>
          <w:tcPr>
            <w:tcW w:w="20" w:type="dxa"/>
            <w:vAlign w:val="bottom"/>
          </w:tcPr>
          <w:p>
            <w:pPr>
              <w:spacing w:after="0"/>
              <w:rPr>
                <w:sz w:val="17"/>
                <w:szCs w:val="17"/>
                <w:color w:val="auto"/>
              </w:rPr>
            </w:pPr>
          </w:p>
        </w:tc>
      </w:tr>
      <w:tr>
        <w:trPr>
          <w:trHeight w:val="204"/>
        </w:trPr>
        <w:tc>
          <w:tcPr>
            <w:tcW w:w="672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ESPP</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221"/>
        </w:trPr>
        <w:tc>
          <w:tcPr>
            <w:tcW w:w="6720" w:type="dxa"/>
            <w:vAlign w:val="bottom"/>
            <w:tcBorders>
              <w:bottom w:val="single" w:sz="8" w:color="D1D2D4"/>
            </w:tcBorders>
            <w:shd w:val="clear" w:color="auto" w:fill="D1D2D4"/>
          </w:tcPr>
          <w:p>
            <w:pPr>
              <w:spacing w:after="0"/>
              <w:rPr>
                <w:sz w:val="18"/>
                <w:szCs w:val="18"/>
                <w:color w:val="auto"/>
              </w:rPr>
            </w:pPr>
          </w:p>
        </w:tc>
        <w:tc>
          <w:tcPr>
            <w:tcW w:w="28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975</w:t>
            </w:r>
          </w:p>
        </w:tc>
        <w:tc>
          <w:tcPr>
            <w:tcW w:w="300" w:type="dxa"/>
            <w:vAlign w:val="bottom"/>
            <w:tcBorders>
              <w:bottom w:val="single" w:sz="8" w:color="auto"/>
            </w:tcBorders>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821</w:t>
            </w:r>
          </w:p>
        </w:tc>
        <w:tc>
          <w:tcPr>
            <w:tcW w:w="300" w:type="dxa"/>
            <w:vAlign w:val="bottom"/>
            <w:tcBorders>
              <w:bottom w:val="single" w:sz="8" w:color="auto"/>
            </w:tcBorders>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18"/>
                <w:szCs w:val="18"/>
                <w:color w:val="auto"/>
              </w:rPr>
            </w:pPr>
          </w:p>
        </w:tc>
      </w:tr>
      <w:tr>
        <w:trPr>
          <w:trHeight w:val="20"/>
        </w:trPr>
        <w:tc>
          <w:tcPr>
            <w:tcW w:w="672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80"/>
        <w:spacing w:after="0" w:line="241" w:lineRule="auto"/>
        <w:rPr>
          <w:sz w:val="20"/>
          <w:szCs w:val="20"/>
          <w:color w:val="auto"/>
        </w:rPr>
      </w:pPr>
      <w:r>
        <w:rPr>
          <w:rFonts w:ascii="Arial" w:cs="Arial" w:eastAsia="Arial" w:hAnsi="Arial"/>
          <w:sz w:val="16"/>
          <w:szCs w:val="16"/>
          <w:color w:val="auto"/>
        </w:rPr>
        <w:t>Income tax benefits related to the tax deductions for share-based awards are recognized only upon the settlement of the related share-based awards. Income tax benefits for share-based awards were $163 million, $140 million, and $68 million for 2025, 2024, and 2023, respectively. Stock-based compensation expense of $96 million and $99 million was capitalized and remained in inventory as of August 28, 2025 and August 29, 2024, respectively. As of August 28, 2025, $1.59 billion of total unrecognized compensation costs for unvested awards, before the effect of any future forfeitures, was expected to be recognized through the fourth quarter of 2029, resulting in a weighted-average period of 1.2 years.</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19. Employee Benefit Plans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We have employee retirement plans at our U.S. and international sites. Details of significant plans are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Savings Plan for U.S. Employees</w:t>
      </w:r>
    </w:p>
    <w:p>
      <w:pPr>
        <w:spacing w:after="0" w:line="24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$78 million, $66 million, and $59 million in 2025, 2024, and 2023,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Plans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have pension plans available to employees at various foreign sites. As of August 28, 2025, the projected benefit obligations of our plans were</w:t>
      </w:r>
    </w:p>
    <w:p>
      <w:pPr>
        <w:spacing w:after="0" w:line="10"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$197 million and plan assets were $276 million. As of August 29, 2024, the projected benefit obligations of our plans were $191 million and plan assets were $261 million. Pension expense was not material for 2025, 2024, or 2023.</w:t>
      </w:r>
    </w:p>
    <w:p>
      <w:pPr>
        <w:spacing w:after="0" w:line="1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20. Government Incentives</w:t>
      </w:r>
    </w:p>
    <w:p>
      <w:pPr>
        <w:spacing w:after="0" w:line="24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receive incentives from governmental entities primarily in India, Japan, Singapore, and the United States principally in the form of cash grants and tax credits. These incentives primarily relate to capital expenditures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meet and/or maintain operational metrics, and/or maintain certain levels of fixed asset investment or employee headcount during the incentive terms.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87" w:name="page88"/>
    <w:bookmarkEnd w:id="8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Government incentives related to capital expenditures have reduced property, plant and equipment by $5.04 billion as of August 28, 2025, of which $3.11 billion pertained to 2025 expenditures.</w:t>
      </w:r>
    </w:p>
    <w:p>
      <w:pPr>
        <w:spacing w:after="0" w:line="18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In 2025, operating income (loss) benefited by $588 million ( approximately 87% in COGS and 13% in R&amp;D ) from government incentives that reduced depreciation expense and operating incentives, which offset against the related expense in the period the expense was incurred.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20"/>
                <w:szCs w:val="20"/>
                <w:color w:val="auto"/>
              </w:rPr>
            </w:pPr>
            <w:r>
              <w:rPr>
                <w:rFonts w:ascii="Arial" w:cs="Arial" w:eastAsia="Arial" w:hAnsi="Arial"/>
                <w:sz w:val="16"/>
                <w:szCs w:val="16"/>
                <w:color w:val="auto"/>
              </w:rPr>
              <w:t>The line items on the balance sheet affected by government incentives were as follows:</w:t>
            </w:r>
          </w:p>
        </w:tc>
        <w:tc>
          <w:tcPr>
            <w:tcW w:w="1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780" w:type="dxa"/>
            <w:vAlign w:val="bottom"/>
          </w:tcPr>
          <w:p>
            <w:pPr>
              <w:spacing w:after="0"/>
              <w:rPr>
                <w:sz w:val="14"/>
                <w:szCs w:val="14"/>
                <w:color w:val="auto"/>
              </w:rPr>
            </w:pPr>
          </w:p>
        </w:tc>
        <w:tc>
          <w:tcPr>
            <w:tcW w:w="1140" w:type="dxa"/>
            <w:vAlign w:val="bottom"/>
          </w:tcPr>
          <w:p>
            <w:pPr>
              <w:jc w:val="right"/>
              <w:ind w:right="182"/>
              <w:spacing w:after="0" w:line="166"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8"/>
        </w:trPr>
        <w:tc>
          <w:tcPr>
            <w:tcW w:w="7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Receivables</w:t>
            </w:r>
          </w:p>
        </w:tc>
        <w:tc>
          <w:tcPr>
            <w:tcW w:w="17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7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4"/>
        </w:trPr>
        <w:tc>
          <w:tcPr>
            <w:tcW w:w="7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Noncurrent unearned government incentives</w:t>
            </w:r>
          </w:p>
        </w:tc>
        <w:tc>
          <w:tcPr>
            <w:tcW w:w="17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In addition to the receivables and other noncurrent assets in the table above and cash incentives already received, we had the following commitments from various governmental entities, subject to achievement of certain performance conditions:</w:t>
      </w:r>
    </w:p>
    <w:tbl>
      <w:tblPr>
        <w:tblLayout w:type="fixed"/>
        <w:tblInd w:w="0" w:type="dxa"/>
        <w:tblCellMar>
          <w:top w:w="0" w:type="dxa"/>
          <w:left w:w="0" w:type="dxa"/>
          <w:bottom w:w="0" w:type="dxa"/>
          <w:right w:w="0" w:type="dxa"/>
        </w:tblCellMar>
      </w:tblPr>
      <w:tr>
        <w:trPr>
          <w:trHeight w:val="157"/>
        </w:trPr>
        <w:tc>
          <w:tcPr>
            <w:tcW w:w="9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3"/>
                <w:szCs w:val="13"/>
                <w:color w:val="auto"/>
              </w:rPr>
            </w:pPr>
          </w:p>
        </w:tc>
        <w:tc>
          <w:tcPr>
            <w:tcW w:w="1140" w:type="dxa"/>
            <w:vAlign w:val="bottom"/>
          </w:tcPr>
          <w:p>
            <w:pPr>
              <w:jc w:val="right"/>
              <w:ind w:right="182"/>
              <w:spacing w:after="0" w:line="158"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04"/>
        </w:trPr>
        <w:tc>
          <w:tcPr>
            <w:tcW w:w="9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8"/>
        </w:trPr>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U.S.</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5,206</w:t>
            </w:r>
          </w:p>
        </w:tc>
        <w:tc>
          <w:tcPr>
            <w:tcW w:w="0" w:type="dxa"/>
            <w:vAlign w:val="bottom"/>
          </w:tcPr>
          <w:p>
            <w:pPr>
              <w:spacing w:after="0"/>
              <w:rPr>
                <w:sz w:val="1"/>
                <w:szCs w:val="1"/>
                <w:color w:val="auto"/>
              </w:rPr>
            </w:pPr>
          </w:p>
        </w:tc>
      </w:tr>
      <w:tr>
        <w:trPr>
          <w:trHeight w:val="204"/>
        </w:trPr>
        <w:tc>
          <w:tcPr>
            <w:tcW w:w="9240" w:type="dxa"/>
            <w:vAlign w:val="bottom"/>
          </w:tcPr>
          <w:p>
            <w:pPr>
              <w:ind w:left="20"/>
              <w:spacing w:after="0"/>
              <w:rPr>
                <w:sz w:val="20"/>
                <w:szCs w:val="20"/>
                <w:color w:val="auto"/>
              </w:rPr>
            </w:pPr>
            <w:r>
              <w:rPr>
                <w:rFonts w:ascii="Arial" w:cs="Arial" w:eastAsia="Arial" w:hAnsi="Arial"/>
                <w:sz w:val="16"/>
                <w:szCs w:val="16"/>
                <w:color w:val="auto"/>
              </w:rPr>
              <w:t>India</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04"/>
        </w:trPr>
        <w:tc>
          <w:tcPr>
            <w:tcW w:w="9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4"/>
        </w:trPr>
        <w:tc>
          <w:tcPr>
            <w:tcW w:w="9240" w:type="dxa"/>
            <w:vAlign w:val="bottom"/>
          </w:tcPr>
          <w:p>
            <w:pPr>
              <w:ind w:left="20"/>
              <w:spacing w:after="0"/>
              <w:rPr>
                <w:sz w:val="20"/>
                <w:szCs w:val="20"/>
                <w:color w:val="auto"/>
              </w:rPr>
            </w:pPr>
            <w:r>
              <w:rPr>
                <w:rFonts w:ascii="Arial" w:cs="Arial" w:eastAsia="Arial" w:hAnsi="Arial"/>
                <w:sz w:val="16"/>
                <w:szCs w:val="16"/>
                <w:color w:val="auto"/>
              </w:rPr>
              <w:t>Singapore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4"/>
        </w:trPr>
        <w:tc>
          <w:tcPr>
            <w:tcW w:w="924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924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CHIPS Act Funding Agreements</w:t>
      </w:r>
    </w:p>
    <w:p>
      <w:pPr>
        <w:spacing w:after="0" w:line="24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allocated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for our fab in Manassas, Virginia. The direct funding agreement for our fab in Virginia is substantially similar to those for our fabs in Idaho and New York. The grants under the funding agreements represent total CHIPS Act grants of up to $6.4 billion in connection with our U.S. manufacturing expansion and modernization projects.</w:t>
      </w:r>
    </w:p>
    <w:p>
      <w:pPr>
        <w:spacing w:after="0" w:line="17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Funding will be based on the achievement of construction, tool installation, and wafer production milestones. We retain discretion with respect to capacity and production volume ramp of each project. The agreements contain representations, warranties, and covenants that relate to compliance with requirements for awards provided for in the CHIPS Act. In addition, the agreements include certain events of default and related rights and remedies, including clawbacks related to the failure to complete a project by an agreed upon completion date, violation of CHIPS Act restrictions on certain activities involving foreign countries and entities of concern, and impermissible use or disposition of a project.</w:t>
      </w:r>
    </w:p>
    <w:p>
      <w:pPr>
        <w:spacing w:after="0" w:line="205" w:lineRule="exact"/>
        <w:rPr>
          <w:sz w:val="20"/>
          <w:szCs w:val="20"/>
          <w:color w:val="auto"/>
        </w:rPr>
      </w:pPr>
    </w:p>
    <w:p>
      <w:pPr>
        <w:ind w:right="160"/>
        <w:spacing w:after="0" w:line="284" w:lineRule="auto"/>
        <w:rPr>
          <w:sz w:val="20"/>
          <w:szCs w:val="20"/>
          <w:color w:val="auto"/>
        </w:rPr>
      </w:pPr>
      <w:r>
        <w:rPr>
          <w:rFonts w:ascii="Arial" w:cs="Arial" w:eastAsia="Arial" w:hAnsi="Arial"/>
          <w:sz w:val="14"/>
          <w:szCs w:val="14"/>
          <w:color w:val="auto"/>
        </w:rPr>
        <w:t>We are permitted to make customary and ordinary course recurring dividends (and reasonable ordinary course increases thereof) consistent with our past practice. There are restrictions on our payment of special and one-time dividends during the five -year period following the Idaho and New York award date of December 9, 2024. Share repurchases are permitted during the first two years of such five-year period up to amounts specified in the funding agreements to help offset the dilutive effects of employee stock compensation or as otherwise permitted by the U.S. Department of Commerce. Share repurchases are not restricted during the final three years of such five-year period if certain financial and other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8" w:name="page89"/>
    <w:bookmarkEnd w:id="8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We may be required to pay upside sharing amounts for a period of up to ten years following the first year in which the cumulative cash flow from a project is positive, if cumulative cash flows from the project exceed a threshold level that is at a significant premium to the baseline projection. The upside sharing amount would equal a modest sharing percentage of the excess cash flows above the threshold level, but not to exceed 75% of award disbursements for a project, after considering any clawbacks or other repayments.</w:t>
      </w:r>
    </w:p>
    <w:p>
      <w:pPr>
        <w:spacing w:after="0" w:line="20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addition to the U.S. commitment amount in the table above, we receive an investment tax credit on qualified investments in U.S. semiconductor manufacturing under the CHIPS Act. On July 4, 2025, the One Big Beautiful Bill Act was enacted, which increased the investment tax credit from 25% to 35% on qualified investments placed into service after December 31, 2025. As qualified investments are made, we recognize investment tax credits in receivables or other noncurrent assets.</w:t>
      </w:r>
    </w:p>
    <w:p>
      <w:pPr>
        <w:spacing w:after="0" w:line="200"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Government Incentive Commitments</w:t>
      </w:r>
    </w:p>
    <w:p>
      <w:pPr>
        <w:spacing w:after="0" w:line="24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We receive incentives for the construction of a new assembly and test facility in Gujarat, India, representing 50% of the total project cost from the Indian central government and 20% of the total project cost from the state of Gujarat. We also receive incentives from the Japanese Ministry of Economy, Trade and Industry to support the production of DRAM using EUV lithography in Hiroshima, Japan. Subsequent to August 28, 2025, we finalized a new incentive arrangement with the Japanese Ministry of Economy, Trade and Industry to modernize our Hiroshima, Japan manufacturing facility for an additional commitment amount of up to 500 billion Japanese yen (approximately $3.4 billion).</w:t>
      </w:r>
    </w:p>
    <w:p>
      <w:pPr>
        <w:spacing w:after="0" w:line="189"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21. Revenue and Customer Contract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by Technology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DRAM</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28,578</w:t>
            </w:r>
          </w:p>
        </w:tc>
        <w:tc>
          <w:tcPr>
            <w:tcW w:w="3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17,603</w:t>
            </w:r>
          </w:p>
        </w:tc>
        <w:tc>
          <w:tcPr>
            <w:tcW w:w="3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10,978</w:t>
            </w:r>
          </w:p>
        </w:tc>
      </w:tr>
      <w:tr>
        <w:trPr>
          <w:trHeight w:val="204"/>
        </w:trPr>
        <w:tc>
          <w:tcPr>
            <w:tcW w:w="6600" w:type="dxa"/>
            <w:vAlign w:val="bottom"/>
          </w:tcPr>
          <w:p>
            <w:pPr>
              <w:ind w:left="20"/>
              <w:spacing w:after="0"/>
              <w:rPr>
                <w:sz w:val="20"/>
                <w:szCs w:val="20"/>
                <w:color w:val="auto"/>
              </w:rPr>
            </w:pPr>
            <w:r>
              <w:rPr>
                <w:rFonts w:ascii="Arial" w:cs="Arial" w:eastAsia="Arial" w:hAnsi="Arial"/>
                <w:sz w:val="16"/>
                <w:szCs w:val="16"/>
                <w:color w:val="auto"/>
              </w:rPr>
              <w:t>NAND</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8,503</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7,227</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4,206</w:t>
            </w: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(primarily NOR)</w:t>
            </w:r>
          </w:p>
        </w:tc>
        <w:tc>
          <w:tcPr>
            <w:tcW w:w="3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297</w:t>
            </w:r>
          </w:p>
        </w:tc>
        <w:tc>
          <w:tcPr>
            <w:tcW w:w="32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281</w:t>
            </w:r>
          </w:p>
        </w:tc>
        <w:tc>
          <w:tcPr>
            <w:tcW w:w="32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356</w:t>
            </w:r>
          </w:p>
        </w:tc>
      </w:tr>
      <w:tr>
        <w:trPr>
          <w:trHeight w:val="196"/>
        </w:trPr>
        <w:tc>
          <w:tcPr>
            <w:tcW w:w="66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37,378</w:t>
            </w: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25,111</w:t>
            </w: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15,540</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See Note 27. Segment and Other Information for disclosure of disaggregated revenue by market segment.</w:t>
      </w:r>
    </w:p>
    <w:p>
      <w:pPr>
        <w:spacing w:after="0" w:line="22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 term in duration at fixed, negotiated prices with payment generally due shortly after delivery. From time to time, we have contracts with initial terms that include performance obligations that extend beyond one year. As of August 28, 2025, our future performance obligations beyond one year were $143 million, which included customer prepayments and other contract liabilities.</w:t>
      </w:r>
    </w:p>
    <w:p>
      <w:pPr>
        <w:spacing w:after="0" w:line="20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As of August 28, 2025 and August 29, 2024, customer prepayments made to secure product supply in future periods and other contract liabilities were $169 million and $907 million, respectively, of which $26 million and $766 million were reported in other current liabilities, respectively. The remainder of the customer prepayments and other contract liabilities were in other noncurrent liabilities. Revenue recognized during 2025 from the beginning balance as of August 29, 2024 included $778 million from shipments against customer prepayments and other contract liabilities.</w:t>
      </w:r>
    </w:p>
    <w:p>
      <w:pPr>
        <w:spacing w:after="0" w:line="20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As of August 28, 2025 and August 29, 2024, other current liabilities included $1.19 billion and $718 million, respectively, for estimates of consideration payable to customers including estimates for pricing adjustments and returns.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9" w:name="page90"/>
    <w:bookmarkEnd w:id="8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700"/>
        <w:spacing w:after="0" w:line="262" w:lineRule="auto"/>
        <w:rPr>
          <w:sz w:val="20"/>
          <w:szCs w:val="20"/>
          <w:color w:val="auto"/>
        </w:rPr>
      </w:pPr>
      <w:r>
        <w:rPr>
          <w:rFonts w:ascii="Arial" w:cs="Arial" w:eastAsia="Arial" w:hAnsi="Arial"/>
          <w:sz w:val="16"/>
          <w:szCs w:val="16"/>
          <w:color w:val="auto"/>
        </w:rPr>
        <w:t>In 2023, we received an aggregate of $228 million from settlements of insurance claims involving a power disruption in 2022 and an operational disruption in 2017, of which $186 million was for business interruption and recognized in revenue.</w:t>
      </w:r>
    </w:p>
    <w:p>
      <w:pPr>
        <w:spacing w:after="0" w:line="171"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22. Restructure and Asset Impairments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r>
      <w:tr>
        <w:trPr>
          <w:trHeight w:val="28"/>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severance</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163</w:t>
            </w: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Asset impairments and other asset-related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666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spacing w:after="0" w:line="334" w:lineRule="auto"/>
        <w:rPr>
          <w:sz w:val="20"/>
          <w:szCs w:val="20"/>
          <w:color w:val="auto"/>
        </w:rPr>
      </w:pPr>
      <w:r>
        <w:rPr>
          <w:rFonts w:ascii="Arial" w:cs="Arial" w:eastAsia="Arial" w:hAnsi="Arial"/>
          <w:sz w:val="14"/>
          <w:szCs w:val="14"/>
          <w:color w:val="auto"/>
        </w:rPr>
        <w:t>In 2023, we initiated a restructure plan in response to challenging industry conditions. Under the plan, we reduced our headcount by approximately 15% by the end of calendar 2023, through a combination of voluntary attrition and personnel reductions. The plan was substantially completed in 2023.</w:t>
      </w:r>
    </w:p>
    <w:p>
      <w:pPr>
        <w:spacing w:after="0" w:line="12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23. Other Operating (Income) Expense, Net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Patent license charges</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32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D1D2D4"/>
          </w:tcPr>
          <w:p>
            <w:pPr>
              <w:jc w:val="right"/>
              <w:ind w:right="102"/>
              <w:spacing w:after="0"/>
              <w:rPr>
                <w:sz w:val="20"/>
                <w:szCs w:val="20"/>
                <w:color w:val="auto"/>
              </w:rPr>
            </w:pPr>
            <w:r>
              <w:rPr>
                <w:rFonts w:ascii="Arial" w:cs="Arial" w:eastAsia="Arial" w:hAnsi="Arial"/>
                <w:sz w:val="16"/>
                <w:szCs w:val="16"/>
                <w:color w:val="auto"/>
              </w:rPr>
              <w:t>— $</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6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Litigation settlement</w:t>
            </w:r>
          </w:p>
        </w:tc>
        <w:tc>
          <w:tcPr>
            <w:tcW w:w="30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w:t>
            </w:r>
          </w:p>
        </w:tc>
      </w:tr>
      <w:tr>
        <w:trPr>
          <w:trHeight w:val="204"/>
        </w:trPr>
        <w:tc>
          <w:tcPr>
            <w:tcW w:w="6640" w:type="dxa"/>
            <w:vAlign w:val="bottom"/>
          </w:tcPr>
          <w:p>
            <w:pPr>
              <w:ind w:left="20"/>
              <w:spacing w:after="0"/>
              <w:rPr>
                <w:sz w:val="20"/>
                <w:szCs w:val="20"/>
                <w:color w:val="auto"/>
              </w:rPr>
            </w:pPr>
            <w:r>
              <w:rPr>
                <w:rFonts w:ascii="Arial" w:cs="Arial" w:eastAsia="Arial" w:hAnsi="Arial"/>
                <w:sz w:val="16"/>
                <w:szCs w:val="16"/>
                <w:color w:val="auto"/>
              </w:rPr>
              <w:t>Patent cross-license agreement gain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(45)</w:t>
            </w:r>
          </w:p>
        </w:tc>
      </w:tr>
      <w:tr>
        <w:trPr>
          <w:trHeight w:val="196"/>
        </w:trPr>
        <w:tc>
          <w:tcPr>
            <w:tcW w:w="664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24. Other Non-Operating Income (Expense), Net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Gain (loss) from changes in currency exchange rates</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10</w:t>
            </w:r>
          </w:p>
        </w:tc>
      </w:tr>
      <w:tr>
        <w:trPr>
          <w:trHeight w:val="204"/>
        </w:trPr>
        <w:tc>
          <w:tcPr>
            <w:tcW w:w="6660" w:type="dxa"/>
            <w:vAlign w:val="bottom"/>
          </w:tcPr>
          <w:p>
            <w:pPr>
              <w:ind w:left="20"/>
              <w:spacing w:after="0"/>
              <w:rPr>
                <w:sz w:val="20"/>
                <w:szCs w:val="20"/>
                <w:color w:val="auto"/>
              </w:rPr>
            </w:pPr>
            <w:r>
              <w:rPr>
                <w:rFonts w:ascii="Arial" w:cs="Arial" w:eastAsia="Arial" w:hAnsi="Arial"/>
                <w:sz w:val="16"/>
                <w:szCs w:val="16"/>
                <w:color w:val="auto"/>
              </w:rPr>
              <w:t>Loss on debt prepayments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6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666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4"/>
          </w:tcPr>
          <w:p>
            <w:pPr>
              <w:ind w:left="10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1010"/>
        </w:trPr>
        <w:tc>
          <w:tcPr>
            <w:tcW w:w="5020" w:type="dxa"/>
            <w:vAlign w:val="bottom"/>
          </w:tcPr>
          <w:p>
            <w:pPr>
              <w:spacing w:after="0"/>
              <w:rPr>
                <w:sz w:val="20"/>
                <w:szCs w:val="20"/>
                <w:color w:val="auto"/>
              </w:rPr>
            </w:pPr>
            <w:r>
              <w:rPr>
                <w:rFonts w:ascii="Arial" w:cs="Arial" w:eastAsia="Arial" w:hAnsi="Arial"/>
                <w:sz w:val="35"/>
                <w:szCs w:val="35"/>
                <w:b w:val="1"/>
                <w:bCs w:val="1"/>
                <w:color w:val="auto"/>
              </w:rPr>
              <w:t>Note 25. Income Taxes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BD03F7"/>
            </w:tcBorders>
          </w:tcPr>
          <w:p>
            <w:pPr>
              <w:spacing w:after="0"/>
              <w:rPr>
                <w:sz w:val="24"/>
                <w:szCs w:val="24"/>
                <w:color w:val="auto"/>
              </w:rPr>
            </w:pPr>
          </w:p>
        </w:tc>
        <w:tc>
          <w:tcPr>
            <w:tcW w:w="92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5020" w:type="dxa"/>
            <w:vAlign w:val="bottom"/>
          </w:tcPr>
          <w:p>
            <w:pPr>
              <w:spacing w:after="0"/>
              <w:rPr>
                <w:sz w:val="20"/>
                <w:szCs w:val="20"/>
                <w:color w:val="auto"/>
              </w:rPr>
            </w:pPr>
            <w:r>
              <w:rPr>
                <w:rFonts w:ascii="Arial" w:cs="Arial" w:eastAsia="Arial" w:hAnsi="Arial"/>
                <w:sz w:val="16"/>
                <w:szCs w:val="16"/>
                <w:color w:val="auto"/>
              </w:rPr>
              <w:t>Our income tax (provision) benefit consisted of the following:</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r>
      <w:tr>
        <w:trPr>
          <w:trHeight w:val="28"/>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7080" w:type="dxa"/>
            <w:vAlign w:val="bottom"/>
            <w:gridSpan w:val="5"/>
            <w:shd w:val="clear" w:color="auto" w:fill="D1D2D4"/>
          </w:tcPr>
          <w:p>
            <w:pPr>
              <w:ind w:left="20"/>
              <w:spacing w:after="0"/>
              <w:rPr>
                <w:sz w:val="20"/>
                <w:szCs w:val="20"/>
                <w:color w:val="auto"/>
              </w:rPr>
            </w:pPr>
            <w:r>
              <w:rPr>
                <w:rFonts w:ascii="Arial" w:cs="Arial" w:eastAsia="Arial" w:hAnsi="Arial"/>
                <w:sz w:val="16"/>
                <w:szCs w:val="16"/>
                <w:color w:val="auto"/>
              </w:rPr>
              <w:t>Income (loss) before income taxes and equity in net income (loss) of equity method investees</w:t>
            </w:r>
          </w:p>
        </w:tc>
        <w:tc>
          <w:tcPr>
            <w:tcW w:w="9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44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92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020" w:type="dxa"/>
            <w:vAlign w:val="bottom"/>
          </w:tcPr>
          <w:p>
            <w:pPr>
              <w:ind w:left="30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544</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300"/>
              <w:spacing w:after="0"/>
              <w:rPr>
                <w:sz w:val="20"/>
                <w:szCs w:val="20"/>
                <w:color w:val="auto"/>
              </w:rPr>
            </w:pPr>
            <w:r>
              <w:rPr>
                <w:rFonts w:ascii="Arial" w:cs="Arial" w:eastAsia="Arial" w:hAnsi="Arial"/>
                <w:sz w:val="16"/>
                <w:szCs w:val="16"/>
                <w:color w:val="auto"/>
              </w:rPr>
              <w:t>Foreign</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tcBorders>
              <w:bottom w:val="single" w:sz="8" w:color="auto"/>
            </w:tcBorders>
            <w:shd w:val="clear" w:color="auto" w:fill="D1D2D4"/>
          </w:tcPr>
          <w:p>
            <w:pPr>
              <w:spacing w:after="0"/>
              <w:rPr>
                <w:sz w:val="17"/>
                <w:szCs w:val="17"/>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8,968</w:t>
            </w:r>
          </w:p>
        </w:tc>
        <w:tc>
          <w:tcPr>
            <w:tcW w:w="16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shd w:val="clear" w:color="auto" w:fill="D1D2D4"/>
          </w:tcPr>
          <w:p>
            <w:pPr>
              <w:spacing w:after="0"/>
              <w:rPr>
                <w:sz w:val="17"/>
                <w:szCs w:val="17"/>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auto"/>
            </w:tcBorders>
            <w:shd w:val="clear" w:color="auto" w:fill="D1D2D4"/>
          </w:tcPr>
          <w:p>
            <w:pPr>
              <w:spacing w:after="0"/>
              <w:rPr>
                <w:sz w:val="17"/>
                <w:szCs w:val="17"/>
                <w:color w:val="auto"/>
              </w:rPr>
            </w:pPr>
          </w:p>
        </w:tc>
        <w:tc>
          <w:tcPr>
            <w:tcW w:w="280" w:type="dxa"/>
            <w:vAlign w:val="bottom"/>
            <w:tcBorders>
              <w:bottom w:val="single" w:sz="8" w:color="auto"/>
            </w:tcBorders>
            <w:shd w:val="clear" w:color="auto" w:fill="D1D2D4"/>
          </w:tcPr>
          <w:p>
            <w:pPr>
              <w:spacing w:after="0"/>
              <w:rPr>
                <w:sz w:val="17"/>
                <w:szCs w:val="17"/>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(5,893)</w:t>
            </w:r>
          </w:p>
        </w:tc>
        <w:tc>
          <w:tcPr>
            <w:tcW w:w="20" w:type="dxa"/>
            <w:vAlign w:val="bottom"/>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9,654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1,240</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(5,658)</w:t>
            </w:r>
          </w:p>
        </w:tc>
        <w:tc>
          <w:tcPr>
            <w:tcW w:w="20" w:type="dxa"/>
            <w:vAlign w:val="bottom"/>
          </w:tcPr>
          <w:p>
            <w:pPr>
              <w:spacing w:after="0"/>
              <w:rPr>
                <w:sz w:val="17"/>
                <w:szCs w:val="17"/>
                <w:color w:val="auto"/>
              </w:rPr>
            </w:pPr>
          </w:p>
        </w:tc>
      </w:tr>
      <w:tr>
        <w:trPr>
          <w:trHeight w:val="20"/>
        </w:trPr>
        <w:tc>
          <w:tcPr>
            <w:tcW w:w="502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460" w:type="dxa"/>
            <w:vAlign w:val="bottom"/>
            <w:tcBorders>
              <w:bottom w:val="single" w:sz="8" w:color="D1D2D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502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00" w:type="dxa"/>
            <w:vAlign w:val="bottom"/>
            <w:shd w:val="clear" w:color="auto" w:fill="D1D2D4"/>
          </w:tcPr>
          <w:p>
            <w:pPr>
              <w:spacing w:after="0"/>
              <w:rPr>
                <w:sz w:val="15"/>
                <w:szCs w:val="15"/>
                <w:color w:val="auto"/>
              </w:rPr>
            </w:pPr>
          </w:p>
        </w:tc>
        <w:tc>
          <w:tcPr>
            <w:tcW w:w="460" w:type="dxa"/>
            <w:vAlign w:val="bottom"/>
            <w:shd w:val="clear" w:color="auto" w:fill="D1D2D4"/>
          </w:tcPr>
          <w:p>
            <w:pPr>
              <w:spacing w:after="0"/>
              <w:rPr>
                <w:sz w:val="15"/>
                <w:szCs w:val="15"/>
                <w:color w:val="auto"/>
              </w:rPr>
            </w:pPr>
          </w:p>
        </w:tc>
        <w:tc>
          <w:tcPr>
            <w:tcW w:w="380" w:type="dxa"/>
            <w:vAlign w:val="bottom"/>
            <w:shd w:val="clear" w:color="auto" w:fill="D1D2D4"/>
          </w:tcPr>
          <w:p>
            <w:pPr>
              <w:spacing w:after="0"/>
              <w:rPr>
                <w:sz w:val="15"/>
                <w:szCs w:val="15"/>
                <w:color w:val="auto"/>
              </w:rPr>
            </w:pPr>
          </w:p>
        </w:tc>
        <w:tc>
          <w:tcPr>
            <w:tcW w:w="90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4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Current</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shd w:val="clear" w:color="auto" w:fill="D1D2D4"/>
          </w:tcPr>
          <w:p>
            <w:pPr>
              <w:spacing w:after="0"/>
              <w:rPr>
                <w:sz w:val="17"/>
                <w:szCs w:val="17"/>
                <w:color w:val="auto"/>
              </w:rPr>
            </w:pPr>
          </w:p>
        </w:tc>
        <w:tc>
          <w:tcPr>
            <w:tcW w:w="9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44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92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020" w:type="dxa"/>
            <w:vAlign w:val="bottom"/>
          </w:tcPr>
          <w:p>
            <w:pPr>
              <w:ind w:left="300"/>
              <w:spacing w:after="0"/>
              <w:rPr>
                <w:sz w:val="20"/>
                <w:szCs w:val="20"/>
                <w:color w:val="auto"/>
              </w:rPr>
            </w:pPr>
            <w:r>
              <w:rPr>
                <w:rFonts w:ascii="Arial" w:cs="Arial" w:eastAsia="Arial" w:hAnsi="Arial"/>
                <w:sz w:val="16"/>
                <w:szCs w:val="16"/>
                <w:color w:val="auto"/>
              </w:rPr>
              <w:t>U.S. federal</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gridSpan w:val="2"/>
          </w:tcPr>
          <w:p>
            <w:pPr>
              <w:jc w:val="right"/>
              <w:ind w:right="2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300"/>
              <w:spacing w:after="0"/>
              <w:rPr>
                <w:sz w:val="20"/>
                <w:szCs w:val="20"/>
                <w:color w:val="auto"/>
              </w:rPr>
            </w:pPr>
            <w:r>
              <w:rPr>
                <w:rFonts w:ascii="Arial" w:cs="Arial" w:eastAsia="Arial" w:hAnsi="Arial"/>
                <w:sz w:val="16"/>
                <w:szCs w:val="16"/>
                <w:color w:val="auto"/>
              </w:rPr>
              <w:t>State</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4"/>
        </w:trPr>
        <w:tc>
          <w:tcPr>
            <w:tcW w:w="5020" w:type="dxa"/>
            <w:vAlign w:val="bottom"/>
            <w:tcBorders>
              <w:bottom w:val="single" w:sz="8" w:color="D1D2D4"/>
            </w:tcBorders>
          </w:tcPr>
          <w:p>
            <w:pPr>
              <w:ind w:left="30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D1D2D4"/>
            </w:tcBorders>
          </w:tcPr>
          <w:p>
            <w:pPr>
              <w:spacing w:after="0"/>
              <w:rPr>
                <w:sz w:val="17"/>
                <w:szCs w:val="17"/>
                <w:color w:val="auto"/>
              </w:rPr>
            </w:pPr>
          </w:p>
        </w:tc>
        <w:tc>
          <w:tcPr>
            <w:tcW w:w="1000" w:type="dxa"/>
            <w:vAlign w:val="bottom"/>
            <w:tcBorders>
              <w:bottom w:val="single" w:sz="8" w:color="D1D2D4"/>
            </w:tcBorders>
          </w:tcPr>
          <w:p>
            <w:pPr>
              <w:spacing w:after="0"/>
              <w:rPr>
                <w:sz w:val="17"/>
                <w:szCs w:val="17"/>
                <w:color w:val="auto"/>
              </w:rPr>
            </w:pPr>
          </w:p>
        </w:tc>
        <w:tc>
          <w:tcPr>
            <w:tcW w:w="460" w:type="dxa"/>
            <w:vAlign w:val="bottom"/>
            <w:tcBorders>
              <w:bottom w:val="single" w:sz="8" w:color="D1D2D4"/>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r>
      <w:tr>
        <w:trPr>
          <w:trHeight w:val="196"/>
        </w:trPr>
        <w:tc>
          <w:tcPr>
            <w:tcW w:w="502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tcBorders>
              <w:bottom w:val="single" w:sz="8" w:color="auto"/>
            </w:tcBorders>
            <w:shd w:val="clear" w:color="auto" w:fill="D1D2D4"/>
          </w:tcPr>
          <w:p>
            <w:pPr>
              <w:spacing w:after="0"/>
              <w:rPr>
                <w:sz w:val="17"/>
                <w:szCs w:val="17"/>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(960)</w:t>
            </w:r>
          </w:p>
        </w:tc>
        <w:tc>
          <w:tcPr>
            <w:tcW w:w="16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shd w:val="clear" w:color="auto" w:fill="D1D2D4"/>
          </w:tcPr>
          <w:p>
            <w:pPr>
              <w:spacing w:after="0"/>
              <w:rPr>
                <w:sz w:val="17"/>
                <w:szCs w:val="17"/>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auto"/>
            </w:tcBorders>
            <w:shd w:val="clear" w:color="auto" w:fill="D1D2D4"/>
          </w:tcPr>
          <w:p>
            <w:pPr>
              <w:spacing w:after="0"/>
              <w:rPr>
                <w:sz w:val="17"/>
                <w:szCs w:val="17"/>
                <w:color w:val="auto"/>
              </w:rPr>
            </w:pPr>
          </w:p>
        </w:tc>
        <w:tc>
          <w:tcPr>
            <w:tcW w:w="280" w:type="dxa"/>
            <w:vAlign w:val="bottom"/>
            <w:tcBorders>
              <w:bottom w:val="single" w:sz="8" w:color="auto"/>
            </w:tcBorders>
            <w:shd w:val="clear" w:color="auto" w:fill="D1D2D4"/>
          </w:tcPr>
          <w:p>
            <w:pPr>
              <w:spacing w:after="0"/>
              <w:rPr>
                <w:sz w:val="17"/>
                <w:szCs w:val="17"/>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7"/>
                <w:szCs w:val="17"/>
                <w:color w:val="auto"/>
              </w:rPr>
            </w:pPr>
          </w:p>
        </w:tc>
      </w:tr>
      <w:tr>
        <w:trPr>
          <w:trHeight w:val="184"/>
        </w:trPr>
        <w:tc>
          <w:tcPr>
            <w:tcW w:w="5020" w:type="dxa"/>
            <w:vAlign w:val="bottom"/>
          </w:tcPr>
          <w:p>
            <w:pPr>
              <w:ind w:left="160"/>
              <w:spacing w:after="0"/>
              <w:rPr>
                <w:sz w:val="20"/>
                <w:szCs w:val="20"/>
                <w:color w:val="auto"/>
              </w:rPr>
            </w:pPr>
            <w:r>
              <w:rPr>
                <w:rFonts w:ascii="Arial" w:cs="Arial" w:eastAsia="Arial" w:hAnsi="Arial"/>
                <w:sz w:val="16"/>
                <w:szCs w:val="16"/>
                <w:color w:val="auto"/>
              </w:rPr>
              <w:t>Deferred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5020" w:type="dxa"/>
            <w:vAlign w:val="bottom"/>
            <w:shd w:val="clear" w:color="auto" w:fill="D1D2D4"/>
          </w:tcPr>
          <w:p>
            <w:pPr>
              <w:ind w:left="300"/>
              <w:spacing w:after="0"/>
              <w:rPr>
                <w:sz w:val="20"/>
                <w:szCs w:val="20"/>
                <w:color w:val="auto"/>
              </w:rPr>
            </w:pPr>
            <w:r>
              <w:rPr>
                <w:rFonts w:ascii="Arial" w:cs="Arial" w:eastAsia="Arial" w:hAnsi="Arial"/>
                <w:sz w:val="16"/>
                <w:szCs w:val="16"/>
                <w:color w:val="auto"/>
              </w:rPr>
              <w:t>U.S. federal</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r>
      <w:tr>
        <w:trPr>
          <w:trHeight w:val="204"/>
        </w:trPr>
        <w:tc>
          <w:tcPr>
            <w:tcW w:w="5020" w:type="dxa"/>
            <w:vAlign w:val="bottom"/>
          </w:tcPr>
          <w:p>
            <w:pPr>
              <w:ind w:left="300"/>
              <w:spacing w:after="0"/>
              <w:rPr>
                <w:sz w:val="20"/>
                <w:szCs w:val="20"/>
                <w:color w:val="auto"/>
              </w:rPr>
            </w:pPr>
            <w:r>
              <w:rPr>
                <w:rFonts w:ascii="Arial" w:cs="Arial" w:eastAsia="Arial" w:hAnsi="Arial"/>
                <w:sz w:val="16"/>
                <w:szCs w:val="16"/>
                <w:color w:val="auto"/>
              </w:rPr>
              <w:t>State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4"/>
        </w:trPr>
        <w:tc>
          <w:tcPr>
            <w:tcW w:w="5020" w:type="dxa"/>
            <w:vAlign w:val="bottom"/>
            <w:shd w:val="clear" w:color="auto" w:fill="D1D2D4"/>
          </w:tcPr>
          <w:p>
            <w:pPr>
              <w:ind w:left="300"/>
              <w:spacing w:after="0"/>
              <w:rPr>
                <w:sz w:val="20"/>
                <w:szCs w:val="20"/>
                <w:color w:val="auto"/>
              </w:rPr>
            </w:pPr>
            <w:r>
              <w:rPr>
                <w:rFonts w:ascii="Arial" w:cs="Arial" w:eastAsia="Arial" w:hAnsi="Arial"/>
                <w:sz w:val="16"/>
                <w:szCs w:val="16"/>
                <w:color w:val="auto"/>
              </w:rPr>
              <w:t>Foreign</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tcBorders>
              <w:bottom w:val="single" w:sz="8" w:color="auto"/>
            </w:tcBorders>
            <w:shd w:val="clear" w:color="auto" w:fill="D1D2D4"/>
          </w:tcPr>
          <w:p>
            <w:pPr>
              <w:spacing w:after="0"/>
              <w:rPr>
                <w:sz w:val="17"/>
                <w:szCs w:val="17"/>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auto"/>
            </w:tcBorders>
            <w:shd w:val="clear" w:color="auto" w:fill="D1D2D4"/>
          </w:tcPr>
          <w:p>
            <w:pPr>
              <w:spacing w:after="0"/>
              <w:rPr>
                <w:sz w:val="17"/>
                <w:szCs w:val="17"/>
                <w:color w:val="auto"/>
              </w:rPr>
            </w:pPr>
          </w:p>
        </w:tc>
        <w:tc>
          <w:tcPr>
            <w:tcW w:w="680" w:type="dxa"/>
            <w:vAlign w:val="bottom"/>
            <w:tcBorders>
              <w:bottom w:val="single" w:sz="8" w:color="auto"/>
            </w:tcBorders>
            <w:shd w:val="clear" w:color="auto" w:fill="D1D2D4"/>
          </w:tcPr>
          <w:p>
            <w:pPr>
              <w:spacing w:after="0"/>
              <w:rPr>
                <w:sz w:val="17"/>
                <w:szCs w:val="17"/>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auto"/>
            </w:tcBorders>
            <w:shd w:val="clear" w:color="auto" w:fill="D1D2D4"/>
          </w:tcPr>
          <w:p>
            <w:pPr>
              <w:spacing w:after="0"/>
              <w:rPr>
                <w:sz w:val="17"/>
                <w:szCs w:val="17"/>
                <w:color w:val="auto"/>
              </w:rPr>
            </w:pPr>
          </w:p>
        </w:tc>
        <w:tc>
          <w:tcPr>
            <w:tcW w:w="280" w:type="dxa"/>
            <w:vAlign w:val="bottom"/>
            <w:tcBorders>
              <w:bottom w:val="single" w:sz="8" w:color="auto"/>
            </w:tcBorders>
            <w:shd w:val="clear" w:color="auto" w:fill="D1D2D4"/>
          </w:tcPr>
          <w:p>
            <w:pPr>
              <w:spacing w:after="0"/>
              <w:rPr>
                <w:sz w:val="17"/>
                <w:szCs w:val="17"/>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6"/>
        </w:trPr>
        <w:tc>
          <w:tcPr>
            <w:tcW w:w="5020" w:type="dxa"/>
            <w:vAlign w:val="bottom"/>
            <w:tcBorders>
              <w:bottom w:val="single" w:sz="8" w:color="D1D2D4"/>
            </w:tcBorders>
          </w:tcPr>
          <w:p>
            <w:pPr>
              <w:spacing w:after="0"/>
              <w:rPr>
                <w:sz w:val="17"/>
                <w:szCs w:val="17"/>
                <w:color w:val="auto"/>
              </w:rPr>
            </w:pPr>
          </w:p>
        </w:tc>
        <w:tc>
          <w:tcPr>
            <w:tcW w:w="220" w:type="dxa"/>
            <w:vAlign w:val="bottom"/>
            <w:tcBorders>
              <w:bottom w:val="single" w:sz="8" w:color="D1D2D4"/>
            </w:tcBorders>
          </w:tcPr>
          <w:p>
            <w:pPr>
              <w:spacing w:after="0"/>
              <w:rPr>
                <w:sz w:val="17"/>
                <w:szCs w:val="17"/>
                <w:color w:val="auto"/>
              </w:rPr>
            </w:pPr>
          </w:p>
        </w:tc>
        <w:tc>
          <w:tcPr>
            <w:tcW w:w="1000" w:type="dxa"/>
            <w:vAlign w:val="bottom"/>
            <w:tcBorders>
              <w:bottom w:val="single" w:sz="8" w:color="D1D2D4"/>
            </w:tcBorders>
          </w:tcPr>
          <w:p>
            <w:pPr>
              <w:spacing w:after="0"/>
              <w:rPr>
                <w:sz w:val="17"/>
                <w:szCs w:val="17"/>
                <w:color w:val="auto"/>
              </w:rPr>
            </w:pPr>
          </w:p>
        </w:tc>
        <w:tc>
          <w:tcPr>
            <w:tcW w:w="460" w:type="dxa"/>
            <w:vAlign w:val="bottom"/>
            <w:tcBorders>
              <w:bottom w:val="single" w:sz="8" w:color="D1D2D4"/>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196"/>
        </w:trPr>
        <w:tc>
          <w:tcPr>
            <w:tcW w:w="502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460" w:type="dxa"/>
            <w:vAlign w:val="bottom"/>
            <w:shd w:val="clear" w:color="auto" w:fill="D1D2D4"/>
          </w:tcPr>
          <w:p>
            <w:pPr>
              <w:spacing w:after="0"/>
              <w:rPr>
                <w:sz w:val="17"/>
                <w:szCs w:val="17"/>
                <w:color w:val="auto"/>
              </w:rPr>
            </w:pPr>
          </w:p>
        </w:tc>
        <w:tc>
          <w:tcPr>
            <w:tcW w:w="380" w:type="dxa"/>
            <w:vAlign w:val="bottom"/>
            <w:shd w:val="clear" w:color="auto" w:fill="D1D2D4"/>
          </w:tcPr>
          <w:p>
            <w:pPr>
              <w:spacing w:after="0"/>
              <w:rPr>
                <w:sz w:val="17"/>
                <w:szCs w:val="17"/>
                <w:color w:val="auto"/>
              </w:rPr>
            </w:pPr>
          </w:p>
        </w:tc>
        <w:tc>
          <w:tcPr>
            <w:tcW w:w="9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440" w:type="dxa"/>
            <w:vAlign w:val="bottom"/>
            <w:shd w:val="clear" w:color="auto" w:fill="D1D2D4"/>
          </w:tcPr>
          <w:p>
            <w:pPr>
              <w:spacing w:after="0"/>
              <w:rPr>
                <w:sz w:val="17"/>
                <w:szCs w:val="17"/>
                <w:color w:val="auto"/>
              </w:rPr>
            </w:pPr>
          </w:p>
        </w:tc>
        <w:tc>
          <w:tcPr>
            <w:tcW w:w="10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92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5020" w:type="dxa"/>
            <w:vAlign w:val="bottom"/>
          </w:tcPr>
          <w:p>
            <w:pPr>
              <w:ind w:left="460"/>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r>
      <w:tr>
        <w:trPr>
          <w:trHeight w:val="20"/>
        </w:trPr>
        <w:tc>
          <w:tcPr>
            <w:tcW w:w="6700" w:type="dxa"/>
            <w:vAlign w:val="bottom"/>
            <w:gridSpan w:val="4"/>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2"/>
        </w:trPr>
        <w:tc>
          <w:tcPr>
            <w:tcW w:w="7980" w:type="dxa"/>
            <w:vAlign w:val="bottom"/>
            <w:gridSpan w:val="6"/>
          </w:tcPr>
          <w:p>
            <w:pPr>
              <w:spacing w:after="0"/>
              <w:rPr>
                <w:sz w:val="20"/>
                <w:szCs w:val="20"/>
                <w:color w:val="auto"/>
              </w:rPr>
            </w:pPr>
            <w:r>
              <w:rPr>
                <w:rFonts w:ascii="Arial" w:cs="Arial" w:eastAsia="Arial" w:hAnsi="Arial"/>
                <w:sz w:val="16"/>
                <w:szCs w:val="16"/>
                <w:color w:val="auto"/>
                <w:w w:val="99"/>
              </w:rPr>
              <w:t>The table below reconciles our tax (provision) benefit based on the U.S. federal statutory rate to our effective rate: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r>
      <w:tr>
        <w:trPr>
          <w:trHeight w:val="28"/>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5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U.S. federal income tax (provision) benefit at statutory rate</w:t>
            </w:r>
          </w:p>
        </w:tc>
        <w:tc>
          <w:tcPr>
            <w:tcW w:w="22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ind w:right="322"/>
              <w:spacing w:after="0"/>
              <w:rPr>
                <w:sz w:val="20"/>
                <w:szCs w:val="20"/>
                <w:color w:val="auto"/>
              </w:rPr>
            </w:pPr>
            <w:r>
              <w:rPr>
                <w:rFonts w:ascii="Arial" w:cs="Arial" w:eastAsia="Arial" w:hAnsi="Arial"/>
                <w:sz w:val="16"/>
                <w:szCs w:val="16"/>
                <w:color w:val="auto"/>
              </w:rPr>
              <w:t>(2,027)</w:t>
            </w:r>
          </w:p>
        </w:tc>
        <w:tc>
          <w:tcPr>
            <w:tcW w:w="840" w:type="dxa"/>
            <w:vAlign w:val="bottom"/>
            <w:gridSpan w:val="2"/>
            <w:shd w:val="clear" w:color="auto" w:fill="D1D2D4"/>
          </w:tcPr>
          <w:p>
            <w:pPr>
              <w:jc w:val="right"/>
              <w:ind w:right="2"/>
              <w:spacing w:after="0"/>
              <w:rPr>
                <w:sz w:val="20"/>
                <w:szCs w:val="20"/>
                <w:color w:val="auto"/>
              </w:rPr>
            </w:pPr>
            <w:r>
              <w:rPr>
                <w:rFonts w:ascii="Arial" w:cs="Arial" w:eastAsia="Arial" w:hAnsi="Arial"/>
                <w:sz w:val="16"/>
                <w:szCs w:val="16"/>
                <w:color w:val="auto"/>
              </w:rPr>
              <w:t>21.0 % $</w:t>
            </w:r>
          </w:p>
        </w:tc>
        <w:tc>
          <w:tcPr>
            <w:tcW w:w="90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21.0 % $</w:t>
            </w:r>
          </w:p>
        </w:tc>
        <w:tc>
          <w:tcPr>
            <w:tcW w:w="820" w:type="dxa"/>
            <w:vAlign w:val="bottom"/>
            <w:gridSpan w:val="3"/>
            <w:shd w:val="clear" w:color="auto" w:fill="D1D2D4"/>
          </w:tcPr>
          <w:p>
            <w:pPr>
              <w:jc w:val="right"/>
              <w:ind w:right="160"/>
              <w:spacing w:after="0"/>
              <w:rPr>
                <w:sz w:val="20"/>
                <w:szCs w:val="20"/>
                <w:color w:val="auto"/>
              </w:rPr>
            </w:pPr>
            <w:r>
              <w:rPr>
                <w:rFonts w:ascii="Arial" w:cs="Arial" w:eastAsia="Arial" w:hAnsi="Arial"/>
                <w:sz w:val="16"/>
                <w:szCs w:val="16"/>
                <w:color w:val="auto"/>
              </w:rPr>
              <w:t>1,188</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21.0 %</w:t>
            </w:r>
          </w:p>
        </w:tc>
        <w:tc>
          <w:tcPr>
            <w:tcW w:w="20" w:type="dxa"/>
            <w:vAlign w:val="bottom"/>
          </w:tcPr>
          <w:p>
            <w:pPr>
              <w:spacing w:after="0"/>
              <w:rPr>
                <w:sz w:val="17"/>
                <w:szCs w:val="17"/>
                <w:color w:val="auto"/>
              </w:rPr>
            </w:pP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U.S. tax on foreign operations</w:t>
            </w:r>
          </w:p>
        </w:tc>
        <w:tc>
          <w:tcPr>
            <w:tcW w:w="220" w:type="dxa"/>
            <w:vAlign w:val="bottom"/>
          </w:tcPr>
          <w:p>
            <w:pPr>
              <w:spacing w:after="0"/>
              <w:rPr>
                <w:sz w:val="17"/>
                <w:szCs w:val="17"/>
                <w:color w:val="auto"/>
              </w:rPr>
            </w:pPr>
          </w:p>
        </w:tc>
        <w:tc>
          <w:tcPr>
            <w:tcW w:w="1000" w:type="dxa"/>
            <w:vAlign w:val="bottom"/>
          </w:tcPr>
          <w:p>
            <w:pPr>
              <w:jc w:val="right"/>
              <w:ind w:right="322"/>
              <w:spacing w:after="0"/>
              <w:rPr>
                <w:sz w:val="20"/>
                <w:szCs w:val="20"/>
                <w:color w:val="auto"/>
              </w:rPr>
            </w:pPr>
            <w:r>
              <w:rPr>
                <w:rFonts w:ascii="Arial" w:cs="Arial" w:eastAsia="Arial" w:hAnsi="Arial"/>
                <w:sz w:val="16"/>
                <w:szCs w:val="16"/>
                <w:color w:val="auto"/>
              </w:rPr>
              <w:t>(476)</w:t>
            </w: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7"/>
                <w:szCs w:val="17"/>
                <w:color w:val="auto"/>
              </w:rPr>
            </w:pPr>
          </w:p>
        </w:tc>
        <w:tc>
          <w:tcPr>
            <w:tcW w:w="900" w:type="dxa"/>
            <w:vAlign w:val="bottom"/>
          </w:tcPr>
          <w:p>
            <w:pPr>
              <w:jc w:val="right"/>
              <w:ind w:right="222"/>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680" w:type="dxa"/>
            <w:vAlign w:val="bottom"/>
          </w:tcPr>
          <w:p>
            <w:pPr>
              <w:jc w:val="right"/>
              <w:ind w:right="242"/>
              <w:spacing w:after="0"/>
              <w:rPr>
                <w:sz w:val="20"/>
                <w:szCs w:val="20"/>
                <w:color w:val="auto"/>
              </w:rPr>
            </w:pPr>
            <w:r>
              <w:rPr>
                <w:rFonts w:ascii="Arial" w:cs="Arial" w:eastAsia="Arial" w:hAnsi="Arial"/>
                <w:sz w:val="16"/>
                <w:szCs w:val="16"/>
                <w:color w:val="auto"/>
              </w:rPr>
              <w:t>0.6</w:t>
            </w:r>
          </w:p>
        </w:tc>
        <w:tc>
          <w:tcPr>
            <w:tcW w:w="44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Change in valuation allowance</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362"/>
              <w:spacing w:after="0"/>
              <w:rPr>
                <w:sz w:val="20"/>
                <w:szCs w:val="20"/>
                <w:color w:val="auto"/>
              </w:rPr>
            </w:pPr>
            <w:r>
              <w:rPr>
                <w:rFonts w:ascii="Arial" w:cs="Arial" w:eastAsia="Arial" w:hAnsi="Arial"/>
                <w:sz w:val="16"/>
                <w:szCs w:val="16"/>
                <w:color w:val="auto"/>
              </w:rPr>
              <w:t>36</w:t>
            </w:r>
          </w:p>
        </w:tc>
        <w:tc>
          <w:tcPr>
            <w:tcW w:w="840" w:type="dxa"/>
            <w:vAlign w:val="bottom"/>
            <w:gridSpan w:val="2"/>
            <w:shd w:val="clear" w:color="auto" w:fill="D1D2D4"/>
          </w:tcPr>
          <w:p>
            <w:pPr>
              <w:jc w:val="right"/>
              <w:ind w:right="262"/>
              <w:spacing w:after="0"/>
              <w:rPr>
                <w:sz w:val="20"/>
                <w:szCs w:val="20"/>
                <w:color w:val="auto"/>
              </w:rPr>
            </w:pPr>
            <w:r>
              <w:rPr>
                <w:rFonts w:ascii="Arial" w:cs="Arial" w:eastAsia="Arial" w:hAnsi="Arial"/>
                <w:sz w:val="16"/>
                <w:szCs w:val="16"/>
                <w:color w:val="auto"/>
              </w:rPr>
              <w:t>(0.4)</w:t>
            </w:r>
          </w:p>
        </w:tc>
        <w:tc>
          <w:tcPr>
            <w:tcW w:w="900" w:type="dxa"/>
            <w:vAlign w:val="bottom"/>
            <w:shd w:val="clear" w:color="auto" w:fill="D1D2D4"/>
          </w:tcPr>
          <w:p>
            <w:pPr>
              <w:jc w:val="right"/>
              <w:ind w:right="222"/>
              <w:spacing w:after="0"/>
              <w:rPr>
                <w:sz w:val="20"/>
                <w:szCs w:val="20"/>
                <w:color w:val="auto"/>
              </w:rPr>
            </w:pPr>
            <w:r>
              <w:rPr>
                <w:rFonts w:ascii="Arial" w:cs="Arial" w:eastAsia="Arial" w:hAnsi="Arial"/>
                <w:sz w:val="16"/>
                <w:szCs w:val="16"/>
                <w:color w:val="auto"/>
              </w:rPr>
              <w:t>(59)</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ind w:right="242"/>
              <w:spacing w:after="0"/>
              <w:rPr>
                <w:sz w:val="20"/>
                <w:szCs w:val="20"/>
                <w:color w:val="auto"/>
              </w:rPr>
            </w:pPr>
            <w:r>
              <w:rPr>
                <w:rFonts w:ascii="Arial" w:cs="Arial" w:eastAsia="Arial" w:hAnsi="Arial"/>
                <w:sz w:val="16"/>
                <w:szCs w:val="16"/>
                <w:color w:val="auto"/>
              </w:rPr>
              <w:t>4.8</w:t>
            </w:r>
          </w:p>
        </w:tc>
        <w:tc>
          <w:tcPr>
            <w:tcW w:w="820" w:type="dxa"/>
            <w:vAlign w:val="bottom"/>
            <w:gridSpan w:val="3"/>
            <w:shd w:val="clear" w:color="auto" w:fill="D1D2D4"/>
          </w:tcPr>
          <w:p>
            <w:pPr>
              <w:jc w:val="right"/>
              <w:ind w:right="120"/>
              <w:spacing w:after="0"/>
              <w:rPr>
                <w:sz w:val="20"/>
                <w:szCs w:val="20"/>
                <w:color w:val="auto"/>
              </w:rPr>
            </w:pPr>
            <w:r>
              <w:rPr>
                <w:rFonts w:ascii="Arial" w:cs="Arial" w:eastAsia="Arial" w:hAnsi="Arial"/>
                <w:sz w:val="16"/>
                <w:szCs w:val="16"/>
                <w:color w:val="auto"/>
              </w:rPr>
              <w:t>(50)</w:t>
            </w:r>
          </w:p>
        </w:tc>
        <w:tc>
          <w:tcPr>
            <w:tcW w:w="920" w:type="dxa"/>
            <w:vAlign w:val="bottom"/>
            <w:shd w:val="clear" w:color="auto" w:fill="D1D2D4"/>
          </w:tcPr>
          <w:p>
            <w:pPr>
              <w:jc w:val="right"/>
              <w:ind w:right="82"/>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Change in unrecognized tax benefits</w:t>
            </w:r>
          </w:p>
        </w:tc>
        <w:tc>
          <w:tcPr>
            <w:tcW w:w="220" w:type="dxa"/>
            <w:vAlign w:val="bottom"/>
          </w:tcPr>
          <w:p>
            <w:pPr>
              <w:spacing w:after="0"/>
              <w:rPr>
                <w:sz w:val="17"/>
                <w:szCs w:val="17"/>
                <w:color w:val="auto"/>
              </w:rPr>
            </w:pPr>
          </w:p>
        </w:tc>
        <w:tc>
          <w:tcPr>
            <w:tcW w:w="1000" w:type="dxa"/>
            <w:vAlign w:val="bottom"/>
          </w:tcPr>
          <w:p>
            <w:pPr>
              <w:jc w:val="right"/>
              <w:ind w:right="322"/>
              <w:spacing w:after="0"/>
              <w:rPr>
                <w:sz w:val="20"/>
                <w:szCs w:val="20"/>
                <w:color w:val="auto"/>
              </w:rPr>
            </w:pPr>
            <w:r>
              <w:rPr>
                <w:rFonts w:ascii="Arial" w:cs="Arial" w:eastAsia="Arial" w:hAnsi="Arial"/>
                <w:sz w:val="16"/>
                <w:szCs w:val="16"/>
                <w:color w:val="auto"/>
              </w:rPr>
              <w:t>(23)</w:t>
            </w: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380" w:type="dxa"/>
            <w:vAlign w:val="bottom"/>
          </w:tcPr>
          <w:p>
            <w:pPr>
              <w:spacing w:after="0"/>
              <w:rPr>
                <w:sz w:val="17"/>
                <w:szCs w:val="17"/>
                <w:color w:val="auto"/>
              </w:rPr>
            </w:pPr>
          </w:p>
        </w:tc>
        <w:tc>
          <w:tcPr>
            <w:tcW w:w="900" w:type="dxa"/>
            <w:vAlign w:val="bottom"/>
          </w:tcPr>
          <w:p>
            <w:pPr>
              <w:jc w:val="right"/>
              <w:ind w:right="222"/>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7"/>
                <w:szCs w:val="17"/>
                <w:color w:val="auto"/>
              </w:rPr>
            </w:pPr>
          </w:p>
        </w:tc>
        <w:tc>
          <w:tcPr>
            <w:tcW w:w="680" w:type="dxa"/>
            <w:vAlign w:val="bottom"/>
          </w:tcPr>
          <w:p>
            <w:pPr>
              <w:jc w:val="right"/>
              <w:ind w:right="242"/>
              <w:spacing w:after="0"/>
              <w:rPr>
                <w:sz w:val="20"/>
                <w:szCs w:val="20"/>
                <w:color w:val="auto"/>
              </w:rPr>
            </w:pPr>
            <w:r>
              <w:rPr>
                <w:rFonts w:ascii="Arial" w:cs="Arial" w:eastAsia="Arial" w:hAnsi="Arial"/>
                <w:sz w:val="16"/>
                <w:szCs w:val="16"/>
                <w:color w:val="auto"/>
              </w:rPr>
              <w:t>3.3</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(30)</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Foreign tax rate differential</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362"/>
              <w:spacing w:after="0"/>
              <w:rPr>
                <w:sz w:val="20"/>
                <w:szCs w:val="20"/>
                <w:color w:val="auto"/>
              </w:rPr>
            </w:pPr>
            <w:r>
              <w:rPr>
                <w:rFonts w:ascii="Arial" w:cs="Arial" w:eastAsia="Arial" w:hAnsi="Arial"/>
                <w:sz w:val="16"/>
                <w:szCs w:val="16"/>
                <w:color w:val="auto"/>
              </w:rPr>
              <w:t>1,132</w:t>
            </w:r>
          </w:p>
        </w:tc>
        <w:tc>
          <w:tcPr>
            <w:tcW w:w="840" w:type="dxa"/>
            <w:vAlign w:val="bottom"/>
            <w:gridSpan w:val="2"/>
            <w:shd w:val="clear" w:color="auto" w:fill="D1D2D4"/>
          </w:tcPr>
          <w:p>
            <w:pPr>
              <w:jc w:val="right"/>
              <w:ind w:right="262"/>
              <w:spacing w:after="0"/>
              <w:rPr>
                <w:sz w:val="20"/>
                <w:szCs w:val="20"/>
                <w:color w:val="auto"/>
              </w:rPr>
            </w:pPr>
            <w:r>
              <w:rPr>
                <w:rFonts w:ascii="Arial" w:cs="Arial" w:eastAsia="Arial" w:hAnsi="Arial"/>
                <w:sz w:val="16"/>
                <w:szCs w:val="16"/>
                <w:color w:val="auto"/>
              </w:rPr>
              <w:t>(11.7)</w:t>
            </w:r>
          </w:p>
        </w:tc>
        <w:tc>
          <w:tcPr>
            <w:tcW w:w="90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ind w:right="242"/>
              <w:spacing w:after="0"/>
              <w:rPr>
                <w:sz w:val="20"/>
                <w:szCs w:val="20"/>
                <w:color w:val="auto"/>
              </w:rPr>
            </w:pPr>
            <w:r>
              <w:rPr>
                <w:rFonts w:ascii="Arial" w:cs="Arial" w:eastAsia="Arial" w:hAnsi="Arial"/>
                <w:sz w:val="16"/>
                <w:szCs w:val="16"/>
                <w:color w:val="auto"/>
              </w:rPr>
              <w:t>17.2</w:t>
            </w:r>
          </w:p>
        </w:tc>
        <w:tc>
          <w:tcPr>
            <w:tcW w:w="820" w:type="dxa"/>
            <w:vAlign w:val="bottom"/>
            <w:gridSpan w:val="3"/>
            <w:shd w:val="clear" w:color="auto" w:fill="D1D2D4"/>
          </w:tcPr>
          <w:p>
            <w:pPr>
              <w:jc w:val="right"/>
              <w:ind w:right="120"/>
              <w:spacing w:after="0"/>
              <w:rPr>
                <w:sz w:val="20"/>
                <w:szCs w:val="20"/>
                <w:color w:val="auto"/>
              </w:rPr>
            </w:pPr>
            <w:r>
              <w:rPr>
                <w:rFonts w:ascii="Arial" w:cs="Arial" w:eastAsia="Arial" w:hAnsi="Arial"/>
                <w:sz w:val="16"/>
                <w:szCs w:val="16"/>
                <w:color w:val="auto"/>
              </w:rPr>
              <w:t>(1,285)</w:t>
            </w:r>
          </w:p>
        </w:tc>
        <w:tc>
          <w:tcPr>
            <w:tcW w:w="920" w:type="dxa"/>
            <w:vAlign w:val="bottom"/>
            <w:shd w:val="clear" w:color="auto" w:fill="D1D2D4"/>
          </w:tcPr>
          <w:p>
            <w:pPr>
              <w:jc w:val="right"/>
              <w:ind w:right="62"/>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7"/>
                <w:szCs w:val="17"/>
                <w:color w:val="auto"/>
              </w:rPr>
            </w:pP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Research and development tax credits</w:t>
            </w:r>
          </w:p>
        </w:tc>
        <w:tc>
          <w:tcPr>
            <w:tcW w:w="220" w:type="dxa"/>
            <w:vAlign w:val="bottom"/>
          </w:tcPr>
          <w:p>
            <w:pPr>
              <w:spacing w:after="0"/>
              <w:rPr>
                <w:sz w:val="17"/>
                <w:szCs w:val="17"/>
                <w:color w:val="auto"/>
              </w:rPr>
            </w:pPr>
          </w:p>
        </w:tc>
        <w:tc>
          <w:tcPr>
            <w:tcW w:w="1000" w:type="dxa"/>
            <w:vAlign w:val="bottom"/>
          </w:tcPr>
          <w:p>
            <w:pPr>
              <w:jc w:val="right"/>
              <w:ind w:right="362"/>
              <w:spacing w:after="0"/>
              <w:rPr>
                <w:sz w:val="20"/>
                <w:szCs w:val="20"/>
                <w:color w:val="auto"/>
              </w:rPr>
            </w:pPr>
            <w:r>
              <w:rPr>
                <w:rFonts w:ascii="Arial" w:cs="Arial" w:eastAsia="Arial" w:hAnsi="Arial"/>
                <w:sz w:val="16"/>
                <w:szCs w:val="16"/>
                <w:color w:val="auto"/>
              </w:rPr>
              <w:t>208</w:t>
            </w:r>
          </w:p>
        </w:tc>
        <w:tc>
          <w:tcPr>
            <w:tcW w:w="840" w:type="dxa"/>
            <w:vAlign w:val="bottom"/>
            <w:gridSpan w:val="2"/>
          </w:tcPr>
          <w:p>
            <w:pPr>
              <w:jc w:val="right"/>
              <w:ind w:right="262"/>
              <w:spacing w:after="0"/>
              <w:rPr>
                <w:sz w:val="20"/>
                <w:szCs w:val="20"/>
                <w:color w:val="auto"/>
              </w:rPr>
            </w:pPr>
            <w:r>
              <w:rPr>
                <w:rFonts w:ascii="Arial" w:cs="Arial" w:eastAsia="Arial" w:hAnsi="Arial"/>
                <w:sz w:val="16"/>
                <w:szCs w:val="16"/>
                <w:color w:val="auto"/>
              </w:rPr>
              <w:t>(2.2)</w:t>
            </w:r>
          </w:p>
        </w:tc>
        <w:tc>
          <w:tcPr>
            <w:tcW w:w="900" w:type="dxa"/>
            <w:vAlign w:val="bottom"/>
          </w:tcPr>
          <w:p>
            <w:pPr>
              <w:jc w:val="right"/>
              <w:ind w:right="262"/>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Arial" w:cs="Arial" w:eastAsia="Arial" w:hAnsi="Arial"/>
                <w:sz w:val="16"/>
                <w:szCs w:val="16"/>
                <w:color w:val="auto"/>
              </w:rPr>
              <w:t>(6.1)</w:t>
            </w:r>
          </w:p>
        </w:tc>
        <w:tc>
          <w:tcPr>
            <w:tcW w:w="44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43</w:t>
            </w: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r>
      <w:tr>
        <w:trPr>
          <w:trHeight w:val="204"/>
        </w:trPr>
        <w:tc>
          <w:tcPr>
            <w:tcW w:w="5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State taxes, net of federal benefit</w:t>
            </w:r>
          </w:p>
        </w:tc>
        <w:tc>
          <w:tcPr>
            <w:tcW w:w="22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322"/>
              <w:spacing w:after="0"/>
              <w:rPr>
                <w:sz w:val="20"/>
                <w:szCs w:val="20"/>
                <w:color w:val="auto"/>
              </w:rPr>
            </w:pPr>
            <w:r>
              <w:rPr>
                <w:rFonts w:ascii="Arial" w:cs="Arial" w:eastAsia="Arial" w:hAnsi="Arial"/>
                <w:sz w:val="16"/>
                <w:szCs w:val="16"/>
                <w:color w:val="auto"/>
              </w:rPr>
              <w:t>(7)</w:t>
            </w:r>
          </w:p>
        </w:tc>
        <w:tc>
          <w:tcPr>
            <w:tcW w:w="4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D1D2D4"/>
          </w:tcPr>
          <w:p>
            <w:pPr>
              <w:spacing w:after="0"/>
              <w:rPr>
                <w:sz w:val="17"/>
                <w:szCs w:val="17"/>
                <w:color w:val="auto"/>
              </w:rPr>
            </w:pPr>
          </w:p>
        </w:tc>
        <w:tc>
          <w:tcPr>
            <w:tcW w:w="900" w:type="dxa"/>
            <w:vAlign w:val="bottom"/>
            <w:shd w:val="clear" w:color="auto" w:fill="D1D2D4"/>
          </w:tcPr>
          <w:p>
            <w:pPr>
              <w:jc w:val="right"/>
              <w:ind w:right="262"/>
              <w:spacing w:after="0"/>
              <w:rPr>
                <w:sz w:val="20"/>
                <w:szCs w:val="20"/>
                <w:color w:val="auto"/>
              </w:rPr>
            </w:pPr>
            <w:r>
              <w:rPr>
                <w:rFonts w:ascii="Arial" w:cs="Arial" w:eastAsia="Arial" w:hAnsi="Arial"/>
                <w:sz w:val="16"/>
                <w:szCs w:val="16"/>
                <w:color w:val="auto"/>
              </w:rPr>
              <w:t>12</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rPr>
              <w:t>(1.0)</w:t>
            </w:r>
          </w:p>
        </w:tc>
        <w:tc>
          <w:tcPr>
            <w:tcW w:w="440" w:type="dxa"/>
            <w:vAlign w:val="bottom"/>
            <w:shd w:val="clear" w:color="auto" w:fill="D1D2D4"/>
          </w:tcPr>
          <w:p>
            <w:pPr>
              <w:spacing w:after="0"/>
              <w:rPr>
                <w:sz w:val="17"/>
                <w:szCs w:val="17"/>
                <w:color w:val="auto"/>
              </w:rPr>
            </w:pPr>
          </w:p>
        </w:tc>
        <w:tc>
          <w:tcPr>
            <w:tcW w:w="38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37</w:t>
            </w:r>
          </w:p>
        </w:tc>
        <w:tc>
          <w:tcPr>
            <w:tcW w:w="9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r>
      <w:tr>
        <w:trPr>
          <w:trHeight w:val="204"/>
        </w:trPr>
        <w:tc>
          <w:tcPr>
            <w:tcW w:w="5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33</w:t>
            </w:r>
          </w:p>
        </w:tc>
        <w:tc>
          <w:tcPr>
            <w:tcW w:w="84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6"/>
                <w:szCs w:val="16"/>
                <w:color w:val="auto"/>
              </w:rPr>
              <w:t>(0.3)</w:t>
            </w: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(3.4)</w:t>
            </w: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(86)</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r>
      <w:tr>
        <w:trPr>
          <w:trHeight w:val="221"/>
        </w:trPr>
        <w:tc>
          <w:tcPr>
            <w:tcW w:w="5020" w:type="dxa"/>
            <w:vAlign w:val="bottom"/>
            <w:tcBorders>
              <w:bottom w:val="single" w:sz="8" w:color="D1D2D4"/>
            </w:tcBorders>
            <w:shd w:val="clear" w:color="auto" w:fill="D1D2D4"/>
          </w:tcPr>
          <w:p>
            <w:pPr>
              <w:ind w:left="300"/>
              <w:spacing w:after="0"/>
              <w:rPr>
                <w:sz w:val="20"/>
                <w:szCs w:val="20"/>
                <w:color w:val="auto"/>
              </w:rPr>
            </w:pPr>
            <w:r>
              <w:rPr>
                <w:rFonts w:ascii="Arial" w:cs="Arial" w:eastAsia="Arial" w:hAnsi="Arial"/>
                <w:sz w:val="16"/>
                <w:szCs w:val="16"/>
                <w:color w:val="auto"/>
              </w:rPr>
              <w:t>Income tax (provision) benefit</w:t>
            </w:r>
          </w:p>
        </w:tc>
        <w:tc>
          <w:tcPr>
            <w:tcW w:w="220" w:type="dxa"/>
            <w:vAlign w:val="bottom"/>
            <w:tcBorders>
              <w:bottom w:val="single" w:sz="8" w:color="auto"/>
            </w:tcBorders>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1D2D4"/>
          </w:tcPr>
          <w:p>
            <w:pPr>
              <w:jc w:val="right"/>
              <w:ind w:right="322"/>
              <w:spacing w:after="0"/>
              <w:rPr>
                <w:sz w:val="20"/>
                <w:szCs w:val="20"/>
                <w:color w:val="auto"/>
              </w:rPr>
            </w:pPr>
            <w:r>
              <w:rPr>
                <w:rFonts w:ascii="Arial" w:cs="Arial" w:eastAsia="Arial" w:hAnsi="Arial"/>
                <w:sz w:val="16"/>
                <w:szCs w:val="16"/>
                <w:color w:val="auto"/>
              </w:rPr>
              <w:t>(1,124)</w:t>
            </w:r>
          </w:p>
        </w:tc>
        <w:tc>
          <w:tcPr>
            <w:tcW w:w="840" w:type="dxa"/>
            <w:vAlign w:val="bottom"/>
            <w:tcBorders>
              <w:bottom w:val="single" w:sz="8" w:color="auto"/>
            </w:tcBorders>
            <w:gridSpan w:val="2"/>
            <w:shd w:val="clear" w:color="auto" w:fill="D1D2D4"/>
          </w:tcPr>
          <w:p>
            <w:pPr>
              <w:jc w:val="right"/>
              <w:ind w:right="2"/>
              <w:spacing w:after="0"/>
              <w:rPr>
                <w:sz w:val="20"/>
                <w:szCs w:val="20"/>
                <w:color w:val="auto"/>
              </w:rPr>
            </w:pPr>
            <w:r>
              <w:rPr>
                <w:rFonts w:ascii="Arial" w:cs="Arial" w:eastAsia="Arial" w:hAnsi="Arial"/>
                <w:sz w:val="16"/>
                <w:szCs w:val="16"/>
                <w:color w:val="auto"/>
              </w:rPr>
              <w:t>11.6 % $</w:t>
            </w:r>
          </w:p>
        </w:tc>
        <w:tc>
          <w:tcPr>
            <w:tcW w:w="900" w:type="dxa"/>
            <w:vAlign w:val="bottom"/>
            <w:tcBorders>
              <w:bottom w:val="single" w:sz="8" w:color="auto"/>
            </w:tcBorders>
            <w:shd w:val="clear" w:color="auto" w:fill="D1D2D4"/>
          </w:tcPr>
          <w:p>
            <w:pPr>
              <w:jc w:val="right"/>
              <w:ind w:right="202"/>
              <w:spacing w:after="0"/>
              <w:rPr>
                <w:sz w:val="20"/>
                <w:szCs w:val="20"/>
                <w:color w:val="auto"/>
              </w:rPr>
            </w:pPr>
            <w:r>
              <w:rPr>
                <w:rFonts w:ascii="Arial" w:cs="Arial" w:eastAsia="Arial" w:hAnsi="Arial"/>
                <w:sz w:val="16"/>
                <w:szCs w:val="16"/>
                <w:color w:val="auto"/>
              </w:rPr>
              <w:t>(451)</w:t>
            </w:r>
          </w:p>
        </w:tc>
        <w:tc>
          <w:tcPr>
            <w:tcW w:w="16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36.4 % $</w:t>
            </w:r>
          </w:p>
        </w:tc>
        <w:tc>
          <w:tcPr>
            <w:tcW w:w="820" w:type="dxa"/>
            <w:vAlign w:val="bottom"/>
            <w:tcBorders>
              <w:bottom w:val="single" w:sz="8" w:color="auto"/>
            </w:tcBorders>
            <w:gridSpan w:val="3"/>
            <w:shd w:val="clear" w:color="auto" w:fill="D1D2D4"/>
          </w:tcPr>
          <w:p>
            <w:pPr>
              <w:jc w:val="right"/>
              <w:ind w:right="120"/>
              <w:spacing w:after="0"/>
              <w:rPr>
                <w:sz w:val="20"/>
                <w:szCs w:val="20"/>
                <w:color w:val="auto"/>
              </w:rPr>
            </w:pPr>
            <w:r>
              <w:rPr>
                <w:rFonts w:ascii="Arial" w:cs="Arial" w:eastAsia="Arial" w:hAnsi="Arial"/>
                <w:sz w:val="16"/>
                <w:szCs w:val="16"/>
                <w:color w:val="auto"/>
              </w:rPr>
              <w:t>(177)</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r>
      <w:tr>
        <w:trPr>
          <w:trHeight w:val="20"/>
        </w:trPr>
        <w:tc>
          <w:tcPr>
            <w:tcW w:w="502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$1.05 billion (benefiting our diluted earnings per share by $0.93) for 2025. As a result of low level of profitability and geographic mix of income, the benefit from tax incentive arrangements was not material for 2024 or 2023.</w:t>
      </w:r>
    </w:p>
    <w:p>
      <w:pPr>
        <w:spacing w:after="0" w:line="170" w:lineRule="exact"/>
        <w:rPr>
          <w:sz w:val="20"/>
          <w:szCs w:val="20"/>
          <w:color w:val="auto"/>
        </w:rPr>
      </w:pPr>
    </w:p>
    <w:p>
      <w:pPr>
        <w:ind w:right="360"/>
        <w:spacing w:after="0" w:line="244" w:lineRule="auto"/>
        <w:rPr>
          <w:sz w:val="20"/>
          <w:szCs w:val="20"/>
          <w:color w:val="auto"/>
        </w:rPr>
      </w:pPr>
      <w:r>
        <w:rPr>
          <w:rFonts w:ascii="Arial" w:cs="Arial" w:eastAsia="Arial" w:hAnsi="Arial"/>
          <w:sz w:val="16"/>
          <w:szCs w:val="16"/>
          <w:color w:val="auto"/>
        </w:rPr>
        <w:t>As of August 28, 2025, certain non-U.S. subsidiaries had cumulative undistributed earnings of $4.31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91" w:name="page92"/>
    <w:bookmarkEnd w:id="9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157"/>
        </w:trPr>
        <w:tc>
          <w:tcPr>
            <w:tcW w:w="7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3"/>
                <w:szCs w:val="13"/>
                <w:color w:val="auto"/>
              </w:rPr>
            </w:pPr>
          </w:p>
        </w:tc>
        <w:tc>
          <w:tcPr>
            <w:tcW w:w="1140" w:type="dxa"/>
            <w:vAlign w:val="bottom"/>
          </w:tcPr>
          <w:p>
            <w:pPr>
              <w:jc w:val="right"/>
              <w:ind w:right="182"/>
              <w:spacing w:after="0" w:line="158" w:lineRule="exact"/>
              <w:rPr>
                <w:sz w:val="20"/>
                <w:szCs w:val="20"/>
                <w:color w:val="auto"/>
              </w:rPr>
            </w:pPr>
            <w:r>
              <w:rPr>
                <w:rFonts w:ascii="Arial" w:cs="Arial" w:eastAsia="Arial" w:hAnsi="Arial"/>
                <w:sz w:val="16"/>
                <w:szCs w:val="16"/>
                <w:b w:val="1"/>
                <w:bCs w:val="1"/>
                <w:color w:val="auto"/>
              </w:rPr>
              <w:t>August 28,</w:t>
            </w:r>
          </w:p>
        </w:tc>
        <w:tc>
          <w:tcPr>
            <w:tcW w:w="180" w:type="dxa"/>
            <w:vAlign w:val="bottom"/>
          </w:tcPr>
          <w:p>
            <w:pPr>
              <w:spacing w:after="0"/>
              <w:rPr>
                <w:sz w:val="13"/>
                <w:szCs w:val="13"/>
                <w:color w:val="auto"/>
              </w:rPr>
            </w:pPr>
          </w:p>
        </w:tc>
        <w:tc>
          <w:tcPr>
            <w:tcW w:w="1120" w:type="dxa"/>
            <w:vAlign w:val="bottom"/>
          </w:tcPr>
          <w:p>
            <w:pPr>
              <w:jc w:val="right"/>
              <w:ind w:right="182"/>
              <w:spacing w:after="0" w:line="158"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60" w:type="dxa"/>
            <w:vAlign w:val="bottom"/>
          </w:tcPr>
          <w:p>
            <w:pPr>
              <w:ind w:left="160"/>
              <w:spacing w:after="0"/>
              <w:rPr>
                <w:sz w:val="20"/>
                <w:szCs w:val="20"/>
                <w:color w:val="auto"/>
              </w:rPr>
            </w:pPr>
            <w:r>
              <w:rPr>
                <w:rFonts w:ascii="Arial" w:cs="Arial" w:eastAsia="Arial" w:hAnsi="Arial"/>
                <w:sz w:val="16"/>
                <w:szCs w:val="16"/>
                <w:color w:val="auto"/>
              </w:rPr>
              <w:t>Net operating loss and tax credit carryforwards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1,016</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160"/>
              <w:spacing w:after="0"/>
              <w:rPr>
                <w:sz w:val="20"/>
                <w:szCs w:val="20"/>
                <w:color w:val="auto"/>
              </w:rPr>
            </w:pPr>
            <w:r>
              <w:rPr>
                <w:rFonts w:ascii="Arial" w:cs="Arial" w:eastAsia="Arial" w:hAnsi="Arial"/>
                <w:sz w:val="16"/>
                <w:szCs w:val="16"/>
                <w:color w:val="auto"/>
              </w:rPr>
              <w:t>Accrued salaries, wages, and benefits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4"/>
        </w:trPr>
        <w:tc>
          <w:tcPr>
            <w:tcW w:w="796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192</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1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25</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7960" w:type="dxa"/>
            <w:vAlign w:val="bottom"/>
            <w:shd w:val="clear" w:color="auto" w:fill="D1D2D4"/>
          </w:tcPr>
          <w:p>
            <w:pPr>
              <w:ind w:left="300"/>
              <w:spacing w:after="0"/>
              <w:rPr>
                <w:sz w:val="20"/>
                <w:szCs w:val="20"/>
                <w:color w:val="auto"/>
              </w:rPr>
            </w:pPr>
            <w:r>
              <w:rPr>
                <w:rFonts w:ascii="Arial" w:cs="Arial" w:eastAsia="Arial" w:hAnsi="Arial"/>
                <w:sz w:val="16"/>
                <w:szCs w:val="16"/>
                <w:color w:val="auto"/>
              </w:rPr>
              <w:t>Gross deferred tax assets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1,473</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Less valuation allowance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196"/>
        </w:trPr>
        <w:tc>
          <w:tcPr>
            <w:tcW w:w="7960" w:type="dxa"/>
            <w:vAlign w:val="bottom"/>
            <w:shd w:val="clear" w:color="auto" w:fill="D1D2D4"/>
          </w:tcPr>
          <w:p>
            <w:pPr>
              <w:ind w:left="300"/>
              <w:spacing w:after="0"/>
              <w:rPr>
                <w:sz w:val="20"/>
                <w:szCs w:val="20"/>
                <w:color w:val="auto"/>
              </w:rPr>
            </w:pPr>
            <w:r>
              <w:rPr>
                <w:rFonts w:ascii="Arial" w:cs="Arial" w:eastAsia="Arial" w:hAnsi="Arial"/>
                <w:sz w:val="16"/>
                <w:szCs w:val="16"/>
                <w:color w:val="auto"/>
              </w:rPr>
              <w:t>Deferred tax assets, net of valuation allowance</w:t>
            </w:r>
          </w:p>
        </w:tc>
        <w:tc>
          <w:tcPr>
            <w:tcW w:w="16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839</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60" w:type="dxa"/>
            <w:vAlign w:val="bottom"/>
          </w:tcPr>
          <w:p>
            <w:pPr>
              <w:ind w:left="160"/>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160"/>
              <w:spacing w:after="0"/>
              <w:rPr>
                <w:sz w:val="20"/>
                <w:szCs w:val="20"/>
                <w:color w:val="auto"/>
              </w:rPr>
            </w:pPr>
            <w:r>
              <w:rPr>
                <w:rFonts w:ascii="Arial" w:cs="Arial" w:eastAsia="Arial" w:hAnsi="Arial"/>
                <w:sz w:val="16"/>
                <w:szCs w:val="16"/>
                <w:color w:val="auto"/>
              </w:rPr>
              <w:t>Property, plant, and equipment</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6"/>
        </w:trPr>
        <w:tc>
          <w:tcPr>
            <w:tcW w:w="7960" w:type="dxa"/>
            <w:vAlign w:val="bottom"/>
            <w:shd w:val="clear" w:color="auto" w:fill="D1D2D4"/>
          </w:tcPr>
          <w:p>
            <w:pPr>
              <w:ind w:left="30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Net deferred tax assets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564</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
        </w:trPr>
        <w:tc>
          <w:tcPr>
            <w:tcW w:w="79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Reported as</w:t>
            </w:r>
          </w:p>
        </w:tc>
        <w:tc>
          <w:tcPr>
            <w:tcW w:w="16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60" w:type="dxa"/>
            <w:vAlign w:val="bottom"/>
          </w:tcPr>
          <w:p>
            <w:pPr>
              <w:ind w:left="16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616</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4"/>
        </w:trPr>
        <w:tc>
          <w:tcPr>
            <w:tcW w:w="7960" w:type="dxa"/>
            <w:vAlign w:val="bottom"/>
            <w:shd w:val="clear" w:color="auto" w:fill="D1D2D4"/>
          </w:tcPr>
          <w:p>
            <w:pPr>
              <w:ind w:left="160"/>
              <w:spacing w:after="0"/>
              <w:rPr>
                <w:sz w:val="20"/>
                <w:szCs w:val="20"/>
                <w:color w:val="auto"/>
              </w:rPr>
            </w:pPr>
            <w:r>
              <w:rPr>
                <w:rFonts w:ascii="Arial" w:cs="Arial" w:eastAsia="Arial" w:hAnsi="Arial"/>
                <w:sz w:val="16"/>
                <w:szCs w:val="16"/>
                <w:color w:val="auto"/>
              </w:rPr>
              <w:t>Deferred tax liabilities (included in other noncurrent liabilities)</w:t>
            </w:r>
          </w:p>
        </w:tc>
        <w:tc>
          <w:tcPr>
            <w:tcW w:w="160" w:type="dxa"/>
            <w:vAlign w:val="bottom"/>
            <w:tcBorders>
              <w:bottom w:val="single" w:sz="8" w:color="auto"/>
            </w:tcBorders>
            <w:shd w:val="clear" w:color="auto" w:fill="D1D2D4"/>
          </w:tcPr>
          <w:p>
            <w:pPr>
              <w:spacing w:after="0"/>
              <w:rPr>
                <w:sz w:val="17"/>
                <w:szCs w:val="17"/>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7960" w:type="dxa"/>
            <w:vAlign w:val="bottom"/>
          </w:tcPr>
          <w:p>
            <w:pPr>
              <w:ind w:left="300"/>
              <w:spacing w:after="0"/>
              <w:rPr>
                <w:sz w:val="20"/>
                <w:szCs w:val="20"/>
                <w:color w:val="auto"/>
              </w:rPr>
            </w:pPr>
            <w:r>
              <w:rPr>
                <w:rFonts w:ascii="Arial" w:cs="Arial" w:eastAsia="Arial" w:hAnsi="Arial"/>
                <w:sz w:val="16"/>
                <w:szCs w:val="16"/>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564</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assess positive and negative evidence for each jurisdiction to determine whether it is more likely than not that existing deferred tax assets will be realized. As of August 28, 2025, and August 29, 2024, we had a valuation allowance of $634 million and $593 million, respectively, against our net deferred tax assets, primarily related to carryforwards in U.S. states and Malaysia. Changes in 2025 in the valuation allowance were due to adjustments based on management's assessment of the realizability of tax credits, allowances and net operating losses based on a level that is more likely than not to be realized.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As of August 28, 2025, our net operating loss carryforward amounts and expiration periods, as reported to tax authorities,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of Expiration</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Singapore</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Malaysia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State</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Japan</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Total</w:t>
            </w:r>
          </w:p>
        </w:tc>
      </w:tr>
      <w:tr>
        <w:trPr>
          <w:trHeight w:val="28"/>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4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2026 - 2030</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D1D2D4"/>
          </w:tcPr>
          <w:p>
            <w:pPr>
              <w:jc w:val="right"/>
              <w:ind w:right="42"/>
              <w:spacing w:after="0"/>
              <w:rPr>
                <w:sz w:val="20"/>
                <w:szCs w:val="20"/>
                <w:color w:val="auto"/>
              </w:rPr>
            </w:pPr>
            <w:r>
              <w:rPr>
                <w:rFonts w:ascii="Arial" w:cs="Arial" w:eastAsia="Arial" w:hAnsi="Arial"/>
                <w:sz w:val="16"/>
                <w:szCs w:val="16"/>
                <w:color w:val="auto"/>
              </w:rPr>
              <w:t>— $</w:t>
            </w:r>
          </w:p>
        </w:tc>
        <w:tc>
          <w:tcPr>
            <w:tcW w:w="2000" w:type="dxa"/>
            <w:vAlign w:val="bottom"/>
            <w:gridSpan w:val="2"/>
            <w:shd w:val="clear" w:color="auto" w:fill="D1D2D4"/>
          </w:tcPr>
          <w:p>
            <w:pPr>
              <w:jc w:val="right"/>
              <w:ind w:right="722"/>
              <w:spacing w:after="0"/>
              <w:rPr>
                <w:sz w:val="20"/>
                <w:szCs w:val="20"/>
                <w:color w:val="auto"/>
              </w:rPr>
            </w:pPr>
            <w:r>
              <w:rPr>
                <w:rFonts w:ascii="Arial" w:cs="Arial" w:eastAsia="Arial" w:hAnsi="Arial"/>
                <w:sz w:val="16"/>
                <w:szCs w:val="16"/>
                <w:color w:val="auto"/>
              </w:rPr>
              <w:t>— $</w:t>
            </w:r>
          </w:p>
        </w:tc>
        <w:tc>
          <w:tcPr>
            <w:tcW w:w="3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w:t>
            </w:r>
          </w:p>
        </w:tc>
        <w:tc>
          <w:tcPr>
            <w:tcW w:w="940" w:type="dxa"/>
            <w:vAlign w:val="bottom"/>
            <w:shd w:val="clear" w:color="auto" w:fill="D1D2D4"/>
          </w:tcPr>
          <w:p>
            <w:pPr>
              <w:jc w:val="right"/>
              <w:ind w:right="74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D1D2D4"/>
          </w:tcPr>
          <w:p>
            <w:pPr>
              <w:ind w:left="16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w:t>
            </w:r>
          </w:p>
        </w:tc>
      </w:tr>
      <w:tr>
        <w:trPr>
          <w:trHeight w:val="204"/>
        </w:trPr>
        <w:tc>
          <w:tcPr>
            <w:tcW w:w="4000" w:type="dxa"/>
            <w:vAlign w:val="bottom"/>
          </w:tcPr>
          <w:p>
            <w:pPr>
              <w:ind w:left="20"/>
              <w:spacing w:after="0"/>
              <w:rPr>
                <w:sz w:val="20"/>
                <w:szCs w:val="20"/>
                <w:color w:val="auto"/>
              </w:rPr>
            </w:pPr>
            <w:r>
              <w:rPr>
                <w:rFonts w:ascii="Arial" w:cs="Arial" w:eastAsia="Arial" w:hAnsi="Arial"/>
                <w:sz w:val="16"/>
                <w:szCs w:val="16"/>
                <w:color w:val="auto"/>
              </w:rPr>
              <w:t>2031 - 2035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139</w:t>
            </w:r>
          </w:p>
        </w:tc>
        <w:tc>
          <w:tcPr>
            <w:tcW w:w="940" w:type="dxa"/>
            <w:vAlign w:val="bottom"/>
          </w:tcPr>
          <w:p>
            <w:pPr>
              <w:spacing w:after="0"/>
              <w:rPr>
                <w:sz w:val="17"/>
                <w:szCs w:val="17"/>
                <w:color w:val="auto"/>
              </w:rPr>
            </w:pPr>
          </w:p>
        </w:tc>
        <w:tc>
          <w:tcPr>
            <w:tcW w:w="360" w:type="dxa"/>
            <w:vAlign w:val="bottom"/>
          </w:tcPr>
          <w:p>
            <w:pPr>
              <w:ind w:left="60"/>
              <w:spacing w:after="0"/>
              <w:rPr>
                <w:sz w:val="20"/>
                <w:szCs w:val="20"/>
                <w:color w:val="auto"/>
              </w:rPr>
            </w:pPr>
            <w:r>
              <w:rPr>
                <w:rFonts w:ascii="Arial" w:cs="Arial" w:eastAsia="Arial" w:hAnsi="Arial"/>
                <w:sz w:val="16"/>
                <w:szCs w:val="16"/>
                <w:color w:val="auto"/>
              </w:rPr>
              <w:t>308</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04"/>
        </w:trPr>
        <w:tc>
          <w:tcPr>
            <w:tcW w:w="4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2036 - 2040</w:t>
            </w:r>
          </w:p>
        </w:tc>
        <w:tc>
          <w:tcPr>
            <w:tcW w:w="20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1D2D4"/>
          </w:tcPr>
          <w:p>
            <w:pPr>
              <w:spacing w:after="0"/>
              <w:rPr>
                <w:sz w:val="17"/>
                <w:szCs w:val="17"/>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192</w:t>
            </w:r>
          </w:p>
        </w:tc>
        <w:tc>
          <w:tcPr>
            <w:tcW w:w="940" w:type="dxa"/>
            <w:vAlign w:val="bottom"/>
            <w:shd w:val="clear" w:color="auto" w:fill="D1D2D4"/>
          </w:tcPr>
          <w:p>
            <w:pPr>
              <w:spacing w:after="0"/>
              <w:rPr>
                <w:sz w:val="17"/>
                <w:szCs w:val="17"/>
                <w:color w:val="auto"/>
              </w:rPr>
            </w:pPr>
          </w:p>
        </w:tc>
        <w:tc>
          <w:tcPr>
            <w:tcW w:w="360" w:type="dxa"/>
            <w:vAlign w:val="bottom"/>
            <w:shd w:val="clear" w:color="auto" w:fill="D1D2D4"/>
          </w:tcPr>
          <w:p>
            <w:pP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192</w:t>
            </w:r>
          </w:p>
        </w:tc>
      </w:tr>
      <w:tr>
        <w:trPr>
          <w:trHeight w:val="204"/>
        </w:trPr>
        <w:tc>
          <w:tcPr>
            <w:tcW w:w="4000" w:type="dxa"/>
            <w:vAlign w:val="bottom"/>
          </w:tcPr>
          <w:p>
            <w:pPr>
              <w:ind w:left="20"/>
              <w:spacing w:after="0"/>
              <w:rPr>
                <w:sz w:val="20"/>
                <w:szCs w:val="20"/>
                <w:color w:val="auto"/>
              </w:rPr>
            </w:pPr>
            <w:r>
              <w:rPr>
                <w:rFonts w:ascii="Arial" w:cs="Arial" w:eastAsia="Arial" w:hAnsi="Arial"/>
                <w:sz w:val="16"/>
                <w:szCs w:val="16"/>
                <w:color w:val="auto"/>
              </w:rPr>
              <w:t>2041 - 2045</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71</w:t>
            </w:r>
          </w:p>
        </w:tc>
        <w:tc>
          <w:tcPr>
            <w:tcW w:w="94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4"/>
        </w:trPr>
        <w:tc>
          <w:tcPr>
            <w:tcW w:w="4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Indefinite</w:t>
            </w:r>
          </w:p>
        </w:tc>
        <w:tc>
          <w:tcPr>
            <w:tcW w:w="200" w:type="dxa"/>
            <w:vAlign w:val="bottom"/>
            <w:tcBorders>
              <w:bottom w:val="single" w:sz="8" w:color="auto"/>
            </w:tcBorders>
            <w:shd w:val="clear" w:color="auto" w:fill="D1D2D4"/>
          </w:tcPr>
          <w:p>
            <w:pPr>
              <w:spacing w:after="0"/>
              <w:rPr>
                <w:sz w:val="17"/>
                <w:szCs w:val="17"/>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2,511</w:t>
            </w:r>
          </w:p>
        </w:tc>
        <w:tc>
          <w:tcPr>
            <w:tcW w:w="260" w:type="dxa"/>
            <w:vAlign w:val="bottom"/>
            <w:tcBorders>
              <w:bottom w:val="single" w:sz="8" w:color="auto"/>
            </w:tcBorders>
            <w:shd w:val="clear" w:color="auto" w:fill="D1D2D4"/>
          </w:tcPr>
          <w:p>
            <w:pPr>
              <w:spacing w:after="0"/>
              <w:rPr>
                <w:sz w:val="17"/>
                <w:szCs w:val="17"/>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1,437</w:t>
            </w:r>
          </w:p>
        </w:tc>
        <w:tc>
          <w:tcPr>
            <w:tcW w:w="940" w:type="dxa"/>
            <w:vAlign w:val="bottom"/>
            <w:tcBorders>
              <w:bottom w:val="single" w:sz="8" w:color="auto"/>
            </w:tcBorders>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ind w:lef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3,948</w:t>
            </w:r>
          </w:p>
        </w:tc>
      </w:tr>
      <w:tr>
        <w:trPr>
          <w:trHeight w:val="196"/>
        </w:trPr>
        <w:tc>
          <w:tcPr>
            <w:tcW w:w="40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94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308</w:t>
            </w:r>
          </w:p>
        </w:tc>
        <w:tc>
          <w:tcPr>
            <w:tcW w:w="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457200</wp:posOffset>
            </wp:positionV>
            <wp:extent cx="693420"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67945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2" w:name="page93"/>
    <w:bookmarkEnd w:id="9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gridSpan w:val="8"/>
          </w:tcPr>
          <w:p>
            <w:pPr>
              <w:spacing w:after="0"/>
              <w:rPr>
                <w:sz w:val="20"/>
                <w:szCs w:val="20"/>
                <w:color w:val="auto"/>
              </w:rPr>
            </w:pPr>
            <w:r>
              <w:rPr>
                <w:rFonts w:ascii="Arial" w:cs="Arial" w:eastAsia="Arial" w:hAnsi="Arial"/>
                <w:sz w:val="16"/>
                <w:szCs w:val="16"/>
                <w:color w:val="auto"/>
              </w:rPr>
              <w:t>As of August 28, 2025, our tax credit carryforward amounts and expiration periods, as reported to tax authorities, were as follows: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4"/>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of Tax Credit Expiration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U.S. Federal</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State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Total</w:t>
            </w:r>
          </w:p>
        </w:tc>
      </w:tr>
      <w:tr>
        <w:trPr>
          <w:trHeight w:val="28"/>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2026 - 2030</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72</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102"/>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2031 - 2035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17"/>
                <w:szCs w:val="17"/>
                <w:color w:val="auto"/>
              </w:rPr>
            </w:pPr>
          </w:p>
        </w:tc>
        <w:tc>
          <w:tcPr>
            <w:tcW w:w="1020" w:type="dxa"/>
            <w:vAlign w:val="bottom"/>
          </w:tcPr>
          <w:p>
            <w:pPr>
              <w:jc w:val="center"/>
              <w:ind w:left="642"/>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2036 - 2040</w:t>
            </w: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141</w:t>
            </w: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jc w:val="center"/>
              <w:ind w:left="642"/>
              <w:spacing w:after="0"/>
              <w:rPr>
                <w:sz w:val="20"/>
                <w:szCs w:val="20"/>
                <w:color w:val="auto"/>
              </w:rPr>
            </w:pPr>
            <w:r>
              <w:rPr>
                <w:rFonts w:ascii="Arial" w:cs="Arial" w:eastAsia="Arial" w:hAnsi="Arial"/>
                <w:sz w:val="16"/>
                <w:szCs w:val="16"/>
                <w:color w:val="auto"/>
              </w:rPr>
              <w:t>40</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181</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2041 - 2046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020" w:type="dxa"/>
            <w:vAlign w:val="bottom"/>
          </w:tcPr>
          <w:p>
            <w:pPr>
              <w:jc w:val="center"/>
              <w:ind w:left="642"/>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Indefinite</w:t>
            </w:r>
          </w:p>
        </w:tc>
        <w:tc>
          <w:tcPr>
            <w:tcW w:w="180" w:type="dxa"/>
            <w:vAlign w:val="bottom"/>
            <w:tcBorders>
              <w:bottom w:val="single" w:sz="8" w:color="auto"/>
            </w:tcBorders>
            <w:shd w:val="clear" w:color="auto" w:fill="D1D2D4"/>
          </w:tcPr>
          <w:p>
            <w:pPr>
              <w:spacing w:after="0"/>
              <w:rPr>
                <w:sz w:val="17"/>
                <w:szCs w:val="17"/>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D1D2D4"/>
          </w:tcPr>
          <w:p>
            <w:pPr>
              <w:spacing w:after="0"/>
              <w:rPr>
                <w:sz w:val="17"/>
                <w:szCs w:val="17"/>
                <w:color w:val="auto"/>
              </w:rPr>
            </w:pPr>
          </w:p>
        </w:tc>
        <w:tc>
          <w:tcPr>
            <w:tcW w:w="26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159</w:t>
            </w:r>
          </w:p>
        </w:tc>
        <w:tc>
          <w:tcPr>
            <w:tcW w:w="28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center"/>
              <w:ind w:left="642"/>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159</w:t>
            </w:r>
          </w:p>
        </w:tc>
      </w:tr>
      <w:tr>
        <w:trPr>
          <w:trHeight w:val="196"/>
        </w:trPr>
        <w:tc>
          <w:tcPr>
            <w:tcW w:w="52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523</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0"/>
        </w:trPr>
        <w:tc>
          <w:tcPr>
            <w:tcW w:w="5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82"/>
        </w:trPr>
        <w:tc>
          <w:tcPr>
            <w:tcW w:w="6620" w:type="dxa"/>
            <w:vAlign w:val="bottom"/>
            <w:gridSpan w:val="3"/>
          </w:tcPr>
          <w:p>
            <w:pPr>
              <w:spacing w:after="0"/>
              <w:rPr>
                <w:sz w:val="20"/>
                <w:szCs w:val="20"/>
                <w:color w:val="auto"/>
              </w:rPr>
            </w:pPr>
            <w:r>
              <w:rPr>
                <w:rFonts w:ascii="Arial" w:cs="Arial" w:eastAsia="Arial" w:hAnsi="Arial"/>
                <w:sz w:val="16"/>
                <w:szCs w:val="16"/>
                <w:color w:val="auto"/>
                <w:w w:val="98"/>
              </w:rPr>
              <w:t>Below is a reconciliation of the beginning and ending amount of our unrecognized tax benefits: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r>
      <w:tr>
        <w:trPr>
          <w:trHeight w:val="28"/>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Beginning unrecognized tax benefits</w:t>
            </w: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320" w:type="dxa"/>
            <w:vAlign w:val="bottom"/>
            <w:gridSpan w:val="2"/>
            <w:shd w:val="clear" w:color="auto" w:fill="D1D2D4"/>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716</w:t>
            </w:r>
          </w:p>
        </w:tc>
        <w:tc>
          <w:tcPr>
            <w:tcW w:w="280" w:type="dxa"/>
            <w:vAlign w:val="bottom"/>
            <w:shd w:val="clear" w:color="auto" w:fill="D1D2D4"/>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744</w:t>
            </w:r>
          </w:p>
        </w:tc>
        <w:tc>
          <w:tcPr>
            <w:tcW w:w="30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731</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Increases related to tax positions from prior years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Increases related to prior year tax positions taken in current year</w:t>
            </w: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Increases related to tax positions taken in current year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Decreases related to tax positions from prior years</w:t>
            </w: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D1D2D4"/>
          </w:tcPr>
          <w:p>
            <w:pPr>
              <w:spacing w:after="0"/>
              <w:rPr>
                <w:sz w:val="17"/>
                <w:szCs w:val="17"/>
                <w:color w:val="auto"/>
              </w:rPr>
            </w:pPr>
          </w:p>
        </w:tc>
        <w:tc>
          <w:tcPr>
            <w:tcW w:w="1020" w:type="dxa"/>
            <w:vAlign w:val="bottom"/>
            <w:shd w:val="clear" w:color="auto" w:fill="D1D2D4"/>
          </w:tcPr>
          <w:p>
            <w:pPr>
              <w:jc w:val="center"/>
              <w:ind w:left="642"/>
              <w:spacing w:after="0"/>
              <w:rPr>
                <w:sz w:val="20"/>
                <w:szCs w:val="20"/>
                <w:color w:val="auto"/>
              </w:rPr>
            </w:pPr>
            <w:r>
              <w:rPr>
                <w:rFonts w:ascii="Arial" w:cs="Arial" w:eastAsia="Arial" w:hAnsi="Arial"/>
                <w:sz w:val="16"/>
                <w:szCs w:val="16"/>
                <w:color w:val="auto"/>
                <w:w w:val="91"/>
              </w:rPr>
              <w:t>(89)</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Decreases related to settlement with tax authorities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center"/>
              <w:ind w:left="642"/>
              <w:spacing w:after="0"/>
              <w:rPr>
                <w:sz w:val="20"/>
                <w:szCs w:val="20"/>
                <w:color w:val="auto"/>
              </w:rPr>
            </w:pPr>
            <w:r>
              <w:rPr>
                <w:rFonts w:ascii="Arial" w:cs="Arial" w:eastAsia="Arial" w:hAnsi="Arial"/>
                <w:sz w:val="16"/>
                <w:szCs w:val="16"/>
                <w:color w:val="auto"/>
                <w:w w:val="91"/>
              </w:rPr>
              <w:t>(15)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Reductions due to lapsed statutes of limitations</w:t>
            </w: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26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D1D2D4"/>
          </w:tcPr>
          <w:p>
            <w:pPr>
              <w:spacing w:after="0"/>
              <w:rPr>
                <w:sz w:val="17"/>
                <w:szCs w:val="17"/>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5280" w:type="dxa"/>
            <w:vAlign w:val="bottom"/>
          </w:tcPr>
          <w:p>
            <w:pPr>
              <w:ind w:left="20"/>
              <w:spacing w:after="0"/>
              <w:rPr>
                <w:sz w:val="20"/>
                <w:szCs w:val="20"/>
                <w:color w:val="auto"/>
              </w:rPr>
            </w:pPr>
            <w:r>
              <w:rPr>
                <w:rFonts w:ascii="Arial" w:cs="Arial" w:eastAsia="Arial" w:hAnsi="Arial"/>
                <w:sz w:val="16"/>
                <w:szCs w:val="16"/>
                <w:color w:val="auto"/>
              </w:rPr>
              <w:t>Ending unrecognized tax benefits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735</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716</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40"/>
        <w:spacing w:after="0" w:line="290" w:lineRule="auto"/>
        <w:rPr>
          <w:sz w:val="20"/>
          <w:szCs w:val="20"/>
          <w:color w:val="auto"/>
        </w:rPr>
      </w:pPr>
      <w:r>
        <w:rPr>
          <w:rFonts w:ascii="Arial" w:cs="Arial" w:eastAsia="Arial" w:hAnsi="Arial"/>
          <w:sz w:val="14"/>
          <w:szCs w:val="14"/>
          <w:color w:val="auto"/>
        </w:rPr>
        <w:t>As of August 28, 2025, gross unrecognized tax benefits were $735 million, which would have an impact of approximately $611 million on our effective tax rate in the future, if recognized. Amounts accrued for interest and penalties related to uncertain tax positions were not material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17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2025. We are currently under audit by the Internal Revenue Service for our 2018 and 2019 tax years. In addition, tax returns that remain open to examination in Singapore, Taiwan and Japan range from the years 2017 to 2025.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6" w:lineRule="exact"/>
        <w:rPr>
          <w:sz w:val="20"/>
          <w:szCs w:val="20"/>
          <w:color w:val="auto"/>
        </w:rPr>
      </w:pPr>
    </w:p>
    <w:p>
      <w:pPr>
        <w:ind w:right="100"/>
        <w:spacing w:after="0" w:line="301" w:lineRule="auto"/>
        <w:rPr>
          <w:sz w:val="20"/>
          <w:szCs w:val="20"/>
          <w:color w:val="auto"/>
        </w:rPr>
      </w:pPr>
      <w:r>
        <w:rPr>
          <w:rFonts w:ascii="Arial" w:cs="Arial" w:eastAsia="Arial" w:hAnsi="Arial"/>
          <w:sz w:val="14"/>
          <w:szCs w:val="14"/>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4"/>
          </w:tcPr>
          <w:p>
            <w:pPr>
              <w:ind w:left="12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987"/>
        </w:trPr>
        <w:tc>
          <w:tcPr>
            <w:tcW w:w="6700" w:type="dxa"/>
            <w:vAlign w:val="bottom"/>
          </w:tcPr>
          <w:p>
            <w:pPr>
              <w:spacing w:after="0"/>
              <w:rPr>
                <w:sz w:val="20"/>
                <w:szCs w:val="20"/>
                <w:color w:val="auto"/>
              </w:rPr>
            </w:pPr>
            <w:r>
              <w:rPr>
                <w:rFonts w:ascii="Arial" w:cs="Arial" w:eastAsia="Arial" w:hAnsi="Arial"/>
                <w:sz w:val="35"/>
                <w:szCs w:val="35"/>
                <w:b w:val="1"/>
                <w:bCs w:val="1"/>
                <w:color w:val="auto"/>
              </w:rPr>
              <w:t>Note 26. Earnings Per Share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BD03F7"/>
            </w:tcBorders>
          </w:tcPr>
          <w:p>
            <w:pPr>
              <w:spacing w:after="0"/>
              <w:rPr>
                <w:sz w:val="24"/>
                <w:szCs w:val="24"/>
                <w:color w:val="auto"/>
              </w:rPr>
            </w:pPr>
          </w:p>
        </w:tc>
        <w:tc>
          <w:tcPr>
            <w:tcW w:w="10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r>
      <w:tr>
        <w:trPr>
          <w:trHeight w:val="28"/>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6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 (loss) – Basic and Diluted</w:t>
            </w:r>
          </w:p>
        </w:tc>
        <w:tc>
          <w:tcPr>
            <w:tcW w:w="280" w:type="dxa"/>
            <w:vAlign w:val="bottom"/>
            <w:shd w:val="clear" w:color="auto" w:fill="D1D2D4"/>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8,539</w:t>
            </w:r>
          </w:p>
        </w:tc>
        <w:tc>
          <w:tcPr>
            <w:tcW w:w="3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778</w:t>
            </w:r>
          </w:p>
        </w:tc>
        <w:tc>
          <w:tcPr>
            <w:tcW w:w="320" w:type="dxa"/>
            <w:vAlign w:val="bottom"/>
            <w:gridSpan w:val="2"/>
            <w:shd w:val="clear" w:color="auto" w:fill="D1D2D4"/>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(5,833)</w:t>
            </w:r>
          </w:p>
        </w:tc>
        <w:tc>
          <w:tcPr>
            <w:tcW w:w="20" w:type="dxa"/>
            <w:vAlign w:val="bottom"/>
          </w:tcPr>
          <w:p>
            <w:pPr>
              <w:spacing w:after="0"/>
              <w:rPr>
                <w:sz w:val="17"/>
                <w:szCs w:val="17"/>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6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8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1,116</w:t>
            </w:r>
          </w:p>
        </w:tc>
        <w:tc>
          <w:tcPr>
            <w:tcW w:w="32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17"/>
                <w:szCs w:val="17"/>
                <w:color w:val="auto"/>
              </w:rPr>
            </w:pP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Dilutive effect of equity compensation plans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1"/>
        </w:trPr>
        <w:tc>
          <w:tcPr>
            <w:tcW w:w="6700" w:type="dxa"/>
            <w:vAlign w:val="bottom"/>
            <w:tcBorders>
              <w:top w:val="single" w:sz="8" w:color="D1D2D4"/>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80" w:type="dxa"/>
            <w:vAlign w:val="bottom"/>
            <w:tcBorders>
              <w:top w:val="single" w:sz="8" w:color="auto"/>
              <w:bottom w:val="single" w:sz="8" w:color="auto"/>
            </w:tcBorders>
            <w:shd w:val="clear" w:color="auto" w:fill="D1D2D4"/>
          </w:tcPr>
          <w:p>
            <w:pPr>
              <w:spacing w:after="0"/>
              <w:rPr>
                <w:sz w:val="18"/>
                <w:szCs w:val="18"/>
                <w:color w:val="auto"/>
              </w:rPr>
            </w:pPr>
          </w:p>
        </w:tc>
        <w:tc>
          <w:tcPr>
            <w:tcW w:w="9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1,125</w:t>
            </w:r>
          </w:p>
        </w:tc>
        <w:tc>
          <w:tcPr>
            <w:tcW w:w="320" w:type="dxa"/>
            <w:vAlign w:val="bottom"/>
            <w:tcBorders>
              <w:top w:val="single" w:sz="8" w:color="auto"/>
              <w:bottom w:val="single" w:sz="8" w:color="auto"/>
            </w:tcBorders>
            <w:shd w:val="clear" w:color="auto" w:fill="D1D2D4"/>
          </w:tcPr>
          <w:p>
            <w:pPr>
              <w:spacing w:after="0"/>
              <w:rPr>
                <w:sz w:val="18"/>
                <w:szCs w:val="18"/>
                <w:color w:val="auto"/>
              </w:rPr>
            </w:pPr>
          </w:p>
        </w:tc>
        <w:tc>
          <w:tcPr>
            <w:tcW w:w="9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Borders>
              <w:top w:val="single" w:sz="8" w:color="auto"/>
              <w:bottom w:val="single" w:sz="8" w:color="auto"/>
            </w:tcBorders>
            <w:shd w:val="clear" w:color="auto" w:fill="D1D2D4"/>
          </w:tcPr>
          <w:p>
            <w:pPr>
              <w:spacing w:after="0"/>
              <w:rPr>
                <w:sz w:val="18"/>
                <w:szCs w:val="18"/>
                <w:color w:val="auto"/>
              </w:rPr>
            </w:pPr>
          </w:p>
        </w:tc>
        <w:tc>
          <w:tcPr>
            <w:tcW w:w="200" w:type="dxa"/>
            <w:vAlign w:val="bottom"/>
            <w:tcBorders>
              <w:top w:val="single" w:sz="8" w:color="auto"/>
              <w:bottom w:val="single" w:sz="8" w:color="auto"/>
            </w:tcBorders>
            <w:shd w:val="clear" w:color="auto" w:fill="D1D2D4"/>
          </w:tcPr>
          <w:p>
            <w:pPr>
              <w:spacing w:after="0"/>
              <w:rPr>
                <w:sz w:val="18"/>
                <w:szCs w:val="18"/>
                <w:color w:val="auto"/>
              </w:rPr>
            </w:pPr>
          </w:p>
        </w:tc>
        <w:tc>
          <w:tcPr>
            <w:tcW w:w="10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18"/>
                <w:szCs w:val="18"/>
                <w:color w:val="auto"/>
              </w:rPr>
            </w:pPr>
          </w:p>
        </w:tc>
      </w:tr>
      <w:tr>
        <w:trPr>
          <w:trHeight w:val="20"/>
        </w:trPr>
        <w:tc>
          <w:tcPr>
            <w:tcW w:w="670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4"/>
        </w:trPr>
        <w:tc>
          <w:tcPr>
            <w:tcW w:w="6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Earnings (loss) per share</w:t>
            </w:r>
          </w:p>
        </w:tc>
        <w:tc>
          <w:tcPr>
            <w:tcW w:w="28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320" w:type="dxa"/>
            <w:vAlign w:val="bottom"/>
            <w:shd w:val="clear" w:color="auto" w:fill="D1D2D4"/>
          </w:tcPr>
          <w:p>
            <w:pPr>
              <w:spacing w:after="0"/>
              <w:rPr>
                <w:sz w:val="17"/>
                <w:szCs w:val="17"/>
                <w:color w:val="auto"/>
              </w:rPr>
            </w:pPr>
          </w:p>
        </w:tc>
        <w:tc>
          <w:tcPr>
            <w:tcW w:w="96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700" w:type="dxa"/>
            <w:vAlign w:val="bottom"/>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7.65</w:t>
            </w: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0.70</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7"/>
                <w:szCs w:val="17"/>
                <w:color w:val="auto"/>
              </w:rPr>
            </w:pPr>
          </w:p>
        </w:tc>
      </w:tr>
      <w:tr>
        <w:trPr>
          <w:trHeight w:val="204"/>
        </w:trPr>
        <w:tc>
          <w:tcPr>
            <w:tcW w:w="6700" w:type="dxa"/>
            <w:vAlign w:val="bottom"/>
            <w:shd w:val="clear" w:color="auto" w:fill="D1D2D4"/>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7.59</w:t>
            </w:r>
          </w:p>
        </w:tc>
        <w:tc>
          <w:tcPr>
            <w:tcW w:w="32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7"/>
                <w:szCs w:val="17"/>
                <w:color w:val="auto"/>
              </w:rPr>
            </w:pPr>
          </w:p>
        </w:tc>
      </w:tr>
    </w:tbl>
    <w:p>
      <w:pPr>
        <w:spacing w:after="0" w:line="289" w:lineRule="exact"/>
        <w:rPr>
          <w:sz w:val="20"/>
          <w:szCs w:val="20"/>
          <w:color w:val="auto"/>
        </w:rPr>
      </w:pPr>
    </w:p>
    <w:p>
      <w:pPr>
        <w:ind w:right="500"/>
        <w:spacing w:after="0" w:line="257" w:lineRule="auto"/>
        <w:rPr>
          <w:sz w:val="20"/>
          <w:szCs w:val="20"/>
          <w:color w:val="auto"/>
        </w:rPr>
      </w:pPr>
      <w:r>
        <w:rPr>
          <w:rFonts w:ascii="Arial" w:cs="Arial" w:eastAsia="Arial" w:hAnsi="Arial"/>
          <w:sz w:val="16"/>
          <w:szCs w:val="16"/>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62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2025</w:t>
            </w: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8"/>
        </w:trPr>
        <w:tc>
          <w:tcPr>
            <w:tcW w:w="44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44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compensation plans</w:t>
            </w:r>
          </w:p>
        </w:tc>
        <w:tc>
          <w:tcPr>
            <w:tcW w:w="3620" w:type="dxa"/>
            <w:vAlign w:val="bottom"/>
            <w:shd w:val="clear" w:color="auto" w:fill="D1D2D4"/>
          </w:tcPr>
          <w:p>
            <w:pPr>
              <w:jc w:val="right"/>
              <w:ind w:right="222"/>
              <w:spacing w:after="0"/>
              <w:rPr>
                <w:sz w:val="20"/>
                <w:szCs w:val="20"/>
                <w:color w:val="auto"/>
              </w:rPr>
            </w:pPr>
            <w:r>
              <w:rPr>
                <w:rFonts w:ascii="Arial" w:cs="Arial" w:eastAsia="Arial" w:hAnsi="Arial"/>
                <w:sz w:val="16"/>
                <w:szCs w:val="16"/>
                <w:color w:val="auto"/>
              </w:rPr>
              <w:t>6</w:t>
            </w:r>
          </w:p>
        </w:tc>
        <w:tc>
          <w:tcPr>
            <w:tcW w:w="1340" w:type="dxa"/>
            <w:vAlign w:val="bottom"/>
            <w:shd w:val="clear" w:color="auto" w:fill="D1D2D4"/>
          </w:tcPr>
          <w:p>
            <w:pPr>
              <w:jc w:val="right"/>
              <w:ind w:right="202"/>
              <w:spacing w:after="0"/>
              <w:rPr>
                <w:sz w:val="20"/>
                <w:szCs w:val="20"/>
                <w:color w:val="auto"/>
              </w:rPr>
            </w:pPr>
            <w:r>
              <w:rPr>
                <w:rFonts w:ascii="Arial" w:cs="Arial" w:eastAsia="Arial" w:hAnsi="Arial"/>
                <w:sz w:val="16"/>
                <w:szCs w:val="16"/>
                <w:color w:val="auto"/>
              </w:rPr>
              <w:t>3</w:t>
            </w:r>
          </w:p>
        </w:tc>
        <w:tc>
          <w:tcPr>
            <w:tcW w:w="114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33</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27. Segment and Other Information</w:t>
      </w:r>
    </w:p>
    <w:p>
      <w:pPr>
        <w:spacing w:after="0" w:line="249"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We initiated a strategic reorganization of our business units to a market segment-focused business unit structure, with AI growth opportunities in every business unit. We completed the reorganization of our operations and organizational structure and began to manage operations under our new segment structure effective in the fourth quarter of 2025. As high-performance memory and storage become increasingly vital to drive the growth of AI, this business unit reorganization allows us to stay at the forefront of innovation in each market segment through deeper customer engagement and to address the dynamic needs of the industry.</w:t>
      </w:r>
    </w:p>
    <w:p>
      <w:pPr>
        <w:spacing w:after="0" w:line="205"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All prior-period segment amounts have been retrospectively adjusted to reflect the way our Chief Executive Officer, who is our Chief Operating Decision Maker (“CODM”), assesses the performance of our segments based on segment revenue, cost of goods sold, operating expenses, and operating income (loss). The segment information reported herein is regularly provided to and reviewed and evaluated by our CODM to budget, forecast, and decide how to allocate resources for capital investments, human capital, and other strategic investments across our segments. There are no changes to our Consolidated Financial Statements for any prior periods.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four business units, which are our reportable segments:</w:t>
      </w:r>
    </w:p>
    <w:p>
      <w:pPr>
        <w:spacing w:after="0" w:line="236" w:lineRule="exact"/>
        <w:rPr>
          <w:sz w:val="20"/>
          <w:szCs w:val="20"/>
          <w:color w:val="auto"/>
        </w:rPr>
      </w:pPr>
    </w:p>
    <w:p>
      <w:pPr>
        <w:ind w:left="580" w:right="300" w:hanging="286"/>
        <w:spacing w:after="0" w:line="248" w:lineRule="auto"/>
        <w:tabs>
          <w:tab w:leader="none" w:pos="568" w:val="left"/>
        </w:tabs>
        <w:numPr>
          <w:ilvl w:val="0"/>
          <w:numId w:val="3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Cloud Memory Business Unit (“CMBU”): </w:t>
      </w:r>
      <w:r>
        <w:rPr>
          <w:rFonts w:ascii="Arial" w:cs="Arial" w:eastAsia="Arial" w:hAnsi="Arial"/>
          <w:sz w:val="16"/>
          <w:szCs w:val="16"/>
          <w:color w:val="auto"/>
        </w:rPr>
        <w:t>Focused on memory solutions for large hyperscale cloud customers, and HBM for all data center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w:t>
      </w:r>
    </w:p>
    <w:p>
      <w:pPr>
        <w:spacing w:after="0" w:line="40" w:lineRule="exact"/>
        <w:rPr>
          <w:rFonts w:ascii="Arial" w:cs="Arial" w:eastAsia="Arial" w:hAnsi="Arial"/>
          <w:sz w:val="18"/>
          <w:szCs w:val="18"/>
          <w:color w:val="auto"/>
        </w:rPr>
      </w:pPr>
    </w:p>
    <w:p>
      <w:pPr>
        <w:ind w:left="580" w:right="80" w:hanging="286"/>
        <w:spacing w:after="0" w:line="248" w:lineRule="auto"/>
        <w:tabs>
          <w:tab w:leader="none" w:pos="568" w:val="left"/>
        </w:tabs>
        <w:numPr>
          <w:ilvl w:val="0"/>
          <w:numId w:val="3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Core Data Center Business Unit (“CDBU”): </w:t>
      </w:r>
      <w:r>
        <w:rPr>
          <w:rFonts w:ascii="Arial" w:cs="Arial" w:eastAsia="Arial" w:hAnsi="Arial"/>
          <w:sz w:val="16"/>
          <w:szCs w:val="16"/>
          <w:color w:val="auto"/>
        </w:rPr>
        <w:t>Focused on memory solutions for mid-tier cloud, enterprise, and OEM data center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solutions for all data center customers.</w:t>
      </w:r>
    </w:p>
    <w:p>
      <w:pPr>
        <w:spacing w:after="0" w:line="40" w:lineRule="exact"/>
        <w:rPr>
          <w:rFonts w:ascii="Arial" w:cs="Arial" w:eastAsia="Arial" w:hAnsi="Arial"/>
          <w:sz w:val="18"/>
          <w:szCs w:val="18"/>
          <w:color w:val="auto"/>
        </w:rPr>
      </w:pPr>
    </w:p>
    <w:p>
      <w:pPr>
        <w:ind w:left="580" w:hanging="286"/>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Mobile and Client Business Unit (“MCBU”): </w:t>
      </w:r>
      <w:r>
        <w:rPr>
          <w:rFonts w:ascii="Arial" w:cs="Arial" w:eastAsia="Arial" w:hAnsi="Arial"/>
          <w:sz w:val="16"/>
          <w:szCs w:val="16"/>
          <w:color w:val="auto"/>
        </w:rPr>
        <w:t>Focused on memory and storage solutions for the mobile and client segments.</w:t>
      </w:r>
    </w:p>
    <w:p>
      <w:pPr>
        <w:spacing w:after="0" w:line="57" w:lineRule="exact"/>
        <w:rPr>
          <w:rFonts w:ascii="Arial" w:cs="Arial" w:eastAsia="Arial" w:hAnsi="Arial"/>
          <w:sz w:val="18"/>
          <w:szCs w:val="18"/>
          <w:color w:val="auto"/>
        </w:rPr>
      </w:pPr>
    </w:p>
    <w:p>
      <w:pPr>
        <w:ind w:left="580" w:right="20" w:hanging="286"/>
        <w:spacing w:after="0" w:line="248" w:lineRule="auto"/>
        <w:tabs>
          <w:tab w:leader="none" w:pos="568" w:val="left"/>
        </w:tabs>
        <w:numPr>
          <w:ilvl w:val="0"/>
          <w:numId w:val="34"/>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Automotive and Embedded Business Unit (“AEBU”): </w:t>
      </w:r>
      <w:r>
        <w:rPr>
          <w:rFonts w:ascii="Arial" w:cs="Arial" w:eastAsia="Arial" w:hAnsi="Arial"/>
          <w:sz w:val="16"/>
          <w:szCs w:val="16"/>
          <w:color w:val="auto"/>
        </w:rPr>
        <w:t>Focused on memory and storage solutions for the automotive, industrial,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w:t>
      </w:r>
    </w:p>
    <w:p>
      <w:pPr>
        <w:spacing w:after="0" w:line="244"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Our other operations do not meet the thresholds of a reportable segment and are reported under All Other. 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Certain income and expenses are not allocated to segments because our CODM does not consider these amounts in the assessment of the performance of our segments. The unallocated amounts primarily include stock-based compensation, the impact of inventory NRV write-downs, gains and losses from settlements, restructure and asset impairment, and goodwill impairment.</w:t>
      </w:r>
    </w:p>
    <w:p>
      <w:pPr>
        <w:spacing w:after="0" w:line="395"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94" w:name="page95"/>
    <w:bookmarkEnd w:id="9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CMBU</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CDBU</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MCBU</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AEBU</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All Other</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6"/>
              </w:rPr>
              <w:t>Unallocated</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Total</w:t>
            </w:r>
          </w:p>
        </w:tc>
      </w:tr>
      <w:tr>
        <w:trPr>
          <w:trHeight w:val="28"/>
        </w:trPr>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13,524</w:t>
            </w:r>
          </w:p>
        </w:tc>
        <w:tc>
          <w:tcPr>
            <w:tcW w:w="2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7,229</w:t>
            </w:r>
          </w:p>
        </w:tc>
        <w:tc>
          <w:tcPr>
            <w:tcW w:w="22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11,859</w:t>
            </w:r>
          </w:p>
        </w:tc>
        <w:tc>
          <w:tcPr>
            <w:tcW w:w="24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4,753</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37,378</w:t>
            </w:r>
          </w:p>
        </w:tc>
      </w:tr>
      <w:tr>
        <w:trPr>
          <w:trHeight w:val="204"/>
        </w:trPr>
        <w:tc>
          <w:tcPr>
            <w:tcW w:w="31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5,867</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22,505</w:t>
            </w:r>
          </w:p>
        </w:tc>
      </w:tr>
      <w:tr>
        <w:trPr>
          <w:trHeight w:val="196"/>
        </w:trPr>
        <w:tc>
          <w:tcPr>
            <w:tcW w:w="31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7,657</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3,234</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3,209</w:t>
            </w:r>
          </w:p>
        </w:tc>
        <w:tc>
          <w:tcPr>
            <w:tcW w:w="24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1,187</w:t>
            </w:r>
          </w:p>
        </w:tc>
        <w:tc>
          <w:tcPr>
            <w:tcW w:w="18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(413)</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14,873</w:t>
            </w:r>
          </w:p>
        </w:tc>
      </w:tr>
      <w:tr>
        <w:trPr>
          <w:trHeight w:val="216"/>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864</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836</w:t>
            </w:r>
          </w:p>
        </w:tc>
        <w:tc>
          <w:tcPr>
            <w:tcW w:w="24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D1D2D4"/>
          </w:tcPr>
          <w:p>
            <w:pPr>
              <w:spacing w:after="0"/>
              <w:rPr>
                <w:sz w:val="17"/>
                <w:szCs w:val="17"/>
                <w:color w:val="auto"/>
              </w:rPr>
            </w:pPr>
          </w:p>
        </w:tc>
        <w:tc>
          <w:tcPr>
            <w:tcW w:w="9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348</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3,798</w:t>
            </w:r>
          </w:p>
        </w:tc>
      </w:tr>
      <w:tr>
        <w:trPr>
          <w:trHeight w:val="204"/>
        </w:trPr>
        <w:tc>
          <w:tcPr>
            <w:tcW w:w="31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Restructure and asset impairment</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7"/>
                <w:szCs w:val="17"/>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9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10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39</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w:t>
            </w:r>
          </w:p>
        </w:tc>
      </w:tr>
      <w:tr>
        <w:trPr>
          <w:trHeight w:val="204"/>
        </w:trPr>
        <w:tc>
          <w:tcPr>
            <w:tcW w:w="31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operating (income) expense, net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21"/>
        </w:trPr>
        <w:tc>
          <w:tcPr>
            <w:tcW w:w="3140" w:type="dxa"/>
            <w:vAlign w:val="bottom"/>
            <w:tcBorders>
              <w:bottom w:val="single" w:sz="8" w:color="D1D2D4"/>
            </w:tcBorders>
            <w:shd w:val="clear" w:color="auto" w:fill="D1D2D4"/>
          </w:tcPr>
          <w:p>
            <w:pPr>
              <w:ind w:left="1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6,129</w:t>
            </w:r>
          </w:p>
        </w:tc>
        <w:tc>
          <w:tcPr>
            <w:tcW w:w="22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2,180</w:t>
            </w:r>
          </w:p>
        </w:tc>
        <w:tc>
          <w:tcPr>
            <w:tcW w:w="22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1,981</w:t>
            </w:r>
          </w:p>
        </w:tc>
        <w:tc>
          <w:tcPr>
            <w:tcW w:w="24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557</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(1,076)</w:t>
            </w:r>
          </w:p>
        </w:tc>
        <w:tc>
          <w:tcPr>
            <w:tcW w:w="240" w:type="dxa"/>
            <w:vAlign w:val="bottom"/>
            <w:tcBorders>
              <w:bottom w:val="single" w:sz="8" w:color="auto"/>
            </w:tcBorders>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9,770</w:t>
            </w:r>
          </w:p>
        </w:tc>
      </w:tr>
      <w:tr>
        <w:trPr>
          <w:trHeight w:val="20"/>
        </w:trPr>
        <w:tc>
          <w:tcPr>
            <w:tcW w:w="31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8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2024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CMBU</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CDBU</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MCBU</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AEBU</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All Other</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9"/>
              </w:rPr>
              <w:t>Unallocated</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Total</w:t>
            </w:r>
          </w:p>
        </w:tc>
      </w:tr>
      <w:tr>
        <w:trPr>
          <w:trHeight w:val="28"/>
        </w:trPr>
        <w:tc>
          <w:tcPr>
            <w:tcW w:w="3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4"/>
        </w:trPr>
        <w:tc>
          <w:tcPr>
            <w:tcW w:w="3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3,792</w:t>
            </w:r>
          </w:p>
        </w:tc>
        <w:tc>
          <w:tcPr>
            <w:tcW w:w="2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4,984</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11,667</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4,631</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25,111</w:t>
            </w:r>
          </w:p>
        </w:tc>
      </w:tr>
      <w:tr>
        <w:trPr>
          <w:trHeight w:val="204"/>
        </w:trPr>
        <w:tc>
          <w:tcPr>
            <w:tcW w:w="31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19,498</w:t>
            </w:r>
          </w:p>
        </w:tc>
      </w:tr>
      <w:tr>
        <w:trPr>
          <w:trHeight w:val="196"/>
        </w:trPr>
        <w:tc>
          <w:tcPr>
            <w:tcW w:w="31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1,115</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1,346</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1,445</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1,033</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D1D2D4"/>
          </w:tcPr>
          <w:p>
            <w:pPr>
              <w:spacing w:after="0"/>
              <w:rPr>
                <w:sz w:val="17"/>
                <w:szCs w:val="17"/>
                <w:color w:val="auto"/>
              </w:rPr>
            </w:pPr>
          </w:p>
        </w:tc>
        <w:tc>
          <w:tcPr>
            <w:tcW w:w="10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657</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5,613</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4"/>
        </w:trPr>
        <w:tc>
          <w:tcPr>
            <w:tcW w:w="3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769</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960</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994</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0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282</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3,430</w:t>
            </w:r>
          </w:p>
        </w:tc>
      </w:tr>
      <w:tr>
        <w:trPr>
          <w:trHeight w:val="204"/>
        </w:trPr>
        <w:tc>
          <w:tcPr>
            <w:tcW w:w="31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1,129</w:t>
            </w:r>
          </w:p>
        </w:tc>
      </w:tr>
      <w:tr>
        <w:trPr>
          <w:trHeight w:val="204"/>
        </w:trPr>
        <w:tc>
          <w:tcPr>
            <w:tcW w:w="3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Restructure and asset impairment</w:t>
            </w:r>
          </w:p>
        </w:tc>
        <w:tc>
          <w:tcPr>
            <w:tcW w:w="20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10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w:t>
            </w:r>
          </w:p>
        </w:tc>
        <w:tc>
          <w:tcPr>
            <w:tcW w:w="24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31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operating (income) expense, net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21"/>
        </w:trPr>
        <w:tc>
          <w:tcPr>
            <w:tcW w:w="3100" w:type="dxa"/>
            <w:vAlign w:val="bottom"/>
            <w:tcBorders>
              <w:bottom w:val="single" w:sz="8" w:color="D1D2D4"/>
            </w:tcBorders>
            <w:shd w:val="clear" w:color="auto" w:fill="D1D2D4"/>
          </w:tcPr>
          <w:p>
            <w:pPr>
              <w:ind w:left="12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356</w:t>
            </w:r>
          </w:p>
        </w:tc>
        <w:tc>
          <w:tcPr>
            <w:tcW w:w="240" w:type="dxa"/>
            <w:vAlign w:val="bottom"/>
            <w:tcBorders>
              <w:bottom w:val="single" w:sz="8" w:color="auto"/>
            </w:tcBorders>
            <w:shd w:val="clear" w:color="auto" w:fill="D1D2D4"/>
          </w:tcPr>
          <w:p>
            <w:pPr>
              <w:jc w:val="right"/>
              <w:ind w:right="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1,304</w:t>
            </w:r>
          </w:p>
        </w:tc>
      </w:tr>
      <w:tr>
        <w:trPr>
          <w:trHeight w:val="20"/>
        </w:trPr>
        <w:tc>
          <w:tcPr>
            <w:tcW w:w="31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2023</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CMBU</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CDBU</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MCBU</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AEBU</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All Other</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6"/>
              </w:rPr>
              <w:t>Unallocated</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Total</w:t>
            </w:r>
          </w:p>
        </w:tc>
      </w:tr>
      <w:tr>
        <w:trPr>
          <w:trHeight w:val="28"/>
        </w:trPr>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1,872</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2,124</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7,394</w:t>
            </w:r>
          </w:p>
        </w:tc>
        <w:tc>
          <w:tcPr>
            <w:tcW w:w="200" w:type="dxa"/>
            <w:vAlign w:val="bottom"/>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4,139</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15,540</w:t>
            </w:r>
          </w:p>
        </w:tc>
      </w:tr>
      <w:tr>
        <w:trPr>
          <w:trHeight w:val="204"/>
        </w:trPr>
        <w:tc>
          <w:tcPr>
            <w:tcW w:w="31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1,967</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16,956</w:t>
            </w:r>
          </w:p>
        </w:tc>
      </w:tr>
      <w:tr>
        <w:trPr>
          <w:trHeight w:val="196"/>
        </w:trPr>
        <w:tc>
          <w:tcPr>
            <w:tcW w:w="31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157</w:t>
            </w:r>
          </w:p>
        </w:tc>
        <w:tc>
          <w:tcPr>
            <w:tcW w:w="18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(1,678)</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1,234</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(1,207)</w:t>
            </w:r>
          </w:p>
        </w:tc>
        <w:tc>
          <w:tcPr>
            <w:tcW w:w="22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(1,416)</w:t>
            </w:r>
          </w:p>
        </w:tc>
      </w:tr>
      <w:tr>
        <w:trPr>
          <w:trHeight w:val="216"/>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755</w:t>
            </w:r>
          </w:p>
        </w:tc>
        <w:tc>
          <w:tcPr>
            <w:tcW w:w="20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622</w:t>
            </w:r>
          </w:p>
        </w:tc>
        <w:tc>
          <w:tcPr>
            <w:tcW w:w="180" w:type="dxa"/>
            <w:vAlign w:val="bottom"/>
            <w:shd w:val="clear" w:color="auto" w:fill="D1D2D4"/>
          </w:tcPr>
          <w:p>
            <w:pPr>
              <w:spacing w:after="0"/>
              <w:rPr>
                <w:sz w:val="17"/>
                <w:szCs w:val="17"/>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1,122</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389</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3,114</w:t>
            </w:r>
          </w:p>
        </w:tc>
      </w:tr>
      <w:tr>
        <w:trPr>
          <w:trHeight w:val="204"/>
        </w:trPr>
        <w:tc>
          <w:tcPr>
            <w:tcW w:w="31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920</w:t>
            </w:r>
          </w:p>
        </w:tc>
      </w:tr>
      <w:tr>
        <w:trPr>
          <w:trHeight w:val="204"/>
        </w:trPr>
        <w:tc>
          <w:tcPr>
            <w:tcW w:w="3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Restructure and asset impairment</w:t>
            </w:r>
          </w:p>
        </w:tc>
        <w:tc>
          <w:tcPr>
            <w:tcW w:w="18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8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7"/>
                <w:szCs w:val="17"/>
                <w:color w:val="auto"/>
              </w:rPr>
            </w:pPr>
          </w:p>
        </w:tc>
        <w:tc>
          <w:tcPr>
            <w:tcW w:w="86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7"/>
                <w:szCs w:val="17"/>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D1D2D4"/>
          </w:tcPr>
          <w:p>
            <w:pPr>
              <w:spacing w:after="0"/>
              <w:rPr>
                <w:sz w:val="17"/>
                <w:szCs w:val="17"/>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171</w:t>
            </w:r>
          </w:p>
        </w:tc>
      </w:tr>
      <w:tr>
        <w:trPr>
          <w:trHeight w:val="204"/>
        </w:trPr>
        <w:tc>
          <w:tcPr>
            <w:tcW w:w="31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operating (income) expense, net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1"/>
        </w:trPr>
        <w:tc>
          <w:tcPr>
            <w:tcW w:w="3140" w:type="dxa"/>
            <w:vAlign w:val="bottom"/>
            <w:tcBorders>
              <w:bottom w:val="single" w:sz="8" w:color="D1D2D4"/>
            </w:tcBorders>
            <w:shd w:val="clear" w:color="auto" w:fill="D1D2D4"/>
          </w:tcPr>
          <w:p>
            <w:pPr>
              <w:ind w:left="1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(768)</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(563)</w:t>
            </w: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(3,189)</w:t>
            </w:r>
          </w:p>
        </w:tc>
        <w:tc>
          <w:tcPr>
            <w:tcW w:w="200" w:type="dxa"/>
            <w:vAlign w:val="bottom"/>
            <w:tcBorders>
              <w:bottom w:val="single" w:sz="8" w:color="auto"/>
            </w:tcBorders>
            <w:shd w:val="clear" w:color="auto" w:fill="D1D2D4"/>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680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(1,913)</w:t>
            </w:r>
          </w:p>
        </w:tc>
        <w:tc>
          <w:tcPr>
            <w:tcW w:w="220" w:type="dxa"/>
            <w:vAlign w:val="bottom"/>
            <w:tcBorders>
              <w:bottom w:val="single" w:sz="8" w:color="auto"/>
            </w:tcBorders>
            <w:shd w:val="clear" w:color="auto" w:fill="D1D2D4"/>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(5,745)</w:t>
            </w:r>
          </w:p>
        </w:tc>
      </w:tr>
      <w:tr>
        <w:trPr>
          <w:trHeight w:val="20"/>
        </w:trPr>
        <w:tc>
          <w:tcPr>
            <w:tcW w:w="31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9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5" w:name="page96"/>
    <w:bookmarkEnd w:id="95"/>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spacing w:after="0"/>
              <w:rPr>
                <w:sz w:val="20"/>
                <w:szCs w:val="20"/>
                <w:color w:val="auto"/>
              </w:rPr>
            </w:pPr>
            <w:r>
              <w:rPr>
                <w:rFonts w:ascii="Arial" w:cs="Arial" w:eastAsia="Arial" w:hAnsi="Arial"/>
                <w:sz w:val="16"/>
                <w:szCs w:val="16"/>
                <w:color w:val="auto"/>
              </w:rPr>
              <w:t>The table below presents the unallocated amounts: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Unallocated</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shd w:val="clear" w:color="auto" w:fill="D1D2D4"/>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409</w:t>
            </w:r>
          </w:p>
        </w:tc>
        <w:tc>
          <w:tcPr>
            <w:tcW w:w="320" w:type="dxa"/>
            <w:vAlign w:val="bottom"/>
            <w:shd w:val="clear" w:color="auto" w:fill="D1D2D4"/>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312</w:t>
            </w:r>
          </w:p>
        </w:tc>
        <w:tc>
          <w:tcPr>
            <w:tcW w:w="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4"/>
        </w:trPr>
        <w:tc>
          <w:tcPr>
            <w:tcW w:w="6640" w:type="dxa"/>
            <w:vAlign w:val="bottom"/>
          </w:tcPr>
          <w:p>
            <w:pPr>
              <w:ind w:left="220"/>
              <w:spacing w:after="0"/>
              <w:rPr>
                <w:sz w:val="20"/>
                <w:szCs w:val="20"/>
                <w:color w:val="auto"/>
              </w:rPr>
            </w:pPr>
            <w:r>
              <w:rPr>
                <w:rFonts w:ascii="Arial" w:cs="Arial" w:eastAsia="Arial" w:hAnsi="Arial"/>
                <w:sz w:val="16"/>
                <w:szCs w:val="16"/>
                <w:color w:val="auto"/>
              </w:rPr>
              <w:t>Provision to write down inventories to net realizable value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Lower costs from sale of inventory written down in prior periods</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(987)</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D1D2D4"/>
            </w:tcBorders>
          </w:tcPr>
          <w:p>
            <w:pPr>
              <w:ind w:left="2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D1D2D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664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413</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(657)</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04"/>
        </w:trPr>
        <w:tc>
          <w:tcPr>
            <w:tcW w:w="66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347</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296</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D1D2D4"/>
            </w:tcBorders>
          </w:tcPr>
          <w:p>
            <w:pPr>
              <w:ind w:left="2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D1D2D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64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348</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282</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4"/>
        </w:trPr>
        <w:tc>
          <w:tcPr>
            <w:tcW w:w="66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300" w:type="dxa"/>
            <w:vAlign w:val="bottom"/>
            <w:gridSpan w:val="2"/>
            <w:shd w:val="clear" w:color="auto" w:fill="D1D2D4"/>
          </w:tcPr>
          <w:p>
            <w:pPr>
              <w:jc w:val="right"/>
              <w:ind w:right="202"/>
              <w:spacing w:after="0"/>
              <w:rPr>
                <w:sz w:val="20"/>
                <w:szCs w:val="20"/>
                <w:color w:val="auto"/>
              </w:rPr>
            </w:pPr>
            <w:r>
              <w:rPr>
                <w:rFonts w:ascii="Arial" w:cs="Arial" w:eastAsia="Arial" w:hAnsi="Arial"/>
                <w:sz w:val="16"/>
                <w:szCs w:val="16"/>
                <w:color w:val="auto"/>
              </w:rPr>
              <w:t>219</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213</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Restructure and asset impairment:</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120"/>
              <w:spacing w:after="0"/>
              <w:rPr>
                <w:sz w:val="20"/>
                <w:szCs w:val="20"/>
                <w:color w:val="auto"/>
              </w:rPr>
            </w:pPr>
            <w:r>
              <w:rPr>
                <w:rFonts w:ascii="Arial" w:cs="Arial" w:eastAsia="Arial" w:hAnsi="Arial"/>
                <w:sz w:val="16"/>
                <w:szCs w:val="16"/>
                <w:color w:val="auto"/>
              </w:rPr>
              <w:t>Other operating (income) expense, net:</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spacing w:after="0"/>
              <w:rPr>
                <w:sz w:val="17"/>
                <w:szCs w:val="17"/>
                <w:color w:val="auto"/>
              </w:rPr>
            </w:pP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220"/>
              <w:spacing w:after="0"/>
              <w:rPr>
                <w:sz w:val="20"/>
                <w:szCs w:val="20"/>
                <w:color w:val="auto"/>
              </w:rPr>
            </w:pPr>
            <w:r>
              <w:rPr>
                <w:rFonts w:ascii="Arial" w:cs="Arial" w:eastAsia="Arial" w:hAnsi="Arial"/>
                <w:sz w:val="16"/>
                <w:szCs w:val="16"/>
                <w:color w:val="auto"/>
              </w:rPr>
              <w:t>Patent license charges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Goodwill impairment</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4"/>
        </w:trPr>
        <w:tc>
          <w:tcPr>
            <w:tcW w:w="6640" w:type="dxa"/>
            <w:vAlign w:val="bottom"/>
          </w:tcPr>
          <w:p>
            <w:pPr>
              <w:ind w:left="220"/>
              <w:spacing w:after="0"/>
              <w:rPr>
                <w:sz w:val="20"/>
                <w:szCs w:val="20"/>
                <w:color w:val="auto"/>
              </w:rPr>
            </w:pPr>
            <w:r>
              <w:rPr>
                <w:rFonts w:ascii="Arial" w:cs="Arial" w:eastAsia="Arial" w:hAnsi="Arial"/>
                <w:sz w:val="16"/>
                <w:szCs w:val="16"/>
                <w:color w:val="auto"/>
              </w:rPr>
              <w:t>Litigation settlement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20"/>
              <w:spacing w:after="0"/>
              <w:rPr>
                <w:sz w:val="20"/>
                <w:szCs w:val="20"/>
                <w:color w:val="auto"/>
              </w:rPr>
            </w:pPr>
            <w:r>
              <w:rPr>
                <w:rFonts w:ascii="Arial" w:cs="Arial" w:eastAsia="Arial" w:hAnsi="Arial"/>
                <w:sz w:val="16"/>
                <w:szCs w:val="16"/>
                <w:color w:val="auto"/>
              </w:rPr>
              <w:t>Patent cross-license agreement gain</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(200)</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D1D2D4"/>
            </w:tcBorders>
          </w:tcPr>
          <w:p>
            <w:pPr>
              <w:ind w:left="22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D1D2D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664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(195)</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D1D2D4"/>
            </w:tcBorders>
          </w:tcPr>
          <w:p>
            <w:pPr>
              <w:spacing w:after="0"/>
              <w:rPr>
                <w:sz w:val="18"/>
                <w:szCs w:val="18"/>
                <w:color w:val="auto"/>
              </w:rPr>
            </w:pPr>
          </w:p>
        </w:tc>
        <w:tc>
          <w:tcPr>
            <w:tcW w:w="80" w:type="dxa"/>
            <w:vAlign w:val="bottom"/>
            <w:tcBorders>
              <w:bottom w:val="single" w:sz="8" w:color="D1D2D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Total unallocated amounts</w:t>
            </w:r>
          </w:p>
        </w:tc>
        <w:tc>
          <w:tcPr>
            <w:tcW w:w="320" w:type="dxa"/>
            <w:vAlign w:val="bottom"/>
            <w:gridSpan w:val="2"/>
            <w:shd w:val="clear" w:color="auto" w:fill="D1D2D4"/>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1,076</w:t>
            </w:r>
          </w:p>
        </w:tc>
        <w:tc>
          <w:tcPr>
            <w:tcW w:w="320" w:type="dxa"/>
            <w:vAlign w:val="bottom"/>
            <w:shd w:val="clear" w:color="auto" w:fill="D1D2D4"/>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D1D2D4"/>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0"/>
        </w:trPr>
        <w:tc>
          <w:tcPr>
            <w:tcW w:w="664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16"/>
                <w:szCs w:val="16"/>
                <w:color w:val="auto"/>
              </w:rPr>
              <w:t>Depreciation and amortization expense included in operating income (loss) was as follows:</w:t>
            </w:r>
          </w:p>
        </w:tc>
        <w:tc>
          <w:tcPr>
            <w:tcW w:w="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6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shd w:val="clear" w:color="auto" w:fill="D1D2D4"/>
          </w:tcPr>
          <w:p>
            <w:pPr>
              <w:ind w:left="40"/>
              <w:spacing w:after="0"/>
              <w:rPr>
                <w:sz w:val="20"/>
                <w:szCs w:val="20"/>
                <w:color w:val="auto"/>
              </w:rPr>
            </w:pPr>
            <w:r>
              <w:rPr>
                <w:rFonts w:ascii="Arial" w:cs="Arial" w:eastAsia="Arial" w:hAnsi="Arial"/>
                <w:sz w:val="16"/>
                <w:szCs w:val="16"/>
                <w:color w:val="auto"/>
              </w:rPr>
              <w:t>CMBU</w:t>
            </w:r>
          </w:p>
        </w:tc>
        <w:tc>
          <w:tcPr>
            <w:tcW w:w="320" w:type="dxa"/>
            <w:vAlign w:val="bottom"/>
            <w:gridSpan w:val="2"/>
            <w:shd w:val="clear" w:color="auto" w:fill="D1D2D4"/>
          </w:tcPr>
          <w:p>
            <w:pPr>
              <w:jc w:val="right"/>
              <w:ind w:right="2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2,260</w:t>
            </w:r>
          </w:p>
        </w:tc>
        <w:tc>
          <w:tcPr>
            <w:tcW w:w="3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1,112</w:t>
            </w:r>
          </w:p>
        </w:tc>
        <w:tc>
          <w:tcPr>
            <w:tcW w:w="280" w:type="dxa"/>
            <w:vAlign w:val="bottom"/>
            <w:shd w:val="clear" w:color="auto" w:fill="D1D2D4"/>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4"/>
        </w:trPr>
        <w:tc>
          <w:tcPr>
            <w:tcW w:w="6640" w:type="dxa"/>
            <w:vAlign w:val="bottom"/>
          </w:tcPr>
          <w:p>
            <w:pPr>
              <w:ind w:left="40"/>
              <w:spacing w:after="0"/>
              <w:rPr>
                <w:sz w:val="20"/>
                <w:szCs w:val="20"/>
                <w:color w:val="auto"/>
              </w:rPr>
            </w:pPr>
            <w:r>
              <w:rPr>
                <w:rFonts w:ascii="Arial" w:cs="Arial" w:eastAsia="Arial" w:hAnsi="Arial"/>
                <w:sz w:val="16"/>
                <w:szCs w:val="16"/>
                <w:color w:val="auto"/>
              </w:rPr>
              <w:t>CDBU</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1,530</w:t>
            </w:r>
          </w:p>
        </w:tc>
        <w:tc>
          <w:tcPr>
            <w:tcW w:w="3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1,434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40"/>
              <w:spacing w:after="0"/>
              <w:rPr>
                <w:sz w:val="20"/>
                <w:szCs w:val="20"/>
                <w:color w:val="auto"/>
              </w:rPr>
            </w:pPr>
            <w:r>
              <w:rPr>
                <w:rFonts w:ascii="Arial" w:cs="Arial" w:eastAsia="Arial" w:hAnsi="Arial"/>
                <w:sz w:val="16"/>
                <w:szCs w:val="16"/>
                <w:color w:val="auto"/>
              </w:rPr>
              <w:t>MCBU</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3,177</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3,762</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04"/>
        </w:trPr>
        <w:tc>
          <w:tcPr>
            <w:tcW w:w="6640" w:type="dxa"/>
            <w:vAlign w:val="bottom"/>
          </w:tcPr>
          <w:p>
            <w:pPr>
              <w:ind w:left="40"/>
              <w:spacing w:after="0"/>
              <w:rPr>
                <w:sz w:val="20"/>
                <w:szCs w:val="20"/>
                <w:color w:val="auto"/>
              </w:rPr>
            </w:pPr>
            <w:r>
              <w:rPr>
                <w:rFonts w:ascii="Arial" w:cs="Arial" w:eastAsia="Arial" w:hAnsi="Arial"/>
                <w:sz w:val="16"/>
                <w:szCs w:val="16"/>
                <w:color w:val="auto"/>
              </w:rPr>
              <w:t>AEBU</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1,375</w:t>
            </w:r>
          </w:p>
        </w:tc>
        <w:tc>
          <w:tcPr>
            <w:tcW w:w="3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1,447</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04"/>
        </w:trPr>
        <w:tc>
          <w:tcPr>
            <w:tcW w:w="6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8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D1D2D4"/>
          </w:tcPr>
          <w:p>
            <w:pPr>
              <w:spacing w:after="0"/>
              <w:rPr>
                <w:sz w:val="17"/>
                <w:szCs w:val="17"/>
                <w:color w:val="auto"/>
              </w:rPr>
            </w:pPr>
          </w:p>
        </w:tc>
        <w:tc>
          <w:tcPr>
            <w:tcW w:w="102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7</w:t>
            </w:r>
          </w:p>
        </w:tc>
        <w:tc>
          <w:tcPr>
            <w:tcW w:w="28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66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Unallocated</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1"/>
        </w:trPr>
        <w:tc>
          <w:tcPr>
            <w:tcW w:w="6640" w:type="dxa"/>
            <w:vAlign w:val="bottom"/>
            <w:tcBorders>
              <w:bottom w:val="single" w:sz="8" w:color="D1D2D4"/>
            </w:tcBorders>
            <w:shd w:val="clear" w:color="auto" w:fill="D1D2D4"/>
          </w:tcPr>
          <w:p>
            <w:pPr>
              <w:spacing w:after="0"/>
              <w:rPr>
                <w:sz w:val="18"/>
                <w:szCs w:val="18"/>
                <w:color w:val="auto"/>
              </w:rPr>
            </w:pPr>
          </w:p>
        </w:tc>
        <w:tc>
          <w:tcPr>
            <w:tcW w:w="320" w:type="dxa"/>
            <w:vAlign w:val="bottom"/>
            <w:tcBorders>
              <w:bottom w:val="single" w:sz="8" w:color="auto"/>
            </w:tcBorders>
            <w:gridSpan w:val="2"/>
            <w:shd w:val="clear" w:color="auto" w:fill="D1D2D4"/>
          </w:tcPr>
          <w:p>
            <w:pPr>
              <w:jc w:val="right"/>
              <w:ind w:right="2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8,352</w:t>
            </w:r>
          </w:p>
        </w:tc>
        <w:tc>
          <w:tcPr>
            <w:tcW w:w="32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7,780</w:t>
            </w:r>
          </w:p>
        </w:tc>
        <w:tc>
          <w:tcPr>
            <w:tcW w:w="28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0"/>
        </w:trPr>
        <w:tc>
          <w:tcPr>
            <w:tcW w:w="664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8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As a result of reorganizing our segments in the fourth quarter of 2025, we reallocated goodwill among our reporting units on a relative fair value basis. We performed a quantitative goodwill impairment assessment for each of our reporting units immediately before and after our business unit reorganization. We concluded based on both our pre- and post- reorganization impairment assessments that goodwill was not impaired. As of August 28, 2025, CMBU, CDBU, MCBU, and AEBU had goodwill of $654 million, $109 million, $284 million, and $103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6" w:name="page97"/>
    <w:bookmarkEnd w:id="96"/>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We performed a qualitative assessment for goodwill impairment in 2024 and did not identify any impairment indicators for our reporting units. Due to global and macroeconomic challenges, as well as lower expected demand resulting from customer actions to reduce elevated inventory levels, in 2023, we performed a quantitative assessment for goodwill impairment for each of our reporting units. We evaluated the fair value of our reporting units based on an income approach, using a discounted cash flow methodology. We recognized a $101 million charge in 2023, included in other operating income (loss) to impair all of the goodwill assigned to our former Storage Business Unit based on our best estimates of projected future cash flows at that time.</w:t>
      </w:r>
    </w:p>
    <w:p>
      <w:pPr>
        <w:spacing w:after="0" w:line="16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Note 28. Certain Concentrations</w:t>
      </w:r>
    </w:p>
    <w:p>
      <w:pPr>
        <w:spacing w:after="0" w:line="249"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Our business units are based on market segments. See Note 27. Segment and Other Information for disclosure of disaggregated revenue by market segment. Revenue from one customer was 17% (primarily included in the CMBU segment) of total revenue for 2025. Revenue from one customer was 10% (primarily included in the MCBU, AEBU, and CMBU segments) of total revenue for 2024. No customer accounted for 10% or more of total revenue in 2023.</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money market accounts, certificates of deposit, fixed-income securities, trade receivables, share repurchase, and derivative contracts. We invest through high-credit-quality financial institutions and, by policy, generally limit the concentration of credit exposure by restricting investments with any single obligor and monitor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derivative hedging programs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r>
      <w:tr>
        <w:trPr>
          <w:trHeight w:val="1010"/>
        </w:trPr>
        <w:tc>
          <w:tcPr>
            <w:tcW w:w="6600" w:type="dxa"/>
            <w:vAlign w:val="bottom"/>
          </w:tcPr>
          <w:p>
            <w:pPr>
              <w:spacing w:after="0"/>
              <w:rPr>
                <w:sz w:val="20"/>
                <w:szCs w:val="20"/>
                <w:color w:val="auto"/>
              </w:rPr>
            </w:pPr>
            <w:r>
              <w:rPr>
                <w:rFonts w:ascii="Arial" w:cs="Arial" w:eastAsia="Arial" w:hAnsi="Arial"/>
                <w:sz w:val="35"/>
                <w:szCs w:val="35"/>
                <w:b w:val="1"/>
                <w:bCs w:val="1"/>
                <w:color w:val="auto"/>
              </w:rPr>
              <w:t>Note 29. Geographic Information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376"/>
        </w:trPr>
        <w:tc>
          <w:tcPr>
            <w:tcW w:w="6600" w:type="dxa"/>
            <w:vAlign w:val="bottom"/>
          </w:tcPr>
          <w:p>
            <w:pPr>
              <w:spacing w:after="0"/>
              <w:rPr>
                <w:sz w:val="20"/>
                <w:szCs w:val="20"/>
                <w:color w:val="auto"/>
              </w:rPr>
            </w:pPr>
            <w:r>
              <w:rPr>
                <w:rFonts w:ascii="Arial" w:cs="Arial" w:eastAsia="Arial" w:hAnsi="Arial"/>
                <w:sz w:val="16"/>
                <w:szCs w:val="16"/>
                <w:color w:val="auto"/>
              </w:rPr>
              <w:t>Revenue based on the geographic location of our customers’ headquarters was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r>
      <w:tr>
        <w:trPr>
          <w:trHeight w:val="28"/>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U.S.</w:t>
            </w:r>
          </w:p>
        </w:tc>
        <w:tc>
          <w:tcPr>
            <w:tcW w:w="30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24,113</w:t>
            </w:r>
          </w:p>
        </w:tc>
        <w:tc>
          <w:tcPr>
            <w:tcW w:w="320" w:type="dxa"/>
            <w:vAlign w:val="bottom"/>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13,168</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7,805</w:t>
            </w:r>
          </w:p>
        </w:tc>
        <w:tc>
          <w:tcPr>
            <w:tcW w:w="20" w:type="dxa"/>
            <w:vAlign w:val="bottom"/>
          </w:tcPr>
          <w:p>
            <w:pPr>
              <w:spacing w:after="0"/>
              <w:rPr>
                <w:sz w:val="17"/>
                <w:szCs w:val="17"/>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6"/>
                <w:szCs w:val="16"/>
                <w:color w:val="auto"/>
              </w:rPr>
              <w:t>Taiwan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2,697</w:t>
            </w:r>
          </w:p>
        </w:tc>
        <w:tc>
          <w:tcPr>
            <w:tcW w:w="20" w:type="dxa"/>
            <w:vAlign w:val="bottom"/>
          </w:tcPr>
          <w:p>
            <w:pPr>
              <w:spacing w:after="0"/>
              <w:rPr>
                <w:sz w:val="17"/>
                <w:szCs w:val="17"/>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Mainland China (excluding Hong Kong)</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2,639</w:t>
            </w:r>
          </w:p>
        </w:tc>
        <w:tc>
          <w:tcPr>
            <w:tcW w:w="3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3,045</w:t>
            </w: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2,181</w:t>
            </w:r>
          </w:p>
        </w:tc>
        <w:tc>
          <w:tcPr>
            <w:tcW w:w="20" w:type="dxa"/>
            <w:vAlign w:val="bottom"/>
          </w:tcPr>
          <w:p>
            <w:pPr>
              <w:spacing w:after="0"/>
              <w:rPr>
                <w:sz w:val="17"/>
                <w:szCs w:val="17"/>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6"/>
                <w:szCs w:val="16"/>
                <w:color w:val="auto"/>
              </w:rPr>
              <w:t>Other Asia Pacific</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1,913</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20" w:type="dxa"/>
            <w:vAlign w:val="bottom"/>
          </w:tcPr>
          <w:p>
            <w:pPr>
              <w:spacing w:after="0"/>
              <w:rPr>
                <w:sz w:val="17"/>
                <w:szCs w:val="17"/>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Hong Kong</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1,138</w:t>
            </w:r>
          </w:p>
        </w:tc>
        <w:tc>
          <w:tcPr>
            <w:tcW w:w="3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1,071</w:t>
            </w: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340</w:t>
            </w:r>
          </w:p>
        </w:tc>
        <w:tc>
          <w:tcPr>
            <w:tcW w:w="20" w:type="dxa"/>
            <w:vAlign w:val="bottom"/>
          </w:tcPr>
          <w:p>
            <w:pPr>
              <w:spacing w:after="0"/>
              <w:rPr>
                <w:sz w:val="17"/>
                <w:szCs w:val="17"/>
                <w:color w:val="auto"/>
              </w:rPr>
            </w:pPr>
          </w:p>
        </w:tc>
      </w:tr>
      <w:tr>
        <w:trPr>
          <w:trHeight w:val="204"/>
        </w:trPr>
        <w:tc>
          <w:tcPr>
            <w:tcW w:w="6600" w:type="dxa"/>
            <w:vAlign w:val="bottom"/>
          </w:tcPr>
          <w:p>
            <w:pPr>
              <w:ind w:left="20"/>
              <w:spacing w:after="0"/>
              <w:rPr>
                <w:sz w:val="20"/>
                <w:szCs w:val="20"/>
                <w:color w:val="auto"/>
              </w:rPr>
            </w:pPr>
            <w:r>
              <w:rPr>
                <w:rFonts w:ascii="Arial" w:cs="Arial" w:eastAsia="Arial" w:hAnsi="Arial"/>
                <w:sz w:val="16"/>
                <w:szCs w:val="16"/>
                <w:color w:val="auto"/>
              </w:rPr>
              <w:t>Japan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895</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7"/>
                <w:szCs w:val="17"/>
                <w:color w:val="auto"/>
              </w:rPr>
            </w:pPr>
          </w:p>
        </w:tc>
      </w:tr>
      <w:tr>
        <w:trPr>
          <w:trHeight w:val="204"/>
        </w:trPr>
        <w:tc>
          <w:tcPr>
            <w:tcW w:w="6600" w:type="dxa"/>
            <w:vAlign w:val="bottom"/>
            <w:shd w:val="clear" w:color="auto" w:fill="D1D2D4"/>
          </w:tcPr>
          <w:p>
            <w:pPr>
              <w:ind w:left="20"/>
              <w:spacing w:after="0"/>
              <w:rPr>
                <w:sz w:val="20"/>
                <w:szCs w:val="20"/>
                <w:color w:val="auto"/>
              </w:rPr>
            </w:pPr>
            <w:r>
              <w:rPr>
                <w:rFonts w:ascii="Arial" w:cs="Arial" w:eastAsia="Arial" w:hAnsi="Arial"/>
                <w:sz w:val="16"/>
                <w:szCs w:val="16"/>
                <w:color w:val="auto"/>
              </w:rPr>
              <w:t>Europe</w:t>
            </w:r>
          </w:p>
        </w:tc>
        <w:tc>
          <w:tcPr>
            <w:tcW w:w="3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625</w:t>
            </w:r>
          </w:p>
        </w:tc>
        <w:tc>
          <w:tcPr>
            <w:tcW w:w="32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818</w:t>
            </w:r>
          </w:p>
        </w:tc>
        <w:tc>
          <w:tcPr>
            <w:tcW w:w="140" w:type="dxa"/>
            <w:vAlign w:val="bottom"/>
            <w:shd w:val="clear" w:color="auto" w:fill="D1D2D4"/>
          </w:tcPr>
          <w:p>
            <w:pPr>
              <w:spacing w:after="0"/>
              <w:rPr>
                <w:sz w:val="17"/>
                <w:szCs w:val="17"/>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682</w:t>
            </w:r>
          </w:p>
        </w:tc>
        <w:tc>
          <w:tcPr>
            <w:tcW w:w="20" w:type="dxa"/>
            <w:vAlign w:val="bottom"/>
          </w:tcPr>
          <w:p>
            <w:pPr>
              <w:spacing w:after="0"/>
              <w:rPr>
                <w:sz w:val="17"/>
                <w:szCs w:val="17"/>
                <w:color w:val="auto"/>
              </w:rPr>
            </w:pPr>
          </w:p>
        </w:tc>
      </w:tr>
      <w:tr>
        <w:trPr>
          <w:trHeight w:val="204"/>
        </w:trPr>
        <w:tc>
          <w:tcPr>
            <w:tcW w:w="66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r>
      <w:tr>
        <w:trPr>
          <w:trHeight w:val="221"/>
        </w:trPr>
        <w:tc>
          <w:tcPr>
            <w:tcW w:w="6600" w:type="dxa"/>
            <w:vAlign w:val="bottom"/>
            <w:tcBorders>
              <w:bottom w:val="single" w:sz="8" w:color="D1D2D4"/>
            </w:tcBorders>
            <w:shd w:val="clear" w:color="auto" w:fill="D1D2D4"/>
          </w:tcPr>
          <w:p>
            <w:pPr>
              <w:spacing w:after="0"/>
              <w:rPr>
                <w:sz w:val="18"/>
                <w:szCs w:val="18"/>
                <w:color w:val="auto"/>
              </w:rPr>
            </w:pPr>
          </w:p>
        </w:tc>
        <w:tc>
          <w:tcPr>
            <w:tcW w:w="30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37,378</w:t>
            </w:r>
          </w:p>
        </w:tc>
        <w:tc>
          <w:tcPr>
            <w:tcW w:w="320" w:type="dxa"/>
            <w:vAlign w:val="bottom"/>
            <w:tcBorders>
              <w:bottom w:val="single" w:sz="8" w:color="auto"/>
            </w:tcBorders>
            <w:shd w:val="clear" w:color="auto" w:fill="D1D2D4"/>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25,111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15,540</w:t>
            </w:r>
          </w:p>
        </w:tc>
        <w:tc>
          <w:tcPr>
            <w:tcW w:w="20" w:type="dxa"/>
            <w:vAlign w:val="bottom"/>
          </w:tcPr>
          <w:p>
            <w:pPr>
              <w:spacing w:after="0"/>
              <w:rPr>
                <w:sz w:val="18"/>
                <w:szCs w:val="18"/>
                <w:color w:val="auto"/>
              </w:rPr>
            </w:pPr>
          </w:p>
        </w:tc>
      </w:tr>
      <w:tr>
        <w:trPr>
          <w:trHeight w:val="20"/>
        </w:trPr>
        <w:tc>
          <w:tcPr>
            <w:tcW w:w="660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 by geographic area consisted of property, plant, and equipment and operating lease right-of-use assets and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rPr>
              <w:t>August 28,</w:t>
            </w:r>
          </w:p>
        </w:tc>
        <w:tc>
          <w:tcPr>
            <w:tcW w:w="2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04"/>
        </w:trPr>
        <w:tc>
          <w:tcPr>
            <w:tcW w:w="7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Taiwan</w:t>
            </w:r>
          </w:p>
        </w:tc>
        <w:tc>
          <w:tcPr>
            <w:tcW w:w="1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18,965</w:t>
            </w:r>
          </w:p>
        </w:tc>
        <w:tc>
          <w:tcPr>
            <w:tcW w:w="20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14,156</w:t>
            </w:r>
          </w:p>
        </w:tc>
        <w:tc>
          <w:tcPr>
            <w:tcW w:w="0" w:type="dxa"/>
            <w:vAlign w:val="bottom"/>
          </w:tcPr>
          <w:p>
            <w:pPr>
              <w:spacing w:after="0"/>
              <w:rPr>
                <w:sz w:val="1"/>
                <w:szCs w:val="1"/>
                <w:color w:val="auto"/>
              </w:rPr>
            </w:pP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Singapore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10,669</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10,588</w:t>
            </w:r>
          </w:p>
        </w:tc>
        <w:tc>
          <w:tcPr>
            <w:tcW w:w="0" w:type="dxa"/>
            <w:vAlign w:val="bottom"/>
          </w:tcPr>
          <w:p>
            <w:pPr>
              <w:spacing w:after="0"/>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U.S.</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8,445</w:t>
            </w: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6,508</w:t>
            </w:r>
          </w:p>
        </w:tc>
        <w:tc>
          <w:tcPr>
            <w:tcW w:w="0" w:type="dxa"/>
            <w:vAlign w:val="bottom"/>
          </w:tcPr>
          <w:p>
            <w:pPr>
              <w:spacing w:after="0"/>
              <w:rPr>
                <w:sz w:val="1"/>
                <w:szCs w:val="1"/>
                <w:color w:val="auto"/>
              </w:rPr>
            </w:pP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Japan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7,038</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7,085</w:t>
            </w:r>
          </w:p>
        </w:tc>
        <w:tc>
          <w:tcPr>
            <w:tcW w:w="0" w:type="dxa"/>
            <w:vAlign w:val="bottom"/>
          </w:tcPr>
          <w:p>
            <w:pPr>
              <w:spacing w:after="0"/>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Malaysia</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1,124</w:t>
            </w: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China</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4"/>
        </w:trPr>
        <w:tc>
          <w:tcPr>
            <w:tcW w:w="79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India</w:t>
            </w:r>
          </w:p>
        </w:tc>
        <w:tc>
          <w:tcPr>
            <w:tcW w:w="180" w:type="dxa"/>
            <w:vAlign w:val="bottom"/>
            <w:shd w:val="clear" w:color="auto" w:fill="D1D2D4"/>
          </w:tcPr>
          <w:p>
            <w:pPr>
              <w:spacing w:after="0"/>
              <w:rPr>
                <w:sz w:val="17"/>
                <w:szCs w:val="17"/>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449</w:t>
            </w: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4"/>
        </w:trPr>
        <w:tc>
          <w:tcPr>
            <w:tcW w:w="79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1"/>
        </w:trPr>
        <w:tc>
          <w:tcPr>
            <w:tcW w:w="7920" w:type="dxa"/>
            <w:vAlign w:val="bottom"/>
            <w:tcBorders>
              <w:bottom w:val="single" w:sz="8" w:color="D1D2D4"/>
            </w:tcBorders>
            <w:shd w:val="clear" w:color="auto" w:fill="D1D2D4"/>
          </w:tcPr>
          <w:p>
            <w:pPr>
              <w:spacing w:after="0"/>
              <w:rPr>
                <w:sz w:val="18"/>
                <w:szCs w:val="18"/>
                <w:color w:val="auto"/>
              </w:rPr>
            </w:pPr>
          </w:p>
        </w:tc>
        <w:tc>
          <w:tcPr>
            <w:tcW w:w="18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47,326</w:t>
            </w:r>
          </w:p>
        </w:tc>
        <w:tc>
          <w:tcPr>
            <w:tcW w:w="200" w:type="dxa"/>
            <w:vAlign w:val="bottom"/>
            <w:tcBorders>
              <w:bottom w:val="single" w:sz="8" w:color="auto"/>
            </w:tcBorders>
            <w:shd w:val="clear" w:color="auto" w:fill="D1D2D4"/>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40,394</w:t>
            </w:r>
          </w:p>
        </w:tc>
        <w:tc>
          <w:tcPr>
            <w:tcW w:w="0" w:type="dxa"/>
            <w:vAlign w:val="bottom"/>
          </w:tcPr>
          <w:p>
            <w:pPr>
              <w:spacing w:after="0"/>
              <w:rPr>
                <w:sz w:val="1"/>
                <w:szCs w:val="1"/>
                <w:color w:val="auto"/>
              </w:rPr>
            </w:pPr>
          </w:p>
        </w:tc>
      </w:tr>
      <w:tr>
        <w:trPr>
          <w:trHeight w:val="20"/>
        </w:trPr>
        <w:tc>
          <w:tcPr>
            <w:tcW w:w="79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280"/>
        <w:spacing w:after="0"/>
        <w:rPr>
          <w:sz w:val="20"/>
          <w:szCs w:val="20"/>
          <w:color w:val="auto"/>
        </w:rPr>
      </w:pPr>
      <w:r>
        <w:rPr>
          <w:sz w:val="1"/>
          <w:szCs w:val="1"/>
          <w:color w:val="auto"/>
        </w:rPr>
        <w:drawing>
          <wp:inline distT="0" distB="0" distL="0" distR="0">
            <wp:extent cx="693420" cy="14478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98" w:name="page99"/>
    <w:bookmarkEnd w:id="9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2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Micron Technology, Inc.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 xml:space="preserve">We have audited the accompanying consolidated balance sheets of Micron Technology, Inc. and its subsidiaries (the “Company”) as of August 28, 2025 and August 29, 2024, and the related consolidated statements of operations, of comprehensive income (loss), of changes in equity and of cash flows for each of the three years in the period ended August 28, 2025, including the related notes and schedule of valuation and qualifying accounts for each of the three years in the period ended August 28, 2025 appearing under Item 15 (collectively referred to as the “consolidated financial statements”). We also have audited the Company’s internal control over financial reporting as of August 28, 2025,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20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August 28, 2025 and August 29, 2024</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results of its operations and its cash flows for each of the three years in the period ended August 28, 2025 in conformity with accounting principles generally accepted in the United States of America. Also in our opinion, the Company maintained, in all material respects, effective internal control over financial reporting as of August 28, 2025,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9" w:name="page100"/>
    <w:bookmarkEnd w:id="9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2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2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the U.S. CHIPS Act Funding Agreements</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As described in Notes 1 and 20 to the consolidated financial statements, the Company has entered into direct funding agreements with the U.S. Department of Commerce for up to $6.4 billion in direct funding pursuant to the U.S. CHIPS Act for the Company’s U.S. manufacturing expansion and modernization projects in Idaho, New York, and Virginia. Funding will be based on the achievement of construction, tool installation, and wafer production milestones. The agreements contain representations, warranties, and covenants that relate to compliance with requirements for awards provided for in the U.S. CHIPS Act. In addition, the agreements include certain events of default and related rights and remedies, including clawbacks related to the failure to complete a project by an agreed upon completion date, violation of U.S. CHIPS Act restrictions on certain activities involving foreign countries and entities of concern, and impermissible use or disposition of a project. 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For each project, the Company estimates the total expected project costs and recognizes a proportionate benefit as qualified project costs are incurred. As the estimated total expected qualified project cost changes, the Company adjusts the estimate of the recognized proportionate benefit.</w:t>
      </w:r>
    </w:p>
    <w:p>
      <w:pPr>
        <w:spacing w:after="0" w:line="356"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The principal considerations for our determination that performing procedures relating to accounting for the U.S. CHIPS Act funding agreements is a critical audit matter are (i) the significant judgment by management in assessing the accounting for the funding agreements, including the recognition of the proportionate benefit and the impacts of potential outcomes associated with compliance with covenants related to events of default and (ii) a high degree of auditor judgment, subjectivity, and effort in performing procedures and evaluating audit evidence related to management’s assessment of the accounting for the funding agreements, including the assessment of the proportionate benefit and the compliance with covenants.</w:t>
      </w:r>
    </w:p>
    <w:p>
      <w:pPr>
        <w:spacing w:after="0" w:line="176"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accounting for the U.S. CHIPS Act funding agreements, including controls over the recognition of the proportionate benefit and compliance with covenants related to events of default and the related disclosures. These procedures also included, among others (i) evaluating the completeness and accuracy of management’s identification of key terms and conditions by obtaining and inspecting</w:t>
      </w:r>
    </w:p>
    <w:p>
      <w:pPr>
        <w:spacing w:after="0" w:line="362" w:lineRule="exact"/>
        <w:rPr>
          <w:sz w:val="20"/>
          <w:szCs w:val="20"/>
          <w:color w:val="auto"/>
        </w:rPr>
      </w:pPr>
    </w:p>
    <w:p>
      <w:pPr>
        <w:ind w:left="9200"/>
        <w:spacing w:after="0"/>
        <w:rPr>
          <w:sz w:val="20"/>
          <w:szCs w:val="20"/>
          <w:color w:val="auto"/>
        </w:rPr>
      </w:pPr>
      <w:r>
        <w:rPr>
          <w:sz w:val="1"/>
          <w:szCs w:val="1"/>
          <w:color w:val="auto"/>
        </w:rPr>
        <w:drawing>
          <wp:inline distT="0" distB="0" distL="0" distR="0">
            <wp:extent cx="693420" cy="14478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0" w:name="page101"/>
    <w:bookmarkEnd w:id="100"/>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24" w:lineRule="exact"/>
        <w:rPr>
          <w:sz w:val="20"/>
          <w:szCs w:val="20"/>
          <w:color w:val="auto"/>
        </w:rPr>
      </w:pPr>
    </w:p>
    <w:p>
      <w:pPr>
        <w:ind w:right="420"/>
        <w:spacing w:after="0" w:line="228" w:lineRule="auto"/>
        <w:rPr>
          <w:sz w:val="20"/>
          <w:szCs w:val="20"/>
          <w:color w:val="auto"/>
        </w:rPr>
      </w:pPr>
      <w:r>
        <w:rPr>
          <w:rFonts w:ascii="Arial" w:cs="Arial" w:eastAsia="Arial" w:hAnsi="Arial"/>
          <w:sz w:val="16"/>
          <w:szCs w:val="16"/>
          <w:color w:val="auto"/>
        </w:rPr>
        <w:t>the U.S. CHIPS Act funding agreements; (ii) evaluating whether the principal criteria, including milestone attainment and capital expenditures, for recognizing government incentives are probable, that the terms of the incentives are met, and that the incentives will be received; (iii) evaluating the reasonableness of management’s estimate of the total expected project costs and recognition of a proportionate benefit; (iv) tracing cash payments received from the U.S. Department of Commerce to supporting documentation, such as bank statements; and (v) evaluating the sufficiency of the Company’s disclosures related to the U.S. CHIPS Act funding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October 3, 2025</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1984.</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101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1" w:name="page102"/>
    <w:bookmarkEnd w:id="101"/>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ind w:right="640"/>
        <w:spacing w:after="0" w:line="283" w:lineRule="auto"/>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178"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During the fourth quarter of 2025,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28, 2025. The effectiveness of our internal control over financial reporting as of August 28, 2025 has been audited by PricewaterhouseCoopers LLP, an independent registered public accounting firm, as stated in their report, which is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00"/>
        <w:spacing w:after="0"/>
        <w:rPr>
          <w:sz w:val="20"/>
          <w:szCs w:val="20"/>
          <w:color w:val="auto"/>
        </w:rPr>
      </w:pPr>
      <w:r>
        <w:rPr>
          <w:sz w:val="1"/>
          <w:szCs w:val="1"/>
          <w:color w:val="auto"/>
        </w:rPr>
        <w:drawing>
          <wp:inline distT="0" distB="0" distL="0" distR="0">
            <wp:extent cx="693420" cy="14478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2" w:name="page103"/>
    <w:bookmarkEnd w:id="102"/>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Trading Plans of Directors and Executive Officers</w:t>
      </w:r>
    </w:p>
    <w:p>
      <w:pPr>
        <w:spacing w:after="0" w:line="240" w:lineRule="exact"/>
        <w:rPr>
          <w:sz w:val="20"/>
          <w:szCs w:val="20"/>
          <w:color w:val="auto"/>
        </w:rPr>
      </w:pPr>
    </w:p>
    <w:p>
      <w:pPr>
        <w:ind w:right="540"/>
        <w:spacing w:after="0" w:line="246" w:lineRule="auto"/>
        <w:rPr>
          <w:sz w:val="20"/>
          <w:szCs w:val="20"/>
          <w:color w:val="auto"/>
        </w:rPr>
      </w:pPr>
      <w:r>
        <w:rPr>
          <w:rFonts w:ascii="Arial" w:cs="Arial" w:eastAsia="Arial" w:hAnsi="Arial"/>
          <w:sz w:val="16"/>
          <w:szCs w:val="16"/>
          <w:color w:val="auto"/>
        </w:rPr>
        <w:t>The following officers, as defined in Rule 16a-1(f) of the Exchange Act, adopted and/or terminated a “Rule 10b5-1 trading arrangement” or a “non-Rule 10b5-1 trading arrangement,” as defined in Item 408 of Regulation S-K, during the last fiscal quarter.</w:t>
      </w:r>
    </w:p>
    <w:p>
      <w:pPr>
        <w:spacing w:after="0" w:line="187"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On July 24, 2025, Scott DeBoer our Executive Vice President, Chief Technology and Products Officer, adopted a Rule 10b5-1 trading arrangement providing for the sale of an aggregate of up to 82,000 shares of our common stock. The trading arrangement is intended to satisfy the affirmative defense in Rule 10b5-1(c). The first date that sales of any shares are permitted to be sold under the trading arrangement is October 25, 2025, and subsequent sales under the trading arrangement may occur on a regular basis for the duration of the trading arrangement. The trading arrangement will terminate no less than one year from the date the plan is entered into, or earlier if all transactions under the trading arrangement are completed.</w:t>
      </w:r>
    </w:p>
    <w:p>
      <w:pPr>
        <w:spacing w:after="0" w:line="194"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auto"/>
        </w:rPr>
        <w:t>On July 31, 2025, Mark Murphy, our Executive Vice President and Chief Financial Officer, modified an existing Rule 10b5-1 trading arrangement that was originally entered into on April 22, 2025. The modified trading arrangement provides for the sale of up to 126,000 shares of common stock. The first date that sales of any shares are permitted to be sold under the modified trading arrangement, is October 30, 2025, and subsequent sales may occur from time to time for the duration of the trading arrangement until July 31, 2026, or earlier if all transactions under the trading arrangement are completed. The modified trading arrangement is intended to satisfy the affirmative defense in Rule 10b5-1(c).</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No other directors or officers, as defined in Rule 16a-1(f), adopted and/or terminated a “Rule 10b5-1 trading arrangement” or a “non-Rule 10b5-1 trading arrangement,” as defined in Item 408 of Regulation S-K, during the last fiscal quarter.</w:t>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4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Certain information concerning our executive officers is included under the caption, “Information About Our Executive Officers” in Part I, Item 1 of this report. Other information required by Items 10, 11, 12, 13, and 14 will be contained in our 2025 Proxy Statement which will be filed with the SEC within 120 days after August 28, 2025 and is incorporated herein by reference.</w:t>
      </w:r>
    </w:p>
    <w:p>
      <w:pPr>
        <w:spacing w:after="0" w:line="197" w:lineRule="exact"/>
        <w:rPr>
          <w:sz w:val="20"/>
          <w:szCs w:val="20"/>
          <w:color w:val="auto"/>
        </w:rPr>
      </w:pPr>
    </w:p>
    <w:p>
      <w:pPr>
        <w:ind w:right="1780"/>
        <w:spacing w:after="0" w:line="446" w:lineRule="auto"/>
        <w:rPr>
          <w:sz w:val="20"/>
          <w:szCs w:val="20"/>
          <w:color w:val="auto"/>
        </w:rPr>
      </w:pPr>
      <w:r>
        <w:rPr>
          <w:rFonts w:ascii="Arial" w:cs="Arial" w:eastAsia="Arial" w:hAnsi="Arial"/>
          <w:sz w:val="23"/>
          <w:szCs w:val="23"/>
          <w:b w:val="1"/>
          <w:bCs w:val="1"/>
          <w:color w:val="auto"/>
        </w:rPr>
        <w:t>ITEM 10. DIRECTORS, EXECUTIVE OFFICERS, AND CORPORATE GOVERNANCE ITEM 11. EXECUTIVE COMPENSATION</w:t>
      </w:r>
    </w:p>
    <w:p>
      <w:pPr>
        <w:spacing w:after="0" w:line="1" w:lineRule="exact"/>
        <w:rPr>
          <w:sz w:val="20"/>
          <w:szCs w:val="20"/>
          <w:color w:val="auto"/>
        </w:rPr>
      </w:pPr>
    </w:p>
    <w:p>
      <w:pPr>
        <w:ind w:right="160"/>
        <w:spacing w:after="0" w:line="283"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132" w:lineRule="exact"/>
        <w:rPr>
          <w:sz w:val="20"/>
          <w:szCs w:val="20"/>
          <w:color w:val="auto"/>
        </w:rPr>
      </w:pPr>
    </w:p>
    <w:p>
      <w:pPr>
        <w:ind w:right="1220"/>
        <w:spacing w:after="0" w:line="283" w:lineRule="auto"/>
        <w:rPr>
          <w:sz w:val="20"/>
          <w:szCs w:val="20"/>
          <w:color w:val="auto"/>
        </w:rPr>
      </w:pPr>
      <w:r>
        <w:rPr>
          <w:rFonts w:ascii="Arial" w:cs="Arial" w:eastAsia="Arial" w:hAnsi="Arial"/>
          <w:sz w:val="23"/>
          <w:szCs w:val="23"/>
          <w:b w:val="1"/>
          <w:bCs w:val="1"/>
          <w:color w:val="auto"/>
        </w:rPr>
        <w:t>ITEM 13. CERTAIN RELATIONSHIPS AND RELATED TRANSACTIONS, AND DIRECTOR INDEPENDENCE</w:t>
      </w:r>
    </w:p>
    <w:p>
      <w:pPr>
        <w:spacing w:after="0" w:line="13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103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3" w:name="page104"/>
    <w:bookmarkEnd w:id="103"/>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w:t>
      </w:r>
    </w:p>
    <w:p>
      <w:pPr>
        <w:spacing w:after="0" w:line="229" w:lineRule="exact"/>
        <w:rPr>
          <w:sz w:val="20"/>
          <w:szCs w:val="20"/>
          <w:color w:val="auto"/>
        </w:rPr>
      </w:pPr>
    </w:p>
    <w:p>
      <w:pPr>
        <w:ind w:left="240" w:hanging="234"/>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report:</w:t>
      </w:r>
    </w:p>
    <w:p>
      <w:pPr>
        <w:spacing w:after="0" w:line="3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1   Financial Statements: See our consolidated financial statements under Item 8.</w:t>
      </w:r>
    </w:p>
    <w:p>
      <w:pPr>
        <w:spacing w:after="0" w:line="21" w:lineRule="exact"/>
        <w:rPr>
          <w:rFonts w:ascii="Arial" w:cs="Arial" w:eastAsia="Arial" w:hAnsi="Arial"/>
          <w:sz w:val="16"/>
          <w:szCs w:val="16"/>
          <w:color w:val="auto"/>
        </w:rPr>
      </w:pPr>
    </w:p>
    <w:p>
      <w:pPr>
        <w:ind w:left="220"/>
        <w:spacing w:after="0" w:line="220" w:lineRule="auto"/>
        <w:rPr>
          <w:rFonts w:ascii="Arial" w:cs="Arial" w:eastAsia="Arial" w:hAnsi="Arial"/>
          <w:sz w:val="16"/>
          <w:szCs w:val="16"/>
          <w:color w:val="auto"/>
        </w:rPr>
      </w:pPr>
      <w:r>
        <w:rPr>
          <w:rFonts w:ascii="Arial" w:cs="Arial" w:eastAsia="Arial" w:hAnsi="Arial"/>
          <w:sz w:val="16"/>
          <w:szCs w:val="16"/>
          <w:color w:val="auto"/>
        </w:rPr>
        <w:t>2   Financial Statement Schedule:</w:t>
      </w:r>
    </w:p>
    <w:p>
      <w:pPr>
        <w:ind w:left="540"/>
        <w:spacing w:after="0"/>
        <w:rPr>
          <w:rFonts w:ascii="Arial" w:cs="Arial" w:eastAsia="Arial" w:hAnsi="Arial"/>
          <w:sz w:val="16"/>
          <w:szCs w:val="16"/>
          <w:color w:val="auto"/>
        </w:rPr>
      </w:pPr>
      <w:r>
        <w:rPr>
          <w:rFonts w:ascii="Arial" w:cs="Arial" w:eastAsia="Arial" w:hAnsi="Arial"/>
          <w:sz w:val="16"/>
          <w:szCs w:val="16"/>
          <w:color w:val="auto"/>
        </w:rPr>
        <w:t>See “Schedule II – Valuation and Qualifying Accounts” within Item 15 below.</w:t>
      </w:r>
    </w:p>
    <w:p>
      <w:pPr>
        <w:spacing w:after="0" w:line="186" w:lineRule="exact"/>
        <w:rPr>
          <w:sz w:val="20"/>
          <w:szCs w:val="20"/>
          <w:color w:val="auto"/>
        </w:rPr>
      </w:pPr>
    </w:p>
    <w:p>
      <w:pPr>
        <w:ind w:left="540" w:right="500"/>
        <w:spacing w:after="0" w:line="235" w:lineRule="auto"/>
        <w:rPr>
          <w:sz w:val="20"/>
          <w:szCs w:val="20"/>
          <w:color w:val="auto"/>
        </w:rPr>
      </w:pPr>
      <w:r>
        <w:rPr>
          <w:rFonts w:ascii="Arial" w:cs="Arial" w:eastAsia="Arial" w:hAnsi="Arial"/>
          <w:sz w:val="16"/>
          <w:szCs w:val="16"/>
          <w:color w:val="auto"/>
        </w:rPr>
        <w:t>Certain Financial Statement Schedules have been omitted since they are either not required, not applicable, or the information is otherwise included.</w:t>
      </w:r>
    </w:p>
    <w:p>
      <w:pPr>
        <w:spacing w:after="0" w:line="1" w:lineRule="exact"/>
        <w:rPr>
          <w:sz w:val="20"/>
          <w:szCs w:val="20"/>
          <w:color w:val="auto"/>
        </w:rPr>
      </w:pPr>
    </w:p>
    <w:p>
      <w:pPr>
        <w:ind w:left="540" w:hanging="318"/>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Exhibits. See “Index to Exhibits” within Item 15 below.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200"/>
        <w:spacing w:after="0"/>
        <w:rPr>
          <w:sz w:val="20"/>
          <w:szCs w:val="20"/>
          <w:color w:val="auto"/>
        </w:rPr>
      </w:pPr>
      <w:r>
        <w:rPr>
          <w:sz w:val="1"/>
          <w:szCs w:val="1"/>
          <w:color w:val="auto"/>
        </w:rPr>
        <w:drawing>
          <wp:inline distT="0" distB="0" distL="0" distR="0">
            <wp:extent cx="693420" cy="14478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4" w:name="page105"/>
    <w:bookmarkEnd w:id="104"/>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SCHEDULE II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AND QUALIFYING ACCOUNTS</w:t>
      </w:r>
    </w:p>
    <w:p>
      <w:pPr>
        <w:spacing w:after="0"/>
        <w:rPr>
          <w:sz w:val="20"/>
          <w:szCs w:val="20"/>
          <w:color w:val="auto"/>
        </w:rPr>
      </w:pPr>
      <w:r>
        <w:rPr>
          <w:rFonts w:ascii="Arial" w:cs="Arial" w:eastAsia="Arial" w:hAnsi="Arial"/>
          <w:sz w:val="16"/>
          <w:szCs w:val="16"/>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5"/>
              </w:rPr>
              <w:t>Charged</w:t>
            </w:r>
          </w:p>
        </w:tc>
        <w:tc>
          <w:tcPr>
            <w:tcW w:w="220" w:type="dxa"/>
            <w:vAlign w:val="bottom"/>
          </w:tcPr>
          <w:p>
            <w:pPr>
              <w:spacing w:after="0"/>
              <w:rPr>
                <w:sz w:val="16"/>
                <w:szCs w:val="16"/>
                <w:color w:val="auto"/>
              </w:rPr>
            </w:pPr>
          </w:p>
        </w:tc>
        <w:tc>
          <w:tcPr>
            <w:tcW w:w="1260" w:type="dxa"/>
            <w:vAlign w:val="bottom"/>
          </w:tcPr>
          <w:p>
            <w:pPr>
              <w:jc w:val="center"/>
              <w:ind w:right="102"/>
              <w:spacing w:after="0"/>
              <w:rPr>
                <w:sz w:val="20"/>
                <w:szCs w:val="20"/>
                <w:color w:val="auto"/>
              </w:rPr>
            </w:pPr>
            <w:r>
              <w:rPr>
                <w:rFonts w:ascii="Arial" w:cs="Arial" w:eastAsia="Arial" w:hAnsi="Arial"/>
                <w:sz w:val="16"/>
                <w:szCs w:val="16"/>
                <w:b w:val="1"/>
                <w:bCs w:val="1"/>
                <w:color w:val="auto"/>
                <w:w w:val="96"/>
              </w:rPr>
              <w:t>Currency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7"/>
              </w:rPr>
              <w:t>Balance at</w:t>
            </w: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02"/>
              <w:spacing w:after="0" w:line="156" w:lineRule="exact"/>
              <w:rPr>
                <w:sz w:val="20"/>
                <w:szCs w:val="20"/>
                <w:color w:val="auto"/>
              </w:rPr>
            </w:pPr>
            <w:r>
              <w:rPr>
                <w:rFonts w:ascii="Arial" w:cs="Arial" w:eastAsia="Arial" w:hAnsi="Arial"/>
                <w:sz w:val="16"/>
                <w:szCs w:val="16"/>
                <w:b w:val="1"/>
                <w:bCs w:val="1"/>
                <w:color w:val="auto"/>
                <w:w w:val="97"/>
              </w:rPr>
              <w:t>Translation</w:t>
            </w:r>
          </w:p>
        </w:tc>
        <w:tc>
          <w:tcPr>
            <w:tcW w:w="200" w:type="dxa"/>
            <w:vAlign w:val="bottom"/>
          </w:tcPr>
          <w:p>
            <w:pPr>
              <w:spacing w:after="0"/>
              <w:rPr>
                <w:sz w:val="13"/>
                <w:szCs w:val="13"/>
                <w:color w:val="auto"/>
              </w:rPr>
            </w:pPr>
          </w:p>
        </w:tc>
        <w:tc>
          <w:tcPr>
            <w:tcW w:w="108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97"/>
              </w:rPr>
              <w:t>Balance at</w:t>
            </w: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8"/>
              </w:rPr>
              <w:t>(Credited) to</w:t>
            </w:r>
          </w:p>
        </w:tc>
        <w:tc>
          <w:tcPr>
            <w:tcW w:w="220" w:type="dxa"/>
            <w:vAlign w:val="bottom"/>
          </w:tcPr>
          <w:p>
            <w:pPr>
              <w:spacing w:after="0"/>
              <w:rPr>
                <w:sz w:val="13"/>
                <w:szCs w:val="13"/>
                <w:color w:val="auto"/>
              </w:rPr>
            </w:pPr>
          </w:p>
        </w:tc>
        <w:tc>
          <w:tcPr>
            <w:tcW w:w="1260" w:type="dxa"/>
            <w:vAlign w:val="bottom"/>
          </w:tcPr>
          <w:p>
            <w:pPr>
              <w:jc w:val="center"/>
              <w:ind w:right="62"/>
              <w:spacing w:after="0" w:line="156" w:lineRule="exact"/>
              <w:rPr>
                <w:sz w:val="20"/>
                <w:szCs w:val="20"/>
                <w:color w:val="auto"/>
              </w:rPr>
            </w:pPr>
            <w:r>
              <w:rPr>
                <w:rFonts w:ascii="Arial" w:cs="Arial" w:eastAsia="Arial" w:hAnsi="Arial"/>
                <w:sz w:val="16"/>
                <w:szCs w:val="16"/>
                <w:b w:val="1"/>
                <w:bCs w:val="1"/>
                <w:color w:val="auto"/>
                <w:w w:val="99"/>
              </w:rPr>
              <w:t>and Charges</w:t>
            </w: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jc w:val="center"/>
              <w:ind w:right="22"/>
              <w:spacing w:after="0" w:line="156" w:lineRule="exact"/>
              <w:rPr>
                <w:sz w:val="20"/>
                <w:szCs w:val="20"/>
                <w:color w:val="auto"/>
              </w:rPr>
            </w:pPr>
            <w:r>
              <w:rPr>
                <w:rFonts w:ascii="Arial" w:cs="Arial" w:eastAsia="Arial" w:hAnsi="Arial"/>
                <w:sz w:val="16"/>
                <w:szCs w:val="16"/>
                <w:b w:val="1"/>
                <w:bCs w:val="1"/>
                <w:color w:val="auto"/>
                <w:w w:val="98"/>
              </w:rPr>
              <w:t>Beginning of</w:t>
            </w:r>
          </w:p>
        </w:tc>
        <w:tc>
          <w:tcPr>
            <w:tcW w:w="200" w:type="dxa"/>
            <w:vAlign w:val="bottom"/>
          </w:tcPr>
          <w:p>
            <w:pPr>
              <w:spacing w:after="0"/>
              <w:rPr>
                <w:sz w:val="13"/>
                <w:szCs w:val="13"/>
                <w:color w:val="auto"/>
              </w:rPr>
            </w:pPr>
          </w:p>
        </w:tc>
        <w:tc>
          <w:tcPr>
            <w:tcW w:w="1140" w:type="dxa"/>
            <w:vAlign w:val="bottom"/>
          </w:tcPr>
          <w:p>
            <w:pPr>
              <w:jc w:val="center"/>
              <w:ind w:right="42"/>
              <w:spacing w:after="0" w:line="156" w:lineRule="exact"/>
              <w:rPr>
                <w:sz w:val="20"/>
                <w:szCs w:val="20"/>
                <w:color w:val="auto"/>
              </w:rPr>
            </w:pPr>
            <w:r>
              <w:rPr>
                <w:rFonts w:ascii="Arial" w:cs="Arial" w:eastAsia="Arial" w:hAnsi="Arial"/>
                <w:sz w:val="16"/>
                <w:szCs w:val="16"/>
                <w:b w:val="1"/>
                <w:bCs w:val="1"/>
                <w:color w:val="auto"/>
                <w:w w:val="97"/>
              </w:rPr>
              <w:t>Income Tax</w:t>
            </w:r>
          </w:p>
        </w:tc>
        <w:tc>
          <w:tcPr>
            <w:tcW w:w="220" w:type="dxa"/>
            <w:vAlign w:val="bottom"/>
          </w:tcPr>
          <w:p>
            <w:pPr>
              <w:spacing w:after="0"/>
              <w:rPr>
                <w:sz w:val="13"/>
                <w:szCs w:val="13"/>
                <w:color w:val="auto"/>
              </w:rPr>
            </w:pPr>
          </w:p>
        </w:tc>
        <w:tc>
          <w:tcPr>
            <w:tcW w:w="1260" w:type="dxa"/>
            <w:vAlign w:val="bottom"/>
          </w:tcPr>
          <w:p>
            <w:pPr>
              <w:jc w:val="center"/>
              <w:ind w:right="62"/>
              <w:spacing w:after="0" w:line="156" w:lineRule="exact"/>
              <w:rPr>
                <w:sz w:val="20"/>
                <w:szCs w:val="20"/>
                <w:color w:val="auto"/>
              </w:rPr>
            </w:pPr>
            <w:r>
              <w:rPr>
                <w:rFonts w:ascii="Arial" w:cs="Arial" w:eastAsia="Arial" w:hAnsi="Arial"/>
                <w:sz w:val="16"/>
                <w:szCs w:val="16"/>
                <w:b w:val="1"/>
                <w:bCs w:val="1"/>
                <w:color w:val="auto"/>
                <w:w w:val="96"/>
              </w:rPr>
              <w:t>to Other</w:t>
            </w:r>
          </w:p>
        </w:tc>
        <w:tc>
          <w:tcPr>
            <w:tcW w:w="200" w:type="dxa"/>
            <w:vAlign w:val="bottom"/>
          </w:tcPr>
          <w:p>
            <w:pPr>
              <w:spacing w:after="0"/>
              <w:rPr>
                <w:sz w:val="13"/>
                <w:szCs w:val="13"/>
                <w:color w:val="auto"/>
              </w:rPr>
            </w:pPr>
          </w:p>
        </w:tc>
        <w:tc>
          <w:tcPr>
            <w:tcW w:w="1080" w:type="dxa"/>
            <w:vAlign w:val="bottom"/>
          </w:tcPr>
          <w:p>
            <w:pPr>
              <w:jc w:val="center"/>
              <w:ind w:right="82"/>
              <w:spacing w:after="0" w:line="156" w:lineRule="exact"/>
              <w:rPr>
                <w:sz w:val="20"/>
                <w:szCs w:val="20"/>
                <w:color w:val="auto"/>
              </w:rPr>
            </w:pPr>
            <w:r>
              <w:rPr>
                <w:rFonts w:ascii="Arial" w:cs="Arial" w:eastAsia="Arial" w:hAnsi="Arial"/>
                <w:sz w:val="16"/>
                <w:szCs w:val="16"/>
                <w:b w:val="1"/>
                <w:bCs w:val="1"/>
                <w:color w:val="auto"/>
                <w:w w:val="96"/>
              </w:rPr>
              <w:t>End of</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97"/>
              </w:rPr>
              <w:t>Year</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5"/>
              </w:rPr>
              <w:t>Provision</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Accounts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Deferred Tax Asset Valuation Allowance</w:t>
            </w:r>
          </w:p>
        </w:tc>
        <w:tc>
          <w:tcPr>
            <w:tcW w:w="132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2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0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120"/>
              <w:spacing w:after="0"/>
              <w:rPr>
                <w:sz w:val="20"/>
                <w:szCs w:val="20"/>
                <w:color w:val="auto"/>
              </w:rPr>
            </w:pPr>
            <w:r>
              <w:rPr>
                <w:rFonts w:ascii="Arial" w:cs="Arial" w:eastAsia="Arial" w:hAnsi="Arial"/>
                <w:sz w:val="16"/>
                <w:szCs w:val="16"/>
                <w:color w:val="auto"/>
              </w:rPr>
              <w:t>Year ended August 28, 2025</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922"/>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4"/>
        </w:trPr>
        <w:tc>
          <w:tcPr>
            <w:tcW w:w="40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Year ended August 29, 2024</w:t>
            </w:r>
          </w:p>
        </w:tc>
        <w:tc>
          <w:tcPr>
            <w:tcW w:w="132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528</w:t>
            </w:r>
          </w:p>
        </w:tc>
        <w:tc>
          <w:tcPr>
            <w:tcW w:w="200" w:type="dxa"/>
            <w:vAlign w:val="bottom"/>
            <w:shd w:val="clear" w:color="auto" w:fill="D1D2D4"/>
          </w:tcPr>
          <w:p>
            <w:pPr>
              <w:spacing w:after="0"/>
              <w:rPr>
                <w:sz w:val="17"/>
                <w:szCs w:val="17"/>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D1D2D4"/>
          </w:tcPr>
          <w:p>
            <w:pPr>
              <w:spacing w:after="0"/>
              <w:rPr>
                <w:sz w:val="17"/>
                <w:szCs w:val="17"/>
                <w:color w:val="auto"/>
              </w:rPr>
            </w:pPr>
          </w:p>
        </w:tc>
        <w:tc>
          <w:tcPr>
            <w:tcW w:w="1260" w:type="dxa"/>
            <w:vAlign w:val="bottom"/>
            <w:shd w:val="clear" w:color="auto" w:fill="D1D2D4"/>
          </w:tcPr>
          <w:p>
            <w:pPr>
              <w:jc w:val="center"/>
              <w:ind w:left="922"/>
              <w:spacing w:after="0"/>
              <w:rPr>
                <w:sz w:val="20"/>
                <w:szCs w:val="20"/>
                <w:color w:val="auto"/>
              </w:rPr>
            </w:pPr>
            <w:r>
              <w:rPr>
                <w:rFonts w:ascii="Arial" w:cs="Arial" w:eastAsia="Arial" w:hAnsi="Arial"/>
                <w:sz w:val="16"/>
                <w:szCs w:val="16"/>
                <w:color w:val="auto"/>
              </w:rPr>
              <w:t>8</w:t>
            </w:r>
          </w:p>
        </w:tc>
        <w:tc>
          <w:tcPr>
            <w:tcW w:w="200" w:type="dxa"/>
            <w:vAlign w:val="bottom"/>
            <w:shd w:val="clear" w:color="auto" w:fill="D1D2D4"/>
          </w:tcPr>
          <w:p>
            <w:pPr>
              <w:spacing w:after="0"/>
              <w:rPr>
                <w:sz w:val="17"/>
                <w:szCs w:val="17"/>
                <w:color w:val="auto"/>
              </w:rPr>
            </w:pPr>
          </w:p>
        </w:tc>
        <w:tc>
          <w:tcPr>
            <w:tcW w:w="1080" w:type="dxa"/>
            <w:vAlign w:val="bottom"/>
            <w:shd w:val="clear" w:color="auto" w:fill="D1D2D4"/>
          </w:tcPr>
          <w:p>
            <w:pPr>
              <w:jc w:val="right"/>
              <w:ind w:right="2"/>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06"/>
        </w:trPr>
        <w:tc>
          <w:tcPr>
            <w:tcW w:w="4000" w:type="dxa"/>
            <w:vAlign w:val="bottom"/>
          </w:tcPr>
          <w:p>
            <w:pPr>
              <w:ind w:left="120"/>
              <w:spacing w:after="0"/>
              <w:rPr>
                <w:sz w:val="20"/>
                <w:szCs w:val="20"/>
                <w:color w:val="auto"/>
              </w:rPr>
            </w:pPr>
            <w:r>
              <w:rPr>
                <w:rFonts w:ascii="Arial" w:cs="Arial" w:eastAsia="Arial" w:hAnsi="Arial"/>
                <w:sz w:val="16"/>
                <w:szCs w:val="16"/>
                <w:color w:val="auto"/>
              </w:rPr>
              <w:t>Year ended August 31, 2023</w:t>
            </w:r>
          </w:p>
        </w:tc>
        <w:tc>
          <w:tcPr>
            <w:tcW w:w="1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1260" w:type="dxa"/>
            <w:vAlign w:val="bottom"/>
          </w:tcPr>
          <w:p>
            <w:pPr>
              <w:jc w:val="center"/>
              <w:ind w:left="902"/>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105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3"/>
          </w:tcPr>
          <w:p>
            <w:pPr>
              <w:ind w:left="20"/>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807"/>
        </w:trPr>
        <w:tc>
          <w:tcPr>
            <w:tcW w:w="5560" w:type="dxa"/>
            <w:vAlign w:val="bottom"/>
            <w:gridSpan w:val="24"/>
          </w:tcPr>
          <w:p>
            <w:pPr>
              <w:spacing w:after="0"/>
              <w:rPr>
                <w:sz w:val="20"/>
                <w:szCs w:val="20"/>
                <w:color w:val="auto"/>
              </w:rPr>
            </w:pPr>
            <w:r>
              <w:rPr>
                <w:rFonts w:ascii="Arial" w:cs="Arial" w:eastAsia="Arial" w:hAnsi="Arial"/>
                <w:sz w:val="19"/>
                <w:szCs w:val="19"/>
                <w:b w:val="1"/>
                <w:bCs w:val="1"/>
                <w:color w:val="auto"/>
              </w:rPr>
              <w:t>Index to Exhibits</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 w:type="dxa"/>
            <w:vAlign w:val="bottom"/>
          </w:tcPr>
          <w:p>
            <w:pPr>
              <w:ind w:left="260"/>
              <w:spacing w:after="0" w:line="158" w:lineRule="exact"/>
              <w:rPr>
                <w:sz w:val="20"/>
                <w:szCs w:val="20"/>
                <w:color w:val="auto"/>
              </w:rPr>
            </w:pPr>
            <w:r>
              <w:rPr>
                <w:rFonts w:ascii="Arial" w:cs="Arial" w:eastAsia="Arial" w:hAnsi="Arial"/>
                <w:sz w:val="16"/>
                <w:szCs w:val="16"/>
                <w:b w:val="1"/>
                <w:bCs w:val="1"/>
                <w:color w:val="auto"/>
              </w:rPr>
              <w:t>Exhibit</w:t>
            </w:r>
          </w:p>
        </w:tc>
        <w:tc>
          <w:tcPr>
            <w:tcW w:w="4540" w:type="dxa"/>
            <w:vAlign w:val="bottom"/>
            <w:gridSpan w:val="23"/>
            <w:vMerge w:val="restart"/>
          </w:tcPr>
          <w:p>
            <w:pPr>
              <w:ind w:left="1480"/>
              <w:spacing w:after="0"/>
              <w:rPr>
                <w:sz w:val="20"/>
                <w:szCs w:val="20"/>
                <w:color w:val="auto"/>
              </w:rPr>
            </w:pPr>
            <w:r>
              <w:rPr>
                <w:rFonts w:ascii="Arial" w:cs="Arial" w:eastAsia="Arial" w:hAnsi="Arial"/>
                <w:sz w:val="16"/>
                <w:szCs w:val="16"/>
                <w:b w:val="1"/>
                <w:bCs w:val="1"/>
                <w:color w:val="auto"/>
              </w:rPr>
              <w:t>Description of Exhibit</w:t>
            </w:r>
          </w:p>
        </w:tc>
        <w:tc>
          <w:tcPr>
            <w:tcW w:w="1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Filed Herewith   Form</w:t>
            </w:r>
          </w:p>
        </w:tc>
        <w:tc>
          <w:tcPr>
            <w:tcW w:w="920" w:type="dxa"/>
            <w:vAlign w:val="bottom"/>
          </w:tcPr>
          <w:p>
            <w:pPr>
              <w:jc w:val="center"/>
              <w:ind w:left="122"/>
              <w:spacing w:after="0" w:line="158" w:lineRule="exact"/>
              <w:rPr>
                <w:sz w:val="20"/>
                <w:szCs w:val="20"/>
                <w:color w:val="auto"/>
              </w:rPr>
            </w:pPr>
            <w:r>
              <w:rPr>
                <w:rFonts w:ascii="Arial" w:cs="Arial" w:eastAsia="Arial" w:hAnsi="Arial"/>
                <w:sz w:val="16"/>
                <w:szCs w:val="16"/>
                <w:b w:val="1"/>
                <w:bCs w:val="1"/>
                <w:color w:val="auto"/>
                <w:w w:val="96"/>
              </w:rPr>
              <w:t>Period</w:t>
            </w:r>
          </w:p>
        </w:tc>
        <w:tc>
          <w:tcPr>
            <w:tcW w:w="1060" w:type="dxa"/>
            <w:vAlign w:val="bottom"/>
          </w:tcPr>
          <w:p>
            <w:pPr>
              <w:ind w:left="420"/>
              <w:spacing w:after="0" w:line="158" w:lineRule="exact"/>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3"/>
                <w:szCs w:val="13"/>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04"/>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Number</w:t>
            </w:r>
          </w:p>
        </w:tc>
        <w:tc>
          <w:tcPr>
            <w:tcW w:w="4540" w:type="dxa"/>
            <w:vAlign w:val="bottom"/>
            <w:gridSpan w:val="23"/>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Arial" w:cs="Arial" w:eastAsia="Arial" w:hAnsi="Arial"/>
                <w:sz w:val="16"/>
                <w:szCs w:val="16"/>
                <w:b w:val="1"/>
                <w:bCs w:val="1"/>
                <w:color w:val="auto"/>
                <w:w w:val="99"/>
              </w:rPr>
              <w:t>Ending</w:t>
            </w:r>
          </w:p>
        </w:tc>
        <w:tc>
          <w:tcPr>
            <w:tcW w:w="1060" w:type="dxa"/>
            <w:vAlign w:val="bottom"/>
          </w:tcPr>
          <w:p>
            <w:pPr>
              <w:ind w:left="340"/>
              <w:spacing w:after="0"/>
              <w:rPr>
                <w:sz w:val="20"/>
                <w:szCs w:val="20"/>
                <w:color w:val="auto"/>
              </w:rPr>
            </w:pPr>
            <w:r>
              <w:rPr>
                <w:rFonts w:ascii="Arial" w:cs="Arial" w:eastAsia="Arial" w:hAnsi="Arial"/>
                <w:sz w:val="16"/>
                <w:szCs w:val="16"/>
                <w:b w:val="1"/>
                <w:bCs w:val="1"/>
                <w:color w:val="auto"/>
                <w:w w:val="95"/>
              </w:rPr>
              <w:t>Appendix</w:t>
            </w:r>
          </w:p>
        </w:tc>
        <w:tc>
          <w:tcPr>
            <w:tcW w:w="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D1D2D4"/>
            </w:tcBorders>
            <w:shd w:val="clear" w:color="auto" w:fill="D1D2D4"/>
          </w:tcPr>
          <w:p>
            <w:pPr>
              <w:ind w:left="20"/>
              <w:spacing w:after="0" w:line="160" w:lineRule="exact"/>
              <w:rPr>
                <w:sz w:val="20"/>
                <w:szCs w:val="20"/>
                <w:color w:val="auto"/>
              </w:rPr>
            </w:pPr>
            <w:r>
              <w:rPr>
                <w:rFonts w:ascii="Arial" w:cs="Arial" w:eastAsia="Arial" w:hAnsi="Arial"/>
                <w:sz w:val="16"/>
                <w:szCs w:val="16"/>
                <w:color w:val="auto"/>
              </w:rPr>
              <w:t>3.1</w:t>
            </w:r>
          </w:p>
        </w:tc>
        <w:tc>
          <w:tcPr>
            <w:tcW w:w="3720" w:type="dxa"/>
            <w:vAlign w:val="bottom"/>
            <w:tcBorders>
              <w:top w:val="single" w:sz="8" w:color="auto"/>
              <w:bottom w:val="single" w:sz="8" w:color="auto"/>
            </w:tcBorders>
            <w:gridSpan w:val="7"/>
            <w:shd w:val="clear" w:color="auto" w:fill="D1D2D4"/>
          </w:tcPr>
          <w:p>
            <w:pPr>
              <w:spacing w:after="0" w:line="160" w:lineRule="exact"/>
              <w:rPr>
                <w:rFonts w:ascii="Arial" w:cs="Arial" w:eastAsia="Arial" w:hAnsi="Arial"/>
                <w:sz w:val="16"/>
                <w:szCs w:val="16"/>
                <w:color w:val="auto"/>
                <w:w w:val="97"/>
              </w:rPr>
            </w:pPr>
            <w:hyperlink r:id="rId184">
              <w:r>
                <w:rPr>
                  <w:rFonts w:ascii="Arial" w:cs="Arial" w:eastAsia="Arial" w:hAnsi="Arial"/>
                  <w:sz w:val="16"/>
                  <w:szCs w:val="16"/>
                  <w:color w:val="auto"/>
                  <w:w w:val="97"/>
                </w:rPr>
                <w:t>Restated Certificate of Incorporation of the Registrant</w:t>
              </w:r>
            </w:hyperlink>
          </w:p>
        </w:tc>
        <w:tc>
          <w:tcPr>
            <w:tcW w:w="820" w:type="dxa"/>
            <w:vAlign w:val="bottom"/>
            <w:tcBorders>
              <w:top w:val="single" w:sz="8" w:color="auto"/>
              <w:bottom w:val="single" w:sz="8" w:color="D1D2D4"/>
            </w:tcBorders>
            <w:gridSpan w:val="16"/>
            <w:shd w:val="clear" w:color="auto" w:fill="D1D2D4"/>
          </w:tcPr>
          <w:p>
            <w:pPr>
              <w:spacing w:after="0"/>
              <w:rPr>
                <w:sz w:val="15"/>
                <w:szCs w:val="15"/>
                <w:color w:val="auto"/>
              </w:rPr>
            </w:pPr>
          </w:p>
        </w:tc>
        <w:tc>
          <w:tcPr>
            <w:tcW w:w="1800" w:type="dxa"/>
            <w:vAlign w:val="bottom"/>
            <w:tcBorders>
              <w:top w:val="single" w:sz="8" w:color="auto"/>
              <w:bottom w:val="single" w:sz="8" w:color="D1D2D4"/>
            </w:tcBorders>
            <w:shd w:val="clear" w:color="auto" w:fill="D1D2D4"/>
          </w:tcPr>
          <w:p>
            <w:pPr>
              <w:ind w:left="1140"/>
              <w:spacing w:after="0" w:line="160" w:lineRule="exact"/>
              <w:rPr>
                <w:sz w:val="20"/>
                <w:szCs w:val="20"/>
                <w:color w:val="auto"/>
              </w:rPr>
            </w:pPr>
            <w:r>
              <w:rPr>
                <w:rFonts w:ascii="Arial" w:cs="Arial" w:eastAsia="Arial" w:hAnsi="Arial"/>
                <w:sz w:val="16"/>
                <w:szCs w:val="16"/>
                <w:color w:val="auto"/>
              </w:rPr>
              <w:t>8-K</w:t>
            </w:r>
          </w:p>
        </w:tc>
        <w:tc>
          <w:tcPr>
            <w:tcW w:w="920" w:type="dxa"/>
            <w:vAlign w:val="bottom"/>
            <w:tcBorders>
              <w:top w:val="single" w:sz="8" w:color="auto"/>
              <w:bottom w:val="single" w:sz="8" w:color="D1D2D4"/>
            </w:tcBorders>
            <w:shd w:val="clear" w:color="auto" w:fill="D1D2D4"/>
          </w:tcPr>
          <w:p>
            <w:pPr>
              <w:spacing w:after="0"/>
              <w:rPr>
                <w:sz w:val="15"/>
                <w:szCs w:val="15"/>
                <w:color w:val="auto"/>
              </w:rPr>
            </w:pPr>
          </w:p>
        </w:tc>
        <w:tc>
          <w:tcPr>
            <w:tcW w:w="1060" w:type="dxa"/>
            <w:vAlign w:val="bottom"/>
            <w:tcBorders>
              <w:top w:val="single" w:sz="8" w:color="auto"/>
              <w:bottom w:val="single" w:sz="8" w:color="D1D2D4"/>
            </w:tcBorders>
            <w:shd w:val="clear" w:color="auto" w:fill="D1D2D4"/>
          </w:tcPr>
          <w:p>
            <w:pPr>
              <w:ind w:left="120"/>
              <w:spacing w:after="0" w:line="160" w:lineRule="exact"/>
              <w:rPr>
                <w:sz w:val="20"/>
                <w:szCs w:val="20"/>
                <w:color w:val="auto"/>
              </w:rPr>
            </w:pPr>
            <w:r>
              <w:rPr>
                <w:rFonts w:ascii="Arial" w:cs="Arial" w:eastAsia="Arial" w:hAnsi="Arial"/>
                <w:sz w:val="16"/>
                <w:szCs w:val="16"/>
                <w:color w:val="auto"/>
              </w:rPr>
              <w:t>99.2</w:t>
            </w:r>
          </w:p>
        </w:tc>
        <w:tc>
          <w:tcPr>
            <w:tcW w:w="1220" w:type="dxa"/>
            <w:vAlign w:val="bottom"/>
            <w:tcBorders>
              <w:top w:val="single" w:sz="8" w:color="auto"/>
              <w:bottom w:val="single" w:sz="8" w:color="D1D2D4"/>
            </w:tcBorders>
            <w:gridSpan w:val="2"/>
            <w:shd w:val="clear" w:color="auto" w:fill="D1D2D4"/>
          </w:tcPr>
          <w:p>
            <w:pPr>
              <w:ind w:left="240"/>
              <w:spacing w:after="0" w:line="160" w:lineRule="exact"/>
              <w:rPr>
                <w:sz w:val="20"/>
                <w:szCs w:val="20"/>
                <w:color w:val="auto"/>
              </w:rPr>
            </w:pPr>
            <w:r>
              <w:rPr>
                <w:rFonts w:ascii="Arial" w:cs="Arial" w:eastAsia="Arial" w:hAnsi="Arial"/>
                <w:sz w:val="16"/>
                <w:szCs w:val="16"/>
                <w:color w:val="auto"/>
              </w:rPr>
              <w:t>1/26/15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20" w:type="dxa"/>
            <w:vAlign w:val="bottom"/>
          </w:tcPr>
          <w:p>
            <w:pPr>
              <w:ind w:left="20"/>
              <w:spacing w:after="0"/>
              <w:rPr>
                <w:sz w:val="20"/>
                <w:szCs w:val="20"/>
                <w:color w:val="auto"/>
              </w:rPr>
            </w:pPr>
            <w:r>
              <w:rPr>
                <w:rFonts w:ascii="Arial" w:cs="Arial" w:eastAsia="Arial" w:hAnsi="Arial"/>
                <w:sz w:val="16"/>
                <w:szCs w:val="16"/>
                <w:color w:val="auto"/>
              </w:rPr>
              <w:t>3.2</w:t>
            </w:r>
          </w:p>
        </w:tc>
        <w:tc>
          <w:tcPr>
            <w:tcW w:w="4540" w:type="dxa"/>
            <w:vAlign w:val="bottom"/>
            <w:gridSpan w:val="23"/>
          </w:tcPr>
          <w:p>
            <w:pPr>
              <w:spacing w:after="0"/>
              <w:rPr>
                <w:rFonts w:ascii="Arial" w:cs="Arial" w:eastAsia="Arial" w:hAnsi="Arial"/>
                <w:sz w:val="16"/>
                <w:szCs w:val="16"/>
                <w:color w:val="auto"/>
                <w:w w:val="98"/>
              </w:rPr>
            </w:pPr>
            <w:hyperlink r:id="rId185">
              <w:r>
                <w:rPr>
                  <w:rFonts w:ascii="Arial" w:cs="Arial" w:eastAsia="Arial" w:hAnsi="Arial"/>
                  <w:sz w:val="16"/>
                  <w:szCs w:val="16"/>
                  <w:color w:val="auto"/>
                  <w:w w:val="98"/>
                </w:rPr>
                <w:t>Amended and Restated Bylaws of Registrant as of July 17, 2025</w:t>
              </w:r>
            </w:hyperlink>
          </w:p>
        </w:tc>
        <w:tc>
          <w:tcPr>
            <w:tcW w:w="1800" w:type="dxa"/>
            <w:vAlign w:val="bottom"/>
          </w:tcPr>
          <w:p>
            <w:pPr>
              <w:ind w:left="1140"/>
              <w:spacing w:after="0"/>
              <w:rPr>
                <w:sz w:val="20"/>
                <w:szCs w:val="20"/>
                <w:color w:val="auto"/>
              </w:rPr>
            </w:pPr>
            <w:r>
              <w:rPr>
                <w:rFonts w:ascii="Arial" w:cs="Arial" w:eastAsia="Arial" w:hAnsi="Arial"/>
                <w:sz w:val="16"/>
                <w:szCs w:val="16"/>
                <w:color w:val="auto"/>
              </w:rPr>
              <w:t>8-K</w:t>
            </w:r>
          </w:p>
        </w:tc>
        <w:tc>
          <w:tcPr>
            <w:tcW w:w="92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3.1</w:t>
            </w:r>
          </w:p>
        </w:tc>
        <w:tc>
          <w:tcPr>
            <w:tcW w:w="1220" w:type="dxa"/>
            <w:vAlign w:val="bottom"/>
            <w:gridSpan w:val="2"/>
          </w:tcPr>
          <w:p>
            <w:pPr>
              <w:ind w:left="240"/>
              <w:spacing w:after="0"/>
              <w:rPr>
                <w:sz w:val="20"/>
                <w:szCs w:val="20"/>
                <w:color w:val="auto"/>
              </w:rPr>
            </w:pPr>
            <w:r>
              <w:rPr>
                <w:rFonts w:ascii="Arial" w:cs="Arial" w:eastAsia="Arial" w:hAnsi="Arial"/>
                <w:sz w:val="16"/>
                <w:szCs w:val="16"/>
                <w:color w:val="auto"/>
              </w:rPr>
              <w:t>7/18/25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w:t>
            </w:r>
          </w:p>
        </w:tc>
        <w:tc>
          <w:tcPr>
            <w:tcW w:w="4520" w:type="dxa"/>
            <w:vAlign w:val="bottom"/>
            <w:tcBorders>
              <w:top w:val="single" w:sz="8" w:color="auto"/>
            </w:tcBorders>
            <w:gridSpan w:val="22"/>
            <w:shd w:val="clear" w:color="auto" w:fill="D1D2D4"/>
          </w:tcPr>
          <w:p>
            <w:pPr>
              <w:spacing w:after="0" w:line="176" w:lineRule="exact"/>
              <w:rPr>
                <w:rFonts w:ascii="Arial" w:cs="Arial" w:eastAsia="Arial" w:hAnsi="Arial"/>
                <w:sz w:val="16"/>
                <w:szCs w:val="16"/>
                <w:color w:val="auto"/>
                <w:w w:val="98"/>
              </w:rPr>
            </w:pPr>
            <w:hyperlink r:id="rId186">
              <w:r>
                <w:rPr>
                  <w:rFonts w:ascii="Arial" w:cs="Arial" w:eastAsia="Arial" w:hAnsi="Arial"/>
                  <w:sz w:val="16"/>
                  <w:szCs w:val="16"/>
                  <w:color w:val="auto"/>
                  <w:w w:val="98"/>
                </w:rPr>
                <w:t>Indenture, dated as of February 6, 2019, by and between Micron</w:t>
              </w:r>
            </w:hyperlink>
          </w:p>
        </w:tc>
        <w:tc>
          <w:tcPr>
            <w:tcW w:w="20" w:type="dxa"/>
            <w:vAlign w:val="bottom"/>
            <w:shd w:val="clear" w:color="auto" w:fill="D1D2D4"/>
          </w:tcPr>
          <w:p>
            <w:pPr>
              <w:spacing w:after="0"/>
              <w:rPr>
                <w:sz w:val="15"/>
                <w:szCs w:val="15"/>
                <w:color w:val="auto"/>
              </w:rPr>
            </w:pPr>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4.1</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2/6/19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80" w:type="dxa"/>
            <w:vAlign w:val="bottom"/>
            <w:tcBorders>
              <w:top w:val="single" w:sz="8" w:color="auto"/>
            </w:tcBorders>
            <w:gridSpan w:val="20"/>
            <w:shd w:val="clear" w:color="auto" w:fill="D1D2D4"/>
          </w:tcPr>
          <w:p>
            <w:pPr>
              <w:spacing w:after="0" w:line="136" w:lineRule="exact"/>
              <w:rPr>
                <w:rFonts w:ascii="Arial" w:cs="Arial" w:eastAsia="Arial" w:hAnsi="Arial"/>
                <w:sz w:val="14"/>
                <w:szCs w:val="14"/>
                <w:color w:val="auto"/>
              </w:rPr>
            </w:pPr>
            <w:hyperlink r:id="rId186">
              <w:r>
                <w:rPr>
                  <w:rFonts w:ascii="Arial" w:cs="Arial" w:eastAsia="Arial" w:hAnsi="Arial"/>
                  <w:sz w:val="14"/>
                  <w:szCs w:val="14"/>
                  <w:color w:val="auto"/>
                </w:rPr>
                <w:t>Technology, Inc. and U.S. Bank Trust Company, National</w:t>
              </w:r>
            </w:hyperlink>
          </w:p>
        </w:tc>
        <w:tc>
          <w:tcPr>
            <w:tcW w:w="20" w:type="dxa"/>
            <w:vAlign w:val="bottom"/>
            <w:tcBorders>
              <w:top w:val="single" w:sz="8" w:color="D1D2D4"/>
            </w:tcBorders>
            <w:shd w:val="clear" w:color="auto" w:fill="D1D2D4"/>
          </w:tcPr>
          <w:p>
            <w:pPr>
              <w:spacing w:after="0"/>
              <w:rPr>
                <w:sz w:val="11"/>
                <w:szCs w:val="11"/>
                <w:color w:val="auto"/>
              </w:rPr>
            </w:pPr>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bottom w:val="single" w:sz="8" w:color="D1D2D4"/>
            </w:tcBorders>
            <w:shd w:val="clear" w:color="auto" w:fill="D1D2D4"/>
          </w:tcPr>
          <w:p>
            <w:pPr>
              <w:spacing w:after="0"/>
              <w:rPr>
                <w:sz w:val="11"/>
                <w:szCs w:val="11"/>
                <w:color w:val="auto"/>
              </w:rPr>
            </w:pPr>
          </w:p>
        </w:tc>
        <w:tc>
          <w:tcPr>
            <w:tcW w:w="3980" w:type="dxa"/>
            <w:vAlign w:val="bottom"/>
            <w:tcBorders>
              <w:top w:val="single" w:sz="8" w:color="auto"/>
              <w:bottom w:val="single" w:sz="8" w:color="auto"/>
            </w:tcBorders>
            <w:gridSpan w:val="8"/>
            <w:shd w:val="clear" w:color="auto" w:fill="D1D2D4"/>
          </w:tcPr>
          <w:p>
            <w:pPr>
              <w:spacing w:after="0" w:line="136" w:lineRule="exact"/>
              <w:rPr>
                <w:rFonts w:ascii="Arial" w:cs="Arial" w:eastAsia="Arial" w:hAnsi="Arial"/>
                <w:sz w:val="14"/>
                <w:szCs w:val="14"/>
                <w:color w:val="auto"/>
              </w:rPr>
            </w:pPr>
            <w:hyperlink r:id="rId186">
              <w:r>
                <w:rPr>
                  <w:rFonts w:ascii="Arial" w:cs="Arial" w:eastAsia="Arial" w:hAnsi="Arial"/>
                  <w:sz w:val="14"/>
                  <w:szCs w:val="14"/>
                  <w:color w:val="auto"/>
                </w:rPr>
                <w:t>Association (as successor in interest to U.S. Bank National</w:t>
              </w:r>
            </w:hyperlink>
          </w:p>
        </w:tc>
        <w:tc>
          <w:tcPr>
            <w:tcW w:w="60" w:type="dxa"/>
            <w:vAlign w:val="bottom"/>
            <w:tcBorders>
              <w:top w:val="single" w:sz="8" w:color="D1D2D4"/>
              <w:bottom w:val="single" w:sz="8" w:color="auto"/>
            </w:tcBorders>
            <w:shd w:val="clear" w:color="auto" w:fill="D1D2D4"/>
          </w:tcPr>
          <w:p>
            <w:pPr>
              <w:spacing w:after="0"/>
              <w:rPr>
                <w:sz w:val="11"/>
                <w:szCs w:val="11"/>
                <w:color w:val="auto"/>
              </w:rPr>
            </w:pPr>
          </w:p>
        </w:tc>
        <w:tc>
          <w:tcPr>
            <w:tcW w:w="20" w:type="dxa"/>
            <w:vAlign w:val="bottom"/>
            <w:tcBorders>
              <w:top w:val="single" w:sz="8" w:color="D1D2D4"/>
              <w:bottom w:val="single" w:sz="8" w:color="auto"/>
            </w:tcBorders>
            <w:shd w:val="clear" w:color="auto" w:fill="D1D2D4"/>
          </w:tcPr>
          <w:p>
            <w:pPr>
              <w:spacing w:after="0"/>
              <w:rPr>
                <w:sz w:val="11"/>
                <w:szCs w:val="11"/>
                <w:color w:val="auto"/>
              </w:rPr>
            </w:pPr>
          </w:p>
        </w:tc>
        <w:tc>
          <w:tcPr>
            <w:tcW w:w="20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40" w:type="dxa"/>
            <w:vAlign w:val="bottom"/>
            <w:tcBorders>
              <w:top w:val="single" w:sz="8" w:color="D1D2D4"/>
              <w:bottom w:val="single" w:sz="8" w:color="D1D2D4"/>
            </w:tcBorders>
            <w:shd w:val="clear" w:color="auto" w:fill="D1D2D4"/>
          </w:tcPr>
          <w:p>
            <w:pPr>
              <w:spacing w:after="0"/>
              <w:rPr>
                <w:sz w:val="11"/>
                <w:szCs w:val="11"/>
                <w:color w:val="auto"/>
              </w:rPr>
            </w:pPr>
          </w:p>
        </w:tc>
        <w:tc>
          <w:tcPr>
            <w:tcW w:w="4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40" w:type="dxa"/>
            <w:vAlign w:val="bottom"/>
            <w:tcBorders>
              <w:top w:val="single" w:sz="8" w:color="D1D2D4"/>
              <w:bottom w:val="single" w:sz="8" w:color="D1D2D4"/>
            </w:tcBorders>
            <w:gridSpan w:val="2"/>
            <w:shd w:val="clear" w:color="auto" w:fill="D1D2D4"/>
          </w:tcPr>
          <w:p>
            <w:pPr>
              <w:spacing w:after="0"/>
              <w:rPr>
                <w:sz w:val="11"/>
                <w:szCs w:val="11"/>
                <w:color w:val="auto"/>
              </w:rPr>
            </w:pPr>
          </w:p>
        </w:tc>
        <w:tc>
          <w:tcPr>
            <w:tcW w:w="40" w:type="dxa"/>
            <w:vAlign w:val="bottom"/>
            <w:tcBorders>
              <w:top w:val="single" w:sz="8" w:color="D1D2D4"/>
              <w:bottom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bottom w:val="single" w:sz="8" w:color="D1D2D4"/>
            </w:tcBorders>
            <w:shd w:val="clear" w:color="auto" w:fill="D1D2D4"/>
          </w:tcPr>
          <w:p>
            <w:pPr>
              <w:spacing w:after="0"/>
              <w:rPr>
                <w:sz w:val="11"/>
                <w:szCs w:val="11"/>
                <w:color w:val="auto"/>
              </w:rPr>
            </w:pPr>
          </w:p>
        </w:tc>
        <w:tc>
          <w:tcPr>
            <w:tcW w:w="920" w:type="dxa"/>
            <w:vAlign w:val="bottom"/>
            <w:tcBorders>
              <w:top w:val="single" w:sz="8" w:color="D1D2D4"/>
              <w:bottom w:val="single" w:sz="8" w:color="D1D2D4"/>
            </w:tcBorders>
            <w:shd w:val="clear" w:color="auto" w:fill="D1D2D4"/>
          </w:tcPr>
          <w:p>
            <w:pPr>
              <w:spacing w:after="0"/>
              <w:rPr>
                <w:sz w:val="11"/>
                <w:szCs w:val="11"/>
                <w:color w:val="auto"/>
              </w:rPr>
            </w:pPr>
          </w:p>
        </w:tc>
        <w:tc>
          <w:tcPr>
            <w:tcW w:w="106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120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Borders>
              <w:bottom w:val="single" w:sz="8" w:color="D1D2D4"/>
            </w:tcBorders>
            <w:shd w:val="clear" w:color="auto" w:fill="D1D2D4"/>
          </w:tcPr>
          <w:p>
            <w:pPr>
              <w:spacing w:after="0"/>
              <w:rPr>
                <w:sz w:val="13"/>
                <w:szCs w:val="13"/>
                <w:color w:val="auto"/>
              </w:rPr>
            </w:pPr>
          </w:p>
        </w:tc>
        <w:tc>
          <w:tcPr>
            <w:tcW w:w="1680" w:type="dxa"/>
            <w:vAlign w:val="bottom"/>
            <w:tcBorders>
              <w:bottom w:val="single" w:sz="8" w:color="auto"/>
            </w:tcBorders>
            <w:gridSpan w:val="2"/>
            <w:shd w:val="clear" w:color="auto" w:fill="D1D2D4"/>
          </w:tcPr>
          <w:p>
            <w:pPr>
              <w:spacing w:after="0" w:line="136" w:lineRule="exact"/>
              <w:rPr>
                <w:rFonts w:ascii="Arial" w:cs="Arial" w:eastAsia="Arial" w:hAnsi="Arial"/>
                <w:sz w:val="14"/>
                <w:szCs w:val="14"/>
                <w:color w:val="auto"/>
              </w:rPr>
            </w:pPr>
            <w:hyperlink r:id="rId186">
              <w:r>
                <w:rPr>
                  <w:rFonts w:ascii="Arial" w:cs="Arial" w:eastAsia="Arial" w:hAnsi="Arial"/>
                  <w:sz w:val="14"/>
                  <w:szCs w:val="14"/>
                  <w:color w:val="auto"/>
                </w:rPr>
                <w:t>Association), as Trustee</w:t>
              </w:r>
            </w:hyperlink>
          </w:p>
        </w:tc>
        <w:tc>
          <w:tcPr>
            <w:tcW w:w="2380" w:type="dxa"/>
            <w:vAlign w:val="bottom"/>
            <w:tcBorders>
              <w:bottom w:val="single" w:sz="8" w:color="D1D2D4"/>
            </w:tcBorders>
            <w:gridSpan w:val="8"/>
            <w:shd w:val="clear" w:color="auto" w:fill="D1D2D4"/>
          </w:tcPr>
          <w:p>
            <w:pPr>
              <w:spacing w:after="0"/>
              <w:rPr>
                <w:sz w:val="13"/>
                <w:szCs w:val="13"/>
                <w:color w:val="auto"/>
              </w:rPr>
            </w:pPr>
          </w:p>
        </w:tc>
        <w:tc>
          <w:tcPr>
            <w:tcW w:w="20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40" w:type="dxa"/>
            <w:vAlign w:val="bottom"/>
            <w:tcBorders>
              <w:bottom w:val="single" w:sz="8" w:color="D1D2D4"/>
            </w:tcBorders>
            <w:shd w:val="clear" w:color="auto" w:fill="D1D2D4"/>
          </w:tcPr>
          <w:p>
            <w:pPr>
              <w:spacing w:after="0"/>
              <w:rPr>
                <w:sz w:val="13"/>
                <w:szCs w:val="13"/>
                <w:color w:val="auto"/>
              </w:rPr>
            </w:pPr>
          </w:p>
        </w:tc>
        <w:tc>
          <w:tcPr>
            <w:tcW w:w="4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40" w:type="dxa"/>
            <w:vAlign w:val="bottom"/>
            <w:tcBorders>
              <w:bottom w:val="single" w:sz="8" w:color="D1D2D4"/>
            </w:tcBorders>
            <w:gridSpan w:val="2"/>
            <w:shd w:val="clear" w:color="auto" w:fill="D1D2D4"/>
          </w:tcPr>
          <w:p>
            <w:pPr>
              <w:spacing w:after="0"/>
              <w:rPr>
                <w:sz w:val="13"/>
                <w:szCs w:val="13"/>
                <w:color w:val="auto"/>
              </w:rPr>
            </w:pPr>
          </w:p>
        </w:tc>
        <w:tc>
          <w:tcPr>
            <w:tcW w:w="40" w:type="dxa"/>
            <w:vAlign w:val="bottom"/>
            <w:tcBorders>
              <w:bottom w:val="single" w:sz="8" w:color="D1D2D4"/>
            </w:tcBorders>
            <w:gridSpan w:val="2"/>
            <w:shd w:val="clear" w:color="auto" w:fill="D1D2D4"/>
          </w:tcPr>
          <w:p>
            <w:pPr>
              <w:spacing w:after="0"/>
              <w:rPr>
                <w:sz w:val="13"/>
                <w:szCs w:val="13"/>
                <w:color w:val="auto"/>
              </w:rPr>
            </w:pPr>
          </w:p>
        </w:tc>
        <w:tc>
          <w:tcPr>
            <w:tcW w:w="1800" w:type="dxa"/>
            <w:vAlign w:val="bottom"/>
            <w:tcBorders>
              <w:bottom w:val="single" w:sz="8" w:color="D1D2D4"/>
            </w:tcBorders>
            <w:shd w:val="clear" w:color="auto" w:fill="D1D2D4"/>
          </w:tcPr>
          <w:p>
            <w:pPr>
              <w:spacing w:after="0"/>
              <w:rPr>
                <w:sz w:val="13"/>
                <w:szCs w:val="13"/>
                <w:color w:val="auto"/>
              </w:rPr>
            </w:pPr>
          </w:p>
        </w:tc>
        <w:tc>
          <w:tcPr>
            <w:tcW w:w="920" w:type="dxa"/>
            <w:vAlign w:val="bottom"/>
            <w:tcBorders>
              <w:bottom w:val="single" w:sz="8" w:color="D1D2D4"/>
            </w:tcBorders>
            <w:shd w:val="clear" w:color="auto" w:fill="D1D2D4"/>
          </w:tcPr>
          <w:p>
            <w:pPr>
              <w:spacing w:after="0"/>
              <w:rPr>
                <w:sz w:val="13"/>
                <w:szCs w:val="13"/>
                <w:color w:val="auto"/>
              </w:rPr>
            </w:pPr>
          </w:p>
        </w:tc>
        <w:tc>
          <w:tcPr>
            <w:tcW w:w="106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1200" w:type="dxa"/>
            <w:vAlign w:val="bottom"/>
            <w:tcBorders>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4.2</w:t>
            </w:r>
          </w:p>
        </w:tc>
        <w:tc>
          <w:tcPr>
            <w:tcW w:w="4540" w:type="dxa"/>
            <w:vAlign w:val="bottom"/>
            <w:gridSpan w:val="23"/>
          </w:tcPr>
          <w:p>
            <w:pPr>
              <w:spacing w:after="0" w:line="168" w:lineRule="exact"/>
              <w:rPr>
                <w:rFonts w:ascii="Arial" w:cs="Arial" w:eastAsia="Arial" w:hAnsi="Arial"/>
                <w:sz w:val="16"/>
                <w:szCs w:val="16"/>
                <w:color w:val="auto"/>
              </w:rPr>
            </w:pPr>
            <w:hyperlink r:id="rId187">
              <w:r>
                <w:rPr>
                  <w:rFonts w:ascii="Arial" w:cs="Arial" w:eastAsia="Arial" w:hAnsi="Arial"/>
                  <w:sz w:val="16"/>
                  <w:szCs w:val="16"/>
                  <w:color w:val="auto"/>
                </w:rPr>
                <w:t>First Supplemental Indenture, dated as of February 6, 2019, by</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2/6/19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360" w:type="dxa"/>
            <w:vAlign w:val="bottom"/>
            <w:tcBorders>
              <w:top w:val="single" w:sz="8" w:color="auto"/>
            </w:tcBorders>
            <w:gridSpan w:val="14"/>
          </w:tcPr>
          <w:p>
            <w:pPr>
              <w:spacing w:after="0" w:line="136" w:lineRule="exact"/>
              <w:rPr>
                <w:rFonts w:ascii="Arial" w:cs="Arial" w:eastAsia="Arial" w:hAnsi="Arial"/>
                <w:sz w:val="14"/>
                <w:szCs w:val="14"/>
                <w:color w:val="auto"/>
              </w:rPr>
            </w:pPr>
            <w:hyperlink r:id="rId187">
              <w:r>
                <w:rPr>
                  <w:rFonts w:ascii="Arial" w:cs="Arial" w:eastAsia="Arial" w:hAnsi="Arial"/>
                  <w:sz w:val="14"/>
                  <w:szCs w:val="14"/>
                  <w:color w:val="auto"/>
                </w:rPr>
                <w:t>and between Micron Technology, Inc. and U.S. Bank National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260" w:type="dxa"/>
            <w:vAlign w:val="bottom"/>
            <w:tcBorders>
              <w:top w:val="single" w:sz="8" w:color="auto"/>
            </w:tcBorders>
            <w:gridSpan w:val="11"/>
          </w:tcPr>
          <w:p>
            <w:pPr>
              <w:spacing w:after="0" w:line="136" w:lineRule="exact"/>
              <w:rPr>
                <w:rFonts w:ascii="Arial" w:cs="Arial" w:eastAsia="Arial" w:hAnsi="Arial"/>
                <w:sz w:val="14"/>
                <w:szCs w:val="14"/>
                <w:color w:val="auto"/>
              </w:rPr>
            </w:pPr>
            <w:hyperlink r:id="rId187">
              <w:r>
                <w:rPr>
                  <w:rFonts w:ascii="Arial" w:cs="Arial" w:eastAsia="Arial" w:hAnsi="Arial"/>
                  <w:sz w:val="14"/>
                  <w:szCs w:val="14"/>
                  <w:color w:val="auto"/>
                </w:rPr>
                <w:t>Association, as Trustee</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4.3</w:t>
            </w:r>
          </w:p>
        </w:tc>
        <w:tc>
          <w:tcPr>
            <w:tcW w:w="4540" w:type="dxa"/>
            <w:vAlign w:val="bottom"/>
            <w:gridSpan w:val="23"/>
            <w:shd w:val="clear" w:color="auto" w:fill="D1D2D4"/>
          </w:tcPr>
          <w:p>
            <w:pPr>
              <w:spacing w:after="0" w:line="176" w:lineRule="exact"/>
              <w:rPr>
                <w:rFonts w:ascii="Arial" w:cs="Arial" w:eastAsia="Arial" w:hAnsi="Arial"/>
                <w:sz w:val="16"/>
                <w:szCs w:val="16"/>
                <w:color w:val="auto"/>
                <w:w w:val="98"/>
              </w:rPr>
            </w:pPr>
            <w:hyperlink r:id="rId187">
              <w:r>
                <w:rPr>
                  <w:rFonts w:ascii="Arial" w:cs="Arial" w:eastAsia="Arial" w:hAnsi="Arial"/>
                  <w:sz w:val="16"/>
                  <w:szCs w:val="16"/>
                  <w:color w:val="auto"/>
                  <w:w w:val="98"/>
                </w:rPr>
                <w:t>Form of Note for Micron Technology, Inc.’s 5.327%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4.5</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2/6/19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80" w:type="dxa"/>
            <w:vAlign w:val="bottom"/>
            <w:tcBorders>
              <w:top w:val="single" w:sz="8" w:color="auto"/>
            </w:tcBorders>
            <w:gridSpan w:val="20"/>
            <w:shd w:val="clear" w:color="auto" w:fill="D1D2D4"/>
          </w:tcPr>
          <w:p>
            <w:pPr>
              <w:spacing w:after="0" w:line="136" w:lineRule="exact"/>
              <w:rPr>
                <w:rFonts w:ascii="Arial" w:cs="Arial" w:eastAsia="Arial" w:hAnsi="Arial"/>
                <w:sz w:val="14"/>
                <w:szCs w:val="14"/>
                <w:color w:val="auto"/>
              </w:rPr>
            </w:pPr>
            <w:hyperlink r:id="rId187">
              <w:r>
                <w:rPr>
                  <w:rFonts w:ascii="Arial" w:cs="Arial" w:eastAsia="Arial" w:hAnsi="Arial"/>
                  <w:sz w:val="14"/>
                  <w:szCs w:val="14"/>
                  <w:color w:val="auto"/>
                </w:rPr>
                <w:t>due 2029 (included in Exhibit 4.2)</w:t>
              </w:r>
            </w:hyperlink>
          </w:p>
        </w:tc>
        <w:tc>
          <w:tcPr>
            <w:tcW w:w="20" w:type="dxa"/>
            <w:vAlign w:val="bottom"/>
            <w:tcBorders>
              <w:top w:val="single" w:sz="8" w:color="D1D2D4"/>
            </w:tcBorders>
            <w:shd w:val="clear" w:color="auto" w:fill="D1D2D4"/>
          </w:tcPr>
          <w:p>
            <w:pPr>
              <w:spacing w:after="0"/>
              <w:rPr>
                <w:sz w:val="11"/>
                <w:szCs w:val="11"/>
                <w:color w:val="auto"/>
              </w:rPr>
            </w:pPr>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80" w:type="dxa"/>
            <w:vAlign w:val="bottom"/>
            <w:tcBorders>
              <w:left w:val="single" w:sz="8" w:color="D1D2D4"/>
            </w:tcBorders>
            <w:shd w:val="clear" w:color="auto" w:fill="D1D2D4"/>
          </w:tcPr>
          <w:p>
            <w:pPr>
              <w:spacing w:after="0"/>
              <w:rPr>
                <w:sz w:val="3"/>
                <w:szCs w:val="3"/>
                <w:color w:val="auto"/>
              </w:rPr>
            </w:pPr>
          </w:p>
        </w:tc>
        <w:tc>
          <w:tcPr>
            <w:tcW w:w="420" w:type="dxa"/>
            <w:vAlign w:val="bottom"/>
            <w:shd w:val="clear" w:color="auto" w:fill="D1D2D4"/>
          </w:tcPr>
          <w:p>
            <w:pPr>
              <w:spacing w:after="0"/>
              <w:rPr>
                <w:sz w:val="3"/>
                <w:szCs w:val="3"/>
                <w:color w:val="auto"/>
              </w:rPr>
            </w:pPr>
          </w:p>
        </w:tc>
        <w:tc>
          <w:tcPr>
            <w:tcW w:w="720" w:type="dxa"/>
            <w:vAlign w:val="bottom"/>
            <w:shd w:val="clear" w:color="auto" w:fill="D1D2D4"/>
          </w:tcPr>
          <w:p>
            <w:pPr>
              <w:spacing w:after="0"/>
              <w:rPr>
                <w:sz w:val="3"/>
                <w:szCs w:val="3"/>
                <w:color w:val="auto"/>
              </w:rPr>
            </w:pPr>
          </w:p>
        </w:tc>
        <w:tc>
          <w:tcPr>
            <w:tcW w:w="26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80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4.4</w:t>
            </w:r>
          </w:p>
        </w:tc>
        <w:tc>
          <w:tcPr>
            <w:tcW w:w="4540" w:type="dxa"/>
            <w:vAlign w:val="bottom"/>
            <w:gridSpan w:val="23"/>
          </w:tcPr>
          <w:p>
            <w:pPr>
              <w:spacing w:after="0" w:line="168" w:lineRule="exact"/>
              <w:rPr>
                <w:rFonts w:ascii="Arial" w:cs="Arial" w:eastAsia="Arial" w:hAnsi="Arial"/>
                <w:sz w:val="16"/>
                <w:szCs w:val="16"/>
                <w:color w:val="auto"/>
              </w:rPr>
            </w:pPr>
            <w:hyperlink r:id="rId188">
              <w:r>
                <w:rPr>
                  <w:rFonts w:ascii="Arial" w:cs="Arial" w:eastAsia="Arial" w:hAnsi="Arial"/>
                  <w:sz w:val="16"/>
                  <w:szCs w:val="16"/>
                  <w:color w:val="auto"/>
                </w:rPr>
                <w:t>Second Supplemental Indenture, dated as of July 12, 2019, by</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7/12/19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320" w:type="dxa"/>
            <w:vAlign w:val="bottom"/>
            <w:tcBorders>
              <w:top w:val="single" w:sz="8" w:color="auto"/>
            </w:tcBorders>
            <w:gridSpan w:val="13"/>
          </w:tcPr>
          <w:p>
            <w:pPr>
              <w:spacing w:after="0" w:line="136" w:lineRule="exact"/>
              <w:rPr>
                <w:rFonts w:ascii="Arial" w:cs="Arial" w:eastAsia="Arial" w:hAnsi="Arial"/>
                <w:sz w:val="14"/>
                <w:szCs w:val="14"/>
                <w:color w:val="auto"/>
              </w:rPr>
            </w:pPr>
            <w:hyperlink r:id="rId188">
              <w:r>
                <w:rPr>
                  <w:rFonts w:ascii="Arial" w:cs="Arial" w:eastAsia="Arial" w:hAnsi="Arial"/>
                  <w:sz w:val="14"/>
                  <w:szCs w:val="14"/>
                  <w:color w:val="auto"/>
                </w:rPr>
                <w:t>and between Micron Technology, Inc. and U.S. Bank National</w:t>
              </w:r>
            </w:hyperlink>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260" w:type="dxa"/>
            <w:vAlign w:val="bottom"/>
            <w:tcBorders>
              <w:top w:val="single" w:sz="8" w:color="auto"/>
            </w:tcBorders>
            <w:gridSpan w:val="11"/>
          </w:tcPr>
          <w:p>
            <w:pPr>
              <w:spacing w:after="0" w:line="136" w:lineRule="exact"/>
              <w:rPr>
                <w:rFonts w:ascii="Arial" w:cs="Arial" w:eastAsia="Arial" w:hAnsi="Arial"/>
                <w:sz w:val="14"/>
                <w:szCs w:val="14"/>
                <w:color w:val="auto"/>
              </w:rPr>
            </w:pPr>
            <w:hyperlink r:id="rId188">
              <w:r>
                <w:rPr>
                  <w:rFonts w:ascii="Arial" w:cs="Arial" w:eastAsia="Arial" w:hAnsi="Arial"/>
                  <w:sz w:val="14"/>
                  <w:szCs w:val="14"/>
                  <w:color w:val="auto"/>
                </w:rPr>
                <w:t>Association, as Trustee</w:t>
              </w:r>
            </w:hyperlink>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4.5</w:t>
            </w:r>
          </w:p>
        </w:tc>
        <w:tc>
          <w:tcPr>
            <w:tcW w:w="4540" w:type="dxa"/>
            <w:vAlign w:val="bottom"/>
            <w:gridSpan w:val="23"/>
            <w:shd w:val="clear" w:color="auto" w:fill="D1D2D4"/>
          </w:tcPr>
          <w:p>
            <w:pPr>
              <w:spacing w:after="0" w:line="176" w:lineRule="exact"/>
              <w:rPr>
                <w:rFonts w:ascii="Arial" w:cs="Arial" w:eastAsia="Arial" w:hAnsi="Arial"/>
                <w:sz w:val="16"/>
                <w:szCs w:val="16"/>
                <w:color w:val="auto"/>
                <w:w w:val="98"/>
              </w:rPr>
            </w:pPr>
            <w:hyperlink r:id="rId188">
              <w:r>
                <w:rPr>
                  <w:rFonts w:ascii="Arial" w:cs="Arial" w:eastAsia="Arial" w:hAnsi="Arial"/>
                  <w:sz w:val="16"/>
                  <w:szCs w:val="16"/>
                  <w:color w:val="auto"/>
                  <w:w w:val="98"/>
                </w:rPr>
                <w:t>Form of Note for Micron Technology, Inc.’s 4.663%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4.4</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7/12/19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500" w:type="dxa"/>
            <w:vAlign w:val="bottom"/>
            <w:tcBorders>
              <w:top w:val="single" w:sz="8" w:color="auto"/>
            </w:tcBorders>
            <w:gridSpan w:val="21"/>
            <w:shd w:val="clear" w:color="auto" w:fill="D1D2D4"/>
          </w:tcPr>
          <w:p>
            <w:pPr>
              <w:spacing w:after="0" w:line="136" w:lineRule="exact"/>
              <w:rPr>
                <w:rFonts w:ascii="Arial" w:cs="Arial" w:eastAsia="Arial" w:hAnsi="Arial"/>
                <w:sz w:val="14"/>
                <w:szCs w:val="14"/>
                <w:color w:val="auto"/>
              </w:rPr>
            </w:pPr>
            <w:hyperlink r:id="rId188">
              <w:r>
                <w:rPr>
                  <w:rFonts w:ascii="Arial" w:cs="Arial" w:eastAsia="Arial" w:hAnsi="Arial"/>
                  <w:sz w:val="14"/>
                  <w:szCs w:val="14"/>
                  <w:color w:val="auto"/>
                </w:rPr>
                <w:t>due 2030 (included in Exhibit 4.4)</w:t>
              </w:r>
            </w:hyperlink>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80" w:type="dxa"/>
            <w:vAlign w:val="bottom"/>
            <w:tcBorders>
              <w:left w:val="single" w:sz="8" w:color="D1D2D4"/>
            </w:tcBorders>
            <w:shd w:val="clear" w:color="auto" w:fill="D1D2D4"/>
          </w:tcPr>
          <w:p>
            <w:pPr>
              <w:spacing w:after="0"/>
              <w:rPr>
                <w:sz w:val="3"/>
                <w:szCs w:val="3"/>
                <w:color w:val="auto"/>
              </w:rPr>
            </w:pPr>
          </w:p>
        </w:tc>
        <w:tc>
          <w:tcPr>
            <w:tcW w:w="420" w:type="dxa"/>
            <w:vAlign w:val="bottom"/>
            <w:shd w:val="clear" w:color="auto" w:fill="D1D2D4"/>
          </w:tcPr>
          <w:p>
            <w:pPr>
              <w:spacing w:after="0"/>
              <w:rPr>
                <w:sz w:val="3"/>
                <w:szCs w:val="3"/>
                <w:color w:val="auto"/>
              </w:rPr>
            </w:pPr>
          </w:p>
        </w:tc>
        <w:tc>
          <w:tcPr>
            <w:tcW w:w="720" w:type="dxa"/>
            <w:vAlign w:val="bottom"/>
            <w:shd w:val="clear" w:color="auto" w:fill="D1D2D4"/>
          </w:tcPr>
          <w:p>
            <w:pPr>
              <w:spacing w:after="0"/>
              <w:rPr>
                <w:sz w:val="3"/>
                <w:szCs w:val="3"/>
                <w:color w:val="auto"/>
              </w:rPr>
            </w:pPr>
          </w:p>
        </w:tc>
        <w:tc>
          <w:tcPr>
            <w:tcW w:w="26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80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4.6</w:t>
            </w:r>
          </w:p>
        </w:tc>
        <w:tc>
          <w:tcPr>
            <w:tcW w:w="4540" w:type="dxa"/>
            <w:vAlign w:val="bottom"/>
            <w:gridSpan w:val="23"/>
          </w:tcPr>
          <w:p>
            <w:pPr>
              <w:spacing w:after="0" w:line="168" w:lineRule="exact"/>
              <w:rPr>
                <w:rFonts w:ascii="Arial" w:cs="Arial" w:eastAsia="Arial" w:hAnsi="Arial"/>
                <w:sz w:val="16"/>
                <w:szCs w:val="16"/>
                <w:color w:val="auto"/>
              </w:rPr>
            </w:pPr>
            <w:hyperlink r:id="rId189">
              <w:r>
                <w:rPr>
                  <w:rFonts w:ascii="Arial" w:cs="Arial" w:eastAsia="Arial" w:hAnsi="Arial"/>
                  <w:sz w:val="16"/>
                  <w:szCs w:val="16"/>
                  <w:color w:val="auto"/>
                </w:rPr>
                <w:t>Fourth Supplemental Indenture, dated as of November 1, 2021,</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11/1/21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420" w:type="dxa"/>
            <w:vAlign w:val="bottom"/>
            <w:tcBorders>
              <w:top w:val="single" w:sz="8" w:color="auto"/>
            </w:tcBorders>
            <w:gridSpan w:val="17"/>
          </w:tcPr>
          <w:p>
            <w:pPr>
              <w:spacing w:after="0" w:line="136" w:lineRule="exact"/>
              <w:rPr>
                <w:rFonts w:ascii="Arial" w:cs="Arial" w:eastAsia="Arial" w:hAnsi="Arial"/>
                <w:sz w:val="14"/>
                <w:szCs w:val="14"/>
                <w:color w:val="auto"/>
              </w:rPr>
            </w:pPr>
            <w:hyperlink r:id="rId189">
              <w:r>
                <w:rPr>
                  <w:rFonts w:ascii="Arial" w:cs="Arial" w:eastAsia="Arial" w:hAnsi="Arial"/>
                  <w:sz w:val="14"/>
                  <w:szCs w:val="14"/>
                  <w:color w:val="auto"/>
                </w:rPr>
                <w:t>by and between Micron Technology, Inc. and U.S. Bank National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480" w:type="dxa"/>
            <w:vAlign w:val="bottom"/>
            <w:tcBorders>
              <w:top w:val="single" w:sz="8" w:color="auto"/>
            </w:tcBorders>
            <w:gridSpan w:val="20"/>
          </w:tcPr>
          <w:p>
            <w:pPr>
              <w:spacing w:after="0" w:line="136" w:lineRule="exact"/>
              <w:rPr>
                <w:rFonts w:ascii="Arial" w:cs="Arial" w:eastAsia="Arial" w:hAnsi="Arial"/>
                <w:sz w:val="14"/>
                <w:szCs w:val="14"/>
                <w:color w:val="auto"/>
              </w:rPr>
            </w:pPr>
            <w:hyperlink r:id="rId189">
              <w:r>
                <w:rPr>
                  <w:rFonts w:ascii="Arial" w:cs="Arial" w:eastAsia="Arial" w:hAnsi="Arial"/>
                  <w:sz w:val="14"/>
                  <w:szCs w:val="14"/>
                  <w:color w:val="auto"/>
                </w:rPr>
                <w:t>Association, as Trustee</w:t>
              </w:r>
            </w:hyperlink>
          </w:p>
        </w:tc>
        <w:tc>
          <w:tcPr>
            <w:tcW w:w="60" w:type="dxa"/>
            <w:vAlign w:val="bottom"/>
            <w:gridSpan w:val="3"/>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4.7</w:t>
            </w:r>
          </w:p>
        </w:tc>
        <w:tc>
          <w:tcPr>
            <w:tcW w:w="4540" w:type="dxa"/>
            <w:vAlign w:val="bottom"/>
            <w:gridSpan w:val="23"/>
            <w:shd w:val="clear" w:color="auto" w:fill="D1D2D4"/>
          </w:tcPr>
          <w:p>
            <w:pPr>
              <w:spacing w:after="0" w:line="176" w:lineRule="exact"/>
              <w:rPr>
                <w:rFonts w:ascii="Arial" w:cs="Arial" w:eastAsia="Arial" w:hAnsi="Arial"/>
                <w:sz w:val="16"/>
                <w:szCs w:val="16"/>
                <w:color w:val="auto"/>
                <w:w w:val="98"/>
              </w:rPr>
            </w:pPr>
            <w:hyperlink r:id="rId189">
              <w:r>
                <w:rPr>
                  <w:rFonts w:ascii="Arial" w:cs="Arial" w:eastAsia="Arial" w:hAnsi="Arial"/>
                  <w:sz w:val="16"/>
                  <w:szCs w:val="16"/>
                  <w:color w:val="auto"/>
                  <w:w w:val="98"/>
                </w:rPr>
                <w:t>Form of Note for Micron Technology, Inc.’s 2.703%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4.3</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11/1/21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500" w:type="dxa"/>
            <w:vAlign w:val="bottom"/>
            <w:tcBorders>
              <w:top w:val="single" w:sz="8" w:color="auto"/>
            </w:tcBorders>
            <w:gridSpan w:val="21"/>
            <w:shd w:val="clear" w:color="auto" w:fill="D1D2D4"/>
          </w:tcPr>
          <w:p>
            <w:pPr>
              <w:spacing w:after="0" w:line="136" w:lineRule="exact"/>
              <w:rPr>
                <w:rFonts w:ascii="Arial" w:cs="Arial" w:eastAsia="Arial" w:hAnsi="Arial"/>
                <w:sz w:val="14"/>
                <w:szCs w:val="14"/>
                <w:color w:val="auto"/>
              </w:rPr>
            </w:pPr>
            <w:hyperlink r:id="rId189">
              <w:r>
                <w:rPr>
                  <w:rFonts w:ascii="Arial" w:cs="Arial" w:eastAsia="Arial" w:hAnsi="Arial"/>
                  <w:sz w:val="14"/>
                  <w:szCs w:val="14"/>
                  <w:color w:val="auto"/>
                </w:rPr>
                <w:t>due 2032 (included in Exhibit 4.6)</w:t>
              </w:r>
            </w:hyperlink>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80" w:type="dxa"/>
            <w:vAlign w:val="bottom"/>
            <w:tcBorders>
              <w:left w:val="single" w:sz="8" w:color="D1D2D4"/>
            </w:tcBorders>
            <w:shd w:val="clear" w:color="auto" w:fill="D1D2D4"/>
          </w:tcPr>
          <w:p>
            <w:pPr>
              <w:spacing w:after="0"/>
              <w:rPr>
                <w:sz w:val="3"/>
                <w:szCs w:val="3"/>
                <w:color w:val="auto"/>
              </w:rPr>
            </w:pPr>
          </w:p>
        </w:tc>
        <w:tc>
          <w:tcPr>
            <w:tcW w:w="420" w:type="dxa"/>
            <w:vAlign w:val="bottom"/>
            <w:shd w:val="clear" w:color="auto" w:fill="D1D2D4"/>
          </w:tcPr>
          <w:p>
            <w:pPr>
              <w:spacing w:after="0"/>
              <w:rPr>
                <w:sz w:val="3"/>
                <w:szCs w:val="3"/>
                <w:color w:val="auto"/>
              </w:rPr>
            </w:pPr>
          </w:p>
        </w:tc>
        <w:tc>
          <w:tcPr>
            <w:tcW w:w="720" w:type="dxa"/>
            <w:vAlign w:val="bottom"/>
            <w:shd w:val="clear" w:color="auto" w:fill="D1D2D4"/>
          </w:tcPr>
          <w:p>
            <w:pPr>
              <w:spacing w:after="0"/>
              <w:rPr>
                <w:sz w:val="3"/>
                <w:szCs w:val="3"/>
                <w:color w:val="auto"/>
              </w:rPr>
            </w:pPr>
          </w:p>
        </w:tc>
        <w:tc>
          <w:tcPr>
            <w:tcW w:w="26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80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4.8</w:t>
            </w:r>
          </w:p>
        </w:tc>
        <w:tc>
          <w:tcPr>
            <w:tcW w:w="4540" w:type="dxa"/>
            <w:vAlign w:val="bottom"/>
            <w:gridSpan w:val="23"/>
          </w:tcPr>
          <w:p>
            <w:pPr>
              <w:spacing w:after="0" w:line="168" w:lineRule="exact"/>
              <w:rPr>
                <w:rFonts w:ascii="Arial" w:cs="Arial" w:eastAsia="Arial" w:hAnsi="Arial"/>
                <w:sz w:val="16"/>
                <w:szCs w:val="16"/>
                <w:color w:val="auto"/>
                <w:w w:val="98"/>
              </w:rPr>
            </w:pPr>
            <w:hyperlink r:id="rId189">
              <w:r>
                <w:rPr>
                  <w:rFonts w:ascii="Arial" w:cs="Arial" w:eastAsia="Arial" w:hAnsi="Arial"/>
                  <w:sz w:val="16"/>
                  <w:szCs w:val="16"/>
                  <w:color w:val="auto"/>
                  <w:w w:val="98"/>
                </w:rPr>
                <w:t>Form of Note for Micron Technology, Inc.’s 3.366% Senior Notes</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4.4</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11/1/21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00" w:type="dxa"/>
            <w:vAlign w:val="bottom"/>
            <w:tcBorders>
              <w:top w:val="single" w:sz="8" w:color="auto"/>
            </w:tcBorders>
            <w:gridSpan w:val="21"/>
          </w:tcPr>
          <w:p>
            <w:pPr>
              <w:spacing w:after="0" w:line="136" w:lineRule="exact"/>
              <w:rPr>
                <w:rFonts w:ascii="Arial" w:cs="Arial" w:eastAsia="Arial" w:hAnsi="Arial"/>
                <w:sz w:val="14"/>
                <w:szCs w:val="14"/>
                <w:color w:val="auto"/>
              </w:rPr>
            </w:pPr>
            <w:hyperlink r:id="rId189">
              <w:r>
                <w:rPr>
                  <w:rFonts w:ascii="Arial" w:cs="Arial" w:eastAsia="Arial" w:hAnsi="Arial"/>
                  <w:sz w:val="14"/>
                  <w:szCs w:val="14"/>
                  <w:color w:val="auto"/>
                </w:rPr>
                <w:t>due 2041 (included in Exhibit 4.6)</w:t>
              </w:r>
            </w:hyperlink>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4.9</w:t>
            </w:r>
          </w:p>
        </w:tc>
        <w:tc>
          <w:tcPr>
            <w:tcW w:w="4540" w:type="dxa"/>
            <w:vAlign w:val="bottom"/>
            <w:gridSpan w:val="23"/>
            <w:shd w:val="clear" w:color="auto" w:fill="D1D2D4"/>
          </w:tcPr>
          <w:p>
            <w:pPr>
              <w:spacing w:after="0" w:line="176" w:lineRule="exact"/>
              <w:rPr>
                <w:rFonts w:ascii="Arial" w:cs="Arial" w:eastAsia="Arial" w:hAnsi="Arial"/>
                <w:sz w:val="16"/>
                <w:szCs w:val="16"/>
                <w:color w:val="auto"/>
                <w:w w:val="98"/>
              </w:rPr>
            </w:pPr>
            <w:hyperlink r:id="rId189">
              <w:r>
                <w:rPr>
                  <w:rFonts w:ascii="Arial" w:cs="Arial" w:eastAsia="Arial" w:hAnsi="Arial"/>
                  <w:sz w:val="16"/>
                  <w:szCs w:val="16"/>
                  <w:color w:val="auto"/>
                  <w:w w:val="98"/>
                </w:rPr>
                <w:t>Form of Note for Micron Technology, Inc.’s 3.477%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4.5</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11/1/21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500" w:type="dxa"/>
            <w:vAlign w:val="bottom"/>
            <w:tcBorders>
              <w:top w:val="single" w:sz="8" w:color="auto"/>
            </w:tcBorders>
            <w:gridSpan w:val="21"/>
            <w:shd w:val="clear" w:color="auto" w:fill="D1D2D4"/>
          </w:tcPr>
          <w:p>
            <w:pPr>
              <w:spacing w:after="0" w:line="136" w:lineRule="exact"/>
              <w:rPr>
                <w:rFonts w:ascii="Arial" w:cs="Arial" w:eastAsia="Arial" w:hAnsi="Arial"/>
                <w:sz w:val="14"/>
                <w:szCs w:val="14"/>
                <w:color w:val="auto"/>
              </w:rPr>
            </w:pPr>
            <w:hyperlink r:id="rId189">
              <w:r>
                <w:rPr>
                  <w:rFonts w:ascii="Arial" w:cs="Arial" w:eastAsia="Arial" w:hAnsi="Arial"/>
                  <w:sz w:val="14"/>
                  <w:szCs w:val="14"/>
                  <w:color w:val="auto"/>
                </w:rPr>
                <w:t>due 2051 (included in Exhibit 4.6)</w:t>
              </w:r>
            </w:hyperlink>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80" w:type="dxa"/>
            <w:vAlign w:val="bottom"/>
            <w:tcBorders>
              <w:left w:val="single" w:sz="8" w:color="D1D2D4"/>
            </w:tcBorders>
            <w:shd w:val="clear" w:color="auto" w:fill="D1D2D4"/>
          </w:tcPr>
          <w:p>
            <w:pPr>
              <w:spacing w:after="0"/>
              <w:rPr>
                <w:sz w:val="3"/>
                <w:szCs w:val="3"/>
                <w:color w:val="auto"/>
              </w:rPr>
            </w:pPr>
          </w:p>
        </w:tc>
        <w:tc>
          <w:tcPr>
            <w:tcW w:w="420" w:type="dxa"/>
            <w:vAlign w:val="bottom"/>
            <w:shd w:val="clear" w:color="auto" w:fill="D1D2D4"/>
          </w:tcPr>
          <w:p>
            <w:pPr>
              <w:spacing w:after="0"/>
              <w:rPr>
                <w:sz w:val="3"/>
                <w:szCs w:val="3"/>
                <w:color w:val="auto"/>
              </w:rPr>
            </w:pPr>
          </w:p>
        </w:tc>
        <w:tc>
          <w:tcPr>
            <w:tcW w:w="720" w:type="dxa"/>
            <w:vAlign w:val="bottom"/>
            <w:shd w:val="clear" w:color="auto" w:fill="D1D2D4"/>
          </w:tcPr>
          <w:p>
            <w:pPr>
              <w:spacing w:after="0"/>
              <w:rPr>
                <w:sz w:val="3"/>
                <w:szCs w:val="3"/>
                <w:color w:val="auto"/>
              </w:rPr>
            </w:pPr>
          </w:p>
        </w:tc>
        <w:tc>
          <w:tcPr>
            <w:tcW w:w="26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80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4.10</w:t>
            </w:r>
          </w:p>
        </w:tc>
        <w:tc>
          <w:tcPr>
            <w:tcW w:w="2580" w:type="dxa"/>
            <w:vAlign w:val="bottom"/>
            <w:tcBorders>
              <w:bottom w:val="single" w:sz="8" w:color="auto"/>
            </w:tcBorders>
            <w:gridSpan w:val="5"/>
          </w:tcPr>
          <w:p>
            <w:pPr>
              <w:spacing w:after="0" w:line="168" w:lineRule="exact"/>
              <w:rPr>
                <w:rFonts w:ascii="Arial" w:cs="Arial" w:eastAsia="Arial" w:hAnsi="Arial"/>
                <w:sz w:val="16"/>
                <w:szCs w:val="16"/>
                <w:color w:val="auto"/>
                <w:w w:val="97"/>
              </w:rPr>
            </w:pPr>
            <w:hyperlink r:id="rId190">
              <w:r>
                <w:rPr>
                  <w:rFonts w:ascii="Arial" w:cs="Arial" w:eastAsia="Arial" w:hAnsi="Arial"/>
                  <w:sz w:val="16"/>
                  <w:szCs w:val="16"/>
                  <w:color w:val="auto"/>
                  <w:w w:val="97"/>
                </w:rPr>
                <w:t>Description of Registrant’s Securities</w:t>
              </w:r>
            </w:hyperlink>
          </w:p>
        </w:tc>
        <w:tc>
          <w:tcPr>
            <w:tcW w:w="1960" w:type="dxa"/>
            <w:vAlign w:val="bottom"/>
            <w:gridSpan w:val="18"/>
          </w:tcPr>
          <w:p>
            <w:pPr>
              <w:spacing w:after="0"/>
              <w:rPr>
                <w:sz w:val="15"/>
                <w:szCs w:val="15"/>
                <w:color w:val="auto"/>
              </w:rPr>
            </w:pPr>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10-K</w:t>
            </w:r>
          </w:p>
        </w:tc>
        <w:tc>
          <w:tcPr>
            <w:tcW w:w="920" w:type="dxa"/>
            <w:vAlign w:val="bottom"/>
          </w:tcPr>
          <w:p>
            <w:pPr>
              <w:jc w:val="right"/>
              <w:ind w:right="322"/>
              <w:spacing w:after="0" w:line="168" w:lineRule="exact"/>
              <w:rPr>
                <w:sz w:val="20"/>
                <w:szCs w:val="20"/>
                <w:color w:val="auto"/>
              </w:rPr>
            </w:pPr>
            <w:r>
              <w:rPr>
                <w:rFonts w:ascii="Arial" w:cs="Arial" w:eastAsia="Arial" w:hAnsi="Arial"/>
                <w:sz w:val="16"/>
                <w:szCs w:val="16"/>
                <w:color w:val="auto"/>
              </w:rPr>
              <w:t>9/1/22</w:t>
            </w: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4.12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10/7/22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4.11</w:t>
            </w:r>
          </w:p>
        </w:tc>
        <w:tc>
          <w:tcPr>
            <w:tcW w:w="4540" w:type="dxa"/>
            <w:vAlign w:val="bottom"/>
            <w:gridSpan w:val="23"/>
            <w:shd w:val="clear" w:color="auto" w:fill="D1D2D4"/>
          </w:tcPr>
          <w:p>
            <w:pPr>
              <w:spacing w:after="0" w:line="176" w:lineRule="exact"/>
              <w:rPr>
                <w:rFonts w:ascii="Arial" w:cs="Arial" w:eastAsia="Arial" w:hAnsi="Arial"/>
                <w:sz w:val="16"/>
                <w:szCs w:val="16"/>
                <w:color w:val="auto"/>
              </w:rPr>
            </w:pPr>
            <w:hyperlink r:id="rId191">
              <w:r>
                <w:rPr>
                  <w:rFonts w:ascii="Arial" w:cs="Arial" w:eastAsia="Arial" w:hAnsi="Arial"/>
                  <w:sz w:val="16"/>
                  <w:szCs w:val="16"/>
                  <w:color w:val="auto"/>
                </w:rPr>
                <w:t>Fifth Supplemental Indenture, dated as of October 31, 2022, by</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4.2</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10/31/22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380" w:type="dxa"/>
            <w:vAlign w:val="bottom"/>
            <w:tcBorders>
              <w:top w:val="single" w:sz="8" w:color="auto"/>
            </w:tcBorders>
            <w:gridSpan w:val="15"/>
            <w:shd w:val="clear" w:color="auto" w:fill="D1D2D4"/>
          </w:tcPr>
          <w:p>
            <w:pPr>
              <w:spacing w:after="0" w:line="136" w:lineRule="exact"/>
              <w:rPr>
                <w:rFonts w:ascii="Arial" w:cs="Arial" w:eastAsia="Arial" w:hAnsi="Arial"/>
                <w:sz w:val="14"/>
                <w:szCs w:val="14"/>
                <w:color w:val="auto"/>
              </w:rPr>
            </w:pPr>
            <w:hyperlink r:id="rId191">
              <w:r>
                <w:rPr>
                  <w:rFonts w:ascii="Arial" w:cs="Arial" w:eastAsia="Arial" w:hAnsi="Arial"/>
                  <w:sz w:val="14"/>
                  <w:szCs w:val="14"/>
                  <w:color w:val="auto"/>
                </w:rPr>
                <w:t>and between Micron Technology, Inc. and U.S. Bank Trust</w:t>
              </w:r>
            </w:hyperlink>
          </w:p>
        </w:tc>
        <w:tc>
          <w:tcPr>
            <w:tcW w:w="20" w:type="dxa"/>
            <w:vAlign w:val="bottom"/>
            <w:tcBorders>
              <w:top w:val="single" w:sz="8" w:color="D1D2D4"/>
            </w:tcBorders>
            <w:shd w:val="clear" w:color="auto" w:fill="D1D2D4"/>
          </w:tcPr>
          <w:p>
            <w:pPr>
              <w:spacing w:after="0"/>
              <w:rPr>
                <w:sz w:val="11"/>
                <w:szCs w:val="11"/>
                <w:color w:val="auto"/>
              </w:rPr>
            </w:pPr>
          </w:p>
        </w:tc>
        <w:tc>
          <w:tcPr>
            <w:tcW w:w="40" w:type="dxa"/>
            <w:vAlign w:val="bottom"/>
            <w:tcBorders>
              <w:top w:val="single" w:sz="8" w:color="D1D2D4"/>
            </w:tcBorders>
            <w:gridSpan w:val="2"/>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80" w:type="dxa"/>
            <w:vAlign w:val="bottom"/>
            <w:tcBorders>
              <w:top w:val="single" w:sz="8" w:color="D1D2D4"/>
            </w:tcBorders>
            <w:gridSpan w:val="4"/>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3000" w:type="dxa"/>
            <w:vAlign w:val="bottom"/>
            <w:tcBorders>
              <w:top w:val="single" w:sz="8" w:color="auto"/>
              <w:bottom w:val="single" w:sz="8" w:color="auto"/>
            </w:tcBorders>
            <w:gridSpan w:val="6"/>
            <w:shd w:val="clear" w:color="auto" w:fill="D1D2D4"/>
          </w:tcPr>
          <w:p>
            <w:pPr>
              <w:spacing w:after="0" w:line="136" w:lineRule="exact"/>
              <w:rPr>
                <w:rFonts w:ascii="Arial" w:cs="Arial" w:eastAsia="Arial" w:hAnsi="Arial"/>
                <w:sz w:val="14"/>
                <w:szCs w:val="14"/>
                <w:color w:val="auto"/>
              </w:rPr>
            </w:pPr>
            <w:hyperlink r:id="rId191">
              <w:r>
                <w:rPr>
                  <w:rFonts w:ascii="Arial" w:cs="Arial" w:eastAsia="Arial" w:hAnsi="Arial"/>
                  <w:sz w:val="14"/>
                  <w:szCs w:val="14"/>
                  <w:color w:val="auto"/>
                </w:rPr>
                <w:t>Company, National Association, as Trustee</w:t>
              </w:r>
            </w:hyperlink>
          </w:p>
        </w:tc>
        <w:tc>
          <w:tcPr>
            <w:tcW w:w="1040" w:type="dxa"/>
            <w:vAlign w:val="bottom"/>
            <w:tcBorders>
              <w:top w:val="single" w:sz="8" w:color="auto"/>
              <w:bottom w:val="single" w:sz="8" w:color="D1D2D4"/>
            </w:tcBorders>
            <w:gridSpan w:val="3"/>
            <w:shd w:val="clear" w:color="auto" w:fill="D1D2D4"/>
          </w:tcPr>
          <w:p>
            <w:pPr>
              <w:spacing w:after="0"/>
              <w:rPr>
                <w:sz w:val="13"/>
                <w:szCs w:val="13"/>
                <w:color w:val="auto"/>
              </w:rPr>
            </w:pPr>
          </w:p>
        </w:tc>
        <w:tc>
          <w:tcPr>
            <w:tcW w:w="240" w:type="dxa"/>
            <w:vAlign w:val="bottom"/>
            <w:tcBorders>
              <w:top w:val="single" w:sz="8" w:color="D1D2D4"/>
              <w:bottom w:val="single" w:sz="8" w:color="D1D2D4"/>
            </w:tcBorders>
            <w:gridSpan w:val="3"/>
            <w:shd w:val="clear" w:color="auto" w:fill="D1D2D4"/>
          </w:tcPr>
          <w:p>
            <w:pPr>
              <w:spacing w:after="0"/>
              <w:rPr>
                <w:sz w:val="13"/>
                <w:szCs w:val="13"/>
                <w:color w:val="auto"/>
              </w:rPr>
            </w:pPr>
          </w:p>
        </w:tc>
        <w:tc>
          <w:tcPr>
            <w:tcW w:w="12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4.12</w:t>
            </w:r>
          </w:p>
        </w:tc>
        <w:tc>
          <w:tcPr>
            <w:tcW w:w="4540" w:type="dxa"/>
            <w:vAlign w:val="bottom"/>
            <w:gridSpan w:val="23"/>
          </w:tcPr>
          <w:p>
            <w:pPr>
              <w:spacing w:after="0" w:line="168" w:lineRule="exact"/>
              <w:rPr>
                <w:rFonts w:ascii="Arial" w:cs="Arial" w:eastAsia="Arial" w:hAnsi="Arial"/>
                <w:sz w:val="16"/>
                <w:szCs w:val="16"/>
                <w:color w:val="auto"/>
                <w:w w:val="98"/>
              </w:rPr>
            </w:pPr>
            <w:hyperlink r:id="rId191">
              <w:r>
                <w:rPr>
                  <w:rFonts w:ascii="Arial" w:cs="Arial" w:eastAsia="Arial" w:hAnsi="Arial"/>
                  <w:sz w:val="16"/>
                  <w:szCs w:val="16"/>
                  <w:color w:val="auto"/>
                  <w:w w:val="98"/>
                </w:rPr>
                <w:t>Form of Note for Micron Technology, Inc.’s 6.750% Senior Notes</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4.3</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10/31/22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00" w:type="dxa"/>
            <w:vAlign w:val="bottom"/>
            <w:tcBorders>
              <w:top w:val="single" w:sz="8" w:color="auto"/>
            </w:tcBorders>
            <w:gridSpan w:val="21"/>
          </w:tcPr>
          <w:p>
            <w:pPr>
              <w:spacing w:after="0" w:line="136" w:lineRule="exact"/>
              <w:rPr>
                <w:rFonts w:ascii="Arial" w:cs="Arial" w:eastAsia="Arial" w:hAnsi="Arial"/>
                <w:sz w:val="14"/>
                <w:szCs w:val="14"/>
                <w:color w:val="auto"/>
              </w:rPr>
            </w:pPr>
            <w:hyperlink r:id="rId191">
              <w:r>
                <w:rPr>
                  <w:rFonts w:ascii="Arial" w:cs="Arial" w:eastAsia="Arial" w:hAnsi="Arial"/>
                  <w:sz w:val="14"/>
                  <w:szCs w:val="14"/>
                  <w:color w:val="auto"/>
                </w:rPr>
                <w:t>due 2029 (included in Exhibit 4.11)</w:t>
              </w:r>
            </w:hyperlink>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4.13</w:t>
            </w:r>
          </w:p>
        </w:tc>
        <w:tc>
          <w:tcPr>
            <w:tcW w:w="4540" w:type="dxa"/>
            <w:vAlign w:val="bottom"/>
            <w:gridSpan w:val="23"/>
            <w:shd w:val="clear" w:color="auto" w:fill="D1D2D4"/>
          </w:tcPr>
          <w:p>
            <w:pPr>
              <w:spacing w:after="0" w:line="176" w:lineRule="exact"/>
              <w:rPr>
                <w:rFonts w:ascii="Arial" w:cs="Arial" w:eastAsia="Arial" w:hAnsi="Arial"/>
                <w:sz w:val="16"/>
                <w:szCs w:val="16"/>
                <w:color w:val="auto"/>
              </w:rPr>
            </w:pPr>
            <w:hyperlink r:id="rId192">
              <w:r>
                <w:rPr>
                  <w:rFonts w:ascii="Arial" w:cs="Arial" w:eastAsia="Arial" w:hAnsi="Arial"/>
                  <w:sz w:val="16"/>
                  <w:szCs w:val="16"/>
                  <w:color w:val="auto"/>
                </w:rPr>
                <w:t>Sixth Supplemental Indenture, dated as of February 9, 2023, by</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4.3</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2/9/23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20" w:type="dxa"/>
            <w:vAlign w:val="bottom"/>
            <w:tcBorders>
              <w:top w:val="single" w:sz="8" w:color="auto"/>
            </w:tcBorders>
            <w:gridSpan w:val="17"/>
            <w:shd w:val="clear" w:color="auto" w:fill="D1D2D4"/>
          </w:tcPr>
          <w:p>
            <w:pPr>
              <w:spacing w:after="0" w:line="136" w:lineRule="exact"/>
              <w:rPr>
                <w:rFonts w:ascii="Arial" w:cs="Arial" w:eastAsia="Arial" w:hAnsi="Arial"/>
                <w:sz w:val="14"/>
                <w:szCs w:val="14"/>
                <w:color w:val="auto"/>
              </w:rPr>
            </w:pPr>
            <w:hyperlink r:id="rId192">
              <w:r>
                <w:rPr>
                  <w:rFonts w:ascii="Arial" w:cs="Arial" w:eastAsia="Arial" w:hAnsi="Arial"/>
                  <w:sz w:val="14"/>
                  <w:szCs w:val="14"/>
                  <w:color w:val="auto"/>
                </w:rPr>
                <w:t>and between Micron Technology, Inc. and U.S. Bank Trust</w:t>
              </w:r>
            </w:hyperlink>
          </w:p>
        </w:tc>
        <w:tc>
          <w:tcPr>
            <w:tcW w:w="2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80" w:type="dxa"/>
            <w:vAlign w:val="bottom"/>
            <w:tcBorders>
              <w:top w:val="single" w:sz="8" w:color="D1D2D4"/>
            </w:tcBorders>
            <w:gridSpan w:val="4"/>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3000" w:type="dxa"/>
            <w:vAlign w:val="bottom"/>
            <w:tcBorders>
              <w:top w:val="single" w:sz="8" w:color="auto"/>
              <w:bottom w:val="single" w:sz="8" w:color="auto"/>
            </w:tcBorders>
            <w:gridSpan w:val="6"/>
            <w:shd w:val="clear" w:color="auto" w:fill="D1D2D4"/>
          </w:tcPr>
          <w:p>
            <w:pPr>
              <w:spacing w:after="0" w:line="136" w:lineRule="exact"/>
              <w:rPr>
                <w:rFonts w:ascii="Arial" w:cs="Arial" w:eastAsia="Arial" w:hAnsi="Arial"/>
                <w:sz w:val="14"/>
                <w:szCs w:val="14"/>
                <w:color w:val="auto"/>
              </w:rPr>
            </w:pPr>
            <w:hyperlink r:id="rId192">
              <w:r>
                <w:rPr>
                  <w:rFonts w:ascii="Arial" w:cs="Arial" w:eastAsia="Arial" w:hAnsi="Arial"/>
                  <w:sz w:val="14"/>
                  <w:szCs w:val="14"/>
                  <w:color w:val="auto"/>
                </w:rPr>
                <w:t>Company, National Association, as Trustee</w:t>
              </w:r>
            </w:hyperlink>
          </w:p>
        </w:tc>
        <w:tc>
          <w:tcPr>
            <w:tcW w:w="1040" w:type="dxa"/>
            <w:vAlign w:val="bottom"/>
            <w:tcBorders>
              <w:top w:val="single" w:sz="8" w:color="auto"/>
              <w:bottom w:val="single" w:sz="8" w:color="D1D2D4"/>
            </w:tcBorders>
            <w:gridSpan w:val="3"/>
            <w:shd w:val="clear" w:color="auto" w:fill="D1D2D4"/>
          </w:tcPr>
          <w:p>
            <w:pPr>
              <w:spacing w:after="0"/>
              <w:rPr>
                <w:sz w:val="13"/>
                <w:szCs w:val="13"/>
                <w:color w:val="auto"/>
              </w:rPr>
            </w:pPr>
          </w:p>
        </w:tc>
        <w:tc>
          <w:tcPr>
            <w:tcW w:w="240" w:type="dxa"/>
            <w:vAlign w:val="bottom"/>
            <w:tcBorders>
              <w:top w:val="single" w:sz="8" w:color="D1D2D4"/>
              <w:bottom w:val="single" w:sz="8" w:color="D1D2D4"/>
            </w:tcBorders>
            <w:gridSpan w:val="3"/>
            <w:shd w:val="clear" w:color="auto" w:fill="D1D2D4"/>
          </w:tcPr>
          <w:p>
            <w:pPr>
              <w:spacing w:after="0"/>
              <w:rPr>
                <w:sz w:val="13"/>
                <w:szCs w:val="13"/>
                <w:color w:val="auto"/>
              </w:rPr>
            </w:pPr>
          </w:p>
        </w:tc>
        <w:tc>
          <w:tcPr>
            <w:tcW w:w="12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4.14</w:t>
            </w:r>
          </w:p>
        </w:tc>
        <w:tc>
          <w:tcPr>
            <w:tcW w:w="4540" w:type="dxa"/>
            <w:vAlign w:val="bottom"/>
            <w:gridSpan w:val="23"/>
          </w:tcPr>
          <w:p>
            <w:pPr>
              <w:spacing w:after="0" w:line="168" w:lineRule="exact"/>
              <w:rPr>
                <w:rFonts w:ascii="Arial" w:cs="Arial" w:eastAsia="Arial" w:hAnsi="Arial"/>
                <w:sz w:val="16"/>
                <w:szCs w:val="16"/>
                <w:color w:val="auto"/>
                <w:w w:val="98"/>
              </w:rPr>
            </w:pPr>
            <w:hyperlink r:id="rId192">
              <w:r>
                <w:rPr>
                  <w:rFonts w:ascii="Arial" w:cs="Arial" w:eastAsia="Arial" w:hAnsi="Arial"/>
                  <w:sz w:val="16"/>
                  <w:szCs w:val="16"/>
                  <w:color w:val="auto"/>
                  <w:w w:val="98"/>
                </w:rPr>
                <w:t>Form of Note for Micron Technology, Inc.’s 5.875% Senior Notes</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4.5</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2/9/23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00" w:type="dxa"/>
            <w:vAlign w:val="bottom"/>
            <w:tcBorders>
              <w:top w:val="single" w:sz="8" w:color="auto"/>
            </w:tcBorders>
            <w:gridSpan w:val="21"/>
          </w:tcPr>
          <w:p>
            <w:pPr>
              <w:spacing w:after="0" w:line="136" w:lineRule="exact"/>
              <w:rPr>
                <w:rFonts w:ascii="Arial" w:cs="Arial" w:eastAsia="Arial" w:hAnsi="Arial"/>
                <w:sz w:val="14"/>
                <w:szCs w:val="14"/>
                <w:color w:val="auto"/>
              </w:rPr>
            </w:pPr>
            <w:hyperlink r:id="rId192">
              <w:r>
                <w:rPr>
                  <w:rFonts w:ascii="Arial" w:cs="Arial" w:eastAsia="Arial" w:hAnsi="Arial"/>
                  <w:sz w:val="14"/>
                  <w:szCs w:val="14"/>
                  <w:color w:val="auto"/>
                </w:rPr>
                <w:t>due 2033 (included in Exhibit 4.13)</w:t>
              </w:r>
            </w:hyperlink>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4.15</w:t>
            </w:r>
          </w:p>
        </w:tc>
        <w:tc>
          <w:tcPr>
            <w:tcW w:w="4540" w:type="dxa"/>
            <w:vAlign w:val="bottom"/>
            <w:gridSpan w:val="23"/>
            <w:shd w:val="clear" w:color="auto" w:fill="D1D2D4"/>
          </w:tcPr>
          <w:p>
            <w:pPr>
              <w:spacing w:after="0" w:line="176" w:lineRule="exact"/>
              <w:rPr>
                <w:rFonts w:ascii="Arial" w:cs="Arial" w:eastAsia="Arial" w:hAnsi="Arial"/>
                <w:sz w:val="16"/>
                <w:szCs w:val="16"/>
                <w:color w:val="auto"/>
              </w:rPr>
            </w:pPr>
            <w:hyperlink r:id="rId193">
              <w:r>
                <w:rPr>
                  <w:rFonts w:ascii="Arial" w:cs="Arial" w:eastAsia="Arial" w:hAnsi="Arial"/>
                  <w:sz w:val="16"/>
                  <w:szCs w:val="16"/>
                  <w:color w:val="auto"/>
                </w:rPr>
                <w:t>Seventh Supplemental Indenture, dated as of April 11, 2023, by</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4.2</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4/11/23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20" w:type="dxa"/>
            <w:vAlign w:val="bottom"/>
            <w:tcBorders>
              <w:top w:val="single" w:sz="8" w:color="auto"/>
            </w:tcBorders>
            <w:gridSpan w:val="17"/>
            <w:shd w:val="clear" w:color="auto" w:fill="D1D2D4"/>
          </w:tcPr>
          <w:p>
            <w:pPr>
              <w:spacing w:after="0" w:line="136" w:lineRule="exact"/>
              <w:rPr>
                <w:rFonts w:ascii="Arial" w:cs="Arial" w:eastAsia="Arial" w:hAnsi="Arial"/>
                <w:sz w:val="14"/>
                <w:szCs w:val="14"/>
                <w:color w:val="auto"/>
              </w:rPr>
            </w:pPr>
            <w:hyperlink r:id="rId193">
              <w:r>
                <w:rPr>
                  <w:rFonts w:ascii="Arial" w:cs="Arial" w:eastAsia="Arial" w:hAnsi="Arial"/>
                  <w:sz w:val="14"/>
                  <w:szCs w:val="14"/>
                  <w:color w:val="auto"/>
                </w:rPr>
                <w:t>and between Micron Technology, Inc. and U.S. Bank Trust</w:t>
              </w:r>
            </w:hyperlink>
          </w:p>
        </w:tc>
        <w:tc>
          <w:tcPr>
            <w:tcW w:w="2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80" w:type="dxa"/>
            <w:vAlign w:val="bottom"/>
            <w:tcBorders>
              <w:top w:val="single" w:sz="8" w:color="D1D2D4"/>
            </w:tcBorders>
            <w:gridSpan w:val="4"/>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3000" w:type="dxa"/>
            <w:vAlign w:val="bottom"/>
            <w:tcBorders>
              <w:top w:val="single" w:sz="8" w:color="auto"/>
              <w:bottom w:val="single" w:sz="8" w:color="auto"/>
            </w:tcBorders>
            <w:gridSpan w:val="6"/>
            <w:shd w:val="clear" w:color="auto" w:fill="D1D2D4"/>
          </w:tcPr>
          <w:p>
            <w:pPr>
              <w:spacing w:after="0" w:line="136" w:lineRule="exact"/>
              <w:rPr>
                <w:rFonts w:ascii="Arial" w:cs="Arial" w:eastAsia="Arial" w:hAnsi="Arial"/>
                <w:sz w:val="14"/>
                <w:szCs w:val="14"/>
                <w:color w:val="auto"/>
              </w:rPr>
            </w:pPr>
            <w:hyperlink r:id="rId193">
              <w:r>
                <w:rPr>
                  <w:rFonts w:ascii="Arial" w:cs="Arial" w:eastAsia="Arial" w:hAnsi="Arial"/>
                  <w:sz w:val="14"/>
                  <w:szCs w:val="14"/>
                  <w:color w:val="auto"/>
                </w:rPr>
                <w:t>Company, National Association, as Trustee</w:t>
              </w:r>
            </w:hyperlink>
          </w:p>
        </w:tc>
        <w:tc>
          <w:tcPr>
            <w:tcW w:w="1040" w:type="dxa"/>
            <w:vAlign w:val="bottom"/>
            <w:tcBorders>
              <w:top w:val="single" w:sz="8" w:color="auto"/>
              <w:bottom w:val="single" w:sz="8" w:color="D1D2D4"/>
            </w:tcBorders>
            <w:gridSpan w:val="3"/>
            <w:shd w:val="clear" w:color="auto" w:fill="D1D2D4"/>
          </w:tcPr>
          <w:p>
            <w:pPr>
              <w:spacing w:after="0"/>
              <w:rPr>
                <w:sz w:val="13"/>
                <w:szCs w:val="13"/>
                <w:color w:val="auto"/>
              </w:rPr>
            </w:pPr>
          </w:p>
        </w:tc>
        <w:tc>
          <w:tcPr>
            <w:tcW w:w="240" w:type="dxa"/>
            <w:vAlign w:val="bottom"/>
            <w:tcBorders>
              <w:top w:val="single" w:sz="8" w:color="D1D2D4"/>
              <w:bottom w:val="single" w:sz="8" w:color="D1D2D4"/>
            </w:tcBorders>
            <w:gridSpan w:val="3"/>
            <w:shd w:val="clear" w:color="auto" w:fill="D1D2D4"/>
          </w:tcPr>
          <w:p>
            <w:pPr>
              <w:spacing w:after="0"/>
              <w:rPr>
                <w:sz w:val="13"/>
                <w:szCs w:val="13"/>
                <w:color w:val="auto"/>
              </w:rPr>
            </w:pPr>
          </w:p>
        </w:tc>
        <w:tc>
          <w:tcPr>
            <w:tcW w:w="12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4.16</w:t>
            </w:r>
          </w:p>
        </w:tc>
        <w:tc>
          <w:tcPr>
            <w:tcW w:w="4540" w:type="dxa"/>
            <w:vAlign w:val="bottom"/>
            <w:gridSpan w:val="23"/>
          </w:tcPr>
          <w:p>
            <w:pPr>
              <w:spacing w:after="0" w:line="168" w:lineRule="exact"/>
              <w:rPr>
                <w:rFonts w:ascii="Arial" w:cs="Arial" w:eastAsia="Arial" w:hAnsi="Arial"/>
                <w:sz w:val="16"/>
                <w:szCs w:val="16"/>
                <w:color w:val="auto"/>
                <w:w w:val="98"/>
              </w:rPr>
            </w:pPr>
            <w:hyperlink r:id="rId193">
              <w:r>
                <w:rPr>
                  <w:rFonts w:ascii="Arial" w:cs="Arial" w:eastAsia="Arial" w:hAnsi="Arial"/>
                  <w:sz w:val="16"/>
                  <w:szCs w:val="16"/>
                  <w:color w:val="auto"/>
                  <w:w w:val="98"/>
                </w:rPr>
                <w:t>Form of Note for Micron Technology, Inc.’s 5.375% Senior Notes</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4.3</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4/11/23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00" w:type="dxa"/>
            <w:vAlign w:val="bottom"/>
            <w:tcBorders>
              <w:top w:val="single" w:sz="8" w:color="auto"/>
            </w:tcBorders>
            <w:gridSpan w:val="21"/>
          </w:tcPr>
          <w:p>
            <w:pPr>
              <w:spacing w:after="0" w:line="136" w:lineRule="exact"/>
              <w:rPr>
                <w:rFonts w:ascii="Arial" w:cs="Arial" w:eastAsia="Arial" w:hAnsi="Arial"/>
                <w:sz w:val="14"/>
                <w:szCs w:val="14"/>
                <w:color w:val="auto"/>
              </w:rPr>
            </w:pPr>
            <w:hyperlink r:id="rId193">
              <w:r>
                <w:rPr>
                  <w:rFonts w:ascii="Arial" w:cs="Arial" w:eastAsia="Arial" w:hAnsi="Arial"/>
                  <w:sz w:val="14"/>
                  <w:szCs w:val="14"/>
                  <w:color w:val="auto"/>
                </w:rPr>
                <w:t>due 2028 (included in Exhibit 4.15)</w:t>
              </w:r>
            </w:hyperlink>
          </w:p>
        </w:tc>
        <w:tc>
          <w:tcPr>
            <w:tcW w:w="4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4.17</w:t>
            </w:r>
          </w:p>
        </w:tc>
        <w:tc>
          <w:tcPr>
            <w:tcW w:w="4540" w:type="dxa"/>
            <w:vAlign w:val="bottom"/>
            <w:gridSpan w:val="23"/>
            <w:shd w:val="clear" w:color="auto" w:fill="D1D2D4"/>
          </w:tcPr>
          <w:p>
            <w:pPr>
              <w:spacing w:after="0" w:line="176" w:lineRule="exact"/>
              <w:rPr>
                <w:rFonts w:ascii="Arial" w:cs="Arial" w:eastAsia="Arial" w:hAnsi="Arial"/>
                <w:sz w:val="16"/>
                <w:szCs w:val="16"/>
                <w:color w:val="auto"/>
                <w:w w:val="98"/>
              </w:rPr>
            </w:pPr>
            <w:hyperlink r:id="rId193">
              <w:r>
                <w:rPr>
                  <w:rFonts w:ascii="Arial" w:cs="Arial" w:eastAsia="Arial" w:hAnsi="Arial"/>
                  <w:sz w:val="16"/>
                  <w:szCs w:val="16"/>
                  <w:color w:val="auto"/>
                  <w:w w:val="98"/>
                </w:rPr>
                <w:t>Form of Note for Micron Technology, Inc.’s 5.875%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4.4</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4/11/23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500" w:type="dxa"/>
            <w:vAlign w:val="bottom"/>
            <w:tcBorders>
              <w:top w:val="single" w:sz="8" w:color="auto"/>
            </w:tcBorders>
            <w:gridSpan w:val="21"/>
            <w:shd w:val="clear" w:color="auto" w:fill="D1D2D4"/>
          </w:tcPr>
          <w:p>
            <w:pPr>
              <w:spacing w:after="0" w:line="136" w:lineRule="exact"/>
              <w:rPr>
                <w:rFonts w:ascii="Arial" w:cs="Arial" w:eastAsia="Arial" w:hAnsi="Arial"/>
                <w:sz w:val="14"/>
                <w:szCs w:val="14"/>
                <w:color w:val="auto"/>
              </w:rPr>
            </w:pPr>
            <w:hyperlink r:id="rId193">
              <w:r>
                <w:rPr>
                  <w:rFonts w:ascii="Arial" w:cs="Arial" w:eastAsia="Arial" w:hAnsi="Arial"/>
                  <w:sz w:val="14"/>
                  <w:szCs w:val="14"/>
                  <w:color w:val="auto"/>
                </w:rPr>
                <w:t>due 2033 (included in Exhibit 4.15)</w:t>
              </w:r>
            </w:hyperlink>
          </w:p>
        </w:tc>
        <w:tc>
          <w:tcPr>
            <w:tcW w:w="40" w:type="dxa"/>
            <w:vAlign w:val="bottom"/>
            <w:tcBorders>
              <w:top w:val="single" w:sz="8" w:color="D1D2D4"/>
            </w:tcBorders>
            <w:gridSpan w:val="2"/>
            <w:shd w:val="clear" w:color="auto" w:fill="D1D2D4"/>
          </w:tcPr>
          <w:p>
            <w:pPr>
              <w:spacing w:after="0"/>
              <w:rPr>
                <w:sz w:val="11"/>
                <w:szCs w:val="11"/>
                <w:color w:val="auto"/>
              </w:rPr>
            </w:pPr>
          </w:p>
        </w:tc>
        <w:tc>
          <w:tcPr>
            <w:tcW w:w="180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16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D1D2D4"/>
            </w:tcBorders>
            <w:shd w:val="clear" w:color="auto" w:fill="D1D2D4"/>
          </w:tcPr>
          <w:p>
            <w:pPr>
              <w:spacing w:after="0"/>
              <w:rPr>
                <w:sz w:val="3"/>
                <w:szCs w:val="3"/>
                <w:color w:val="auto"/>
              </w:rPr>
            </w:pPr>
          </w:p>
        </w:tc>
        <w:tc>
          <w:tcPr>
            <w:tcW w:w="420" w:type="dxa"/>
            <w:vAlign w:val="bottom"/>
            <w:shd w:val="clear" w:color="auto" w:fill="D1D2D4"/>
          </w:tcPr>
          <w:p>
            <w:pPr>
              <w:spacing w:after="0"/>
              <w:rPr>
                <w:sz w:val="3"/>
                <w:szCs w:val="3"/>
                <w:color w:val="auto"/>
              </w:rPr>
            </w:pPr>
          </w:p>
        </w:tc>
        <w:tc>
          <w:tcPr>
            <w:tcW w:w="720" w:type="dxa"/>
            <w:vAlign w:val="bottom"/>
            <w:shd w:val="clear" w:color="auto" w:fill="D1D2D4"/>
          </w:tcPr>
          <w:p>
            <w:pPr>
              <w:spacing w:after="0"/>
              <w:rPr>
                <w:sz w:val="3"/>
                <w:szCs w:val="3"/>
                <w:color w:val="auto"/>
              </w:rPr>
            </w:pPr>
          </w:p>
        </w:tc>
        <w:tc>
          <w:tcPr>
            <w:tcW w:w="26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80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4.18</w:t>
            </w:r>
          </w:p>
        </w:tc>
        <w:tc>
          <w:tcPr>
            <w:tcW w:w="4540" w:type="dxa"/>
            <w:vAlign w:val="bottom"/>
            <w:gridSpan w:val="23"/>
          </w:tcPr>
          <w:p>
            <w:pPr>
              <w:spacing w:after="0" w:line="168" w:lineRule="exact"/>
              <w:rPr>
                <w:rFonts w:ascii="Arial" w:cs="Arial" w:eastAsia="Arial" w:hAnsi="Arial"/>
                <w:sz w:val="16"/>
                <w:szCs w:val="16"/>
                <w:color w:val="auto"/>
                <w:w w:val="97"/>
              </w:rPr>
            </w:pPr>
            <w:hyperlink r:id="rId194">
              <w:r>
                <w:rPr>
                  <w:rFonts w:ascii="Arial" w:cs="Arial" w:eastAsia="Arial" w:hAnsi="Arial"/>
                  <w:sz w:val="16"/>
                  <w:szCs w:val="16"/>
                  <w:color w:val="auto"/>
                  <w:w w:val="97"/>
                </w:rPr>
                <w:t>Eighth Supplemental Indenture, dated as of January 12, 2024, by</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1/12/24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20" w:type="dxa"/>
            <w:vAlign w:val="bottom"/>
            <w:tcBorders>
              <w:top w:val="single" w:sz="8" w:color="auto"/>
            </w:tcBorders>
            <w:gridSpan w:val="22"/>
          </w:tcPr>
          <w:p>
            <w:pPr>
              <w:spacing w:after="0" w:line="136" w:lineRule="exact"/>
              <w:rPr>
                <w:rFonts w:ascii="Arial" w:cs="Arial" w:eastAsia="Arial" w:hAnsi="Arial"/>
                <w:sz w:val="14"/>
                <w:szCs w:val="14"/>
                <w:color w:val="auto"/>
              </w:rPr>
            </w:pPr>
            <w:hyperlink r:id="rId194">
              <w:r>
                <w:rPr>
                  <w:rFonts w:ascii="Arial" w:cs="Arial" w:eastAsia="Arial" w:hAnsi="Arial"/>
                  <w:sz w:val="14"/>
                  <w:szCs w:val="14"/>
                  <w:color w:val="auto"/>
                </w:rPr>
                <w:t>and between Micron Technology, Inc. and U.S. Bank Trust</w:t>
              </w:r>
            </w:hyperlink>
          </w:p>
        </w:tc>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000" w:type="dxa"/>
            <w:vAlign w:val="bottom"/>
            <w:tcBorders>
              <w:top w:val="single" w:sz="8" w:color="auto"/>
              <w:bottom w:val="single" w:sz="8" w:color="auto"/>
            </w:tcBorders>
            <w:gridSpan w:val="6"/>
          </w:tcPr>
          <w:p>
            <w:pPr>
              <w:spacing w:after="0" w:line="136" w:lineRule="exact"/>
              <w:rPr>
                <w:rFonts w:ascii="Arial" w:cs="Arial" w:eastAsia="Arial" w:hAnsi="Arial"/>
                <w:sz w:val="14"/>
                <w:szCs w:val="14"/>
                <w:color w:val="auto"/>
              </w:rPr>
            </w:pPr>
            <w:hyperlink r:id="rId194">
              <w:r>
                <w:rPr>
                  <w:rFonts w:ascii="Arial" w:cs="Arial" w:eastAsia="Arial" w:hAnsi="Arial"/>
                  <w:sz w:val="14"/>
                  <w:szCs w:val="14"/>
                  <w:color w:val="auto"/>
                </w:rPr>
                <w:t>Company, National Association, as Trustee</w:t>
              </w:r>
            </w:hyperlink>
          </w:p>
        </w:tc>
        <w:tc>
          <w:tcPr>
            <w:tcW w:w="1040" w:type="dxa"/>
            <w:vAlign w:val="bottom"/>
            <w:tcBorders>
              <w:top w:val="single" w:sz="8" w:color="auto"/>
            </w:tcBorders>
            <w:gridSpan w:val="3"/>
          </w:tcPr>
          <w:p>
            <w:pPr>
              <w:spacing w:after="0"/>
              <w:rPr>
                <w:sz w:val="12"/>
                <w:szCs w:val="12"/>
                <w:color w:val="auto"/>
              </w:rPr>
            </w:pPr>
          </w:p>
        </w:tc>
        <w:tc>
          <w:tcPr>
            <w:tcW w:w="24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4.19</w:t>
            </w:r>
          </w:p>
        </w:tc>
        <w:tc>
          <w:tcPr>
            <w:tcW w:w="4540" w:type="dxa"/>
            <w:vAlign w:val="bottom"/>
            <w:gridSpan w:val="23"/>
            <w:shd w:val="clear" w:color="auto" w:fill="D1D2D4"/>
          </w:tcPr>
          <w:p>
            <w:pPr>
              <w:spacing w:after="0" w:line="176" w:lineRule="exact"/>
              <w:rPr>
                <w:rFonts w:ascii="Arial" w:cs="Arial" w:eastAsia="Arial" w:hAnsi="Arial"/>
                <w:sz w:val="16"/>
                <w:szCs w:val="16"/>
                <w:color w:val="auto"/>
              </w:rPr>
            </w:pPr>
            <w:hyperlink r:id="rId194">
              <w:r>
                <w:rPr>
                  <w:rFonts w:ascii="Arial" w:cs="Arial" w:eastAsia="Arial" w:hAnsi="Arial"/>
                  <w:sz w:val="16"/>
                  <w:szCs w:val="16"/>
                  <w:color w:val="auto"/>
                </w:rPr>
                <w:t>Form of Note for Micron Technology, Inc.’s 5.30%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4.3</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1/12/24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4280" w:type="dxa"/>
            <w:vAlign w:val="bottom"/>
            <w:tcBorders>
              <w:top w:val="single" w:sz="8" w:color="auto"/>
              <w:bottom w:val="single" w:sz="8" w:color="auto"/>
            </w:tcBorders>
            <w:gridSpan w:val="12"/>
            <w:shd w:val="clear" w:color="auto" w:fill="D1D2D4"/>
          </w:tcPr>
          <w:p>
            <w:pPr>
              <w:spacing w:after="0" w:line="136" w:lineRule="exact"/>
              <w:rPr>
                <w:rFonts w:ascii="Arial" w:cs="Arial" w:eastAsia="Arial" w:hAnsi="Arial"/>
                <w:sz w:val="14"/>
                <w:szCs w:val="14"/>
                <w:color w:val="auto"/>
              </w:rPr>
            </w:pPr>
            <w:hyperlink r:id="rId194">
              <w:r>
                <w:rPr>
                  <w:rFonts w:ascii="Arial" w:cs="Arial" w:eastAsia="Arial" w:hAnsi="Arial"/>
                  <w:sz w:val="14"/>
                  <w:szCs w:val="14"/>
                  <w:color w:val="auto"/>
                </w:rPr>
                <w:t>due 2031 (incorporated by reference from Exhibit 4.18 hereto)</w:t>
              </w:r>
            </w:hyperlink>
          </w:p>
        </w:tc>
        <w:tc>
          <w:tcPr>
            <w:tcW w:w="120" w:type="dxa"/>
            <w:vAlign w:val="bottom"/>
            <w:tcBorders>
              <w:top w:val="single" w:sz="8" w:color="auto"/>
              <w:bottom w:val="single" w:sz="8" w:color="D1D2D4"/>
            </w:tcBorders>
            <w:gridSpan w:val="4"/>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4.20</w:t>
            </w:r>
          </w:p>
        </w:tc>
        <w:tc>
          <w:tcPr>
            <w:tcW w:w="4540" w:type="dxa"/>
            <w:vAlign w:val="bottom"/>
            <w:gridSpan w:val="23"/>
          </w:tcPr>
          <w:p>
            <w:pPr>
              <w:spacing w:after="0" w:line="168" w:lineRule="exact"/>
              <w:rPr>
                <w:rFonts w:ascii="Arial" w:cs="Arial" w:eastAsia="Arial" w:hAnsi="Arial"/>
                <w:sz w:val="16"/>
                <w:szCs w:val="16"/>
                <w:color w:val="auto"/>
                <w:w w:val="99"/>
              </w:rPr>
            </w:pPr>
            <w:hyperlink r:id="rId195">
              <w:r>
                <w:rPr>
                  <w:rFonts w:ascii="Arial" w:cs="Arial" w:eastAsia="Arial" w:hAnsi="Arial"/>
                  <w:sz w:val="16"/>
                  <w:szCs w:val="16"/>
                  <w:color w:val="auto"/>
                  <w:w w:val="99"/>
                </w:rPr>
                <w:t>Ninth Supplemental Indenture, dated as of January 16, 2025, by</w:t>
              </w:r>
            </w:hyperlink>
          </w:p>
        </w:tc>
        <w:tc>
          <w:tcPr>
            <w:tcW w:w="180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20"/>
              <w:spacing w:after="0" w:line="168" w:lineRule="exact"/>
              <w:rPr>
                <w:sz w:val="20"/>
                <w:szCs w:val="20"/>
                <w:color w:val="auto"/>
              </w:rPr>
            </w:pPr>
            <w:r>
              <w:rPr>
                <w:rFonts w:ascii="Arial" w:cs="Arial" w:eastAsia="Arial" w:hAnsi="Arial"/>
                <w:sz w:val="16"/>
                <w:szCs w:val="16"/>
                <w:color w:val="auto"/>
              </w:rPr>
              <w:t>4.2</w:t>
            </w:r>
          </w:p>
        </w:tc>
        <w:tc>
          <w:tcPr>
            <w:tcW w:w="122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1/16/25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460" w:type="dxa"/>
            <w:vAlign w:val="bottom"/>
            <w:tcBorders>
              <w:top w:val="single" w:sz="8" w:color="auto"/>
            </w:tcBorders>
            <w:gridSpan w:val="19"/>
          </w:tcPr>
          <w:p>
            <w:pPr>
              <w:spacing w:after="0" w:line="136" w:lineRule="exact"/>
              <w:rPr>
                <w:rFonts w:ascii="Arial" w:cs="Arial" w:eastAsia="Arial" w:hAnsi="Arial"/>
                <w:sz w:val="14"/>
                <w:szCs w:val="14"/>
                <w:color w:val="auto"/>
              </w:rPr>
            </w:pPr>
            <w:hyperlink r:id="rId195">
              <w:r>
                <w:rPr>
                  <w:rFonts w:ascii="Arial" w:cs="Arial" w:eastAsia="Arial" w:hAnsi="Arial"/>
                  <w:sz w:val="14"/>
                  <w:szCs w:val="14"/>
                  <w:color w:val="auto"/>
                </w:rPr>
                <w:t>and between Micron Technology, Inc. and U.S. Bank Trust</w:t>
              </w:r>
            </w:hyperlink>
          </w:p>
        </w:tc>
        <w:tc>
          <w:tcPr>
            <w:tcW w:w="80" w:type="dxa"/>
            <w:vAlign w:val="bottom"/>
            <w:gridSpan w:val="4"/>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000" w:type="dxa"/>
            <w:vAlign w:val="bottom"/>
            <w:tcBorders>
              <w:top w:val="single" w:sz="8" w:color="auto"/>
              <w:bottom w:val="single" w:sz="8" w:color="auto"/>
            </w:tcBorders>
            <w:gridSpan w:val="6"/>
          </w:tcPr>
          <w:p>
            <w:pPr>
              <w:spacing w:after="0" w:line="136" w:lineRule="exact"/>
              <w:rPr>
                <w:rFonts w:ascii="Arial" w:cs="Arial" w:eastAsia="Arial" w:hAnsi="Arial"/>
                <w:sz w:val="14"/>
                <w:szCs w:val="14"/>
                <w:color w:val="auto"/>
              </w:rPr>
            </w:pPr>
            <w:hyperlink r:id="rId195">
              <w:r>
                <w:rPr>
                  <w:rFonts w:ascii="Arial" w:cs="Arial" w:eastAsia="Arial" w:hAnsi="Arial"/>
                  <w:sz w:val="14"/>
                  <w:szCs w:val="14"/>
                  <w:color w:val="auto"/>
                </w:rPr>
                <w:t>Company, National Association, as Trustee</w:t>
              </w:r>
            </w:hyperlink>
          </w:p>
        </w:tc>
        <w:tc>
          <w:tcPr>
            <w:tcW w:w="1040" w:type="dxa"/>
            <w:vAlign w:val="bottom"/>
            <w:tcBorders>
              <w:top w:val="single" w:sz="8" w:color="auto"/>
            </w:tcBorders>
            <w:gridSpan w:val="3"/>
          </w:tcPr>
          <w:p>
            <w:pPr>
              <w:spacing w:after="0"/>
              <w:rPr>
                <w:sz w:val="12"/>
                <w:szCs w:val="12"/>
                <w:color w:val="auto"/>
              </w:rPr>
            </w:pPr>
          </w:p>
        </w:tc>
        <w:tc>
          <w:tcPr>
            <w:tcW w:w="400" w:type="dxa"/>
            <w:vAlign w:val="bottom"/>
            <w:gridSpan w:val="9"/>
          </w:tcPr>
          <w:p>
            <w:pPr>
              <w:spacing w:after="0"/>
              <w:rPr>
                <w:sz w:val="12"/>
                <w:szCs w:val="12"/>
                <w:color w:val="auto"/>
              </w:rPr>
            </w:pPr>
          </w:p>
        </w:tc>
        <w:tc>
          <w:tcPr>
            <w:tcW w:w="100" w:type="dxa"/>
            <w:vAlign w:val="bottom"/>
            <w:gridSpan w:val="5"/>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4.21</w:t>
            </w:r>
          </w:p>
        </w:tc>
        <w:tc>
          <w:tcPr>
            <w:tcW w:w="4540" w:type="dxa"/>
            <w:vAlign w:val="bottom"/>
            <w:gridSpan w:val="23"/>
            <w:shd w:val="clear" w:color="auto" w:fill="D1D2D4"/>
          </w:tcPr>
          <w:p>
            <w:pPr>
              <w:spacing w:after="0" w:line="176" w:lineRule="exact"/>
              <w:rPr>
                <w:rFonts w:ascii="Arial" w:cs="Arial" w:eastAsia="Arial" w:hAnsi="Arial"/>
                <w:sz w:val="16"/>
                <w:szCs w:val="16"/>
                <w:color w:val="auto"/>
              </w:rPr>
            </w:pPr>
            <w:hyperlink r:id="rId195">
              <w:r>
                <w:rPr>
                  <w:rFonts w:ascii="Arial" w:cs="Arial" w:eastAsia="Arial" w:hAnsi="Arial"/>
                  <w:sz w:val="16"/>
                  <w:szCs w:val="16"/>
                  <w:color w:val="auto"/>
                </w:rPr>
                <w:t>Form of Note for Micron Technology, Inc.’s 5.80% Senior Notes</w:t>
              </w:r>
            </w:hyperlink>
          </w:p>
        </w:tc>
        <w:tc>
          <w:tcPr>
            <w:tcW w:w="180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20"/>
              <w:spacing w:after="0" w:line="176" w:lineRule="exact"/>
              <w:rPr>
                <w:sz w:val="20"/>
                <w:szCs w:val="20"/>
                <w:color w:val="auto"/>
              </w:rPr>
            </w:pPr>
            <w:r>
              <w:rPr>
                <w:rFonts w:ascii="Arial" w:cs="Arial" w:eastAsia="Arial" w:hAnsi="Arial"/>
                <w:sz w:val="16"/>
                <w:szCs w:val="16"/>
                <w:color w:val="auto"/>
              </w:rPr>
              <w:t>4.3</w:t>
            </w:r>
          </w:p>
        </w:tc>
        <w:tc>
          <w:tcPr>
            <w:tcW w:w="1220" w:type="dxa"/>
            <w:vAlign w:val="bottom"/>
            <w:gridSpan w:val="2"/>
            <w:shd w:val="clear" w:color="auto" w:fill="D1D2D4"/>
          </w:tcPr>
          <w:p>
            <w:pPr>
              <w:ind w:left="240"/>
              <w:spacing w:after="0" w:line="176" w:lineRule="exact"/>
              <w:rPr>
                <w:sz w:val="20"/>
                <w:szCs w:val="20"/>
                <w:color w:val="auto"/>
              </w:rPr>
            </w:pPr>
            <w:r>
              <w:rPr>
                <w:rFonts w:ascii="Arial" w:cs="Arial" w:eastAsia="Arial" w:hAnsi="Arial"/>
                <w:sz w:val="16"/>
                <w:szCs w:val="16"/>
                <w:color w:val="auto"/>
              </w:rPr>
              <w:t>1/16/25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tcBorders>
            <w:shd w:val="clear" w:color="auto" w:fill="D1D2D4"/>
          </w:tcPr>
          <w:p>
            <w:pPr>
              <w:spacing w:after="0"/>
              <w:rPr>
                <w:sz w:val="13"/>
                <w:szCs w:val="13"/>
                <w:color w:val="auto"/>
              </w:rPr>
            </w:pPr>
          </w:p>
        </w:tc>
        <w:tc>
          <w:tcPr>
            <w:tcW w:w="4440" w:type="dxa"/>
            <w:vAlign w:val="bottom"/>
            <w:tcBorders>
              <w:top w:val="single" w:sz="8" w:color="auto"/>
            </w:tcBorders>
            <w:gridSpan w:val="18"/>
            <w:shd w:val="clear" w:color="auto" w:fill="D1D2D4"/>
          </w:tcPr>
          <w:p>
            <w:pPr>
              <w:spacing w:after="0" w:line="136" w:lineRule="exact"/>
              <w:rPr>
                <w:rFonts w:ascii="Arial" w:cs="Arial" w:eastAsia="Arial" w:hAnsi="Arial"/>
                <w:sz w:val="14"/>
                <w:szCs w:val="14"/>
                <w:color w:val="auto"/>
              </w:rPr>
            </w:pPr>
            <w:hyperlink r:id="rId195">
              <w:r>
                <w:rPr>
                  <w:rFonts w:ascii="Arial" w:cs="Arial" w:eastAsia="Arial" w:hAnsi="Arial"/>
                  <w:sz w:val="14"/>
                  <w:szCs w:val="14"/>
                  <w:color w:val="auto"/>
                </w:rPr>
                <w:t>due 2035 (included in Exhibit 4.20)</w:t>
              </w:r>
            </w:hyperlink>
          </w:p>
        </w:tc>
        <w:tc>
          <w:tcPr>
            <w:tcW w:w="100" w:type="dxa"/>
            <w:vAlign w:val="bottom"/>
            <w:tcBorders>
              <w:top w:val="single" w:sz="8" w:color="D1D2D4"/>
            </w:tcBorders>
            <w:gridSpan w:val="5"/>
            <w:shd w:val="clear" w:color="auto" w:fill="D1D2D4"/>
          </w:tcPr>
          <w:p>
            <w:pPr>
              <w:spacing w:after="0"/>
              <w:rPr>
                <w:sz w:val="13"/>
                <w:szCs w:val="13"/>
                <w:color w:val="auto"/>
              </w:rPr>
            </w:pPr>
          </w:p>
        </w:tc>
        <w:tc>
          <w:tcPr>
            <w:tcW w:w="1800" w:type="dxa"/>
            <w:vAlign w:val="bottom"/>
            <w:tcBorders>
              <w:top w:val="single" w:sz="8" w:color="D1D2D4"/>
            </w:tcBorders>
            <w:shd w:val="clear" w:color="auto" w:fill="D1D2D4"/>
          </w:tcPr>
          <w:p>
            <w:pPr>
              <w:spacing w:after="0"/>
              <w:rPr>
                <w:sz w:val="13"/>
                <w:szCs w:val="13"/>
                <w:color w:val="auto"/>
              </w:rPr>
            </w:pPr>
          </w:p>
        </w:tc>
        <w:tc>
          <w:tcPr>
            <w:tcW w:w="920" w:type="dxa"/>
            <w:vAlign w:val="bottom"/>
            <w:tcBorders>
              <w:top w:val="single" w:sz="8" w:color="D1D2D4"/>
            </w:tcBorders>
            <w:shd w:val="clear" w:color="auto" w:fill="D1D2D4"/>
          </w:tcPr>
          <w:p>
            <w:pPr>
              <w:spacing w:after="0"/>
              <w:rPr>
                <w:sz w:val="13"/>
                <w:szCs w:val="13"/>
                <w:color w:val="auto"/>
              </w:rPr>
            </w:pPr>
          </w:p>
        </w:tc>
        <w:tc>
          <w:tcPr>
            <w:tcW w:w="106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200" w:type="dxa"/>
            <w:vAlign w:val="bottom"/>
            <w:tcBorders>
              <w:top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8"/>
        </w:trPr>
        <w:tc>
          <w:tcPr>
            <w:tcW w:w="1020" w:type="dxa"/>
            <w:vAlign w:val="bottom"/>
            <w:tcBorders>
              <w:top w:val="single" w:sz="8" w:color="D1D2D4"/>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D1D2D4"/>
            </w:tcBorders>
          </w:tcPr>
          <w:p>
            <w:pPr>
              <w:spacing w:after="0"/>
              <w:rPr>
                <w:sz w:val="24"/>
                <w:szCs w:val="24"/>
                <w:color w:val="auto"/>
              </w:rPr>
            </w:pPr>
          </w:p>
        </w:tc>
        <w:tc>
          <w:tcPr>
            <w:tcW w:w="420" w:type="dxa"/>
            <w:vAlign w:val="bottom"/>
            <w:tcBorders>
              <w:top w:val="single" w:sz="8" w:color="D1D2D4"/>
            </w:tcBorders>
          </w:tcPr>
          <w:p>
            <w:pPr>
              <w:spacing w:after="0"/>
              <w:rPr>
                <w:sz w:val="24"/>
                <w:szCs w:val="24"/>
                <w:color w:val="auto"/>
              </w:rPr>
            </w:pPr>
          </w:p>
        </w:tc>
        <w:tc>
          <w:tcPr>
            <w:tcW w:w="720" w:type="dxa"/>
            <w:vAlign w:val="bottom"/>
            <w:tcBorders>
              <w:top w:val="single" w:sz="8" w:color="D1D2D4"/>
            </w:tcBorders>
          </w:tcPr>
          <w:p>
            <w:pPr>
              <w:spacing w:after="0"/>
              <w:rPr>
                <w:sz w:val="24"/>
                <w:szCs w:val="24"/>
                <w:color w:val="auto"/>
              </w:rPr>
            </w:pPr>
          </w:p>
        </w:tc>
        <w:tc>
          <w:tcPr>
            <w:tcW w:w="260" w:type="dxa"/>
            <w:vAlign w:val="bottom"/>
            <w:tcBorders>
              <w:top w:val="single" w:sz="8" w:color="D1D2D4"/>
            </w:tcBorders>
          </w:tcPr>
          <w:p>
            <w:pPr>
              <w:spacing w:after="0"/>
              <w:rPr>
                <w:sz w:val="24"/>
                <w:szCs w:val="24"/>
                <w:color w:val="auto"/>
              </w:rPr>
            </w:pPr>
          </w:p>
        </w:tc>
        <w:tc>
          <w:tcPr>
            <w:tcW w:w="6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40" w:type="dxa"/>
            <w:vAlign w:val="bottom"/>
            <w:tcBorders>
              <w:top w:val="single" w:sz="8" w:color="D1D2D4"/>
            </w:tcBorders>
          </w:tcPr>
          <w:p>
            <w:pPr>
              <w:spacing w:after="0"/>
              <w:rPr>
                <w:sz w:val="24"/>
                <w:szCs w:val="24"/>
                <w:color w:val="auto"/>
              </w:rPr>
            </w:pPr>
          </w:p>
        </w:tc>
        <w:tc>
          <w:tcPr>
            <w:tcW w:w="4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20" w:type="dxa"/>
            <w:vAlign w:val="bottom"/>
            <w:tcBorders>
              <w:top w:val="single" w:sz="8" w:color="D1D2D4"/>
            </w:tcBorders>
          </w:tcPr>
          <w:p>
            <w:pPr>
              <w:spacing w:after="0"/>
              <w:rPr>
                <w:sz w:val="24"/>
                <w:szCs w:val="24"/>
                <w:color w:val="auto"/>
              </w:rPr>
            </w:pPr>
          </w:p>
        </w:tc>
        <w:tc>
          <w:tcPr>
            <w:tcW w:w="1800" w:type="dxa"/>
            <w:vAlign w:val="bottom"/>
            <w:tcBorders>
              <w:top w:val="single" w:sz="8" w:color="D1D2D4"/>
            </w:tcBorders>
          </w:tcPr>
          <w:p>
            <w:pPr>
              <w:spacing w:after="0"/>
              <w:rPr>
                <w:sz w:val="24"/>
                <w:szCs w:val="24"/>
                <w:color w:val="auto"/>
              </w:rPr>
            </w:pPr>
          </w:p>
        </w:tc>
        <w:tc>
          <w:tcPr>
            <w:tcW w:w="920" w:type="dxa"/>
            <w:vAlign w:val="bottom"/>
            <w:tcBorders>
              <w:top w:val="single" w:sz="8" w:color="D1D2D4"/>
            </w:tcBorders>
          </w:tcPr>
          <w:p>
            <w:pPr>
              <w:spacing w:after="0"/>
              <w:rPr>
                <w:sz w:val="24"/>
                <w:szCs w:val="24"/>
                <w:color w:val="auto"/>
              </w:rPr>
            </w:pPr>
          </w:p>
        </w:tc>
        <w:tc>
          <w:tcPr>
            <w:tcW w:w="1060" w:type="dxa"/>
            <w:vAlign w:val="bottom"/>
            <w:tcBorders>
              <w:top w:val="single" w:sz="8" w:color="D1D2D4"/>
            </w:tcBorders>
          </w:tcPr>
          <w:p>
            <w:pPr>
              <w:spacing w:after="0"/>
              <w:rPr>
                <w:sz w:val="24"/>
                <w:szCs w:val="24"/>
                <w:color w:val="auto"/>
              </w:rPr>
            </w:pPr>
          </w:p>
        </w:tc>
        <w:tc>
          <w:tcPr>
            <w:tcW w:w="1220" w:type="dxa"/>
            <w:vAlign w:val="bottom"/>
            <w:tcBorders>
              <w:top w:val="single" w:sz="8" w:color="D1D2D4"/>
            </w:tcBorders>
            <w:gridSpan w:val="2"/>
          </w:tcPr>
          <w:p>
            <w:pPr>
              <w:jc w:val="right"/>
              <w:spacing w:after="0"/>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20" w:type="dxa"/>
            <w:vAlign w:val="bottom"/>
            <w:tcBorders>
              <w:bottom w:val="single" w:sz="8" w:color="EEEEEE"/>
            </w:tcBorders>
          </w:tcPr>
          <w:p>
            <w:pPr>
              <w:spacing w:after="0"/>
              <w:rPr>
                <w:sz w:val="8"/>
                <w:szCs w:val="8"/>
                <w:color w:val="auto"/>
              </w:rPr>
            </w:pPr>
          </w:p>
        </w:tc>
        <w:tc>
          <w:tcPr>
            <w:tcW w:w="16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80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10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200" w:type="dxa"/>
            <w:vAlign w:val="bottom"/>
            <w:tcBorders>
              <w:bottom w:val="single" w:sz="8" w:color="EEEEE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-266065</wp:posOffset>
            </wp:positionV>
            <wp:extent cx="693420" cy="144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spacing w:after="0"/>
              <w:rPr>
                <w:rFonts w:ascii="Arial" w:cs="Arial" w:eastAsia="Arial" w:hAnsi="Arial"/>
                <w:sz w:val="14"/>
                <w:szCs w:val="14"/>
                <w:b w:val="1"/>
                <w:bCs w:val="1"/>
                <w:color w:val="BD03F7"/>
              </w:rPr>
            </w:pPr>
            <w:hyperlink w:anchor="page3">
              <w:r>
                <w:rPr>
                  <w:rFonts w:ascii="Arial" w:cs="Arial" w:eastAsia="Arial" w:hAnsi="Arial"/>
                  <w:sz w:val="14"/>
                  <w:szCs w:val="14"/>
                  <w:b w:val="1"/>
                  <w:bCs w:val="1"/>
                  <w:color w:val="BD03F7"/>
                </w:rPr>
                <w:t>Table of Contents</w:t>
              </w:r>
            </w:hyperlink>
          </w:p>
        </w:tc>
        <w:tc>
          <w:tcPr>
            <w:tcW w:w="0" w:type="dxa"/>
            <w:vAlign w:val="bottom"/>
          </w:tcPr>
          <w:p>
            <w:pPr>
              <w:spacing w:after="0"/>
              <w:rPr>
                <w:sz w:val="1"/>
                <w:szCs w:val="1"/>
                <w:color w:val="auto"/>
              </w:rPr>
            </w:pPr>
          </w:p>
        </w:tc>
      </w:tr>
      <w:tr>
        <w:trPr>
          <w:trHeight w:val="736"/>
        </w:trPr>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31"/>
            <w:vMerge w:val="restart"/>
          </w:tcPr>
          <w:p>
            <w:pPr>
              <w:ind w:left="440"/>
              <w:spacing w:after="0"/>
              <w:rPr>
                <w:sz w:val="20"/>
                <w:szCs w:val="20"/>
                <w:color w:val="auto"/>
              </w:rPr>
            </w:pPr>
            <w:r>
              <w:rPr>
                <w:rFonts w:ascii="Arial" w:cs="Arial" w:eastAsia="Arial" w:hAnsi="Arial"/>
                <w:sz w:val="16"/>
                <w:szCs w:val="16"/>
                <w:b w:val="1"/>
                <w:bCs w:val="1"/>
                <w:color w:val="auto"/>
              </w:rPr>
              <w:t>Description of Exhibit</w:t>
            </w:r>
          </w:p>
        </w:tc>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Filed Herewith  Form</w:t>
            </w: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Period</w:t>
            </w:r>
          </w:p>
        </w:tc>
        <w:tc>
          <w:tcPr>
            <w:tcW w:w="1060" w:type="dxa"/>
            <w:vAlign w:val="bottom"/>
          </w:tcPr>
          <w:p>
            <w:pPr>
              <w:ind w:left="420"/>
              <w:spacing w:after="0"/>
              <w:rPr>
                <w:sz w:val="20"/>
                <w:szCs w:val="20"/>
                <w:color w:val="auto"/>
              </w:rPr>
            </w:pPr>
            <w:r>
              <w:rPr>
                <w:rFonts w:ascii="Arial" w:cs="Arial" w:eastAsia="Arial" w:hAnsi="Arial"/>
                <w:sz w:val="16"/>
                <w:szCs w:val="16"/>
                <w:b w:val="1"/>
                <w:bCs w:val="1"/>
                <w:color w:val="auto"/>
              </w:rPr>
              <w:t>Exhibit/</w:t>
            </w:r>
          </w:p>
        </w:tc>
        <w:tc>
          <w:tcPr>
            <w:tcW w:w="1200" w:type="dxa"/>
            <w:vAlign w:val="bottom"/>
            <w:tcBorders>
              <w:top w:val="single" w:sz="8" w:color="BD03F7"/>
            </w:tcBorders>
            <w:vMerge w:val="restart"/>
          </w:tcPr>
          <w:p>
            <w:pPr>
              <w:ind w:left="300"/>
              <w:spacing w:after="0"/>
              <w:rPr>
                <w:sz w:val="20"/>
                <w:szCs w:val="20"/>
                <w:color w:val="auto"/>
              </w:rPr>
            </w:pPr>
            <w:r>
              <w:rPr>
                <w:rFonts w:ascii="Arial" w:cs="Arial" w:eastAsia="Arial" w:hAnsi="Arial"/>
                <w:sz w:val="16"/>
                <w:szCs w:val="16"/>
                <w:b w:val="1"/>
                <w:bCs w:val="1"/>
                <w:color w:val="auto"/>
              </w:rPr>
              <w:t>Filing Date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Number</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1"/>
            <w:vMerge w:val="continue"/>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Ending</w:t>
            </w: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5"/>
              </w:rPr>
              <w:t>Appendix</w:t>
            </w:r>
          </w:p>
        </w:tc>
        <w:tc>
          <w:tcPr>
            <w:tcW w:w="120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line="160" w:lineRule="exact"/>
              <w:rPr>
                <w:sz w:val="20"/>
                <w:szCs w:val="20"/>
                <w:color w:val="auto"/>
              </w:rPr>
            </w:pPr>
            <w:r>
              <w:rPr>
                <w:rFonts w:ascii="Arial" w:cs="Arial" w:eastAsia="Arial" w:hAnsi="Arial"/>
                <w:sz w:val="16"/>
                <w:szCs w:val="16"/>
                <w:color w:val="auto"/>
              </w:rPr>
              <w:t>4.22</w:t>
            </w:r>
          </w:p>
        </w:tc>
        <w:tc>
          <w:tcPr>
            <w:tcW w:w="4540" w:type="dxa"/>
            <w:vAlign w:val="bottom"/>
            <w:tcBorders>
              <w:bottom w:val="single" w:sz="8" w:color="auto"/>
            </w:tcBorders>
            <w:gridSpan w:val="35"/>
          </w:tcPr>
          <w:p>
            <w:pPr>
              <w:spacing w:after="0" w:line="160" w:lineRule="exact"/>
              <w:rPr>
                <w:rFonts w:ascii="Arial" w:cs="Arial" w:eastAsia="Arial" w:hAnsi="Arial"/>
                <w:sz w:val="16"/>
                <w:szCs w:val="16"/>
                <w:color w:val="auto"/>
                <w:w w:val="97"/>
              </w:rPr>
            </w:pPr>
            <w:hyperlink r:id="rId198">
              <w:r>
                <w:rPr>
                  <w:rFonts w:ascii="Arial" w:cs="Arial" w:eastAsia="Arial" w:hAnsi="Arial"/>
                  <w:sz w:val="16"/>
                  <w:szCs w:val="16"/>
                  <w:color w:val="auto"/>
                  <w:w w:val="97"/>
                </w:rPr>
                <w:t>Tenth Supplemental Indenture, dated as of April 29, 2025, by and</w:t>
              </w:r>
            </w:hyperlink>
          </w:p>
        </w:tc>
        <w:tc>
          <w:tcPr>
            <w:tcW w:w="1820" w:type="dxa"/>
            <w:vAlign w:val="bottom"/>
          </w:tcPr>
          <w:p>
            <w:pPr>
              <w:ind w:left="1140"/>
              <w:spacing w:after="0" w:line="160"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3"/>
                <w:szCs w:val="13"/>
                <w:color w:val="auto"/>
              </w:rPr>
            </w:pPr>
          </w:p>
        </w:tc>
        <w:tc>
          <w:tcPr>
            <w:tcW w:w="1060" w:type="dxa"/>
            <w:vAlign w:val="bottom"/>
          </w:tcPr>
          <w:p>
            <w:pPr>
              <w:ind w:left="140"/>
              <w:spacing w:after="0" w:line="160" w:lineRule="exact"/>
              <w:rPr>
                <w:sz w:val="20"/>
                <w:szCs w:val="20"/>
                <w:color w:val="auto"/>
              </w:rPr>
            </w:pPr>
            <w:r>
              <w:rPr>
                <w:rFonts w:ascii="Arial" w:cs="Arial" w:eastAsia="Arial" w:hAnsi="Arial"/>
                <w:sz w:val="16"/>
                <w:szCs w:val="16"/>
                <w:color w:val="auto"/>
              </w:rPr>
              <w:t>4.2</w:t>
            </w:r>
          </w:p>
        </w:tc>
        <w:tc>
          <w:tcPr>
            <w:tcW w:w="1200" w:type="dxa"/>
            <w:vAlign w:val="bottom"/>
          </w:tcPr>
          <w:p>
            <w:pPr>
              <w:ind w:left="220"/>
              <w:spacing w:after="0" w:line="160" w:lineRule="exact"/>
              <w:rPr>
                <w:sz w:val="20"/>
                <w:szCs w:val="20"/>
                <w:color w:val="auto"/>
              </w:rPr>
            </w:pPr>
            <w:r>
              <w:rPr>
                <w:rFonts w:ascii="Arial" w:cs="Arial" w:eastAsia="Arial" w:hAnsi="Arial"/>
                <w:sz w:val="16"/>
                <w:szCs w:val="16"/>
                <w:color w:val="auto"/>
              </w:rPr>
              <w:t>4/29/25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540" w:type="dxa"/>
            <w:vAlign w:val="bottom"/>
            <w:gridSpan w:val="35"/>
          </w:tcPr>
          <w:p>
            <w:pPr>
              <w:spacing w:after="0" w:line="136" w:lineRule="exact"/>
              <w:rPr>
                <w:rFonts w:ascii="Arial" w:cs="Arial" w:eastAsia="Arial" w:hAnsi="Arial"/>
                <w:sz w:val="14"/>
                <w:szCs w:val="14"/>
                <w:color w:val="auto"/>
              </w:rPr>
            </w:pPr>
            <w:hyperlink r:id="rId198">
              <w:r>
                <w:rPr>
                  <w:rFonts w:ascii="Arial" w:cs="Arial" w:eastAsia="Arial" w:hAnsi="Arial"/>
                  <w:sz w:val="14"/>
                  <w:szCs w:val="14"/>
                  <w:color w:val="auto"/>
                </w:rPr>
                <w:t>between Micron Technology, Inc. and U.S. Bank Trust Company,</w:t>
              </w:r>
            </w:hyperlink>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480" w:type="dxa"/>
            <w:vAlign w:val="bottom"/>
            <w:tcBorders>
              <w:top w:val="single" w:sz="8" w:color="auto"/>
            </w:tcBorders>
            <w:gridSpan w:val="33"/>
          </w:tcPr>
          <w:p>
            <w:pPr>
              <w:spacing w:after="0" w:line="136" w:lineRule="exact"/>
              <w:rPr>
                <w:rFonts w:ascii="Arial" w:cs="Arial" w:eastAsia="Arial" w:hAnsi="Arial"/>
                <w:sz w:val="14"/>
                <w:szCs w:val="14"/>
                <w:color w:val="auto"/>
              </w:rPr>
            </w:pPr>
            <w:hyperlink r:id="rId198">
              <w:r>
                <w:rPr>
                  <w:rFonts w:ascii="Arial" w:cs="Arial" w:eastAsia="Arial" w:hAnsi="Arial"/>
                  <w:sz w:val="14"/>
                  <w:szCs w:val="14"/>
                  <w:color w:val="auto"/>
                </w:rPr>
                <w:t>National Association, as Trustee</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4.23</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198">
              <w:r>
                <w:rPr>
                  <w:rFonts w:ascii="Arial" w:cs="Arial" w:eastAsia="Arial" w:hAnsi="Arial"/>
                  <w:sz w:val="16"/>
                  <w:szCs w:val="16"/>
                  <w:color w:val="auto"/>
                </w:rPr>
                <w:t>Form of Note for Micron Technology, Inc.’s 5.65% Senior Notes</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4.3</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4/29/25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2400" w:type="dxa"/>
            <w:vAlign w:val="bottom"/>
            <w:tcBorders>
              <w:top w:val="single" w:sz="8" w:color="auto"/>
              <w:bottom w:val="single" w:sz="8" w:color="auto"/>
            </w:tcBorders>
            <w:gridSpan w:val="11"/>
            <w:shd w:val="clear" w:color="auto" w:fill="D1D2D4"/>
          </w:tcPr>
          <w:p>
            <w:pPr>
              <w:spacing w:after="0" w:line="136" w:lineRule="exact"/>
              <w:rPr>
                <w:rFonts w:ascii="Arial" w:cs="Arial" w:eastAsia="Arial" w:hAnsi="Arial"/>
                <w:sz w:val="14"/>
                <w:szCs w:val="14"/>
                <w:color w:val="auto"/>
              </w:rPr>
            </w:pPr>
            <w:hyperlink r:id="rId198">
              <w:r>
                <w:rPr>
                  <w:rFonts w:ascii="Arial" w:cs="Arial" w:eastAsia="Arial" w:hAnsi="Arial"/>
                  <w:sz w:val="14"/>
                  <w:szCs w:val="14"/>
                  <w:color w:val="auto"/>
                </w:rPr>
                <w:t>due 2032 (included in Exhibit 4.22)</w:t>
              </w:r>
            </w:hyperlink>
          </w:p>
        </w:tc>
        <w:tc>
          <w:tcPr>
            <w:tcW w:w="2000" w:type="dxa"/>
            <w:vAlign w:val="bottom"/>
            <w:tcBorders>
              <w:top w:val="single" w:sz="8" w:color="auto"/>
              <w:bottom w:val="single" w:sz="8" w:color="D1D2D4"/>
            </w:tcBorders>
            <w:gridSpan w:val="20"/>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2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4.24</w:t>
            </w:r>
          </w:p>
        </w:tc>
        <w:tc>
          <w:tcPr>
            <w:tcW w:w="4540" w:type="dxa"/>
            <w:vAlign w:val="bottom"/>
            <w:gridSpan w:val="35"/>
          </w:tcPr>
          <w:p>
            <w:pPr>
              <w:spacing w:after="0" w:line="168" w:lineRule="exact"/>
              <w:rPr>
                <w:rFonts w:ascii="Arial" w:cs="Arial" w:eastAsia="Arial" w:hAnsi="Arial"/>
                <w:sz w:val="16"/>
                <w:szCs w:val="16"/>
                <w:color w:val="auto"/>
              </w:rPr>
            </w:pPr>
            <w:hyperlink r:id="rId198">
              <w:r>
                <w:rPr>
                  <w:rFonts w:ascii="Arial" w:cs="Arial" w:eastAsia="Arial" w:hAnsi="Arial"/>
                  <w:sz w:val="16"/>
                  <w:szCs w:val="16"/>
                  <w:color w:val="auto"/>
                </w:rPr>
                <w:t>Form of Note for Micron Technology, Inc.’s 6.05% Senior Notes</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8-K</w:t>
            </w:r>
          </w:p>
        </w:tc>
        <w:tc>
          <w:tcPr>
            <w:tcW w:w="92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4.4</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4/29/25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2400" w:type="dxa"/>
            <w:vAlign w:val="bottom"/>
            <w:tcBorders>
              <w:top w:val="single" w:sz="8" w:color="auto"/>
              <w:bottom w:val="single" w:sz="8" w:color="auto"/>
            </w:tcBorders>
            <w:gridSpan w:val="11"/>
          </w:tcPr>
          <w:p>
            <w:pPr>
              <w:spacing w:after="0" w:line="136" w:lineRule="exact"/>
              <w:rPr>
                <w:rFonts w:ascii="Arial" w:cs="Arial" w:eastAsia="Arial" w:hAnsi="Arial"/>
                <w:sz w:val="14"/>
                <w:szCs w:val="14"/>
                <w:color w:val="auto"/>
              </w:rPr>
            </w:pPr>
            <w:hyperlink r:id="rId198">
              <w:r>
                <w:rPr>
                  <w:rFonts w:ascii="Arial" w:cs="Arial" w:eastAsia="Arial" w:hAnsi="Arial"/>
                  <w:sz w:val="14"/>
                  <w:szCs w:val="14"/>
                  <w:color w:val="auto"/>
                </w:rPr>
                <w:t>due 2035 (included in Exhibit 4.22)</w:t>
              </w:r>
            </w:hyperlink>
          </w:p>
        </w:tc>
        <w:tc>
          <w:tcPr>
            <w:tcW w:w="2000" w:type="dxa"/>
            <w:vAlign w:val="bottom"/>
            <w:tcBorders>
              <w:top w:val="single" w:sz="8" w:color="auto"/>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10.1*</w:t>
            </w:r>
          </w:p>
        </w:tc>
        <w:tc>
          <w:tcPr>
            <w:tcW w:w="4540" w:type="dxa"/>
            <w:vAlign w:val="bottom"/>
            <w:gridSpan w:val="35"/>
            <w:shd w:val="clear" w:color="auto" w:fill="D1D2D4"/>
          </w:tcPr>
          <w:p>
            <w:pPr>
              <w:spacing w:after="0" w:line="176" w:lineRule="exact"/>
              <w:rPr>
                <w:rFonts w:ascii="Arial" w:cs="Arial" w:eastAsia="Arial" w:hAnsi="Arial"/>
                <w:sz w:val="16"/>
                <w:szCs w:val="16"/>
                <w:color w:val="auto"/>
                <w:w w:val="98"/>
              </w:rPr>
            </w:pPr>
            <w:hyperlink r:id="rId199">
              <w:r>
                <w:rPr>
                  <w:rFonts w:ascii="Arial" w:cs="Arial" w:eastAsia="Arial" w:hAnsi="Arial"/>
                  <w:sz w:val="16"/>
                  <w:szCs w:val="16"/>
                  <w:color w:val="auto"/>
                  <w:w w:val="98"/>
                </w:rPr>
                <w:t>Micron Technology, Inc. Executive Officer Performance Incentive</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DEF 14A</w:t>
            </w:r>
          </w:p>
        </w:tc>
        <w:tc>
          <w:tcPr>
            <w:tcW w:w="920" w:type="dxa"/>
            <w:vAlign w:val="bottom"/>
            <w:shd w:val="clear" w:color="auto" w:fill="D1D2D4"/>
          </w:tcPr>
          <w:p>
            <w:pPr>
              <w:spacing w:after="0"/>
              <w:rPr>
                <w:sz w:val="15"/>
                <w:szCs w:val="15"/>
                <w:color w:val="auto"/>
              </w:rPr>
            </w:pP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B</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12/7/17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80" w:type="dxa"/>
            <w:vAlign w:val="bottom"/>
            <w:tcBorders>
              <w:top w:val="single" w:sz="8" w:color="auto"/>
            </w:tcBorders>
            <w:gridSpan w:val="33"/>
            <w:shd w:val="clear" w:color="auto" w:fill="D1D2D4"/>
          </w:tcPr>
          <w:p>
            <w:pPr>
              <w:spacing w:after="0" w:line="136" w:lineRule="exact"/>
              <w:rPr>
                <w:rFonts w:ascii="Arial" w:cs="Arial" w:eastAsia="Arial" w:hAnsi="Arial"/>
                <w:sz w:val="14"/>
                <w:szCs w:val="14"/>
                <w:color w:val="auto"/>
              </w:rPr>
            </w:pPr>
            <w:hyperlink r:id="rId199">
              <w:r>
                <w:rPr>
                  <w:rFonts w:ascii="Arial" w:cs="Arial" w:eastAsia="Arial" w:hAnsi="Arial"/>
                  <w:sz w:val="14"/>
                  <w:szCs w:val="14"/>
                  <w:color w:val="auto"/>
                </w:rPr>
                <w:t>Plan</w:t>
              </w:r>
            </w:hyperlink>
          </w:p>
        </w:tc>
        <w:tc>
          <w:tcPr>
            <w:tcW w:w="20" w:type="dxa"/>
            <w:vAlign w:val="bottom"/>
            <w:tcBorders>
              <w:top w:val="single" w:sz="8" w:color="D1D2D4"/>
            </w:tcBorders>
            <w:shd w:val="clear" w:color="auto" w:fill="D1D2D4"/>
          </w:tcPr>
          <w:p>
            <w:pPr>
              <w:spacing w:after="0"/>
              <w:rPr>
                <w:sz w:val="11"/>
                <w:szCs w:val="11"/>
                <w:color w:val="auto"/>
              </w:rPr>
            </w:pPr>
          </w:p>
        </w:tc>
        <w:tc>
          <w:tcPr>
            <w:tcW w:w="40" w:type="dxa"/>
            <w:vAlign w:val="bottom"/>
            <w:tcBorders>
              <w:top w:val="single" w:sz="8" w:color="D1D2D4"/>
            </w:tcBorders>
            <w:shd w:val="clear" w:color="auto" w:fill="D1D2D4"/>
          </w:tcPr>
          <w:p>
            <w:pPr>
              <w:spacing w:after="0"/>
              <w:rPr>
                <w:sz w:val="11"/>
                <w:szCs w:val="11"/>
                <w:color w:val="auto"/>
              </w:rPr>
            </w:pPr>
          </w:p>
        </w:tc>
        <w:tc>
          <w:tcPr>
            <w:tcW w:w="182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80" w:type="dxa"/>
            <w:vAlign w:val="bottom"/>
            <w:shd w:val="clear" w:color="auto" w:fill="D1D2D4"/>
          </w:tcPr>
          <w:p>
            <w:pPr>
              <w:spacing w:after="0"/>
              <w:rPr>
                <w:sz w:val="3"/>
                <w:szCs w:val="3"/>
                <w:color w:val="auto"/>
              </w:rPr>
            </w:pPr>
          </w:p>
        </w:tc>
        <w:tc>
          <w:tcPr>
            <w:tcW w:w="240" w:type="dxa"/>
            <w:vAlign w:val="bottom"/>
            <w:shd w:val="clear" w:color="auto" w:fill="D1D2D4"/>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5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28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0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380" w:type="dxa"/>
            <w:vAlign w:val="bottom"/>
            <w:shd w:val="clear" w:color="auto" w:fill="D1D2D4"/>
          </w:tcPr>
          <w:p>
            <w:pPr>
              <w:spacing w:after="0"/>
              <w:rPr>
                <w:sz w:val="3"/>
                <w:szCs w:val="3"/>
                <w:color w:val="auto"/>
              </w:rPr>
            </w:pPr>
          </w:p>
        </w:tc>
        <w:tc>
          <w:tcPr>
            <w:tcW w:w="18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82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10.2*</w:t>
            </w:r>
          </w:p>
        </w:tc>
        <w:tc>
          <w:tcPr>
            <w:tcW w:w="3560" w:type="dxa"/>
            <w:vAlign w:val="bottom"/>
            <w:tcBorders>
              <w:bottom w:val="single" w:sz="8" w:color="auto"/>
            </w:tcBorders>
            <w:gridSpan w:val="21"/>
          </w:tcPr>
          <w:p>
            <w:pPr>
              <w:spacing w:after="0" w:line="168" w:lineRule="exact"/>
              <w:rPr>
                <w:rFonts w:ascii="Arial" w:cs="Arial" w:eastAsia="Arial" w:hAnsi="Arial"/>
                <w:sz w:val="16"/>
                <w:szCs w:val="16"/>
                <w:color w:val="auto"/>
                <w:w w:val="97"/>
              </w:rPr>
            </w:pPr>
            <w:hyperlink r:id="rId200">
              <w:r>
                <w:rPr>
                  <w:rFonts w:ascii="Arial" w:cs="Arial" w:eastAsia="Arial" w:hAnsi="Arial"/>
                  <w:sz w:val="16"/>
                  <w:szCs w:val="16"/>
                  <w:color w:val="auto"/>
                  <w:w w:val="97"/>
                </w:rPr>
                <w:t>Amended and Restated 2004 Equity Incentive Plan</w:t>
              </w:r>
            </w:hyperlink>
          </w:p>
        </w:tc>
        <w:tc>
          <w:tcPr>
            <w:tcW w:w="980" w:type="dxa"/>
            <w:vAlign w:val="bottom"/>
            <w:gridSpan w:val="14"/>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12/1/22</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10.1</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12/22/22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10.3*</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201">
              <w:r>
                <w:rPr>
                  <w:rFonts w:ascii="Arial" w:cs="Arial" w:eastAsia="Arial" w:hAnsi="Arial"/>
                  <w:sz w:val="16"/>
                  <w:szCs w:val="16"/>
                  <w:color w:val="auto"/>
                </w:rPr>
                <w:t>2004 Equity Incentive Plan Forms of Agreement and Terms and</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shd w:val="clear" w:color="auto" w:fill="D1D2D4"/>
          </w:tcPr>
          <w:p>
            <w:pPr>
              <w:ind w:left="60"/>
              <w:spacing w:after="0" w:line="176" w:lineRule="exact"/>
              <w:rPr>
                <w:sz w:val="20"/>
                <w:szCs w:val="20"/>
                <w:color w:val="auto"/>
              </w:rPr>
            </w:pPr>
            <w:r>
              <w:rPr>
                <w:rFonts w:ascii="Arial" w:cs="Arial" w:eastAsia="Arial" w:hAnsi="Arial"/>
                <w:sz w:val="16"/>
                <w:szCs w:val="16"/>
                <w:color w:val="auto"/>
              </w:rPr>
              <w:t>12/1/22</w:t>
            </w: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10.2</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12/22/22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20" w:type="dxa"/>
            <w:vAlign w:val="bottom"/>
            <w:tcBorders>
              <w:top w:val="single" w:sz="8" w:color="auto"/>
            </w:tcBorders>
            <w:gridSpan w:val="32"/>
            <w:shd w:val="clear" w:color="auto" w:fill="D1D2D4"/>
          </w:tcPr>
          <w:p>
            <w:pPr>
              <w:spacing w:after="0" w:line="136" w:lineRule="exact"/>
              <w:rPr>
                <w:rFonts w:ascii="Arial" w:cs="Arial" w:eastAsia="Arial" w:hAnsi="Arial"/>
                <w:sz w:val="14"/>
                <w:szCs w:val="14"/>
                <w:color w:val="auto"/>
              </w:rPr>
            </w:pPr>
            <w:hyperlink r:id="rId201">
              <w:r>
                <w:rPr>
                  <w:rFonts w:ascii="Arial" w:cs="Arial" w:eastAsia="Arial" w:hAnsi="Arial"/>
                  <w:sz w:val="14"/>
                  <w:szCs w:val="14"/>
                  <w:color w:val="auto"/>
                </w:rPr>
                <w:t>Conditions</w:t>
              </w:r>
            </w:hyperlink>
          </w:p>
        </w:tc>
        <w:tc>
          <w:tcPr>
            <w:tcW w:w="80" w:type="dxa"/>
            <w:vAlign w:val="bottom"/>
            <w:tcBorders>
              <w:top w:val="single" w:sz="8" w:color="D1D2D4"/>
            </w:tcBorders>
            <w:gridSpan w:val="2"/>
            <w:shd w:val="clear" w:color="auto" w:fill="D1D2D4"/>
          </w:tcPr>
          <w:p>
            <w:pPr>
              <w:spacing w:after="0"/>
              <w:rPr>
                <w:sz w:val="11"/>
                <w:szCs w:val="11"/>
                <w:color w:val="auto"/>
              </w:rPr>
            </w:pPr>
          </w:p>
        </w:tc>
        <w:tc>
          <w:tcPr>
            <w:tcW w:w="40" w:type="dxa"/>
            <w:vAlign w:val="bottom"/>
            <w:tcBorders>
              <w:top w:val="single" w:sz="8" w:color="D1D2D4"/>
            </w:tcBorders>
            <w:shd w:val="clear" w:color="auto" w:fill="D1D2D4"/>
          </w:tcPr>
          <w:p>
            <w:pPr>
              <w:spacing w:after="0"/>
              <w:rPr>
                <w:sz w:val="11"/>
                <w:szCs w:val="11"/>
                <w:color w:val="auto"/>
              </w:rPr>
            </w:pPr>
          </w:p>
        </w:tc>
        <w:tc>
          <w:tcPr>
            <w:tcW w:w="182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5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28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0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380" w:type="dxa"/>
            <w:vAlign w:val="bottom"/>
            <w:shd w:val="clear" w:color="auto" w:fill="D1D2D4"/>
          </w:tcPr>
          <w:p>
            <w:pPr>
              <w:spacing w:after="0"/>
              <w:rPr>
                <w:sz w:val="3"/>
                <w:szCs w:val="3"/>
                <w:color w:val="auto"/>
              </w:rPr>
            </w:pPr>
          </w:p>
        </w:tc>
        <w:tc>
          <w:tcPr>
            <w:tcW w:w="18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82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10.4*</w:t>
            </w:r>
          </w:p>
        </w:tc>
        <w:tc>
          <w:tcPr>
            <w:tcW w:w="3560" w:type="dxa"/>
            <w:vAlign w:val="bottom"/>
            <w:tcBorders>
              <w:bottom w:val="single" w:sz="8" w:color="auto"/>
            </w:tcBorders>
            <w:gridSpan w:val="21"/>
          </w:tcPr>
          <w:p>
            <w:pPr>
              <w:spacing w:after="0" w:line="168" w:lineRule="exact"/>
              <w:rPr>
                <w:rFonts w:ascii="Arial" w:cs="Arial" w:eastAsia="Arial" w:hAnsi="Arial"/>
                <w:sz w:val="16"/>
                <w:szCs w:val="16"/>
                <w:color w:val="auto"/>
                <w:w w:val="97"/>
              </w:rPr>
            </w:pPr>
            <w:hyperlink r:id="rId202">
              <w:r>
                <w:rPr>
                  <w:rFonts w:ascii="Arial" w:cs="Arial" w:eastAsia="Arial" w:hAnsi="Arial"/>
                  <w:sz w:val="16"/>
                  <w:szCs w:val="16"/>
                  <w:color w:val="auto"/>
                  <w:w w:val="97"/>
                </w:rPr>
                <w:t>Amended and Restated 2007 Equity Incentive Plan</w:t>
              </w:r>
            </w:hyperlink>
          </w:p>
        </w:tc>
        <w:tc>
          <w:tcPr>
            <w:tcW w:w="980" w:type="dxa"/>
            <w:vAlign w:val="bottom"/>
            <w:gridSpan w:val="14"/>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DEF 14A</w:t>
            </w:r>
          </w:p>
        </w:tc>
        <w:tc>
          <w:tcPr>
            <w:tcW w:w="920" w:type="dxa"/>
            <w:vAlign w:val="bottom"/>
          </w:tcPr>
          <w:p>
            <w:pPr>
              <w:spacing w:after="0"/>
              <w:rPr>
                <w:sz w:val="15"/>
                <w:szCs w:val="15"/>
                <w:color w:val="auto"/>
              </w:rPr>
            </w:pP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A</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10.5*</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203">
              <w:r>
                <w:rPr>
                  <w:rFonts w:ascii="Arial" w:cs="Arial" w:eastAsia="Arial" w:hAnsi="Arial"/>
                  <w:sz w:val="16"/>
                  <w:szCs w:val="16"/>
                  <w:color w:val="auto"/>
                </w:rPr>
                <w:t>2007 Equity Incentive Plan Forms of Agreement and Terms and</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shd w:val="clear" w:color="auto" w:fill="D1D2D4"/>
          </w:tcPr>
          <w:p>
            <w:pPr>
              <w:ind w:left="60"/>
              <w:spacing w:after="0" w:line="176" w:lineRule="exact"/>
              <w:rPr>
                <w:sz w:val="20"/>
                <w:szCs w:val="20"/>
                <w:color w:val="auto"/>
              </w:rPr>
            </w:pPr>
            <w:r>
              <w:rPr>
                <w:rFonts w:ascii="Arial" w:cs="Arial" w:eastAsia="Arial" w:hAnsi="Arial"/>
                <w:sz w:val="16"/>
                <w:szCs w:val="16"/>
                <w:color w:val="auto"/>
              </w:rPr>
              <w:t>12/1/22</w:t>
            </w: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10.3</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12/22/22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20" w:type="dxa"/>
            <w:vAlign w:val="bottom"/>
            <w:tcBorders>
              <w:top w:val="single" w:sz="8" w:color="auto"/>
            </w:tcBorders>
            <w:gridSpan w:val="32"/>
            <w:shd w:val="clear" w:color="auto" w:fill="D1D2D4"/>
          </w:tcPr>
          <w:p>
            <w:pPr>
              <w:spacing w:after="0" w:line="136" w:lineRule="exact"/>
              <w:rPr>
                <w:rFonts w:ascii="Arial" w:cs="Arial" w:eastAsia="Arial" w:hAnsi="Arial"/>
                <w:sz w:val="14"/>
                <w:szCs w:val="14"/>
                <w:color w:val="auto"/>
              </w:rPr>
            </w:pPr>
            <w:hyperlink r:id="rId203">
              <w:r>
                <w:rPr>
                  <w:rFonts w:ascii="Arial" w:cs="Arial" w:eastAsia="Arial" w:hAnsi="Arial"/>
                  <w:sz w:val="14"/>
                  <w:szCs w:val="14"/>
                  <w:color w:val="auto"/>
                </w:rPr>
                <w:t>Conditions</w:t>
              </w:r>
            </w:hyperlink>
          </w:p>
        </w:tc>
        <w:tc>
          <w:tcPr>
            <w:tcW w:w="80" w:type="dxa"/>
            <w:vAlign w:val="bottom"/>
            <w:tcBorders>
              <w:top w:val="single" w:sz="8" w:color="D1D2D4"/>
            </w:tcBorders>
            <w:gridSpan w:val="2"/>
            <w:shd w:val="clear" w:color="auto" w:fill="D1D2D4"/>
          </w:tcPr>
          <w:p>
            <w:pPr>
              <w:spacing w:after="0"/>
              <w:rPr>
                <w:sz w:val="11"/>
                <w:szCs w:val="11"/>
                <w:color w:val="auto"/>
              </w:rPr>
            </w:pPr>
          </w:p>
        </w:tc>
        <w:tc>
          <w:tcPr>
            <w:tcW w:w="40" w:type="dxa"/>
            <w:vAlign w:val="bottom"/>
            <w:tcBorders>
              <w:top w:val="single" w:sz="8" w:color="D1D2D4"/>
            </w:tcBorders>
            <w:shd w:val="clear" w:color="auto" w:fill="D1D2D4"/>
          </w:tcPr>
          <w:p>
            <w:pPr>
              <w:spacing w:after="0"/>
              <w:rPr>
                <w:sz w:val="11"/>
                <w:szCs w:val="11"/>
                <w:color w:val="auto"/>
              </w:rPr>
            </w:pPr>
          </w:p>
        </w:tc>
        <w:tc>
          <w:tcPr>
            <w:tcW w:w="182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shd w:val="clear" w:color="auto" w:fill="D1D2D4"/>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5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28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1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0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22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1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80" w:type="dxa"/>
            <w:vAlign w:val="bottom"/>
            <w:shd w:val="clear" w:color="auto" w:fill="D1D2D4"/>
          </w:tcPr>
          <w:p>
            <w:pPr>
              <w:spacing w:after="0"/>
              <w:rPr>
                <w:sz w:val="3"/>
                <w:szCs w:val="3"/>
                <w:color w:val="auto"/>
              </w:rPr>
            </w:pPr>
          </w:p>
        </w:tc>
        <w:tc>
          <w:tcPr>
            <w:tcW w:w="320" w:type="dxa"/>
            <w:vAlign w:val="bottom"/>
            <w:shd w:val="clear" w:color="auto" w:fill="D1D2D4"/>
          </w:tcPr>
          <w:p>
            <w:pPr>
              <w:spacing w:after="0"/>
              <w:rPr>
                <w:sz w:val="3"/>
                <w:szCs w:val="3"/>
                <w:color w:val="auto"/>
              </w:rPr>
            </w:pPr>
          </w:p>
        </w:tc>
        <w:tc>
          <w:tcPr>
            <w:tcW w:w="380" w:type="dxa"/>
            <w:vAlign w:val="bottom"/>
            <w:shd w:val="clear" w:color="auto" w:fill="D1D2D4"/>
          </w:tcPr>
          <w:p>
            <w:pPr>
              <w:spacing w:after="0"/>
              <w:rPr>
                <w:sz w:val="3"/>
                <w:szCs w:val="3"/>
                <w:color w:val="auto"/>
              </w:rPr>
            </w:pPr>
          </w:p>
        </w:tc>
        <w:tc>
          <w:tcPr>
            <w:tcW w:w="18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60" w:type="dxa"/>
            <w:vAlign w:val="bottom"/>
            <w:shd w:val="clear" w:color="auto" w:fill="D1D2D4"/>
          </w:tcPr>
          <w:p>
            <w:pPr>
              <w:spacing w:after="0"/>
              <w:rPr>
                <w:sz w:val="3"/>
                <w:szCs w:val="3"/>
                <w:color w:val="auto"/>
              </w:rPr>
            </w:pPr>
          </w:p>
        </w:tc>
        <w:tc>
          <w:tcPr>
            <w:tcW w:w="20" w:type="dxa"/>
            <w:vAlign w:val="bottom"/>
            <w:shd w:val="clear" w:color="auto" w:fill="D1D2D4"/>
          </w:tcPr>
          <w:p>
            <w:pPr>
              <w:spacing w:after="0"/>
              <w:rPr>
                <w:sz w:val="3"/>
                <w:szCs w:val="3"/>
                <w:color w:val="auto"/>
              </w:rPr>
            </w:pPr>
          </w:p>
        </w:tc>
        <w:tc>
          <w:tcPr>
            <w:tcW w:w="40" w:type="dxa"/>
            <w:vAlign w:val="bottom"/>
            <w:shd w:val="clear" w:color="auto" w:fill="D1D2D4"/>
          </w:tcPr>
          <w:p>
            <w:pPr>
              <w:spacing w:after="0"/>
              <w:rPr>
                <w:sz w:val="3"/>
                <w:szCs w:val="3"/>
                <w:color w:val="auto"/>
              </w:rPr>
            </w:pPr>
          </w:p>
        </w:tc>
        <w:tc>
          <w:tcPr>
            <w:tcW w:w="1820" w:type="dxa"/>
            <w:vAlign w:val="bottom"/>
            <w:shd w:val="clear" w:color="auto" w:fill="D1D2D4"/>
          </w:tcPr>
          <w:p>
            <w:pPr>
              <w:spacing w:after="0"/>
              <w:rPr>
                <w:sz w:val="3"/>
                <w:szCs w:val="3"/>
                <w:color w:val="auto"/>
              </w:rPr>
            </w:pPr>
          </w:p>
        </w:tc>
        <w:tc>
          <w:tcPr>
            <w:tcW w:w="920" w:type="dxa"/>
            <w:vAlign w:val="bottom"/>
            <w:shd w:val="clear" w:color="auto" w:fill="D1D2D4"/>
          </w:tcPr>
          <w:p>
            <w:pPr>
              <w:spacing w:after="0"/>
              <w:rPr>
                <w:sz w:val="3"/>
                <w:szCs w:val="3"/>
                <w:color w:val="auto"/>
              </w:rPr>
            </w:pPr>
          </w:p>
        </w:tc>
        <w:tc>
          <w:tcPr>
            <w:tcW w:w="1060" w:type="dxa"/>
            <w:vAlign w:val="bottom"/>
            <w:shd w:val="clear" w:color="auto" w:fill="D1D2D4"/>
          </w:tcPr>
          <w:p>
            <w:pPr>
              <w:spacing w:after="0"/>
              <w:rPr>
                <w:sz w:val="3"/>
                <w:szCs w:val="3"/>
                <w:color w:val="auto"/>
              </w:rPr>
            </w:pPr>
          </w:p>
        </w:tc>
        <w:tc>
          <w:tcPr>
            <w:tcW w:w="1200" w:type="dxa"/>
            <w:vAlign w:val="bottom"/>
            <w:shd w:val="clear" w:color="auto" w:fill="D1D2D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10.6*</w:t>
            </w:r>
          </w:p>
        </w:tc>
        <w:tc>
          <w:tcPr>
            <w:tcW w:w="3140" w:type="dxa"/>
            <w:vAlign w:val="bottom"/>
            <w:tcBorders>
              <w:bottom w:val="single" w:sz="8" w:color="auto"/>
            </w:tcBorders>
            <w:gridSpan w:val="18"/>
          </w:tcPr>
          <w:p>
            <w:pPr>
              <w:spacing w:after="0" w:line="168" w:lineRule="exact"/>
              <w:rPr>
                <w:rFonts w:ascii="Arial" w:cs="Arial" w:eastAsia="Arial" w:hAnsi="Arial"/>
                <w:sz w:val="16"/>
                <w:szCs w:val="16"/>
                <w:color w:val="auto"/>
                <w:w w:val="97"/>
              </w:rPr>
            </w:pPr>
            <w:hyperlink r:id="rId204">
              <w:r>
                <w:rPr>
                  <w:rFonts w:ascii="Arial" w:cs="Arial" w:eastAsia="Arial" w:hAnsi="Arial"/>
                  <w:sz w:val="16"/>
                  <w:szCs w:val="16"/>
                  <w:color w:val="auto"/>
                  <w:w w:val="97"/>
                </w:rPr>
                <w:t>Nonstatutory Stock Option Plan, as amended</w:t>
              </w:r>
            </w:hyperlink>
          </w:p>
        </w:tc>
        <w:tc>
          <w:tcPr>
            <w:tcW w:w="1400" w:type="dxa"/>
            <w:vAlign w:val="bottom"/>
            <w:gridSpan w:val="17"/>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10-K</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9/1/16</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10.10</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10/28/16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10.7*</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205">
              <w:r>
                <w:rPr>
                  <w:rFonts w:ascii="Arial" w:cs="Arial" w:eastAsia="Arial" w:hAnsi="Arial"/>
                  <w:sz w:val="16"/>
                  <w:szCs w:val="16"/>
                  <w:color w:val="auto"/>
                </w:rPr>
                <w:t>Nonstatutory Stock Option Plan Form of Agreement and Terms</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10-K</w:t>
            </w:r>
          </w:p>
        </w:tc>
        <w:tc>
          <w:tcPr>
            <w:tcW w:w="920" w:type="dxa"/>
            <w:vAlign w:val="bottom"/>
            <w:shd w:val="clear" w:color="auto" w:fill="D1D2D4"/>
          </w:tcPr>
          <w:p>
            <w:pPr>
              <w:ind w:left="60"/>
              <w:spacing w:after="0" w:line="176" w:lineRule="exact"/>
              <w:rPr>
                <w:sz w:val="20"/>
                <w:szCs w:val="20"/>
                <w:color w:val="auto"/>
              </w:rPr>
            </w:pPr>
            <w:r>
              <w:rPr>
                <w:rFonts w:ascii="Arial" w:cs="Arial" w:eastAsia="Arial" w:hAnsi="Arial"/>
                <w:sz w:val="16"/>
                <w:szCs w:val="16"/>
                <w:color w:val="auto"/>
              </w:rPr>
              <w:t>9/1/16</w:t>
            </w: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10.11</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10/28/16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1040" w:type="dxa"/>
            <w:vAlign w:val="bottom"/>
            <w:tcBorders>
              <w:top w:val="single" w:sz="8" w:color="auto"/>
              <w:bottom w:val="single" w:sz="8" w:color="auto"/>
            </w:tcBorders>
            <w:gridSpan w:val="4"/>
            <w:shd w:val="clear" w:color="auto" w:fill="D1D2D4"/>
          </w:tcPr>
          <w:p>
            <w:pPr>
              <w:spacing w:after="0" w:line="136" w:lineRule="exact"/>
              <w:rPr>
                <w:rFonts w:ascii="Arial" w:cs="Arial" w:eastAsia="Arial" w:hAnsi="Arial"/>
                <w:sz w:val="14"/>
                <w:szCs w:val="14"/>
                <w:color w:val="auto"/>
              </w:rPr>
            </w:pPr>
            <w:hyperlink r:id="rId205">
              <w:r>
                <w:rPr>
                  <w:rFonts w:ascii="Arial" w:cs="Arial" w:eastAsia="Arial" w:hAnsi="Arial"/>
                  <w:sz w:val="14"/>
                  <w:szCs w:val="14"/>
                  <w:color w:val="auto"/>
                </w:rPr>
                <w:t>and Conditions</w:t>
              </w:r>
            </w:hyperlink>
          </w:p>
        </w:tc>
        <w:tc>
          <w:tcPr>
            <w:tcW w:w="3300" w:type="dxa"/>
            <w:vAlign w:val="bottom"/>
            <w:tcBorders>
              <w:top w:val="single" w:sz="8" w:color="auto"/>
              <w:bottom w:val="single" w:sz="8" w:color="D1D2D4"/>
            </w:tcBorders>
            <w:gridSpan w:val="25"/>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20" w:type="dxa"/>
            <w:vAlign w:val="bottom"/>
            <w:tcBorders>
              <w:top w:val="single" w:sz="8" w:color="D1D2D4"/>
              <w:bottom w:val="single" w:sz="8" w:color="D1D2D4"/>
            </w:tcBorders>
            <w:gridSpan w:val="4"/>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2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10.8*</w:t>
            </w:r>
          </w:p>
        </w:tc>
        <w:tc>
          <w:tcPr>
            <w:tcW w:w="4540" w:type="dxa"/>
            <w:vAlign w:val="bottom"/>
            <w:gridSpan w:val="35"/>
          </w:tcPr>
          <w:p>
            <w:pPr>
              <w:spacing w:after="0" w:line="168" w:lineRule="exact"/>
              <w:rPr>
                <w:rFonts w:ascii="Arial" w:cs="Arial" w:eastAsia="Arial" w:hAnsi="Arial"/>
                <w:sz w:val="16"/>
                <w:szCs w:val="16"/>
                <w:color w:val="auto"/>
              </w:rPr>
            </w:pPr>
            <w:hyperlink r:id="rId206">
              <w:r>
                <w:rPr>
                  <w:rFonts w:ascii="Arial" w:cs="Arial" w:eastAsia="Arial" w:hAnsi="Arial"/>
                  <w:sz w:val="16"/>
                  <w:szCs w:val="16"/>
                  <w:color w:val="auto"/>
                </w:rPr>
                <w:t>Form of Indemnification Agreement between the Registrant and</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2/27/25</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10.5</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640" w:type="dxa"/>
            <w:vAlign w:val="bottom"/>
            <w:tcBorders>
              <w:top w:val="single" w:sz="8" w:color="auto"/>
              <w:bottom w:val="single" w:sz="8" w:color="auto"/>
            </w:tcBorders>
            <w:gridSpan w:val="6"/>
          </w:tcPr>
          <w:p>
            <w:pPr>
              <w:spacing w:after="0" w:line="136" w:lineRule="exact"/>
              <w:rPr>
                <w:rFonts w:ascii="Arial" w:cs="Arial" w:eastAsia="Arial" w:hAnsi="Arial"/>
                <w:sz w:val="14"/>
                <w:szCs w:val="14"/>
                <w:color w:val="auto"/>
              </w:rPr>
            </w:pPr>
            <w:hyperlink r:id="rId206">
              <w:r>
                <w:rPr>
                  <w:rFonts w:ascii="Arial" w:cs="Arial" w:eastAsia="Arial" w:hAnsi="Arial"/>
                  <w:sz w:val="14"/>
                  <w:szCs w:val="14"/>
                  <w:color w:val="auto"/>
                </w:rPr>
                <w:t>its officers and directors</w:t>
              </w:r>
            </w:hyperlink>
          </w:p>
        </w:tc>
        <w:tc>
          <w:tcPr>
            <w:tcW w:w="2740" w:type="dxa"/>
            <w:vAlign w:val="bottom"/>
            <w:tcBorders>
              <w:top w:val="single" w:sz="8" w:color="auto"/>
            </w:tcBorders>
            <w:gridSpan w:val="24"/>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10.9*</w:t>
            </w:r>
          </w:p>
        </w:tc>
        <w:tc>
          <w:tcPr>
            <w:tcW w:w="2140" w:type="dxa"/>
            <w:vAlign w:val="bottom"/>
            <w:tcBorders>
              <w:bottom w:val="single" w:sz="8" w:color="auto"/>
            </w:tcBorders>
            <w:gridSpan w:val="8"/>
            <w:shd w:val="clear" w:color="auto" w:fill="D1D2D4"/>
          </w:tcPr>
          <w:p>
            <w:pPr>
              <w:spacing w:after="0" w:line="176" w:lineRule="exact"/>
              <w:rPr>
                <w:rFonts w:ascii="Arial" w:cs="Arial" w:eastAsia="Arial" w:hAnsi="Arial"/>
                <w:sz w:val="16"/>
                <w:szCs w:val="16"/>
                <w:color w:val="auto"/>
                <w:w w:val="96"/>
              </w:rPr>
            </w:pPr>
            <w:hyperlink r:id="rId207">
              <w:r>
                <w:rPr>
                  <w:rFonts w:ascii="Arial" w:cs="Arial" w:eastAsia="Arial" w:hAnsi="Arial"/>
                  <w:sz w:val="16"/>
                  <w:szCs w:val="16"/>
                  <w:color w:val="auto"/>
                  <w:w w:val="96"/>
                </w:rPr>
                <w:t>Form of Severance Agreement</w:t>
              </w:r>
            </w:hyperlink>
          </w:p>
        </w:tc>
        <w:tc>
          <w:tcPr>
            <w:tcW w:w="2400" w:type="dxa"/>
            <w:vAlign w:val="bottom"/>
            <w:tcBorders>
              <w:bottom w:val="single" w:sz="8" w:color="D1D2D4"/>
            </w:tcBorders>
            <w:gridSpan w:val="27"/>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tcBorders>
              <w:bottom w:val="single" w:sz="8" w:color="D1D2D4"/>
            </w:tcBorders>
            <w:shd w:val="clear" w:color="auto" w:fill="D1D2D4"/>
          </w:tcPr>
          <w:p>
            <w:pPr>
              <w:spacing w:after="0"/>
              <w:rPr>
                <w:sz w:val="16"/>
                <w:szCs w:val="16"/>
                <w:color w:val="auto"/>
              </w:rPr>
            </w:pP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99.2</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11/1/07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10.10*</w:t>
            </w:r>
          </w:p>
        </w:tc>
        <w:tc>
          <w:tcPr>
            <w:tcW w:w="4540" w:type="dxa"/>
            <w:vAlign w:val="bottom"/>
            <w:gridSpan w:val="35"/>
          </w:tcPr>
          <w:p>
            <w:pPr>
              <w:spacing w:after="0" w:line="168" w:lineRule="exact"/>
              <w:rPr>
                <w:rFonts w:ascii="Arial" w:cs="Arial" w:eastAsia="Arial" w:hAnsi="Arial"/>
                <w:sz w:val="16"/>
                <w:szCs w:val="16"/>
                <w:color w:val="auto"/>
              </w:rPr>
            </w:pPr>
            <w:hyperlink r:id="rId208">
              <w:r>
                <w:rPr>
                  <w:rFonts w:ascii="Arial" w:cs="Arial" w:eastAsia="Arial" w:hAnsi="Arial"/>
                  <w:sz w:val="16"/>
                  <w:szCs w:val="16"/>
                  <w:color w:val="auto"/>
                </w:rPr>
                <w:t>Deferred Compensation Plan, as amended</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10-K</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8/31/23</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10.10</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10/6/23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020" w:type="dxa"/>
            <w:vAlign w:val="bottom"/>
            <w:shd w:val="clear" w:color="auto" w:fill="D1D2D4"/>
          </w:tcPr>
          <w:p>
            <w:pPr>
              <w:ind w:left="20"/>
              <w:spacing w:after="0" w:line="168" w:lineRule="exact"/>
              <w:rPr>
                <w:sz w:val="20"/>
                <w:szCs w:val="20"/>
                <w:color w:val="auto"/>
              </w:rPr>
            </w:pPr>
            <w:r>
              <w:rPr>
                <w:rFonts w:ascii="Arial" w:cs="Arial" w:eastAsia="Arial" w:hAnsi="Arial"/>
                <w:sz w:val="16"/>
                <w:szCs w:val="16"/>
                <w:color w:val="auto"/>
              </w:rPr>
              <w:t>10.11*</w:t>
            </w:r>
          </w:p>
        </w:tc>
        <w:tc>
          <w:tcPr>
            <w:tcW w:w="4540" w:type="dxa"/>
            <w:vAlign w:val="bottom"/>
            <w:gridSpan w:val="35"/>
            <w:shd w:val="clear" w:color="auto" w:fill="D1D2D4"/>
          </w:tcPr>
          <w:p>
            <w:pPr>
              <w:spacing w:after="0" w:line="168" w:lineRule="exact"/>
              <w:rPr>
                <w:rFonts w:ascii="Arial" w:cs="Arial" w:eastAsia="Arial" w:hAnsi="Arial"/>
                <w:sz w:val="16"/>
                <w:szCs w:val="16"/>
                <w:color w:val="auto"/>
              </w:rPr>
            </w:pPr>
            <w:hyperlink r:id="rId209">
              <w:r>
                <w:rPr>
                  <w:rFonts w:ascii="Arial" w:cs="Arial" w:eastAsia="Arial" w:hAnsi="Arial"/>
                  <w:sz w:val="16"/>
                  <w:szCs w:val="16"/>
                  <w:color w:val="auto"/>
                </w:rPr>
                <w:t>Amended and Restated Executive Agreement by and between</w:t>
              </w:r>
            </w:hyperlink>
          </w:p>
        </w:tc>
        <w:tc>
          <w:tcPr>
            <w:tcW w:w="1820" w:type="dxa"/>
            <w:vAlign w:val="bottom"/>
            <w:shd w:val="clear" w:color="auto" w:fill="D1D2D4"/>
          </w:tcPr>
          <w:p>
            <w:pPr>
              <w:ind w:left="1140"/>
              <w:spacing w:after="0" w:line="168" w:lineRule="exact"/>
              <w:rPr>
                <w:sz w:val="20"/>
                <w:szCs w:val="20"/>
                <w:color w:val="auto"/>
              </w:rPr>
            </w:pPr>
            <w:r>
              <w:rPr>
                <w:rFonts w:ascii="Arial" w:cs="Arial" w:eastAsia="Arial" w:hAnsi="Arial"/>
                <w:sz w:val="16"/>
                <w:szCs w:val="16"/>
                <w:color w:val="auto"/>
              </w:rPr>
              <w:t>10-K</w:t>
            </w:r>
          </w:p>
        </w:tc>
        <w:tc>
          <w:tcPr>
            <w:tcW w:w="920" w:type="dxa"/>
            <w:vAlign w:val="bottom"/>
            <w:shd w:val="clear" w:color="auto" w:fill="D1D2D4"/>
          </w:tcPr>
          <w:p>
            <w:pPr>
              <w:ind w:left="60"/>
              <w:spacing w:after="0" w:line="168" w:lineRule="exact"/>
              <w:rPr>
                <w:sz w:val="20"/>
                <w:szCs w:val="20"/>
                <w:color w:val="auto"/>
              </w:rPr>
            </w:pPr>
            <w:r>
              <w:rPr>
                <w:rFonts w:ascii="Arial" w:cs="Arial" w:eastAsia="Arial" w:hAnsi="Arial"/>
                <w:sz w:val="16"/>
                <w:szCs w:val="16"/>
                <w:color w:val="auto"/>
              </w:rPr>
              <w:t>9/1/22</w:t>
            </w:r>
          </w:p>
        </w:tc>
        <w:tc>
          <w:tcPr>
            <w:tcW w:w="1060" w:type="dxa"/>
            <w:vAlign w:val="bottom"/>
            <w:shd w:val="clear" w:color="auto" w:fill="D1D2D4"/>
          </w:tcPr>
          <w:p>
            <w:pPr>
              <w:ind w:left="140"/>
              <w:spacing w:after="0" w:line="168" w:lineRule="exact"/>
              <w:rPr>
                <w:sz w:val="20"/>
                <w:szCs w:val="20"/>
                <w:color w:val="auto"/>
              </w:rPr>
            </w:pPr>
            <w:r>
              <w:rPr>
                <w:rFonts w:ascii="Arial" w:cs="Arial" w:eastAsia="Arial" w:hAnsi="Arial"/>
                <w:sz w:val="16"/>
                <w:szCs w:val="16"/>
                <w:color w:val="auto"/>
              </w:rPr>
              <w:t>10.11</w:t>
            </w:r>
          </w:p>
        </w:tc>
        <w:tc>
          <w:tcPr>
            <w:tcW w:w="1200" w:type="dxa"/>
            <w:vAlign w:val="bottom"/>
            <w:shd w:val="clear" w:color="auto" w:fill="D1D2D4"/>
          </w:tcPr>
          <w:p>
            <w:pPr>
              <w:ind w:left="220"/>
              <w:spacing w:after="0" w:line="168" w:lineRule="exact"/>
              <w:rPr>
                <w:sz w:val="20"/>
                <w:szCs w:val="20"/>
                <w:color w:val="auto"/>
              </w:rPr>
            </w:pPr>
            <w:r>
              <w:rPr>
                <w:rFonts w:ascii="Arial" w:cs="Arial" w:eastAsia="Arial" w:hAnsi="Arial"/>
                <w:sz w:val="16"/>
                <w:szCs w:val="16"/>
                <w:color w:val="auto"/>
              </w:rPr>
              <w:t>10/7/22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3160" w:type="dxa"/>
            <w:vAlign w:val="bottom"/>
            <w:tcBorders>
              <w:top w:val="single" w:sz="8" w:color="auto"/>
              <w:bottom w:val="single" w:sz="8" w:color="auto"/>
            </w:tcBorders>
            <w:gridSpan w:val="19"/>
            <w:shd w:val="clear" w:color="auto" w:fill="D1D2D4"/>
          </w:tcPr>
          <w:p>
            <w:pPr>
              <w:spacing w:after="0" w:line="136" w:lineRule="exact"/>
              <w:rPr>
                <w:rFonts w:ascii="Arial" w:cs="Arial" w:eastAsia="Arial" w:hAnsi="Arial"/>
                <w:sz w:val="14"/>
                <w:szCs w:val="14"/>
                <w:color w:val="auto"/>
              </w:rPr>
            </w:pPr>
            <w:hyperlink r:id="rId209">
              <w:r>
                <w:rPr>
                  <w:rFonts w:ascii="Arial" w:cs="Arial" w:eastAsia="Arial" w:hAnsi="Arial"/>
                  <w:sz w:val="14"/>
                  <w:szCs w:val="14"/>
                  <w:color w:val="auto"/>
                </w:rPr>
                <w:t>Micron Technology, Inc. and Sanjay Mehrotra</w:t>
              </w:r>
            </w:hyperlink>
          </w:p>
        </w:tc>
        <w:tc>
          <w:tcPr>
            <w:tcW w:w="1140" w:type="dxa"/>
            <w:vAlign w:val="bottom"/>
            <w:tcBorders>
              <w:top w:val="single" w:sz="8" w:color="auto"/>
              <w:bottom w:val="single" w:sz="8" w:color="D1D2D4"/>
            </w:tcBorders>
            <w:gridSpan w:val="8"/>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80" w:type="dxa"/>
            <w:vAlign w:val="bottom"/>
            <w:tcBorders>
              <w:top w:val="single" w:sz="8" w:color="D1D2D4"/>
              <w:bottom w:val="single" w:sz="8" w:color="D1D2D4"/>
            </w:tcBorders>
            <w:gridSpan w:val="6"/>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2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10.12*</w:t>
            </w:r>
          </w:p>
        </w:tc>
        <w:tc>
          <w:tcPr>
            <w:tcW w:w="2620" w:type="dxa"/>
            <w:vAlign w:val="bottom"/>
            <w:tcBorders>
              <w:bottom w:val="single" w:sz="8" w:color="auto"/>
            </w:tcBorders>
            <w:gridSpan w:val="14"/>
          </w:tcPr>
          <w:p>
            <w:pPr>
              <w:spacing w:after="0" w:line="168" w:lineRule="exact"/>
              <w:rPr>
                <w:rFonts w:ascii="Arial" w:cs="Arial" w:eastAsia="Arial" w:hAnsi="Arial"/>
                <w:sz w:val="16"/>
                <w:szCs w:val="16"/>
                <w:color w:val="auto"/>
                <w:w w:val="97"/>
              </w:rPr>
            </w:pPr>
            <w:hyperlink r:id="rId210">
              <w:r>
                <w:rPr>
                  <w:rFonts w:ascii="Arial" w:cs="Arial" w:eastAsia="Arial" w:hAnsi="Arial"/>
                  <w:sz w:val="16"/>
                  <w:szCs w:val="16"/>
                  <w:color w:val="auto"/>
                  <w:w w:val="97"/>
                </w:rPr>
                <w:t>Severance Benefits for Sumit Sadana</w:t>
              </w:r>
            </w:hyperlink>
          </w:p>
        </w:tc>
        <w:tc>
          <w:tcPr>
            <w:tcW w:w="1920" w:type="dxa"/>
            <w:vAlign w:val="bottom"/>
            <w:gridSpan w:val="21"/>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11/30/17</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10.70</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10.13*</w:t>
            </w:r>
          </w:p>
        </w:tc>
        <w:tc>
          <w:tcPr>
            <w:tcW w:w="3940" w:type="dxa"/>
            <w:vAlign w:val="bottom"/>
            <w:tcBorders>
              <w:bottom w:val="single" w:sz="8" w:color="auto"/>
            </w:tcBorders>
            <w:gridSpan w:val="22"/>
            <w:shd w:val="clear" w:color="auto" w:fill="D1D2D4"/>
          </w:tcPr>
          <w:p>
            <w:pPr>
              <w:spacing w:after="0" w:line="176" w:lineRule="exact"/>
              <w:rPr>
                <w:rFonts w:ascii="Arial" w:cs="Arial" w:eastAsia="Arial" w:hAnsi="Arial"/>
                <w:sz w:val="16"/>
                <w:szCs w:val="16"/>
                <w:color w:val="auto"/>
                <w:w w:val="97"/>
              </w:rPr>
            </w:pPr>
            <w:hyperlink r:id="rId211">
              <w:r>
                <w:rPr>
                  <w:rFonts w:ascii="Arial" w:cs="Arial" w:eastAsia="Arial" w:hAnsi="Arial"/>
                  <w:sz w:val="16"/>
                  <w:szCs w:val="16"/>
                  <w:color w:val="auto"/>
                  <w:w w:val="97"/>
                </w:rPr>
                <w:t>Form of Amendment to Executive/Severance Agreement</w:t>
              </w:r>
            </w:hyperlink>
          </w:p>
        </w:tc>
        <w:tc>
          <w:tcPr>
            <w:tcW w:w="600" w:type="dxa"/>
            <w:vAlign w:val="bottom"/>
            <w:tcBorders>
              <w:bottom w:val="single" w:sz="8" w:color="D1D2D4"/>
            </w:tcBorders>
            <w:gridSpan w:val="13"/>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8-K</w:t>
            </w:r>
          </w:p>
        </w:tc>
        <w:tc>
          <w:tcPr>
            <w:tcW w:w="920" w:type="dxa"/>
            <w:vAlign w:val="bottom"/>
            <w:tcBorders>
              <w:bottom w:val="single" w:sz="8" w:color="D1D2D4"/>
            </w:tcBorders>
            <w:shd w:val="clear" w:color="auto" w:fill="D1D2D4"/>
          </w:tcPr>
          <w:p>
            <w:pPr>
              <w:spacing w:after="0"/>
              <w:rPr>
                <w:sz w:val="16"/>
                <w:szCs w:val="16"/>
                <w:color w:val="auto"/>
              </w:rPr>
            </w:pP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99.1</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11/13/17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10.14*</w:t>
            </w:r>
          </w:p>
        </w:tc>
        <w:tc>
          <w:tcPr>
            <w:tcW w:w="2620" w:type="dxa"/>
            <w:vAlign w:val="bottom"/>
            <w:tcBorders>
              <w:bottom w:val="single" w:sz="8" w:color="auto"/>
            </w:tcBorders>
            <w:gridSpan w:val="14"/>
          </w:tcPr>
          <w:p>
            <w:pPr>
              <w:spacing w:after="0" w:line="168" w:lineRule="exact"/>
              <w:rPr>
                <w:rFonts w:ascii="Arial" w:cs="Arial" w:eastAsia="Arial" w:hAnsi="Arial"/>
                <w:sz w:val="16"/>
                <w:szCs w:val="16"/>
                <w:color w:val="auto"/>
                <w:w w:val="97"/>
              </w:rPr>
            </w:pPr>
            <w:hyperlink r:id="rId212">
              <w:r>
                <w:rPr>
                  <w:rFonts w:ascii="Arial" w:cs="Arial" w:eastAsia="Arial" w:hAnsi="Arial"/>
                  <w:sz w:val="16"/>
                  <w:szCs w:val="16"/>
                  <w:color w:val="auto"/>
                  <w:w w:val="97"/>
                </w:rPr>
                <w:t>Severance Benefits for Manish Bhatia</w:t>
              </w:r>
            </w:hyperlink>
          </w:p>
        </w:tc>
        <w:tc>
          <w:tcPr>
            <w:tcW w:w="1920" w:type="dxa"/>
            <w:vAlign w:val="bottom"/>
            <w:gridSpan w:val="21"/>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11/30/17</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10.74</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10.15*</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213">
              <w:r>
                <w:rPr>
                  <w:rFonts w:ascii="Arial" w:cs="Arial" w:eastAsia="Arial" w:hAnsi="Arial"/>
                  <w:sz w:val="16"/>
                  <w:szCs w:val="16"/>
                  <w:color w:val="auto"/>
                </w:rPr>
                <w:t>Micron Technology, Inc. Employee Stock Purchase Plan, as</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shd w:val="clear" w:color="auto" w:fill="D1D2D4"/>
          </w:tcPr>
          <w:p>
            <w:pPr>
              <w:ind w:left="60"/>
              <w:spacing w:after="0" w:line="176" w:lineRule="exact"/>
              <w:rPr>
                <w:sz w:val="20"/>
                <w:szCs w:val="20"/>
                <w:color w:val="auto"/>
              </w:rPr>
            </w:pPr>
            <w:r>
              <w:rPr>
                <w:rFonts w:ascii="Arial" w:cs="Arial" w:eastAsia="Arial" w:hAnsi="Arial"/>
                <w:sz w:val="16"/>
                <w:szCs w:val="16"/>
                <w:color w:val="auto"/>
              </w:rPr>
              <w:t>6/2/22</w:t>
            </w: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10.1</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7/1/22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1560" w:type="dxa"/>
            <w:vAlign w:val="bottom"/>
            <w:tcBorders>
              <w:top w:val="single" w:sz="8" w:color="auto"/>
              <w:bottom w:val="single" w:sz="8" w:color="auto"/>
            </w:tcBorders>
            <w:gridSpan w:val="5"/>
            <w:shd w:val="clear" w:color="auto" w:fill="D1D2D4"/>
          </w:tcPr>
          <w:p>
            <w:pPr>
              <w:spacing w:after="0" w:line="136" w:lineRule="exact"/>
              <w:rPr>
                <w:rFonts w:ascii="Arial" w:cs="Arial" w:eastAsia="Arial" w:hAnsi="Arial"/>
                <w:sz w:val="14"/>
                <w:szCs w:val="14"/>
                <w:color w:val="auto"/>
              </w:rPr>
            </w:pPr>
            <w:hyperlink r:id="rId213">
              <w:r>
                <w:rPr>
                  <w:rFonts w:ascii="Arial" w:cs="Arial" w:eastAsia="Arial" w:hAnsi="Arial"/>
                  <w:sz w:val="14"/>
                  <w:szCs w:val="14"/>
                  <w:color w:val="auto"/>
                </w:rPr>
                <w:t>amended and restated</w:t>
              </w:r>
            </w:hyperlink>
          </w:p>
        </w:tc>
        <w:tc>
          <w:tcPr>
            <w:tcW w:w="2560" w:type="dxa"/>
            <w:vAlign w:val="bottom"/>
            <w:tcBorders>
              <w:top w:val="single" w:sz="8" w:color="auto"/>
              <w:bottom w:val="single" w:sz="8" w:color="D1D2D4"/>
            </w:tcBorders>
            <w:gridSpan w:val="18"/>
            <w:shd w:val="clear" w:color="auto" w:fill="D1D2D4"/>
          </w:tcPr>
          <w:p>
            <w:pPr>
              <w:spacing w:after="0"/>
              <w:rPr>
                <w:sz w:val="13"/>
                <w:szCs w:val="13"/>
                <w:color w:val="auto"/>
              </w:rPr>
            </w:pPr>
          </w:p>
        </w:tc>
        <w:tc>
          <w:tcPr>
            <w:tcW w:w="6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180" w:type="dxa"/>
            <w:vAlign w:val="bottom"/>
            <w:tcBorders>
              <w:top w:val="single" w:sz="8" w:color="D1D2D4"/>
              <w:bottom w:val="single" w:sz="8" w:color="D1D2D4"/>
            </w:tcBorders>
            <w:gridSpan w:val="6"/>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2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10.16*</w:t>
            </w:r>
          </w:p>
        </w:tc>
        <w:tc>
          <w:tcPr>
            <w:tcW w:w="2540" w:type="dxa"/>
            <w:vAlign w:val="bottom"/>
            <w:tcBorders>
              <w:bottom w:val="single" w:sz="8" w:color="auto"/>
            </w:tcBorders>
            <w:gridSpan w:val="13"/>
          </w:tcPr>
          <w:p>
            <w:pPr>
              <w:spacing w:after="0" w:line="168" w:lineRule="exact"/>
              <w:rPr>
                <w:rFonts w:ascii="Arial" w:cs="Arial" w:eastAsia="Arial" w:hAnsi="Arial"/>
                <w:sz w:val="16"/>
                <w:szCs w:val="16"/>
                <w:color w:val="auto"/>
                <w:w w:val="97"/>
              </w:rPr>
            </w:pPr>
            <w:hyperlink r:id="rId214">
              <w:r>
                <w:rPr>
                  <w:rFonts w:ascii="Arial" w:cs="Arial" w:eastAsia="Arial" w:hAnsi="Arial"/>
                  <w:sz w:val="16"/>
                  <w:szCs w:val="16"/>
                  <w:color w:val="auto"/>
                  <w:w w:val="97"/>
                </w:rPr>
                <w:t>Severance Benefits for Mark Murphy</w:t>
              </w:r>
            </w:hyperlink>
          </w:p>
        </w:tc>
        <w:tc>
          <w:tcPr>
            <w:tcW w:w="2000" w:type="dxa"/>
            <w:vAlign w:val="bottom"/>
            <w:gridSpan w:val="22"/>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6/2/22</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10.3</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7/1/22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10.17*</w:t>
            </w:r>
          </w:p>
        </w:tc>
        <w:tc>
          <w:tcPr>
            <w:tcW w:w="3240" w:type="dxa"/>
            <w:vAlign w:val="bottom"/>
            <w:tcBorders>
              <w:bottom w:val="single" w:sz="8" w:color="auto"/>
            </w:tcBorders>
            <w:gridSpan w:val="20"/>
            <w:shd w:val="clear" w:color="auto" w:fill="D1D2D4"/>
          </w:tcPr>
          <w:p>
            <w:pPr>
              <w:spacing w:after="0" w:line="176" w:lineRule="exact"/>
              <w:rPr>
                <w:rFonts w:ascii="Arial" w:cs="Arial" w:eastAsia="Arial" w:hAnsi="Arial"/>
                <w:sz w:val="16"/>
                <w:szCs w:val="16"/>
                <w:color w:val="auto"/>
                <w:w w:val="97"/>
              </w:rPr>
            </w:pPr>
            <w:hyperlink r:id="rId215">
              <w:r>
                <w:rPr>
                  <w:rFonts w:ascii="Arial" w:cs="Arial" w:eastAsia="Arial" w:hAnsi="Arial"/>
                  <w:sz w:val="16"/>
                  <w:szCs w:val="16"/>
                  <w:color w:val="auto"/>
                  <w:w w:val="97"/>
                </w:rPr>
                <w:t>Form of Consent for Named Executive Officers</w:t>
              </w:r>
            </w:hyperlink>
          </w:p>
        </w:tc>
        <w:tc>
          <w:tcPr>
            <w:tcW w:w="1300" w:type="dxa"/>
            <w:vAlign w:val="bottom"/>
            <w:tcBorders>
              <w:bottom w:val="single" w:sz="8" w:color="D1D2D4"/>
            </w:tcBorders>
            <w:gridSpan w:val="15"/>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tcBorders>
              <w:bottom w:val="single" w:sz="8" w:color="D1D2D4"/>
            </w:tcBorders>
            <w:shd w:val="clear" w:color="auto" w:fill="D1D2D4"/>
          </w:tcPr>
          <w:p>
            <w:pPr>
              <w:ind w:left="60"/>
              <w:spacing w:after="0" w:line="176" w:lineRule="exact"/>
              <w:rPr>
                <w:sz w:val="20"/>
                <w:szCs w:val="20"/>
                <w:color w:val="auto"/>
              </w:rPr>
            </w:pPr>
            <w:r>
              <w:rPr>
                <w:rFonts w:ascii="Arial" w:cs="Arial" w:eastAsia="Arial" w:hAnsi="Arial"/>
                <w:sz w:val="16"/>
                <w:szCs w:val="16"/>
                <w:color w:val="auto"/>
              </w:rPr>
              <w:t>3/2/23</w:t>
            </w: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10.5</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3/29/23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10.18*</w:t>
            </w:r>
          </w:p>
        </w:tc>
        <w:tc>
          <w:tcPr>
            <w:tcW w:w="2840" w:type="dxa"/>
            <w:vAlign w:val="bottom"/>
            <w:tcBorders>
              <w:bottom w:val="single" w:sz="8" w:color="auto"/>
            </w:tcBorders>
            <w:gridSpan w:val="15"/>
          </w:tcPr>
          <w:p>
            <w:pPr>
              <w:spacing w:after="0" w:line="168" w:lineRule="exact"/>
              <w:rPr>
                <w:rFonts w:ascii="Arial" w:cs="Arial" w:eastAsia="Arial" w:hAnsi="Arial"/>
                <w:sz w:val="16"/>
                <w:szCs w:val="16"/>
                <w:color w:val="auto"/>
                <w:w w:val="96"/>
              </w:rPr>
            </w:pPr>
            <w:hyperlink r:id="rId216">
              <w:r>
                <w:rPr>
                  <w:rFonts w:ascii="Arial" w:cs="Arial" w:eastAsia="Arial" w:hAnsi="Arial"/>
                  <w:sz w:val="16"/>
                  <w:szCs w:val="16"/>
                  <w:color w:val="auto"/>
                  <w:w w:val="96"/>
                </w:rPr>
                <w:t>Executive Officer Cash Severance Policy</w:t>
              </w:r>
            </w:hyperlink>
          </w:p>
        </w:tc>
        <w:tc>
          <w:tcPr>
            <w:tcW w:w="1700" w:type="dxa"/>
            <w:vAlign w:val="bottom"/>
            <w:gridSpan w:val="20"/>
          </w:tcPr>
          <w:p>
            <w:pPr>
              <w:spacing w:after="0"/>
              <w:rPr>
                <w:sz w:val="15"/>
                <w:szCs w:val="15"/>
                <w:color w:val="auto"/>
              </w:rPr>
            </w:pPr>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11/30/23</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10.1</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12/21/23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10.19*</w:t>
            </w:r>
          </w:p>
        </w:tc>
        <w:tc>
          <w:tcPr>
            <w:tcW w:w="4420" w:type="dxa"/>
            <w:vAlign w:val="bottom"/>
            <w:tcBorders>
              <w:bottom w:val="single" w:sz="8" w:color="auto"/>
            </w:tcBorders>
            <w:gridSpan w:val="32"/>
            <w:shd w:val="clear" w:color="auto" w:fill="D1D2D4"/>
          </w:tcPr>
          <w:p>
            <w:pPr>
              <w:spacing w:after="0" w:line="176" w:lineRule="exact"/>
              <w:rPr>
                <w:rFonts w:ascii="Arial" w:cs="Arial" w:eastAsia="Arial" w:hAnsi="Arial"/>
                <w:sz w:val="16"/>
                <w:szCs w:val="16"/>
                <w:color w:val="auto"/>
                <w:w w:val="97"/>
              </w:rPr>
            </w:pPr>
            <w:hyperlink r:id="rId217">
              <w:r>
                <w:rPr>
                  <w:rFonts w:ascii="Arial" w:cs="Arial" w:eastAsia="Arial" w:hAnsi="Arial"/>
                  <w:sz w:val="16"/>
                  <w:szCs w:val="16"/>
                  <w:color w:val="auto"/>
                  <w:w w:val="97"/>
                </w:rPr>
                <w:t>Severance Policy Acknowledgement Letter for Sanjay Mehrotra</w:t>
              </w:r>
            </w:hyperlink>
          </w:p>
        </w:tc>
        <w:tc>
          <w:tcPr>
            <w:tcW w:w="120" w:type="dxa"/>
            <w:vAlign w:val="bottom"/>
            <w:tcBorders>
              <w:bottom w:val="single" w:sz="8" w:color="D1D2D4"/>
            </w:tcBorders>
            <w:gridSpan w:val="3"/>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tcBorders>
              <w:bottom w:val="single" w:sz="8" w:color="D1D2D4"/>
            </w:tcBorders>
            <w:shd w:val="clear" w:color="auto" w:fill="D1D2D4"/>
          </w:tcPr>
          <w:p>
            <w:pPr>
              <w:ind w:left="60"/>
              <w:spacing w:after="0" w:line="176" w:lineRule="exact"/>
              <w:rPr>
                <w:sz w:val="20"/>
                <w:szCs w:val="20"/>
                <w:color w:val="auto"/>
              </w:rPr>
            </w:pPr>
            <w:r>
              <w:rPr>
                <w:rFonts w:ascii="Arial" w:cs="Arial" w:eastAsia="Arial" w:hAnsi="Arial"/>
                <w:sz w:val="16"/>
                <w:szCs w:val="16"/>
                <w:color w:val="auto"/>
              </w:rPr>
              <w:t>11/30/23</w:t>
            </w: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10.2</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12/21/23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10.20*</w:t>
            </w:r>
          </w:p>
        </w:tc>
        <w:tc>
          <w:tcPr>
            <w:tcW w:w="4540" w:type="dxa"/>
            <w:vAlign w:val="bottom"/>
            <w:gridSpan w:val="35"/>
          </w:tcPr>
          <w:p>
            <w:pPr>
              <w:spacing w:after="0" w:line="168" w:lineRule="exact"/>
              <w:rPr>
                <w:rFonts w:ascii="Arial" w:cs="Arial" w:eastAsia="Arial" w:hAnsi="Arial"/>
                <w:sz w:val="16"/>
                <w:szCs w:val="16"/>
                <w:color w:val="auto"/>
              </w:rPr>
            </w:pPr>
            <w:hyperlink r:id="rId218">
              <w:r>
                <w:rPr>
                  <w:rFonts w:ascii="Arial" w:cs="Arial" w:eastAsia="Arial" w:hAnsi="Arial"/>
                  <w:sz w:val="16"/>
                  <w:szCs w:val="16"/>
                  <w:color w:val="auto"/>
                </w:rPr>
                <w:t>Amended and Restated Severance Agreement by and between</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11/30/23</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10.3</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12/21/23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120" w:type="dxa"/>
            <w:vAlign w:val="bottom"/>
            <w:tcBorders>
              <w:top w:val="single" w:sz="8" w:color="auto"/>
              <w:bottom w:val="single" w:sz="8" w:color="auto"/>
            </w:tcBorders>
            <w:gridSpan w:val="17"/>
          </w:tcPr>
          <w:p>
            <w:pPr>
              <w:spacing w:after="0" w:line="136" w:lineRule="exact"/>
              <w:rPr>
                <w:rFonts w:ascii="Arial" w:cs="Arial" w:eastAsia="Arial" w:hAnsi="Arial"/>
                <w:sz w:val="14"/>
                <w:szCs w:val="14"/>
                <w:color w:val="auto"/>
              </w:rPr>
            </w:pPr>
            <w:hyperlink r:id="rId218">
              <w:r>
                <w:rPr>
                  <w:rFonts w:ascii="Arial" w:cs="Arial" w:eastAsia="Arial" w:hAnsi="Arial"/>
                  <w:sz w:val="14"/>
                  <w:szCs w:val="14"/>
                  <w:color w:val="auto"/>
                </w:rPr>
                <w:t>Micron Technology, Inc. and Scott J. DeBoer</w:t>
              </w:r>
            </w:hyperlink>
          </w:p>
        </w:tc>
        <w:tc>
          <w:tcPr>
            <w:tcW w:w="1260" w:type="dxa"/>
            <w:vAlign w:val="bottom"/>
            <w:tcBorders>
              <w:top w:val="single" w:sz="8" w:color="auto"/>
            </w:tcBorders>
            <w:gridSpan w:val="1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10.21</w:t>
            </w:r>
          </w:p>
        </w:tc>
        <w:tc>
          <w:tcPr>
            <w:tcW w:w="4540" w:type="dxa"/>
            <w:vAlign w:val="bottom"/>
            <w:gridSpan w:val="35"/>
            <w:shd w:val="clear" w:color="auto" w:fill="D1D2D4"/>
          </w:tcPr>
          <w:p>
            <w:pPr>
              <w:spacing w:after="0" w:line="176" w:lineRule="exact"/>
              <w:rPr>
                <w:rFonts w:ascii="Arial" w:cs="Arial" w:eastAsia="Arial" w:hAnsi="Arial"/>
                <w:sz w:val="16"/>
                <w:szCs w:val="16"/>
                <w:color w:val="auto"/>
              </w:rPr>
            </w:pPr>
            <w:hyperlink r:id="rId219">
              <w:r>
                <w:rPr>
                  <w:rFonts w:ascii="Arial" w:cs="Arial" w:eastAsia="Arial" w:hAnsi="Arial"/>
                  <w:sz w:val="16"/>
                  <w:szCs w:val="16"/>
                  <w:color w:val="auto"/>
                </w:rPr>
                <w:t>Term Loan Credit Agreement, dated as of January 17, 2025, by</w:t>
              </w:r>
            </w:hyperlink>
          </w:p>
        </w:tc>
        <w:tc>
          <w:tcPr>
            <w:tcW w:w="1820" w:type="dxa"/>
            <w:vAlign w:val="bottom"/>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shd w:val="clear" w:color="auto" w:fill="D1D2D4"/>
          </w:tcPr>
          <w:p>
            <w:pPr>
              <w:ind w:left="60"/>
              <w:spacing w:after="0" w:line="176" w:lineRule="exact"/>
              <w:rPr>
                <w:sz w:val="20"/>
                <w:szCs w:val="20"/>
                <w:color w:val="auto"/>
              </w:rPr>
            </w:pPr>
            <w:r>
              <w:rPr>
                <w:rFonts w:ascii="Arial" w:cs="Arial" w:eastAsia="Arial" w:hAnsi="Arial"/>
                <w:sz w:val="16"/>
                <w:szCs w:val="16"/>
                <w:color w:val="auto"/>
              </w:rPr>
              <w:t>2/27/25</w:t>
            </w:r>
          </w:p>
        </w:tc>
        <w:tc>
          <w:tcPr>
            <w:tcW w:w="1060" w:type="dxa"/>
            <w:vAlign w:val="bottom"/>
            <w:shd w:val="clear" w:color="auto" w:fill="D1D2D4"/>
          </w:tcPr>
          <w:p>
            <w:pPr>
              <w:ind w:left="140"/>
              <w:spacing w:after="0" w:line="176" w:lineRule="exact"/>
              <w:rPr>
                <w:sz w:val="20"/>
                <w:szCs w:val="20"/>
                <w:color w:val="auto"/>
              </w:rPr>
            </w:pPr>
            <w:r>
              <w:rPr>
                <w:rFonts w:ascii="Arial" w:cs="Arial" w:eastAsia="Arial" w:hAnsi="Arial"/>
                <w:sz w:val="16"/>
                <w:szCs w:val="16"/>
                <w:color w:val="auto"/>
              </w:rPr>
              <w:t>10.1</w:t>
            </w:r>
          </w:p>
        </w:tc>
        <w:tc>
          <w:tcPr>
            <w:tcW w:w="1200" w:type="dxa"/>
            <w:vAlign w:val="bottom"/>
            <w:shd w:val="clear" w:color="auto" w:fill="D1D2D4"/>
          </w:tcPr>
          <w:p>
            <w:pPr>
              <w:ind w:left="220"/>
              <w:spacing w:after="0" w:line="176"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tcBorders>
            <w:shd w:val="clear" w:color="auto" w:fill="D1D2D4"/>
          </w:tcPr>
          <w:p>
            <w:pPr>
              <w:spacing w:after="0"/>
              <w:rPr>
                <w:sz w:val="11"/>
                <w:szCs w:val="11"/>
                <w:color w:val="auto"/>
              </w:rPr>
            </w:pPr>
          </w:p>
        </w:tc>
        <w:tc>
          <w:tcPr>
            <w:tcW w:w="4420" w:type="dxa"/>
            <w:vAlign w:val="bottom"/>
            <w:tcBorders>
              <w:top w:val="single" w:sz="8" w:color="auto"/>
            </w:tcBorders>
            <w:gridSpan w:val="32"/>
            <w:shd w:val="clear" w:color="auto" w:fill="D1D2D4"/>
          </w:tcPr>
          <w:p>
            <w:pPr>
              <w:spacing w:after="0" w:line="136" w:lineRule="exact"/>
              <w:rPr>
                <w:rFonts w:ascii="Arial" w:cs="Arial" w:eastAsia="Arial" w:hAnsi="Arial"/>
                <w:sz w:val="14"/>
                <w:szCs w:val="14"/>
                <w:color w:val="auto"/>
              </w:rPr>
            </w:pPr>
            <w:hyperlink r:id="rId219">
              <w:r>
                <w:rPr>
                  <w:rFonts w:ascii="Arial" w:cs="Arial" w:eastAsia="Arial" w:hAnsi="Arial"/>
                  <w:sz w:val="14"/>
                  <w:szCs w:val="14"/>
                  <w:color w:val="auto"/>
                </w:rPr>
                <w:t>and among Micron Technology, Inc., as borrower, PNC Bank,</w:t>
              </w:r>
            </w:hyperlink>
          </w:p>
        </w:tc>
        <w:tc>
          <w:tcPr>
            <w:tcW w:w="80" w:type="dxa"/>
            <w:vAlign w:val="bottom"/>
            <w:tcBorders>
              <w:top w:val="single" w:sz="8" w:color="D1D2D4"/>
            </w:tcBorders>
            <w:gridSpan w:val="2"/>
            <w:shd w:val="clear" w:color="auto" w:fill="D1D2D4"/>
          </w:tcPr>
          <w:p>
            <w:pPr>
              <w:spacing w:after="0"/>
              <w:rPr>
                <w:sz w:val="11"/>
                <w:szCs w:val="11"/>
                <w:color w:val="auto"/>
              </w:rPr>
            </w:pPr>
          </w:p>
        </w:tc>
        <w:tc>
          <w:tcPr>
            <w:tcW w:w="40" w:type="dxa"/>
            <w:vAlign w:val="bottom"/>
            <w:tcBorders>
              <w:top w:val="single" w:sz="8" w:color="D1D2D4"/>
            </w:tcBorders>
            <w:shd w:val="clear" w:color="auto" w:fill="D1D2D4"/>
          </w:tcPr>
          <w:p>
            <w:pPr>
              <w:spacing w:after="0"/>
              <w:rPr>
                <w:sz w:val="11"/>
                <w:szCs w:val="11"/>
                <w:color w:val="auto"/>
              </w:rPr>
            </w:pPr>
          </w:p>
        </w:tc>
        <w:tc>
          <w:tcPr>
            <w:tcW w:w="1820" w:type="dxa"/>
            <w:vAlign w:val="bottom"/>
            <w:tcBorders>
              <w:top w:val="single" w:sz="8" w:color="D1D2D4"/>
            </w:tcBorders>
            <w:shd w:val="clear" w:color="auto" w:fill="D1D2D4"/>
          </w:tcPr>
          <w:p>
            <w:pPr>
              <w:spacing w:after="0"/>
              <w:rPr>
                <w:sz w:val="11"/>
                <w:szCs w:val="11"/>
                <w:color w:val="auto"/>
              </w:rPr>
            </w:pPr>
          </w:p>
        </w:tc>
        <w:tc>
          <w:tcPr>
            <w:tcW w:w="920" w:type="dxa"/>
            <w:vAlign w:val="bottom"/>
            <w:tcBorders>
              <w:top w:val="single" w:sz="8" w:color="D1D2D4"/>
            </w:tcBorders>
            <w:shd w:val="clear" w:color="auto" w:fill="D1D2D4"/>
          </w:tcPr>
          <w:p>
            <w:pPr>
              <w:spacing w:after="0"/>
              <w:rPr>
                <w:sz w:val="11"/>
                <w:szCs w:val="11"/>
                <w:color w:val="auto"/>
              </w:rPr>
            </w:pPr>
          </w:p>
        </w:tc>
        <w:tc>
          <w:tcPr>
            <w:tcW w:w="1060" w:type="dxa"/>
            <w:vAlign w:val="bottom"/>
            <w:tcBorders>
              <w:top w:val="single" w:sz="8" w:color="D1D2D4"/>
            </w:tcBorders>
            <w:shd w:val="clear" w:color="auto" w:fill="D1D2D4"/>
          </w:tcPr>
          <w:p>
            <w:pPr>
              <w:spacing w:after="0"/>
              <w:rPr>
                <w:sz w:val="11"/>
                <w:szCs w:val="11"/>
                <w:color w:val="auto"/>
              </w:rPr>
            </w:pPr>
          </w:p>
        </w:tc>
        <w:tc>
          <w:tcPr>
            <w:tcW w:w="1200" w:type="dxa"/>
            <w:vAlign w:val="bottom"/>
            <w:tcBorders>
              <w:top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Borders>
              <w:top w:val="single" w:sz="8" w:color="D1D2D4"/>
              <w:bottom w:val="single" w:sz="8" w:color="D1D2D4"/>
            </w:tcBorders>
            <w:shd w:val="clear" w:color="auto" w:fill="D1D2D4"/>
          </w:tcPr>
          <w:p>
            <w:pPr>
              <w:spacing w:after="0"/>
              <w:rPr>
                <w:sz w:val="11"/>
                <w:szCs w:val="11"/>
                <w:color w:val="auto"/>
              </w:rPr>
            </w:pPr>
          </w:p>
        </w:tc>
        <w:tc>
          <w:tcPr>
            <w:tcW w:w="4240" w:type="dxa"/>
            <w:vAlign w:val="bottom"/>
            <w:tcBorders>
              <w:top w:val="single" w:sz="8" w:color="auto"/>
              <w:bottom w:val="single" w:sz="8" w:color="auto"/>
            </w:tcBorders>
            <w:gridSpan w:val="26"/>
            <w:shd w:val="clear" w:color="auto" w:fill="D1D2D4"/>
          </w:tcPr>
          <w:p>
            <w:pPr>
              <w:spacing w:after="0" w:line="136" w:lineRule="exact"/>
              <w:rPr>
                <w:rFonts w:ascii="Arial" w:cs="Arial" w:eastAsia="Arial" w:hAnsi="Arial"/>
                <w:sz w:val="14"/>
                <w:szCs w:val="14"/>
                <w:color w:val="auto"/>
              </w:rPr>
            </w:pPr>
            <w:hyperlink r:id="rId219">
              <w:r>
                <w:rPr>
                  <w:rFonts w:ascii="Arial" w:cs="Arial" w:eastAsia="Arial" w:hAnsi="Arial"/>
                  <w:sz w:val="14"/>
                  <w:szCs w:val="14"/>
                  <w:color w:val="auto"/>
                </w:rPr>
                <w:t>National Association, as administrative agent, the other agents</w:t>
              </w:r>
            </w:hyperlink>
          </w:p>
        </w:tc>
        <w:tc>
          <w:tcPr>
            <w:tcW w:w="80" w:type="dxa"/>
            <w:vAlign w:val="bottom"/>
            <w:tcBorders>
              <w:top w:val="single" w:sz="8" w:color="D1D2D4"/>
              <w:bottom w:val="single" w:sz="8" w:color="auto"/>
            </w:tcBorders>
            <w:gridSpan w:val="2"/>
            <w:shd w:val="clear" w:color="auto" w:fill="D1D2D4"/>
          </w:tcPr>
          <w:p>
            <w:pPr>
              <w:spacing w:after="0"/>
              <w:rPr>
                <w:sz w:val="11"/>
                <w:szCs w:val="11"/>
                <w:color w:val="auto"/>
              </w:rPr>
            </w:pPr>
          </w:p>
        </w:tc>
        <w:tc>
          <w:tcPr>
            <w:tcW w:w="180" w:type="dxa"/>
            <w:vAlign w:val="bottom"/>
            <w:tcBorders>
              <w:top w:val="single" w:sz="8" w:color="D1D2D4"/>
              <w:bottom w:val="single" w:sz="8" w:color="D1D2D4"/>
            </w:tcBorders>
            <w:gridSpan w:val="6"/>
            <w:shd w:val="clear" w:color="auto" w:fill="D1D2D4"/>
          </w:tcPr>
          <w:p>
            <w:pPr>
              <w:spacing w:after="0"/>
              <w:rPr>
                <w:sz w:val="11"/>
                <w:szCs w:val="11"/>
                <w:color w:val="auto"/>
              </w:rPr>
            </w:pPr>
          </w:p>
        </w:tc>
        <w:tc>
          <w:tcPr>
            <w:tcW w:w="40" w:type="dxa"/>
            <w:vAlign w:val="bottom"/>
            <w:tcBorders>
              <w:top w:val="single" w:sz="8" w:color="D1D2D4"/>
              <w:bottom w:val="single" w:sz="8" w:color="D1D2D4"/>
            </w:tcBorders>
            <w:shd w:val="clear" w:color="auto" w:fill="D1D2D4"/>
          </w:tcPr>
          <w:p>
            <w:pPr>
              <w:spacing w:after="0"/>
              <w:rPr>
                <w:sz w:val="11"/>
                <w:szCs w:val="11"/>
                <w:color w:val="auto"/>
              </w:rPr>
            </w:pPr>
          </w:p>
        </w:tc>
        <w:tc>
          <w:tcPr>
            <w:tcW w:w="1820" w:type="dxa"/>
            <w:vAlign w:val="bottom"/>
            <w:tcBorders>
              <w:top w:val="single" w:sz="8" w:color="D1D2D4"/>
              <w:bottom w:val="single" w:sz="8" w:color="D1D2D4"/>
            </w:tcBorders>
            <w:shd w:val="clear" w:color="auto" w:fill="D1D2D4"/>
          </w:tcPr>
          <w:p>
            <w:pPr>
              <w:spacing w:after="0"/>
              <w:rPr>
                <w:sz w:val="11"/>
                <w:szCs w:val="11"/>
                <w:color w:val="auto"/>
              </w:rPr>
            </w:pPr>
          </w:p>
        </w:tc>
        <w:tc>
          <w:tcPr>
            <w:tcW w:w="920" w:type="dxa"/>
            <w:vAlign w:val="bottom"/>
            <w:tcBorders>
              <w:top w:val="single" w:sz="8" w:color="D1D2D4"/>
              <w:bottom w:val="single" w:sz="8" w:color="D1D2D4"/>
            </w:tcBorders>
            <w:shd w:val="clear" w:color="auto" w:fill="D1D2D4"/>
          </w:tcPr>
          <w:p>
            <w:pPr>
              <w:spacing w:after="0"/>
              <w:rPr>
                <w:sz w:val="11"/>
                <w:szCs w:val="11"/>
                <w:color w:val="auto"/>
              </w:rPr>
            </w:pPr>
          </w:p>
        </w:tc>
        <w:tc>
          <w:tcPr>
            <w:tcW w:w="1060" w:type="dxa"/>
            <w:vAlign w:val="bottom"/>
            <w:tcBorders>
              <w:top w:val="single" w:sz="8" w:color="D1D2D4"/>
              <w:bottom w:val="single" w:sz="8" w:color="D1D2D4"/>
            </w:tcBorders>
            <w:shd w:val="clear" w:color="auto" w:fill="D1D2D4"/>
          </w:tcPr>
          <w:p>
            <w:pPr>
              <w:spacing w:after="0"/>
              <w:rPr>
                <w:sz w:val="11"/>
                <w:szCs w:val="11"/>
                <w:color w:val="auto"/>
              </w:rPr>
            </w:pPr>
          </w:p>
        </w:tc>
        <w:tc>
          <w:tcPr>
            <w:tcW w:w="120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shd w:val="clear" w:color="auto" w:fill="D1D2D4"/>
          </w:tcPr>
          <w:p>
            <w:pPr>
              <w:spacing w:after="0"/>
              <w:rPr>
                <w:sz w:val="11"/>
                <w:szCs w:val="11"/>
                <w:color w:val="auto"/>
              </w:rPr>
            </w:pPr>
          </w:p>
        </w:tc>
        <w:tc>
          <w:tcPr>
            <w:tcW w:w="4540" w:type="dxa"/>
            <w:vAlign w:val="bottom"/>
            <w:gridSpan w:val="35"/>
            <w:shd w:val="clear" w:color="auto" w:fill="D1D2D4"/>
          </w:tcPr>
          <w:p>
            <w:pPr>
              <w:spacing w:after="0" w:line="136" w:lineRule="exact"/>
              <w:rPr>
                <w:rFonts w:ascii="Arial" w:cs="Arial" w:eastAsia="Arial" w:hAnsi="Arial"/>
                <w:sz w:val="14"/>
                <w:szCs w:val="14"/>
                <w:color w:val="auto"/>
              </w:rPr>
            </w:pPr>
            <w:hyperlink r:id="rId219">
              <w:r>
                <w:rPr>
                  <w:rFonts w:ascii="Arial" w:cs="Arial" w:eastAsia="Arial" w:hAnsi="Arial"/>
                  <w:sz w:val="14"/>
                  <w:szCs w:val="14"/>
                  <w:color w:val="auto"/>
                </w:rPr>
                <w:t>party thereto, and each financial institution party from time to time</w:t>
              </w:r>
            </w:hyperlink>
          </w:p>
        </w:tc>
        <w:tc>
          <w:tcPr>
            <w:tcW w:w="1820" w:type="dxa"/>
            <w:vAlign w:val="bottom"/>
            <w:shd w:val="clear" w:color="auto" w:fill="D1D2D4"/>
          </w:tcPr>
          <w:p>
            <w:pPr>
              <w:spacing w:after="0"/>
              <w:rPr>
                <w:sz w:val="11"/>
                <w:szCs w:val="11"/>
                <w:color w:val="auto"/>
              </w:rPr>
            </w:pPr>
          </w:p>
        </w:tc>
        <w:tc>
          <w:tcPr>
            <w:tcW w:w="920" w:type="dxa"/>
            <w:vAlign w:val="bottom"/>
            <w:shd w:val="clear" w:color="auto" w:fill="D1D2D4"/>
          </w:tcPr>
          <w:p>
            <w:pPr>
              <w:spacing w:after="0"/>
              <w:rPr>
                <w:sz w:val="11"/>
                <w:szCs w:val="11"/>
                <w:color w:val="auto"/>
              </w:rPr>
            </w:pPr>
          </w:p>
        </w:tc>
        <w:tc>
          <w:tcPr>
            <w:tcW w:w="1060" w:type="dxa"/>
            <w:vAlign w:val="bottom"/>
            <w:shd w:val="clear" w:color="auto" w:fill="D1D2D4"/>
          </w:tcPr>
          <w:p>
            <w:pPr>
              <w:spacing w:after="0"/>
              <w:rPr>
                <w:sz w:val="11"/>
                <w:szCs w:val="11"/>
                <w:color w:val="auto"/>
              </w:rPr>
            </w:pPr>
          </w:p>
        </w:tc>
        <w:tc>
          <w:tcPr>
            <w:tcW w:w="1200" w:type="dxa"/>
            <w:vAlign w:val="bottom"/>
            <w:shd w:val="clear" w:color="auto" w:fill="D1D2D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Borders>
              <w:top w:val="single" w:sz="8" w:color="D1D2D4"/>
              <w:bottom w:val="single" w:sz="8" w:color="D1D2D4"/>
            </w:tcBorders>
            <w:shd w:val="clear" w:color="auto" w:fill="D1D2D4"/>
          </w:tcPr>
          <w:p>
            <w:pPr>
              <w:spacing w:after="0"/>
              <w:rPr>
                <w:sz w:val="13"/>
                <w:szCs w:val="13"/>
                <w:color w:val="auto"/>
              </w:rPr>
            </w:pPr>
          </w:p>
        </w:tc>
        <w:tc>
          <w:tcPr>
            <w:tcW w:w="480" w:type="dxa"/>
            <w:vAlign w:val="bottom"/>
            <w:tcBorders>
              <w:top w:val="single" w:sz="8" w:color="auto"/>
              <w:bottom w:val="single" w:sz="8" w:color="auto"/>
            </w:tcBorders>
            <w:gridSpan w:val="2"/>
            <w:shd w:val="clear" w:color="auto" w:fill="D1D2D4"/>
          </w:tcPr>
          <w:p>
            <w:pPr>
              <w:spacing w:after="0" w:line="136" w:lineRule="exact"/>
              <w:rPr>
                <w:rFonts w:ascii="Arial" w:cs="Arial" w:eastAsia="Arial" w:hAnsi="Arial"/>
                <w:sz w:val="14"/>
                <w:szCs w:val="14"/>
                <w:color w:val="auto"/>
              </w:rPr>
            </w:pPr>
            <w:hyperlink r:id="rId219">
              <w:r>
                <w:rPr>
                  <w:rFonts w:ascii="Arial" w:cs="Arial" w:eastAsia="Arial" w:hAnsi="Arial"/>
                  <w:sz w:val="14"/>
                  <w:szCs w:val="14"/>
                  <w:color w:val="auto"/>
                </w:rPr>
                <w:t>thereto</w:t>
              </w:r>
            </w:hyperlink>
          </w:p>
        </w:tc>
        <w:tc>
          <w:tcPr>
            <w:tcW w:w="4020" w:type="dxa"/>
            <w:vAlign w:val="bottom"/>
            <w:tcBorders>
              <w:top w:val="single" w:sz="8" w:color="auto"/>
              <w:bottom w:val="single" w:sz="8" w:color="D1D2D4"/>
            </w:tcBorders>
            <w:gridSpan w:val="32"/>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2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60" w:type="dxa"/>
            <w:vAlign w:val="bottom"/>
            <w:tcBorders>
              <w:top w:val="single" w:sz="8" w:color="D1D2D4"/>
              <w:bottom w:val="single" w:sz="8" w:color="D1D2D4"/>
            </w:tcBorders>
            <w:shd w:val="clear" w:color="auto" w:fill="D1D2D4"/>
          </w:tcPr>
          <w:p>
            <w:pPr>
              <w:spacing w:after="0"/>
              <w:rPr>
                <w:sz w:val="13"/>
                <w:szCs w:val="13"/>
                <w:color w:val="auto"/>
              </w:rPr>
            </w:pPr>
          </w:p>
        </w:tc>
        <w:tc>
          <w:tcPr>
            <w:tcW w:w="120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10.22*</w:t>
            </w:r>
          </w:p>
        </w:tc>
        <w:tc>
          <w:tcPr>
            <w:tcW w:w="4540" w:type="dxa"/>
            <w:vAlign w:val="bottom"/>
            <w:gridSpan w:val="35"/>
          </w:tcPr>
          <w:p>
            <w:pPr>
              <w:spacing w:after="0" w:line="168" w:lineRule="exact"/>
              <w:rPr>
                <w:rFonts w:ascii="Arial" w:cs="Arial" w:eastAsia="Arial" w:hAnsi="Arial"/>
                <w:sz w:val="16"/>
                <w:szCs w:val="16"/>
                <w:color w:val="auto"/>
              </w:rPr>
            </w:pPr>
            <w:hyperlink r:id="rId220">
              <w:r>
                <w:rPr>
                  <w:rFonts w:ascii="Arial" w:cs="Arial" w:eastAsia="Arial" w:hAnsi="Arial"/>
                  <w:sz w:val="16"/>
                  <w:szCs w:val="16"/>
                  <w:color w:val="auto"/>
                </w:rPr>
                <w:t>Amended and Restated 2007 Equity Incentive Plan Forms of</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2/27/25</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10.4</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4180" w:type="dxa"/>
            <w:vAlign w:val="bottom"/>
            <w:tcBorders>
              <w:top w:val="single" w:sz="8" w:color="auto"/>
            </w:tcBorders>
            <w:gridSpan w:val="24"/>
          </w:tcPr>
          <w:p>
            <w:pPr>
              <w:spacing w:after="0" w:line="136" w:lineRule="exact"/>
              <w:rPr>
                <w:rFonts w:ascii="Arial" w:cs="Arial" w:eastAsia="Arial" w:hAnsi="Arial"/>
                <w:sz w:val="14"/>
                <w:szCs w:val="14"/>
                <w:color w:val="auto"/>
              </w:rPr>
            </w:pPr>
            <w:hyperlink r:id="rId220">
              <w:r>
                <w:rPr>
                  <w:rFonts w:ascii="Arial" w:cs="Arial" w:eastAsia="Arial" w:hAnsi="Arial"/>
                  <w:sz w:val="14"/>
                  <w:szCs w:val="14"/>
                  <w:color w:val="auto"/>
                </w:rPr>
                <w:t>Agreement and Terms and Conditions</w:t>
              </w:r>
            </w:hyperlink>
          </w:p>
        </w:tc>
        <w:tc>
          <w:tcPr>
            <w:tcW w:w="20" w:type="dxa"/>
            <w:vAlign w:val="bottom"/>
          </w:tcPr>
          <w:p>
            <w:pPr>
              <w:spacing w:after="0"/>
              <w:rPr>
                <w:sz w:val="12"/>
                <w:szCs w:val="12"/>
                <w:color w:val="auto"/>
              </w:rPr>
            </w:pPr>
          </w:p>
        </w:tc>
        <w:tc>
          <w:tcPr>
            <w:tcW w:w="340" w:type="dxa"/>
            <w:vAlign w:val="bottom"/>
            <w:gridSpan w:val="10"/>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10.23*</w:t>
            </w:r>
          </w:p>
        </w:tc>
        <w:tc>
          <w:tcPr>
            <w:tcW w:w="1860" w:type="dxa"/>
            <w:vAlign w:val="bottom"/>
            <w:tcBorders>
              <w:top w:val="single" w:sz="8" w:color="auto"/>
              <w:bottom w:val="single" w:sz="8" w:color="auto"/>
            </w:tcBorders>
            <w:gridSpan w:val="7"/>
            <w:shd w:val="clear" w:color="auto" w:fill="D1D2D4"/>
          </w:tcPr>
          <w:p>
            <w:pPr>
              <w:spacing w:after="0" w:line="176" w:lineRule="exact"/>
              <w:rPr>
                <w:rFonts w:ascii="Arial" w:cs="Arial" w:eastAsia="Arial" w:hAnsi="Arial"/>
                <w:sz w:val="16"/>
                <w:szCs w:val="16"/>
                <w:color w:val="auto"/>
                <w:w w:val="97"/>
              </w:rPr>
            </w:pPr>
            <w:hyperlink r:id="rId221">
              <w:r>
                <w:rPr>
                  <w:rFonts w:ascii="Arial" w:cs="Arial" w:eastAsia="Arial" w:hAnsi="Arial"/>
                  <w:sz w:val="16"/>
                  <w:szCs w:val="16"/>
                  <w:color w:val="auto"/>
                  <w:w w:val="97"/>
                </w:rPr>
                <w:t>2025 Equity Incentive Plan</w:t>
              </w:r>
            </w:hyperlink>
          </w:p>
        </w:tc>
        <w:tc>
          <w:tcPr>
            <w:tcW w:w="760" w:type="dxa"/>
            <w:vAlign w:val="bottom"/>
            <w:tcBorders>
              <w:top w:val="single" w:sz="8" w:color="auto"/>
              <w:bottom w:val="single" w:sz="8" w:color="D1D2D4"/>
            </w:tcBorders>
            <w:gridSpan w:val="7"/>
            <w:shd w:val="clear" w:color="auto" w:fill="D1D2D4"/>
          </w:tcPr>
          <w:p>
            <w:pPr>
              <w:spacing w:after="0"/>
              <w:rPr>
                <w:sz w:val="16"/>
                <w:szCs w:val="16"/>
                <w:color w:val="auto"/>
              </w:rPr>
            </w:pPr>
          </w:p>
        </w:tc>
        <w:tc>
          <w:tcPr>
            <w:tcW w:w="1920" w:type="dxa"/>
            <w:vAlign w:val="bottom"/>
            <w:tcBorders>
              <w:bottom w:val="single" w:sz="8" w:color="D1D2D4"/>
            </w:tcBorders>
            <w:gridSpan w:val="21"/>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tcBorders>
              <w:bottom w:val="single" w:sz="8" w:color="D1D2D4"/>
            </w:tcBorders>
            <w:shd w:val="clear" w:color="auto" w:fill="D1D2D4"/>
          </w:tcPr>
          <w:p>
            <w:pPr>
              <w:ind w:left="60"/>
              <w:spacing w:after="0" w:line="176" w:lineRule="exact"/>
              <w:rPr>
                <w:sz w:val="20"/>
                <w:szCs w:val="20"/>
                <w:color w:val="auto"/>
              </w:rPr>
            </w:pPr>
            <w:r>
              <w:rPr>
                <w:rFonts w:ascii="Arial" w:cs="Arial" w:eastAsia="Arial" w:hAnsi="Arial"/>
                <w:sz w:val="16"/>
                <w:szCs w:val="16"/>
                <w:color w:val="auto"/>
              </w:rPr>
              <w:t>2/27/25</w:t>
            </w: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10.2</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10.24*</w:t>
            </w:r>
          </w:p>
        </w:tc>
        <w:tc>
          <w:tcPr>
            <w:tcW w:w="4540" w:type="dxa"/>
            <w:vAlign w:val="bottom"/>
            <w:gridSpan w:val="35"/>
          </w:tcPr>
          <w:p>
            <w:pPr>
              <w:spacing w:after="0" w:line="168" w:lineRule="exact"/>
              <w:rPr>
                <w:rFonts w:ascii="Arial" w:cs="Arial" w:eastAsia="Arial" w:hAnsi="Arial"/>
                <w:sz w:val="16"/>
                <w:szCs w:val="16"/>
                <w:color w:val="auto"/>
              </w:rPr>
            </w:pPr>
            <w:hyperlink r:id="rId222">
              <w:r>
                <w:rPr>
                  <w:rFonts w:ascii="Arial" w:cs="Arial" w:eastAsia="Arial" w:hAnsi="Arial"/>
                  <w:sz w:val="16"/>
                  <w:szCs w:val="16"/>
                  <w:color w:val="auto"/>
                </w:rPr>
                <w:t>2025 Equity Incentive Plan Forms of Agreement and Terms and</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S-8</w:t>
            </w:r>
          </w:p>
        </w:tc>
        <w:tc>
          <w:tcPr>
            <w:tcW w:w="92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99.2</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1/21/25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420" w:type="dxa"/>
            <w:vAlign w:val="bottom"/>
            <w:tcBorders>
              <w:top w:val="single" w:sz="8" w:color="auto"/>
            </w:tcBorders>
            <w:gridSpan w:val="32"/>
          </w:tcPr>
          <w:p>
            <w:pPr>
              <w:spacing w:after="0" w:line="136" w:lineRule="exact"/>
              <w:rPr>
                <w:rFonts w:ascii="Arial" w:cs="Arial" w:eastAsia="Arial" w:hAnsi="Arial"/>
                <w:sz w:val="14"/>
                <w:szCs w:val="14"/>
                <w:color w:val="auto"/>
              </w:rPr>
            </w:pPr>
            <w:hyperlink r:id="rId222">
              <w:r>
                <w:rPr>
                  <w:rFonts w:ascii="Arial" w:cs="Arial" w:eastAsia="Arial" w:hAnsi="Arial"/>
                  <w:sz w:val="14"/>
                  <w:szCs w:val="14"/>
                  <w:color w:val="auto"/>
                </w:rPr>
                <w:t>Conditions</w:t>
              </w:r>
            </w:hyperlink>
          </w:p>
        </w:tc>
        <w:tc>
          <w:tcPr>
            <w:tcW w:w="120" w:type="dxa"/>
            <w:vAlign w:val="bottom"/>
            <w:gridSpan w:val="3"/>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10.25*</w:t>
            </w:r>
          </w:p>
        </w:tc>
        <w:tc>
          <w:tcPr>
            <w:tcW w:w="2340" w:type="dxa"/>
            <w:vAlign w:val="bottom"/>
            <w:tcBorders>
              <w:bottom w:val="single" w:sz="8" w:color="auto"/>
            </w:tcBorders>
            <w:gridSpan w:val="10"/>
            <w:shd w:val="clear" w:color="auto" w:fill="D1D2D4"/>
          </w:tcPr>
          <w:p>
            <w:pPr>
              <w:spacing w:after="0" w:line="176" w:lineRule="exact"/>
              <w:rPr>
                <w:rFonts w:ascii="Arial" w:cs="Arial" w:eastAsia="Arial" w:hAnsi="Arial"/>
                <w:sz w:val="16"/>
                <w:szCs w:val="16"/>
                <w:color w:val="auto"/>
                <w:w w:val="96"/>
              </w:rPr>
            </w:pPr>
            <w:hyperlink r:id="rId223">
              <w:r>
                <w:rPr>
                  <w:rFonts w:ascii="Arial" w:cs="Arial" w:eastAsia="Arial" w:hAnsi="Arial"/>
                  <w:sz w:val="16"/>
                  <w:szCs w:val="16"/>
                  <w:color w:val="auto"/>
                  <w:w w:val="96"/>
                </w:rPr>
                <w:t>2025 Director Compensation Plan</w:t>
              </w:r>
            </w:hyperlink>
          </w:p>
        </w:tc>
        <w:tc>
          <w:tcPr>
            <w:tcW w:w="2200" w:type="dxa"/>
            <w:vAlign w:val="bottom"/>
            <w:tcBorders>
              <w:bottom w:val="single" w:sz="8" w:color="D1D2D4"/>
            </w:tcBorders>
            <w:gridSpan w:val="25"/>
            <w:shd w:val="clear" w:color="auto" w:fill="D1D2D4"/>
          </w:tcPr>
          <w:p>
            <w:pPr>
              <w:spacing w:after="0"/>
              <w:rPr>
                <w:sz w:val="16"/>
                <w:szCs w:val="16"/>
                <w:color w:val="auto"/>
              </w:rPr>
            </w:pPr>
          </w:p>
        </w:tc>
        <w:tc>
          <w:tcPr>
            <w:tcW w:w="1820" w:type="dxa"/>
            <w:vAlign w:val="bottom"/>
            <w:tcBorders>
              <w:bottom w:val="single" w:sz="8" w:color="D1D2D4"/>
            </w:tcBorders>
            <w:shd w:val="clear" w:color="auto" w:fill="D1D2D4"/>
          </w:tcPr>
          <w:p>
            <w:pPr>
              <w:ind w:left="1140"/>
              <w:spacing w:after="0" w:line="176" w:lineRule="exact"/>
              <w:rPr>
                <w:sz w:val="20"/>
                <w:szCs w:val="20"/>
                <w:color w:val="auto"/>
              </w:rPr>
            </w:pPr>
            <w:r>
              <w:rPr>
                <w:rFonts w:ascii="Arial" w:cs="Arial" w:eastAsia="Arial" w:hAnsi="Arial"/>
                <w:sz w:val="16"/>
                <w:szCs w:val="16"/>
                <w:color w:val="auto"/>
              </w:rPr>
              <w:t>10-Q</w:t>
            </w:r>
          </w:p>
        </w:tc>
        <w:tc>
          <w:tcPr>
            <w:tcW w:w="920" w:type="dxa"/>
            <w:vAlign w:val="bottom"/>
            <w:tcBorders>
              <w:bottom w:val="single" w:sz="8" w:color="D1D2D4"/>
            </w:tcBorders>
            <w:shd w:val="clear" w:color="auto" w:fill="D1D2D4"/>
          </w:tcPr>
          <w:p>
            <w:pPr>
              <w:ind w:left="60"/>
              <w:spacing w:after="0" w:line="176" w:lineRule="exact"/>
              <w:rPr>
                <w:sz w:val="20"/>
                <w:szCs w:val="20"/>
                <w:color w:val="auto"/>
              </w:rPr>
            </w:pPr>
            <w:r>
              <w:rPr>
                <w:rFonts w:ascii="Arial" w:cs="Arial" w:eastAsia="Arial" w:hAnsi="Arial"/>
                <w:sz w:val="16"/>
                <w:szCs w:val="16"/>
                <w:color w:val="auto"/>
              </w:rPr>
              <w:t>2/27/25</w:t>
            </w:r>
          </w:p>
        </w:tc>
        <w:tc>
          <w:tcPr>
            <w:tcW w:w="1060" w:type="dxa"/>
            <w:vAlign w:val="bottom"/>
            <w:tcBorders>
              <w:bottom w:val="single" w:sz="8" w:color="D1D2D4"/>
            </w:tcBorders>
            <w:shd w:val="clear" w:color="auto" w:fill="D1D2D4"/>
          </w:tcPr>
          <w:p>
            <w:pPr>
              <w:ind w:left="140"/>
              <w:spacing w:after="0" w:line="176" w:lineRule="exact"/>
              <w:rPr>
                <w:sz w:val="20"/>
                <w:szCs w:val="20"/>
                <w:color w:val="auto"/>
              </w:rPr>
            </w:pPr>
            <w:r>
              <w:rPr>
                <w:rFonts w:ascii="Arial" w:cs="Arial" w:eastAsia="Arial" w:hAnsi="Arial"/>
                <w:sz w:val="16"/>
                <w:szCs w:val="16"/>
                <w:color w:val="auto"/>
              </w:rPr>
              <w:t>10.6</w:t>
            </w:r>
          </w:p>
        </w:tc>
        <w:tc>
          <w:tcPr>
            <w:tcW w:w="1200" w:type="dxa"/>
            <w:vAlign w:val="bottom"/>
            <w:tcBorders>
              <w:bottom w:val="single" w:sz="8" w:color="D1D2D4"/>
            </w:tcBorders>
            <w:shd w:val="clear" w:color="auto" w:fill="D1D2D4"/>
          </w:tcPr>
          <w:p>
            <w:pPr>
              <w:ind w:left="220"/>
              <w:spacing w:after="0" w:line="176"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6"/>
                <w:szCs w:val="16"/>
                <w:color w:val="auto"/>
              </w:rPr>
              <w:t>10.26^</w:t>
            </w:r>
          </w:p>
        </w:tc>
        <w:tc>
          <w:tcPr>
            <w:tcW w:w="4540" w:type="dxa"/>
            <w:vAlign w:val="bottom"/>
            <w:gridSpan w:val="35"/>
          </w:tcPr>
          <w:p>
            <w:pPr>
              <w:spacing w:after="0" w:line="168" w:lineRule="exact"/>
              <w:rPr>
                <w:rFonts w:ascii="Arial" w:cs="Arial" w:eastAsia="Arial" w:hAnsi="Arial"/>
                <w:sz w:val="16"/>
                <w:szCs w:val="16"/>
                <w:color w:val="auto"/>
              </w:rPr>
            </w:pPr>
            <w:hyperlink r:id="rId224">
              <w:r>
                <w:rPr>
                  <w:rFonts w:ascii="Arial" w:cs="Arial" w:eastAsia="Arial" w:hAnsi="Arial"/>
                  <w:sz w:val="16"/>
                  <w:szCs w:val="16"/>
                  <w:color w:val="auto"/>
                </w:rPr>
                <w:t>Direct Funding Agreement, dated December 9, 2024, by and</w:t>
              </w:r>
            </w:hyperlink>
          </w:p>
        </w:tc>
        <w:tc>
          <w:tcPr>
            <w:tcW w:w="1820" w:type="dxa"/>
            <w:vAlign w:val="bottom"/>
          </w:tcPr>
          <w:p>
            <w:pPr>
              <w:ind w:left="1140"/>
              <w:spacing w:after="0" w:line="168" w:lineRule="exact"/>
              <w:rPr>
                <w:sz w:val="20"/>
                <w:szCs w:val="20"/>
                <w:color w:val="auto"/>
              </w:rPr>
            </w:pPr>
            <w:r>
              <w:rPr>
                <w:rFonts w:ascii="Arial" w:cs="Arial" w:eastAsia="Arial" w:hAnsi="Arial"/>
                <w:sz w:val="16"/>
                <w:szCs w:val="16"/>
                <w:color w:val="auto"/>
              </w:rPr>
              <w:t>10-Q</w:t>
            </w:r>
          </w:p>
        </w:tc>
        <w:tc>
          <w:tcPr>
            <w:tcW w:w="920" w:type="dxa"/>
            <w:vAlign w:val="bottom"/>
          </w:tcPr>
          <w:p>
            <w:pPr>
              <w:ind w:left="60"/>
              <w:spacing w:after="0" w:line="168" w:lineRule="exact"/>
              <w:rPr>
                <w:sz w:val="20"/>
                <w:szCs w:val="20"/>
                <w:color w:val="auto"/>
              </w:rPr>
            </w:pPr>
            <w:r>
              <w:rPr>
                <w:rFonts w:ascii="Arial" w:cs="Arial" w:eastAsia="Arial" w:hAnsi="Arial"/>
                <w:sz w:val="16"/>
                <w:szCs w:val="16"/>
                <w:color w:val="auto"/>
              </w:rPr>
              <w:t>2/27/25</w:t>
            </w:r>
          </w:p>
        </w:tc>
        <w:tc>
          <w:tcPr>
            <w:tcW w:w="1060" w:type="dxa"/>
            <w:vAlign w:val="bottom"/>
          </w:tcPr>
          <w:p>
            <w:pPr>
              <w:ind w:left="140"/>
              <w:spacing w:after="0" w:line="168" w:lineRule="exact"/>
              <w:rPr>
                <w:sz w:val="20"/>
                <w:szCs w:val="20"/>
                <w:color w:val="auto"/>
              </w:rPr>
            </w:pPr>
            <w:r>
              <w:rPr>
                <w:rFonts w:ascii="Arial" w:cs="Arial" w:eastAsia="Arial" w:hAnsi="Arial"/>
                <w:sz w:val="16"/>
                <w:szCs w:val="16"/>
                <w:color w:val="auto"/>
              </w:rPr>
              <w:t>10.7</w:t>
            </w:r>
          </w:p>
        </w:tc>
        <w:tc>
          <w:tcPr>
            <w:tcW w:w="1200" w:type="dxa"/>
            <w:vAlign w:val="bottom"/>
          </w:tcPr>
          <w:p>
            <w:pPr>
              <w:ind w:left="220"/>
              <w:spacing w:after="0" w:line="168" w:lineRule="exact"/>
              <w:rPr>
                <w:sz w:val="20"/>
                <w:szCs w:val="20"/>
                <w:color w:val="auto"/>
              </w:rPr>
            </w:pPr>
            <w:r>
              <w:rPr>
                <w:rFonts w:ascii="Arial" w:cs="Arial" w:eastAsia="Arial" w:hAnsi="Arial"/>
                <w:sz w:val="16"/>
                <w:szCs w:val="16"/>
                <w:color w:val="auto"/>
              </w:rPr>
              <w:t>3/21/25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4200" w:type="dxa"/>
            <w:vAlign w:val="bottom"/>
            <w:tcBorders>
              <w:top w:val="single" w:sz="8" w:color="auto"/>
              <w:bottom w:val="single" w:sz="8" w:color="auto"/>
            </w:tcBorders>
            <w:gridSpan w:val="25"/>
          </w:tcPr>
          <w:p>
            <w:pPr>
              <w:spacing w:after="0" w:line="136" w:lineRule="exact"/>
              <w:rPr>
                <w:rFonts w:ascii="Arial" w:cs="Arial" w:eastAsia="Arial" w:hAnsi="Arial"/>
                <w:sz w:val="14"/>
                <w:szCs w:val="14"/>
                <w:color w:val="auto"/>
              </w:rPr>
            </w:pPr>
            <w:hyperlink r:id="rId224">
              <w:r>
                <w:rPr>
                  <w:rFonts w:ascii="Arial" w:cs="Arial" w:eastAsia="Arial" w:hAnsi="Arial"/>
                  <w:sz w:val="14"/>
                  <w:szCs w:val="14"/>
                  <w:color w:val="auto"/>
                </w:rPr>
                <w:t>between Micron Idaho Semiconductor Manufacturing (Triton)</w:t>
              </w:r>
            </w:hyperlink>
          </w:p>
        </w:tc>
        <w:tc>
          <w:tcPr>
            <w:tcW w:w="340" w:type="dxa"/>
            <w:vAlign w:val="bottom"/>
            <w:tcBorders>
              <w:bottom w:val="single" w:sz="8" w:color="auto"/>
            </w:tcBorders>
            <w:gridSpan w:val="10"/>
          </w:tcPr>
          <w:p>
            <w:pPr>
              <w:ind w:left="40"/>
              <w:spacing w:after="0" w:line="136" w:lineRule="exact"/>
              <w:rPr>
                <w:rFonts w:ascii="Arial" w:cs="Arial" w:eastAsia="Arial" w:hAnsi="Arial"/>
                <w:sz w:val="14"/>
                <w:szCs w:val="14"/>
                <w:color w:val="auto"/>
              </w:rPr>
            </w:pPr>
            <w:hyperlink r:id="rId224">
              <w:r>
                <w:rPr>
                  <w:rFonts w:ascii="Arial" w:cs="Arial" w:eastAsia="Arial" w:hAnsi="Arial"/>
                  <w:sz w:val="14"/>
                  <w:szCs w:val="14"/>
                  <w:color w:val="auto"/>
                </w:rPr>
                <w:t>LLC</w:t>
              </w:r>
            </w:hyperlink>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2440" w:type="dxa"/>
            <w:vAlign w:val="bottom"/>
            <w:tcBorders>
              <w:bottom w:val="single" w:sz="8" w:color="auto"/>
            </w:tcBorders>
            <w:gridSpan w:val="12"/>
          </w:tcPr>
          <w:p>
            <w:pPr>
              <w:spacing w:after="0" w:line="136" w:lineRule="exact"/>
              <w:rPr>
                <w:rFonts w:ascii="Arial" w:cs="Arial" w:eastAsia="Arial" w:hAnsi="Arial"/>
                <w:sz w:val="14"/>
                <w:szCs w:val="14"/>
                <w:color w:val="auto"/>
              </w:rPr>
            </w:pPr>
            <w:hyperlink r:id="rId224">
              <w:r>
                <w:rPr>
                  <w:rFonts w:ascii="Arial" w:cs="Arial" w:eastAsia="Arial" w:hAnsi="Arial"/>
                  <w:sz w:val="14"/>
                  <w:szCs w:val="14"/>
                  <w:color w:val="auto"/>
                </w:rPr>
                <w:t>and U.S. Department of Commerce</w:t>
              </w:r>
            </w:hyperlink>
          </w:p>
        </w:tc>
        <w:tc>
          <w:tcPr>
            <w:tcW w:w="2100" w:type="dxa"/>
            <w:vAlign w:val="bottom"/>
            <w:gridSpan w:val="23"/>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107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107" w:name="page108"/>
    <w:bookmarkEnd w:id="107"/>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gridSpan w:val="21"/>
            <w:vMerge w:val="restart"/>
          </w:tcPr>
          <w:p>
            <w:pPr>
              <w:ind w:left="720"/>
              <w:spacing w:after="0"/>
              <w:rPr>
                <w:sz w:val="20"/>
                <w:szCs w:val="20"/>
                <w:color w:val="auto"/>
              </w:rPr>
            </w:pPr>
            <w:r>
              <w:rPr>
                <w:rFonts w:ascii="Arial" w:cs="Arial" w:eastAsia="Arial" w:hAnsi="Arial"/>
                <w:sz w:val="16"/>
                <w:szCs w:val="16"/>
                <w:b w:val="1"/>
                <w:bCs w:val="1"/>
                <w:color w:val="auto"/>
              </w:rPr>
              <w:t>Description of Exhibit</w:t>
            </w:r>
          </w:p>
        </w:tc>
        <w:tc>
          <w:tcPr>
            <w:tcW w:w="1740" w:type="dxa"/>
            <w:vAlign w:val="bottom"/>
            <w:vMerge w:val="restart"/>
          </w:tcPr>
          <w:p>
            <w:pPr>
              <w:spacing w:after="0"/>
              <w:rPr>
                <w:sz w:val="20"/>
                <w:szCs w:val="20"/>
                <w:color w:val="auto"/>
              </w:rPr>
            </w:pPr>
            <w:r>
              <w:rPr>
                <w:rFonts w:ascii="Arial" w:cs="Arial" w:eastAsia="Arial" w:hAnsi="Arial"/>
                <w:sz w:val="16"/>
                <w:szCs w:val="16"/>
                <w:b w:val="1"/>
                <w:bCs w:val="1"/>
                <w:color w:val="auto"/>
              </w:rPr>
              <w:t>Filed Herewith  Form</w:t>
            </w:r>
          </w:p>
        </w:tc>
        <w:tc>
          <w:tcPr>
            <w:tcW w:w="940" w:type="dxa"/>
            <w:vAlign w:val="bottom"/>
          </w:tcPr>
          <w:p>
            <w:pPr>
              <w:jc w:val="right"/>
              <w:ind w:right="62"/>
              <w:spacing w:after="0"/>
              <w:rPr>
                <w:sz w:val="20"/>
                <w:szCs w:val="20"/>
                <w:color w:val="auto"/>
              </w:rPr>
            </w:pPr>
            <w:r>
              <w:rPr>
                <w:rFonts w:ascii="Arial" w:cs="Arial" w:eastAsia="Arial" w:hAnsi="Arial"/>
                <w:sz w:val="16"/>
                <w:szCs w:val="16"/>
                <w:b w:val="1"/>
                <w:bCs w:val="1"/>
                <w:color w:val="auto"/>
              </w:rPr>
              <w:t>Period</w:t>
            </w:r>
          </w:p>
        </w:tc>
        <w:tc>
          <w:tcPr>
            <w:tcW w:w="1160" w:type="dxa"/>
            <w:vAlign w:val="bottom"/>
          </w:tcPr>
          <w:p>
            <w:pPr>
              <w:ind w:left="400"/>
              <w:spacing w:after="0"/>
              <w:rPr>
                <w:sz w:val="20"/>
                <w:szCs w:val="20"/>
                <w:color w:val="auto"/>
              </w:rPr>
            </w:pPr>
            <w:r>
              <w:rPr>
                <w:rFonts w:ascii="Arial" w:cs="Arial" w:eastAsia="Arial" w:hAnsi="Arial"/>
                <w:sz w:val="16"/>
                <w:szCs w:val="16"/>
                <w:b w:val="1"/>
                <w:bCs w:val="1"/>
                <w:color w:val="auto"/>
              </w:rPr>
              <w:t>Exhibit/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04"/>
        </w:trPr>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Number</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1"/>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Ending</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Appendix</w:t>
            </w: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D1D2D4"/>
          </w:tcPr>
          <w:p>
            <w:pPr>
              <w:ind w:left="20"/>
              <w:spacing w:after="0" w:line="160" w:lineRule="exact"/>
              <w:rPr>
                <w:sz w:val="20"/>
                <w:szCs w:val="20"/>
                <w:color w:val="auto"/>
              </w:rPr>
            </w:pPr>
            <w:r>
              <w:rPr>
                <w:rFonts w:ascii="Arial" w:cs="Arial" w:eastAsia="Arial" w:hAnsi="Arial"/>
                <w:sz w:val="16"/>
                <w:szCs w:val="16"/>
                <w:color w:val="auto"/>
              </w:rPr>
              <w:t>10.27^</w:t>
            </w:r>
          </w:p>
        </w:tc>
        <w:tc>
          <w:tcPr>
            <w:tcW w:w="4600" w:type="dxa"/>
            <w:vAlign w:val="bottom"/>
            <w:tcBorders>
              <w:right w:val="single" w:sz="8" w:color="D1D2D4"/>
            </w:tcBorders>
            <w:gridSpan w:val="24"/>
            <w:shd w:val="clear" w:color="auto" w:fill="D1D2D4"/>
          </w:tcPr>
          <w:p>
            <w:pPr>
              <w:spacing w:after="0" w:line="160" w:lineRule="exact"/>
              <w:rPr>
                <w:rFonts w:ascii="Arial" w:cs="Arial" w:eastAsia="Arial" w:hAnsi="Arial"/>
                <w:sz w:val="16"/>
                <w:szCs w:val="16"/>
                <w:color w:val="auto"/>
              </w:rPr>
            </w:pPr>
            <w:hyperlink r:id="rId226">
              <w:r>
                <w:rPr>
                  <w:rFonts w:ascii="Arial" w:cs="Arial" w:eastAsia="Arial" w:hAnsi="Arial"/>
                  <w:sz w:val="16"/>
                  <w:szCs w:val="16"/>
                  <w:color w:val="auto"/>
                </w:rPr>
                <w:t>Direct Funding Agreement, dated December 9, 2024, by and</w:t>
              </w:r>
            </w:hyperlink>
          </w:p>
        </w:tc>
        <w:tc>
          <w:tcPr>
            <w:tcW w:w="1740" w:type="dxa"/>
            <w:vAlign w:val="bottom"/>
            <w:shd w:val="clear" w:color="auto" w:fill="D1D2D4"/>
          </w:tcPr>
          <w:p>
            <w:pPr>
              <w:ind w:left="1080"/>
              <w:spacing w:after="0" w:line="160" w:lineRule="exact"/>
              <w:rPr>
                <w:sz w:val="20"/>
                <w:szCs w:val="20"/>
                <w:color w:val="auto"/>
              </w:rPr>
            </w:pPr>
            <w:r>
              <w:rPr>
                <w:rFonts w:ascii="Arial" w:cs="Arial" w:eastAsia="Arial" w:hAnsi="Arial"/>
                <w:sz w:val="16"/>
                <w:szCs w:val="16"/>
                <w:color w:val="auto"/>
              </w:rPr>
              <w:t>10-Q</w:t>
            </w:r>
          </w:p>
        </w:tc>
        <w:tc>
          <w:tcPr>
            <w:tcW w:w="940" w:type="dxa"/>
            <w:vAlign w:val="bottom"/>
            <w:shd w:val="clear" w:color="auto" w:fill="D1D2D4"/>
          </w:tcPr>
          <w:p>
            <w:pPr>
              <w:jc w:val="right"/>
              <w:ind w:right="242"/>
              <w:spacing w:after="0" w:line="160" w:lineRule="exact"/>
              <w:rPr>
                <w:sz w:val="20"/>
                <w:szCs w:val="20"/>
                <w:color w:val="auto"/>
              </w:rPr>
            </w:pPr>
            <w:r>
              <w:rPr>
                <w:rFonts w:ascii="Arial" w:cs="Arial" w:eastAsia="Arial" w:hAnsi="Arial"/>
                <w:sz w:val="16"/>
                <w:szCs w:val="16"/>
                <w:color w:val="auto"/>
              </w:rPr>
              <w:t>2/27/25</w:t>
            </w:r>
          </w:p>
        </w:tc>
        <w:tc>
          <w:tcPr>
            <w:tcW w:w="1160" w:type="dxa"/>
            <w:vAlign w:val="bottom"/>
            <w:shd w:val="clear" w:color="auto" w:fill="D1D2D4"/>
          </w:tcPr>
          <w:p>
            <w:pPr>
              <w:ind w:left="100"/>
              <w:spacing w:after="0" w:line="160" w:lineRule="exact"/>
              <w:rPr>
                <w:sz w:val="20"/>
                <w:szCs w:val="20"/>
                <w:color w:val="auto"/>
              </w:rPr>
            </w:pPr>
            <w:r>
              <w:rPr>
                <w:rFonts w:ascii="Arial" w:cs="Arial" w:eastAsia="Arial" w:hAnsi="Arial"/>
                <w:sz w:val="16"/>
                <w:szCs w:val="16"/>
                <w:color w:val="auto"/>
              </w:rPr>
              <w:t>10.8</w:t>
            </w:r>
          </w:p>
        </w:tc>
        <w:tc>
          <w:tcPr>
            <w:tcW w:w="1040" w:type="dxa"/>
            <w:vAlign w:val="bottom"/>
            <w:shd w:val="clear" w:color="auto" w:fill="D1D2D4"/>
          </w:tcPr>
          <w:p>
            <w:pPr>
              <w:jc w:val="right"/>
              <w:ind w:right="322"/>
              <w:spacing w:after="0" w:line="160" w:lineRule="exact"/>
              <w:rPr>
                <w:sz w:val="20"/>
                <w:szCs w:val="20"/>
                <w:color w:val="auto"/>
              </w:rPr>
            </w:pPr>
            <w:r>
              <w:rPr>
                <w:rFonts w:ascii="Arial" w:cs="Arial" w:eastAsia="Arial" w:hAnsi="Arial"/>
                <w:sz w:val="16"/>
                <w:szCs w:val="16"/>
                <w:color w:val="auto"/>
              </w:rPr>
              <w:t>3/21/25</w:t>
            </w:r>
          </w:p>
        </w:tc>
        <w:tc>
          <w:tcPr>
            <w:tcW w:w="0" w:type="dxa"/>
            <w:vAlign w:val="bottom"/>
          </w:tcPr>
          <w:p>
            <w:pPr>
              <w:spacing w:after="0"/>
              <w:rPr>
                <w:sz w:val="1"/>
                <w:szCs w:val="1"/>
                <w:color w:val="auto"/>
              </w:rPr>
            </w:pPr>
          </w:p>
        </w:tc>
      </w:tr>
      <w:tr>
        <w:trPr>
          <w:trHeight w:val="136"/>
        </w:trPr>
        <w:tc>
          <w:tcPr>
            <w:tcW w:w="1080" w:type="dxa"/>
            <w:vAlign w:val="bottom"/>
            <w:tcBorders>
              <w:top w:val="single" w:sz="8" w:color="D1D2D4"/>
            </w:tcBorders>
            <w:shd w:val="clear" w:color="auto" w:fill="D1D2D4"/>
          </w:tcPr>
          <w:p>
            <w:pPr>
              <w:spacing w:after="0"/>
              <w:rPr>
                <w:sz w:val="11"/>
                <w:szCs w:val="11"/>
                <w:color w:val="auto"/>
              </w:rPr>
            </w:pPr>
          </w:p>
        </w:tc>
        <w:tc>
          <w:tcPr>
            <w:tcW w:w="4200" w:type="dxa"/>
            <w:vAlign w:val="bottom"/>
            <w:tcBorders>
              <w:top w:val="single" w:sz="8" w:color="auto"/>
            </w:tcBorders>
            <w:gridSpan w:val="16"/>
            <w:shd w:val="clear" w:color="auto" w:fill="D1D2D4"/>
          </w:tcPr>
          <w:p>
            <w:pPr>
              <w:spacing w:after="0" w:line="136" w:lineRule="exact"/>
              <w:rPr>
                <w:rFonts w:ascii="Arial" w:cs="Arial" w:eastAsia="Arial" w:hAnsi="Arial"/>
                <w:sz w:val="14"/>
                <w:szCs w:val="14"/>
                <w:color w:val="auto"/>
              </w:rPr>
            </w:pPr>
            <w:hyperlink r:id="rId226">
              <w:r>
                <w:rPr>
                  <w:rFonts w:ascii="Arial" w:cs="Arial" w:eastAsia="Arial" w:hAnsi="Arial"/>
                  <w:sz w:val="14"/>
                  <w:szCs w:val="14"/>
                  <w:color w:val="auto"/>
                </w:rPr>
                <w:t>between Micron New York Semiconductor Manufacturing LLC</w:t>
              </w:r>
            </w:hyperlink>
          </w:p>
        </w:tc>
        <w:tc>
          <w:tcPr>
            <w:tcW w:w="100" w:type="dxa"/>
            <w:vAlign w:val="bottom"/>
            <w:tcBorders>
              <w:top w:val="single" w:sz="8" w:color="D1D2D4"/>
              <w:right w:val="single" w:sz="8" w:color="D1D2D4"/>
            </w:tcBorders>
            <w:shd w:val="clear" w:color="auto" w:fill="D1D2D4"/>
          </w:tcPr>
          <w:p>
            <w:pPr>
              <w:spacing w:after="0"/>
              <w:rPr>
                <w:sz w:val="11"/>
                <w:szCs w:val="11"/>
                <w:color w:val="auto"/>
              </w:rPr>
            </w:pPr>
          </w:p>
        </w:tc>
        <w:tc>
          <w:tcPr>
            <w:tcW w:w="300" w:type="dxa"/>
            <w:vAlign w:val="bottom"/>
            <w:tcBorders>
              <w:top w:val="single" w:sz="8" w:color="D1D2D4"/>
              <w:right w:val="single" w:sz="8" w:color="D1D2D4"/>
            </w:tcBorders>
            <w:gridSpan w:val="7"/>
            <w:shd w:val="clear" w:color="auto" w:fill="D1D2D4"/>
          </w:tcPr>
          <w:p>
            <w:pPr>
              <w:spacing w:after="0" w:line="136" w:lineRule="exact"/>
              <w:rPr>
                <w:rFonts w:ascii="Arial" w:cs="Arial" w:eastAsia="Arial" w:hAnsi="Arial"/>
                <w:sz w:val="14"/>
                <w:szCs w:val="14"/>
                <w:color w:val="auto"/>
              </w:rPr>
            </w:pPr>
            <w:hyperlink r:id="rId226">
              <w:r>
                <w:rPr>
                  <w:rFonts w:ascii="Arial" w:cs="Arial" w:eastAsia="Arial" w:hAnsi="Arial"/>
                  <w:sz w:val="14"/>
                  <w:szCs w:val="14"/>
                  <w:color w:val="auto"/>
                </w:rPr>
                <w:t>and</w:t>
              </w:r>
            </w:hyperlink>
          </w:p>
        </w:tc>
        <w:tc>
          <w:tcPr>
            <w:tcW w:w="1740" w:type="dxa"/>
            <w:vAlign w:val="bottom"/>
            <w:tcBorders>
              <w:top w:val="single" w:sz="8" w:color="D1D2D4"/>
            </w:tcBorders>
            <w:shd w:val="clear" w:color="auto" w:fill="D1D2D4"/>
          </w:tcPr>
          <w:p>
            <w:pPr>
              <w:spacing w:after="0"/>
              <w:rPr>
                <w:sz w:val="11"/>
                <w:szCs w:val="11"/>
                <w:color w:val="auto"/>
              </w:rPr>
            </w:pPr>
          </w:p>
        </w:tc>
        <w:tc>
          <w:tcPr>
            <w:tcW w:w="940" w:type="dxa"/>
            <w:vAlign w:val="bottom"/>
            <w:tcBorders>
              <w:top w:val="single" w:sz="8" w:color="D1D2D4"/>
            </w:tcBorders>
            <w:shd w:val="clear" w:color="auto" w:fill="D1D2D4"/>
          </w:tcPr>
          <w:p>
            <w:pPr>
              <w:spacing w:after="0"/>
              <w:rPr>
                <w:sz w:val="11"/>
                <w:szCs w:val="11"/>
                <w:color w:val="auto"/>
              </w:rPr>
            </w:pPr>
          </w:p>
        </w:tc>
        <w:tc>
          <w:tcPr>
            <w:tcW w:w="1160" w:type="dxa"/>
            <w:vAlign w:val="bottom"/>
            <w:tcBorders>
              <w:top w:val="single" w:sz="8" w:color="D1D2D4"/>
            </w:tcBorders>
            <w:shd w:val="clear" w:color="auto" w:fill="D1D2D4"/>
          </w:tcPr>
          <w:p>
            <w:pPr>
              <w:spacing w:after="0"/>
              <w:rPr>
                <w:sz w:val="11"/>
                <w:szCs w:val="11"/>
                <w:color w:val="auto"/>
              </w:rPr>
            </w:pPr>
          </w:p>
        </w:tc>
        <w:tc>
          <w:tcPr>
            <w:tcW w:w="1040" w:type="dxa"/>
            <w:vAlign w:val="bottom"/>
            <w:tcBorders>
              <w:top w:val="single" w:sz="8" w:color="D1D2D4"/>
            </w:tcBorders>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2140" w:type="dxa"/>
            <w:vAlign w:val="bottom"/>
            <w:tcBorders>
              <w:top w:val="single" w:sz="8" w:color="auto"/>
              <w:bottom w:val="single" w:sz="8" w:color="auto"/>
            </w:tcBorders>
            <w:gridSpan w:val="5"/>
            <w:shd w:val="clear" w:color="auto" w:fill="D1D2D4"/>
          </w:tcPr>
          <w:p>
            <w:pPr>
              <w:spacing w:after="0" w:line="136" w:lineRule="exact"/>
              <w:rPr>
                <w:rFonts w:ascii="Arial" w:cs="Arial" w:eastAsia="Arial" w:hAnsi="Arial"/>
                <w:sz w:val="14"/>
                <w:szCs w:val="14"/>
                <w:color w:val="auto"/>
              </w:rPr>
            </w:pPr>
            <w:hyperlink r:id="rId226">
              <w:r>
                <w:rPr>
                  <w:rFonts w:ascii="Arial" w:cs="Arial" w:eastAsia="Arial" w:hAnsi="Arial"/>
                  <w:sz w:val="14"/>
                  <w:szCs w:val="14"/>
                  <w:color w:val="auto"/>
                </w:rPr>
                <w:t>U.S. Department of Commerce</w:t>
              </w:r>
            </w:hyperlink>
          </w:p>
        </w:tc>
        <w:tc>
          <w:tcPr>
            <w:tcW w:w="2460" w:type="dxa"/>
            <w:vAlign w:val="bottom"/>
            <w:tcBorders>
              <w:top w:val="single" w:sz="8" w:color="auto"/>
              <w:bottom w:val="single" w:sz="8" w:color="D1D2D4"/>
              <w:right w:val="single" w:sz="8" w:color="D1D2D4"/>
            </w:tcBorders>
            <w:gridSpan w:val="19"/>
            <w:shd w:val="clear" w:color="auto" w:fill="D1D2D4"/>
          </w:tcPr>
          <w:p>
            <w:pPr>
              <w:spacing w:after="0"/>
              <w:rPr>
                <w:sz w:val="13"/>
                <w:szCs w:val="13"/>
                <w:color w:val="auto"/>
              </w:rPr>
            </w:pPr>
          </w:p>
        </w:tc>
        <w:tc>
          <w:tcPr>
            <w:tcW w:w="1740" w:type="dxa"/>
            <w:vAlign w:val="bottom"/>
            <w:tcBorders>
              <w:top w:val="single" w:sz="8" w:color="D1D2D4"/>
              <w:bottom w:val="single" w:sz="8" w:color="D1D2D4"/>
            </w:tcBorders>
            <w:shd w:val="clear" w:color="auto" w:fill="D1D2D4"/>
          </w:tcPr>
          <w:p>
            <w:pPr>
              <w:spacing w:after="0"/>
              <w:rPr>
                <w:sz w:val="13"/>
                <w:szCs w:val="13"/>
                <w:color w:val="auto"/>
              </w:rPr>
            </w:pPr>
          </w:p>
        </w:tc>
        <w:tc>
          <w:tcPr>
            <w:tcW w:w="940" w:type="dxa"/>
            <w:vAlign w:val="bottom"/>
            <w:tcBorders>
              <w:top w:val="single" w:sz="8" w:color="D1D2D4"/>
              <w:bottom w:val="single" w:sz="8" w:color="D1D2D4"/>
            </w:tcBorders>
            <w:shd w:val="clear" w:color="auto" w:fill="D1D2D4"/>
          </w:tcPr>
          <w:p>
            <w:pPr>
              <w:spacing w:after="0"/>
              <w:rPr>
                <w:sz w:val="13"/>
                <w:szCs w:val="13"/>
                <w:color w:val="auto"/>
              </w:rPr>
            </w:pPr>
          </w:p>
        </w:tc>
        <w:tc>
          <w:tcPr>
            <w:tcW w:w="1160" w:type="dxa"/>
            <w:vAlign w:val="bottom"/>
            <w:tcBorders>
              <w:top w:val="single" w:sz="8" w:color="D1D2D4"/>
              <w:bottom w:val="single" w:sz="8" w:color="D1D2D4"/>
            </w:tcBorders>
            <w:shd w:val="clear" w:color="auto" w:fill="D1D2D4"/>
          </w:tcPr>
          <w:p>
            <w:pPr>
              <w:spacing w:after="0"/>
              <w:rPr>
                <w:sz w:val="13"/>
                <w:szCs w:val="13"/>
                <w:color w:val="auto"/>
              </w:rPr>
            </w:pPr>
          </w:p>
        </w:tc>
        <w:tc>
          <w:tcPr>
            <w:tcW w:w="104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10.28</w:t>
            </w:r>
          </w:p>
        </w:tc>
        <w:tc>
          <w:tcPr>
            <w:tcW w:w="4600" w:type="dxa"/>
            <w:vAlign w:val="bottom"/>
            <w:gridSpan w:val="24"/>
          </w:tcPr>
          <w:p>
            <w:pPr>
              <w:spacing w:after="0" w:line="168" w:lineRule="exact"/>
              <w:rPr>
                <w:rFonts w:ascii="Arial" w:cs="Arial" w:eastAsia="Arial" w:hAnsi="Arial"/>
                <w:sz w:val="16"/>
                <w:szCs w:val="16"/>
                <w:color w:val="auto"/>
              </w:rPr>
            </w:pPr>
            <w:hyperlink r:id="rId227">
              <w:r>
                <w:rPr>
                  <w:rFonts w:ascii="Arial" w:cs="Arial" w:eastAsia="Arial" w:hAnsi="Arial"/>
                  <w:sz w:val="16"/>
                  <w:szCs w:val="16"/>
                  <w:color w:val="auto"/>
                </w:rPr>
                <w:t>Guarantee and Equity Contribution Agreement, by and between</w:t>
              </w:r>
            </w:hyperlink>
          </w:p>
        </w:tc>
        <w:tc>
          <w:tcPr>
            <w:tcW w:w="1740" w:type="dxa"/>
            <w:vAlign w:val="bottom"/>
          </w:tcPr>
          <w:p>
            <w:pPr>
              <w:ind w:left="1080"/>
              <w:spacing w:after="0" w:line="168" w:lineRule="exact"/>
              <w:rPr>
                <w:sz w:val="20"/>
                <w:szCs w:val="20"/>
                <w:color w:val="auto"/>
              </w:rPr>
            </w:pPr>
            <w:r>
              <w:rPr>
                <w:rFonts w:ascii="Arial" w:cs="Arial" w:eastAsia="Arial" w:hAnsi="Arial"/>
                <w:sz w:val="16"/>
                <w:szCs w:val="16"/>
                <w:color w:val="auto"/>
              </w:rPr>
              <w:t>10-Q</w:t>
            </w:r>
          </w:p>
        </w:tc>
        <w:tc>
          <w:tcPr>
            <w:tcW w:w="940" w:type="dxa"/>
            <w:vAlign w:val="bottom"/>
          </w:tcPr>
          <w:p>
            <w:pPr>
              <w:jc w:val="right"/>
              <w:ind w:right="242"/>
              <w:spacing w:after="0" w:line="168" w:lineRule="exact"/>
              <w:rPr>
                <w:sz w:val="20"/>
                <w:szCs w:val="20"/>
                <w:color w:val="auto"/>
              </w:rPr>
            </w:pPr>
            <w:r>
              <w:rPr>
                <w:rFonts w:ascii="Arial" w:cs="Arial" w:eastAsia="Arial" w:hAnsi="Arial"/>
                <w:sz w:val="16"/>
                <w:szCs w:val="16"/>
                <w:color w:val="auto"/>
              </w:rPr>
              <w:t>2/27/25</w:t>
            </w:r>
          </w:p>
        </w:tc>
        <w:tc>
          <w:tcPr>
            <w:tcW w:w="1160" w:type="dxa"/>
            <w:vAlign w:val="bottom"/>
          </w:tcPr>
          <w:p>
            <w:pPr>
              <w:ind w:left="100"/>
              <w:spacing w:after="0" w:line="168" w:lineRule="exact"/>
              <w:rPr>
                <w:sz w:val="20"/>
                <w:szCs w:val="20"/>
                <w:color w:val="auto"/>
              </w:rPr>
            </w:pPr>
            <w:r>
              <w:rPr>
                <w:rFonts w:ascii="Arial" w:cs="Arial" w:eastAsia="Arial" w:hAnsi="Arial"/>
                <w:sz w:val="16"/>
                <w:szCs w:val="16"/>
                <w:color w:val="auto"/>
              </w:rPr>
              <w:t>10.9</w:t>
            </w:r>
          </w:p>
        </w:tc>
        <w:tc>
          <w:tcPr>
            <w:tcW w:w="1040" w:type="dxa"/>
            <w:vAlign w:val="bottom"/>
          </w:tcPr>
          <w:p>
            <w:pPr>
              <w:jc w:val="right"/>
              <w:ind w:right="322"/>
              <w:spacing w:after="0" w:line="168" w:lineRule="exact"/>
              <w:rPr>
                <w:sz w:val="20"/>
                <w:szCs w:val="20"/>
                <w:color w:val="auto"/>
              </w:rPr>
            </w:pPr>
            <w:r>
              <w:rPr>
                <w:rFonts w:ascii="Arial" w:cs="Arial" w:eastAsia="Arial" w:hAnsi="Arial"/>
                <w:sz w:val="16"/>
                <w:szCs w:val="16"/>
                <w:color w:val="auto"/>
              </w:rPr>
              <w:t>3/21/25</w:t>
            </w: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4180" w:type="dxa"/>
            <w:vAlign w:val="bottom"/>
            <w:tcBorders>
              <w:top w:val="single" w:sz="8" w:color="auto"/>
              <w:bottom w:val="single" w:sz="8" w:color="auto"/>
            </w:tcBorders>
            <w:gridSpan w:val="15"/>
          </w:tcPr>
          <w:p>
            <w:pPr>
              <w:spacing w:after="0" w:line="136" w:lineRule="exact"/>
              <w:rPr>
                <w:rFonts w:ascii="Arial" w:cs="Arial" w:eastAsia="Arial" w:hAnsi="Arial"/>
                <w:sz w:val="14"/>
                <w:szCs w:val="14"/>
                <w:color w:val="auto"/>
              </w:rPr>
            </w:pPr>
            <w:hyperlink r:id="rId227">
              <w:r>
                <w:rPr>
                  <w:rFonts w:ascii="Arial" w:cs="Arial" w:eastAsia="Arial" w:hAnsi="Arial"/>
                  <w:sz w:val="14"/>
                  <w:szCs w:val="14"/>
                  <w:color w:val="auto"/>
                </w:rPr>
                <w:t>Micron Technology, Inc. and U.S. Department of Commerce</w:t>
              </w:r>
            </w:hyperlink>
          </w:p>
        </w:tc>
        <w:tc>
          <w:tcPr>
            <w:tcW w:w="200" w:type="dxa"/>
            <w:vAlign w:val="bottom"/>
            <w:tcBorders>
              <w:top w:val="single" w:sz="8" w:color="auto"/>
            </w:tcBorders>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10.29</w:t>
            </w:r>
          </w:p>
        </w:tc>
        <w:tc>
          <w:tcPr>
            <w:tcW w:w="4600" w:type="dxa"/>
            <w:vAlign w:val="bottom"/>
            <w:tcBorders>
              <w:right w:val="single" w:sz="8" w:color="D1D2D4"/>
            </w:tcBorders>
            <w:gridSpan w:val="24"/>
            <w:shd w:val="clear" w:color="auto" w:fill="D1D2D4"/>
          </w:tcPr>
          <w:p>
            <w:pPr>
              <w:spacing w:after="0" w:line="176" w:lineRule="exact"/>
              <w:rPr>
                <w:rFonts w:ascii="Arial" w:cs="Arial" w:eastAsia="Arial" w:hAnsi="Arial"/>
                <w:sz w:val="16"/>
                <w:szCs w:val="16"/>
                <w:color w:val="auto"/>
              </w:rPr>
            </w:pPr>
            <w:hyperlink r:id="rId228">
              <w:r>
                <w:rPr>
                  <w:rFonts w:ascii="Arial" w:cs="Arial" w:eastAsia="Arial" w:hAnsi="Arial"/>
                  <w:sz w:val="16"/>
                  <w:szCs w:val="16"/>
                  <w:color w:val="auto"/>
                </w:rPr>
                <w:t>Credit Agreement, dated as of March 12, 2025, by and among</w:t>
              </w:r>
            </w:hyperlink>
          </w:p>
        </w:tc>
        <w:tc>
          <w:tcPr>
            <w:tcW w:w="1740" w:type="dxa"/>
            <w:vAlign w:val="bottom"/>
            <w:shd w:val="clear" w:color="auto" w:fill="D1D2D4"/>
          </w:tcPr>
          <w:p>
            <w:pPr>
              <w:ind w:left="1080"/>
              <w:spacing w:after="0" w:line="176" w:lineRule="exact"/>
              <w:rPr>
                <w:sz w:val="20"/>
                <w:szCs w:val="20"/>
                <w:color w:val="auto"/>
              </w:rPr>
            </w:pPr>
            <w:r>
              <w:rPr>
                <w:rFonts w:ascii="Arial" w:cs="Arial" w:eastAsia="Arial" w:hAnsi="Arial"/>
                <w:sz w:val="16"/>
                <w:szCs w:val="16"/>
                <w:color w:val="auto"/>
              </w:rPr>
              <w:t>10-Q</w:t>
            </w:r>
          </w:p>
        </w:tc>
        <w:tc>
          <w:tcPr>
            <w:tcW w:w="940" w:type="dxa"/>
            <w:vAlign w:val="bottom"/>
            <w:shd w:val="clear" w:color="auto" w:fill="D1D2D4"/>
          </w:tcPr>
          <w:p>
            <w:pPr>
              <w:jc w:val="right"/>
              <w:ind w:right="242"/>
              <w:spacing w:after="0" w:line="176" w:lineRule="exact"/>
              <w:rPr>
                <w:sz w:val="20"/>
                <w:szCs w:val="20"/>
                <w:color w:val="auto"/>
              </w:rPr>
            </w:pPr>
            <w:r>
              <w:rPr>
                <w:rFonts w:ascii="Arial" w:cs="Arial" w:eastAsia="Arial" w:hAnsi="Arial"/>
                <w:sz w:val="16"/>
                <w:szCs w:val="16"/>
                <w:color w:val="auto"/>
              </w:rPr>
              <w:t>2/27/25</w:t>
            </w:r>
          </w:p>
        </w:tc>
        <w:tc>
          <w:tcPr>
            <w:tcW w:w="1160" w:type="dxa"/>
            <w:vAlign w:val="bottom"/>
            <w:shd w:val="clear" w:color="auto" w:fill="D1D2D4"/>
          </w:tcPr>
          <w:p>
            <w:pPr>
              <w:ind w:left="100"/>
              <w:spacing w:after="0" w:line="176" w:lineRule="exact"/>
              <w:rPr>
                <w:sz w:val="20"/>
                <w:szCs w:val="20"/>
                <w:color w:val="auto"/>
              </w:rPr>
            </w:pPr>
            <w:r>
              <w:rPr>
                <w:rFonts w:ascii="Arial" w:cs="Arial" w:eastAsia="Arial" w:hAnsi="Arial"/>
                <w:sz w:val="16"/>
                <w:szCs w:val="16"/>
                <w:color w:val="auto"/>
              </w:rPr>
              <w:t>10.10</w:t>
            </w:r>
          </w:p>
        </w:tc>
        <w:tc>
          <w:tcPr>
            <w:tcW w:w="1040" w:type="dxa"/>
            <w:vAlign w:val="bottom"/>
            <w:shd w:val="clear" w:color="auto" w:fill="D1D2D4"/>
          </w:tcPr>
          <w:p>
            <w:pPr>
              <w:jc w:val="right"/>
              <w:ind w:right="322"/>
              <w:spacing w:after="0" w:line="176" w:lineRule="exact"/>
              <w:rPr>
                <w:sz w:val="20"/>
                <w:szCs w:val="20"/>
                <w:color w:val="auto"/>
              </w:rPr>
            </w:pPr>
            <w:r>
              <w:rPr>
                <w:rFonts w:ascii="Arial" w:cs="Arial" w:eastAsia="Arial" w:hAnsi="Arial"/>
                <w:sz w:val="16"/>
                <w:szCs w:val="16"/>
                <w:color w:val="auto"/>
              </w:rPr>
              <w:t>3/21/25</w:t>
            </w:r>
          </w:p>
        </w:tc>
        <w:tc>
          <w:tcPr>
            <w:tcW w:w="0" w:type="dxa"/>
            <w:vAlign w:val="bottom"/>
          </w:tcPr>
          <w:p>
            <w:pPr>
              <w:spacing w:after="0"/>
              <w:rPr>
                <w:sz w:val="1"/>
                <w:szCs w:val="1"/>
                <w:color w:val="auto"/>
              </w:rPr>
            </w:pPr>
          </w:p>
        </w:tc>
      </w:tr>
      <w:tr>
        <w:trPr>
          <w:trHeight w:val="20"/>
        </w:trPr>
        <w:tc>
          <w:tcPr>
            <w:tcW w:w="1080" w:type="dxa"/>
            <w:vAlign w:val="bottom"/>
            <w:shd w:val="clear" w:color="auto" w:fill="D1D2D4"/>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00" w:type="dxa"/>
            <w:vAlign w:val="bottom"/>
            <w:tcBorders>
              <w:right w:val="single" w:sz="8" w:color="D1D2D4"/>
            </w:tcBorders>
            <w:shd w:val="clear" w:color="auto" w:fill="D1D2D4"/>
          </w:tcPr>
          <w:p>
            <w:pPr>
              <w:spacing w:after="0" w:line="20" w:lineRule="exact"/>
              <w:rPr>
                <w:sz w:val="1"/>
                <w:szCs w:val="1"/>
                <w:color w:val="auto"/>
              </w:rPr>
            </w:pPr>
          </w:p>
        </w:tc>
        <w:tc>
          <w:tcPr>
            <w:tcW w:w="1740" w:type="dxa"/>
            <w:vAlign w:val="bottom"/>
            <w:shd w:val="clear" w:color="auto" w:fill="D1D2D4"/>
          </w:tcPr>
          <w:p>
            <w:pPr>
              <w:spacing w:after="0" w:line="20" w:lineRule="exact"/>
              <w:rPr>
                <w:sz w:val="1"/>
                <w:szCs w:val="1"/>
                <w:color w:val="auto"/>
              </w:rPr>
            </w:pPr>
          </w:p>
        </w:tc>
        <w:tc>
          <w:tcPr>
            <w:tcW w:w="940" w:type="dxa"/>
            <w:vAlign w:val="bottom"/>
            <w:shd w:val="clear" w:color="auto" w:fill="D1D2D4"/>
          </w:tcPr>
          <w:p>
            <w:pPr>
              <w:spacing w:after="0" w:line="20" w:lineRule="exact"/>
              <w:rPr>
                <w:sz w:val="1"/>
                <w:szCs w:val="1"/>
                <w:color w:val="auto"/>
              </w:rPr>
            </w:pPr>
          </w:p>
        </w:tc>
        <w:tc>
          <w:tcPr>
            <w:tcW w:w="1160" w:type="dxa"/>
            <w:vAlign w:val="bottom"/>
            <w:shd w:val="clear" w:color="auto" w:fill="D1D2D4"/>
          </w:tcPr>
          <w:p>
            <w:pPr>
              <w:spacing w:after="0" w:line="20" w:lineRule="exact"/>
              <w:rPr>
                <w:sz w:val="1"/>
                <w:szCs w:val="1"/>
                <w:color w:val="auto"/>
              </w:rPr>
            </w:pPr>
          </w:p>
        </w:tc>
        <w:tc>
          <w:tcPr>
            <w:tcW w:w="104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shd w:val="clear" w:color="auto" w:fill="D1D2D4"/>
          </w:tcPr>
          <w:p>
            <w:pPr>
              <w:spacing w:after="0"/>
              <w:rPr>
                <w:sz w:val="11"/>
                <w:szCs w:val="11"/>
                <w:color w:val="auto"/>
              </w:rPr>
            </w:pPr>
          </w:p>
        </w:tc>
        <w:tc>
          <w:tcPr>
            <w:tcW w:w="4600" w:type="dxa"/>
            <w:vAlign w:val="bottom"/>
            <w:tcBorders>
              <w:right w:val="single" w:sz="8" w:color="D1D2D4"/>
            </w:tcBorders>
            <w:gridSpan w:val="24"/>
            <w:shd w:val="clear" w:color="auto" w:fill="D1D2D4"/>
          </w:tcPr>
          <w:p>
            <w:pPr>
              <w:spacing w:after="0" w:line="136" w:lineRule="exact"/>
              <w:rPr>
                <w:rFonts w:ascii="Arial" w:cs="Arial" w:eastAsia="Arial" w:hAnsi="Arial"/>
                <w:sz w:val="14"/>
                <w:szCs w:val="14"/>
                <w:color w:val="auto"/>
              </w:rPr>
            </w:pPr>
            <w:hyperlink r:id="rId228">
              <w:r>
                <w:rPr>
                  <w:rFonts w:ascii="Arial" w:cs="Arial" w:eastAsia="Arial" w:hAnsi="Arial"/>
                  <w:sz w:val="14"/>
                  <w:szCs w:val="14"/>
                  <w:color w:val="auto"/>
                </w:rPr>
                <w:t>Micron Technology, Inc., as borrower, HSBC Bank USA, National</w:t>
              </w:r>
            </w:hyperlink>
          </w:p>
        </w:tc>
        <w:tc>
          <w:tcPr>
            <w:tcW w:w="1740" w:type="dxa"/>
            <w:vAlign w:val="bottom"/>
            <w:shd w:val="clear" w:color="auto" w:fill="D1D2D4"/>
          </w:tcPr>
          <w:p>
            <w:pPr>
              <w:spacing w:after="0"/>
              <w:rPr>
                <w:sz w:val="11"/>
                <w:szCs w:val="11"/>
                <w:color w:val="auto"/>
              </w:rPr>
            </w:pPr>
          </w:p>
        </w:tc>
        <w:tc>
          <w:tcPr>
            <w:tcW w:w="940" w:type="dxa"/>
            <w:vAlign w:val="bottom"/>
            <w:shd w:val="clear" w:color="auto" w:fill="D1D2D4"/>
          </w:tcPr>
          <w:p>
            <w:pPr>
              <w:spacing w:after="0"/>
              <w:rPr>
                <w:sz w:val="11"/>
                <w:szCs w:val="11"/>
                <w:color w:val="auto"/>
              </w:rPr>
            </w:pPr>
          </w:p>
        </w:tc>
        <w:tc>
          <w:tcPr>
            <w:tcW w:w="1160" w:type="dxa"/>
            <w:vAlign w:val="bottom"/>
            <w:shd w:val="clear" w:color="auto" w:fill="D1D2D4"/>
          </w:tcPr>
          <w:p>
            <w:pPr>
              <w:spacing w:after="0"/>
              <w:rPr>
                <w:sz w:val="11"/>
                <w:szCs w:val="11"/>
                <w:color w:val="auto"/>
              </w:rPr>
            </w:pPr>
          </w:p>
        </w:tc>
        <w:tc>
          <w:tcPr>
            <w:tcW w:w="104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80" w:type="dxa"/>
            <w:vAlign w:val="bottom"/>
            <w:tcBorders>
              <w:top w:val="single" w:sz="8" w:color="D1D2D4"/>
            </w:tcBorders>
            <w:shd w:val="clear" w:color="auto" w:fill="D1D2D4"/>
          </w:tcPr>
          <w:p>
            <w:pPr>
              <w:spacing w:after="0"/>
              <w:rPr>
                <w:sz w:val="11"/>
                <w:szCs w:val="11"/>
                <w:color w:val="auto"/>
              </w:rPr>
            </w:pPr>
          </w:p>
        </w:tc>
        <w:tc>
          <w:tcPr>
            <w:tcW w:w="4500" w:type="dxa"/>
            <w:vAlign w:val="bottom"/>
            <w:tcBorders>
              <w:top w:val="single" w:sz="8" w:color="auto"/>
            </w:tcBorders>
            <w:gridSpan w:val="23"/>
            <w:shd w:val="clear" w:color="auto" w:fill="D1D2D4"/>
          </w:tcPr>
          <w:p>
            <w:pPr>
              <w:spacing w:after="0" w:line="136" w:lineRule="exact"/>
              <w:rPr>
                <w:rFonts w:ascii="Arial" w:cs="Arial" w:eastAsia="Arial" w:hAnsi="Arial"/>
                <w:sz w:val="14"/>
                <w:szCs w:val="14"/>
                <w:color w:val="auto"/>
              </w:rPr>
            </w:pPr>
            <w:hyperlink r:id="rId228">
              <w:r>
                <w:rPr>
                  <w:rFonts w:ascii="Arial" w:cs="Arial" w:eastAsia="Arial" w:hAnsi="Arial"/>
                  <w:sz w:val="14"/>
                  <w:szCs w:val="14"/>
                  <w:color w:val="auto"/>
                </w:rPr>
                <w:t>Association, as administrative agent, the other agents party</w:t>
              </w:r>
            </w:hyperlink>
          </w:p>
        </w:tc>
        <w:tc>
          <w:tcPr>
            <w:tcW w:w="100" w:type="dxa"/>
            <w:vAlign w:val="bottom"/>
            <w:tcBorders>
              <w:top w:val="single" w:sz="8" w:color="D1D2D4"/>
              <w:right w:val="single" w:sz="8" w:color="D1D2D4"/>
            </w:tcBorders>
            <w:shd w:val="clear" w:color="auto" w:fill="D1D2D4"/>
          </w:tcPr>
          <w:p>
            <w:pPr>
              <w:spacing w:after="0"/>
              <w:rPr>
                <w:sz w:val="11"/>
                <w:szCs w:val="11"/>
                <w:color w:val="auto"/>
              </w:rPr>
            </w:pPr>
          </w:p>
        </w:tc>
        <w:tc>
          <w:tcPr>
            <w:tcW w:w="1740" w:type="dxa"/>
            <w:vAlign w:val="bottom"/>
            <w:tcBorders>
              <w:top w:val="single" w:sz="8" w:color="D1D2D4"/>
            </w:tcBorders>
            <w:shd w:val="clear" w:color="auto" w:fill="D1D2D4"/>
          </w:tcPr>
          <w:p>
            <w:pPr>
              <w:spacing w:after="0"/>
              <w:rPr>
                <w:sz w:val="11"/>
                <w:szCs w:val="11"/>
                <w:color w:val="auto"/>
              </w:rPr>
            </w:pPr>
          </w:p>
        </w:tc>
        <w:tc>
          <w:tcPr>
            <w:tcW w:w="940" w:type="dxa"/>
            <w:vAlign w:val="bottom"/>
            <w:tcBorders>
              <w:top w:val="single" w:sz="8" w:color="D1D2D4"/>
            </w:tcBorders>
            <w:shd w:val="clear" w:color="auto" w:fill="D1D2D4"/>
          </w:tcPr>
          <w:p>
            <w:pPr>
              <w:spacing w:after="0"/>
              <w:rPr>
                <w:sz w:val="11"/>
                <w:szCs w:val="11"/>
                <w:color w:val="auto"/>
              </w:rPr>
            </w:pPr>
          </w:p>
        </w:tc>
        <w:tc>
          <w:tcPr>
            <w:tcW w:w="1160" w:type="dxa"/>
            <w:vAlign w:val="bottom"/>
            <w:tcBorders>
              <w:top w:val="single" w:sz="8" w:color="D1D2D4"/>
            </w:tcBorders>
            <w:shd w:val="clear" w:color="auto" w:fill="D1D2D4"/>
          </w:tcPr>
          <w:p>
            <w:pPr>
              <w:spacing w:after="0"/>
              <w:rPr>
                <w:sz w:val="11"/>
                <w:szCs w:val="11"/>
                <w:color w:val="auto"/>
              </w:rPr>
            </w:pPr>
          </w:p>
        </w:tc>
        <w:tc>
          <w:tcPr>
            <w:tcW w:w="1040" w:type="dxa"/>
            <w:vAlign w:val="bottom"/>
            <w:tcBorders>
              <w:top w:val="single" w:sz="8" w:color="D1D2D4"/>
            </w:tcBorders>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80" w:type="dxa"/>
            <w:vAlign w:val="bottom"/>
            <w:tcBorders>
              <w:top w:val="single" w:sz="8" w:color="D1D2D4"/>
              <w:bottom w:val="single" w:sz="8" w:color="D1D2D4"/>
            </w:tcBorders>
            <w:shd w:val="clear" w:color="auto" w:fill="D1D2D4"/>
          </w:tcPr>
          <w:p>
            <w:pPr>
              <w:spacing w:after="0"/>
              <w:rPr>
                <w:sz w:val="11"/>
                <w:szCs w:val="11"/>
                <w:color w:val="auto"/>
              </w:rPr>
            </w:pPr>
          </w:p>
        </w:tc>
        <w:tc>
          <w:tcPr>
            <w:tcW w:w="4080" w:type="dxa"/>
            <w:vAlign w:val="bottom"/>
            <w:tcBorders>
              <w:top w:val="single" w:sz="8" w:color="auto"/>
              <w:bottom w:val="single" w:sz="8" w:color="auto"/>
            </w:tcBorders>
            <w:gridSpan w:val="13"/>
            <w:shd w:val="clear" w:color="auto" w:fill="D1D2D4"/>
          </w:tcPr>
          <w:p>
            <w:pPr>
              <w:spacing w:after="0" w:line="136" w:lineRule="exact"/>
              <w:rPr>
                <w:rFonts w:ascii="Arial" w:cs="Arial" w:eastAsia="Arial" w:hAnsi="Arial"/>
                <w:sz w:val="14"/>
                <w:szCs w:val="14"/>
                <w:color w:val="auto"/>
              </w:rPr>
            </w:pPr>
            <w:hyperlink r:id="rId228">
              <w:r>
                <w:rPr>
                  <w:rFonts w:ascii="Arial" w:cs="Arial" w:eastAsia="Arial" w:hAnsi="Arial"/>
                  <w:sz w:val="14"/>
                  <w:szCs w:val="14"/>
                  <w:color w:val="auto"/>
                </w:rPr>
                <w:t>thereto, and each financial institution party from time to time</w:t>
              </w:r>
            </w:hyperlink>
          </w:p>
        </w:tc>
        <w:tc>
          <w:tcPr>
            <w:tcW w:w="40" w:type="dxa"/>
            <w:vAlign w:val="bottom"/>
            <w:tcBorders>
              <w:top w:val="single" w:sz="8" w:color="D1D2D4"/>
              <w:bottom w:val="single" w:sz="8" w:color="auto"/>
            </w:tcBorders>
            <w:shd w:val="clear" w:color="auto" w:fill="D1D2D4"/>
          </w:tcPr>
          <w:p>
            <w:pPr>
              <w:spacing w:after="0"/>
              <w:rPr>
                <w:sz w:val="11"/>
                <w:szCs w:val="11"/>
                <w:color w:val="auto"/>
              </w:rPr>
            </w:pPr>
          </w:p>
        </w:tc>
        <w:tc>
          <w:tcPr>
            <w:tcW w:w="180" w:type="dxa"/>
            <w:vAlign w:val="bottom"/>
            <w:tcBorders>
              <w:top w:val="single" w:sz="8" w:color="D1D2D4"/>
              <w:bottom w:val="single" w:sz="8" w:color="D1D2D4"/>
              <w:right w:val="single" w:sz="8" w:color="D1D2D4"/>
            </w:tcBorders>
            <w:gridSpan w:val="3"/>
            <w:shd w:val="clear" w:color="auto" w:fill="D1D2D4"/>
          </w:tcPr>
          <w:p>
            <w:pPr>
              <w:spacing w:after="0"/>
              <w:rPr>
                <w:sz w:val="11"/>
                <w:szCs w:val="11"/>
                <w:color w:val="auto"/>
              </w:rPr>
            </w:pPr>
          </w:p>
        </w:tc>
        <w:tc>
          <w:tcPr>
            <w:tcW w:w="120" w:type="dxa"/>
            <w:vAlign w:val="bottom"/>
            <w:tcBorders>
              <w:top w:val="single" w:sz="8" w:color="D1D2D4"/>
              <w:bottom w:val="single" w:sz="8" w:color="D1D2D4"/>
            </w:tcBorders>
            <w:gridSpan w:val="2"/>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20" w:type="dxa"/>
            <w:vAlign w:val="bottom"/>
            <w:tcBorders>
              <w:top w:val="single" w:sz="8" w:color="D1D2D4"/>
              <w:bottom w:val="single" w:sz="8" w:color="D1D2D4"/>
            </w:tcBorders>
            <w:shd w:val="clear" w:color="auto" w:fill="D1D2D4"/>
          </w:tcPr>
          <w:p>
            <w:pPr>
              <w:spacing w:after="0"/>
              <w:rPr>
                <w:sz w:val="11"/>
                <w:szCs w:val="11"/>
                <w:color w:val="auto"/>
              </w:rPr>
            </w:pPr>
          </w:p>
        </w:tc>
        <w:tc>
          <w:tcPr>
            <w:tcW w:w="120" w:type="dxa"/>
            <w:vAlign w:val="bottom"/>
            <w:tcBorders>
              <w:top w:val="single" w:sz="8" w:color="D1D2D4"/>
              <w:bottom w:val="single" w:sz="8" w:color="D1D2D4"/>
              <w:right w:val="single" w:sz="8" w:color="D1D2D4"/>
            </w:tcBorders>
            <w:gridSpan w:val="2"/>
            <w:shd w:val="clear" w:color="auto" w:fill="D1D2D4"/>
          </w:tcPr>
          <w:p>
            <w:pPr>
              <w:spacing w:after="0"/>
              <w:rPr>
                <w:sz w:val="11"/>
                <w:szCs w:val="11"/>
                <w:color w:val="auto"/>
              </w:rPr>
            </w:pPr>
          </w:p>
        </w:tc>
        <w:tc>
          <w:tcPr>
            <w:tcW w:w="1740" w:type="dxa"/>
            <w:vAlign w:val="bottom"/>
            <w:tcBorders>
              <w:top w:val="single" w:sz="8" w:color="D1D2D4"/>
              <w:bottom w:val="single" w:sz="8" w:color="D1D2D4"/>
            </w:tcBorders>
            <w:shd w:val="clear" w:color="auto" w:fill="D1D2D4"/>
          </w:tcPr>
          <w:p>
            <w:pPr>
              <w:spacing w:after="0"/>
              <w:rPr>
                <w:sz w:val="11"/>
                <w:szCs w:val="11"/>
                <w:color w:val="auto"/>
              </w:rPr>
            </w:pPr>
          </w:p>
        </w:tc>
        <w:tc>
          <w:tcPr>
            <w:tcW w:w="940" w:type="dxa"/>
            <w:vAlign w:val="bottom"/>
            <w:tcBorders>
              <w:top w:val="single" w:sz="8" w:color="D1D2D4"/>
              <w:bottom w:val="single" w:sz="8" w:color="D1D2D4"/>
            </w:tcBorders>
            <w:shd w:val="clear" w:color="auto" w:fill="D1D2D4"/>
          </w:tcPr>
          <w:p>
            <w:pPr>
              <w:spacing w:after="0"/>
              <w:rPr>
                <w:sz w:val="11"/>
                <w:szCs w:val="11"/>
                <w:color w:val="auto"/>
              </w:rPr>
            </w:pPr>
          </w:p>
        </w:tc>
        <w:tc>
          <w:tcPr>
            <w:tcW w:w="1160" w:type="dxa"/>
            <w:vAlign w:val="bottom"/>
            <w:tcBorders>
              <w:top w:val="single" w:sz="8" w:color="D1D2D4"/>
              <w:bottom w:val="single" w:sz="8" w:color="D1D2D4"/>
            </w:tcBorders>
            <w:shd w:val="clear" w:color="auto" w:fill="D1D2D4"/>
          </w:tcPr>
          <w:p>
            <w:pPr>
              <w:spacing w:after="0"/>
              <w:rPr>
                <w:sz w:val="11"/>
                <w:szCs w:val="11"/>
                <w:color w:val="auto"/>
              </w:rPr>
            </w:pPr>
          </w:p>
        </w:tc>
        <w:tc>
          <w:tcPr>
            <w:tcW w:w="1040" w:type="dxa"/>
            <w:vAlign w:val="bottom"/>
            <w:tcBorders>
              <w:top w:val="single" w:sz="8" w:color="D1D2D4"/>
              <w:bottom w:val="single" w:sz="8" w:color="D1D2D4"/>
            </w:tcBorders>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tcBorders>
              <w:bottom w:val="single" w:sz="8" w:color="D1D2D4"/>
            </w:tcBorders>
            <w:shd w:val="clear" w:color="auto" w:fill="D1D2D4"/>
          </w:tcPr>
          <w:p>
            <w:pPr>
              <w:spacing w:after="0"/>
              <w:rPr>
                <w:sz w:val="13"/>
                <w:szCs w:val="13"/>
                <w:color w:val="auto"/>
              </w:rPr>
            </w:pPr>
          </w:p>
        </w:tc>
        <w:tc>
          <w:tcPr>
            <w:tcW w:w="480" w:type="dxa"/>
            <w:vAlign w:val="bottom"/>
            <w:tcBorders>
              <w:bottom w:val="single" w:sz="8" w:color="auto"/>
            </w:tcBorders>
            <w:shd w:val="clear" w:color="auto" w:fill="D1D2D4"/>
          </w:tcPr>
          <w:p>
            <w:pPr>
              <w:spacing w:after="0" w:line="136" w:lineRule="exact"/>
              <w:rPr>
                <w:rFonts w:ascii="Arial" w:cs="Arial" w:eastAsia="Arial" w:hAnsi="Arial"/>
                <w:sz w:val="14"/>
                <w:szCs w:val="14"/>
                <w:color w:val="auto"/>
              </w:rPr>
            </w:pPr>
            <w:hyperlink r:id="rId228">
              <w:r>
                <w:rPr>
                  <w:rFonts w:ascii="Arial" w:cs="Arial" w:eastAsia="Arial" w:hAnsi="Arial"/>
                  <w:sz w:val="14"/>
                  <w:szCs w:val="14"/>
                  <w:color w:val="auto"/>
                </w:rPr>
                <w:t>thereto</w:t>
              </w:r>
            </w:hyperlink>
          </w:p>
        </w:tc>
        <w:tc>
          <w:tcPr>
            <w:tcW w:w="3640" w:type="dxa"/>
            <w:vAlign w:val="bottom"/>
            <w:tcBorders>
              <w:bottom w:val="single" w:sz="8" w:color="D1D2D4"/>
            </w:tcBorders>
            <w:gridSpan w:val="13"/>
            <w:shd w:val="clear" w:color="auto" w:fill="D1D2D4"/>
          </w:tcPr>
          <w:p>
            <w:pPr>
              <w:spacing w:after="0"/>
              <w:rPr>
                <w:sz w:val="13"/>
                <w:szCs w:val="13"/>
                <w:color w:val="auto"/>
              </w:rPr>
            </w:pPr>
          </w:p>
        </w:tc>
        <w:tc>
          <w:tcPr>
            <w:tcW w:w="180" w:type="dxa"/>
            <w:vAlign w:val="bottom"/>
            <w:tcBorders>
              <w:bottom w:val="single" w:sz="8" w:color="D1D2D4"/>
              <w:right w:val="single" w:sz="8" w:color="D1D2D4"/>
            </w:tcBorders>
            <w:gridSpan w:val="3"/>
            <w:shd w:val="clear" w:color="auto" w:fill="D1D2D4"/>
          </w:tcPr>
          <w:p>
            <w:pPr>
              <w:spacing w:after="0"/>
              <w:rPr>
                <w:sz w:val="13"/>
                <w:szCs w:val="13"/>
                <w:color w:val="auto"/>
              </w:rPr>
            </w:pPr>
          </w:p>
        </w:tc>
        <w:tc>
          <w:tcPr>
            <w:tcW w:w="120" w:type="dxa"/>
            <w:vAlign w:val="bottom"/>
            <w:tcBorders>
              <w:bottom w:val="single" w:sz="8" w:color="D1D2D4"/>
            </w:tcBorders>
            <w:gridSpan w:val="2"/>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20" w:type="dxa"/>
            <w:vAlign w:val="bottom"/>
            <w:tcBorders>
              <w:bottom w:val="single" w:sz="8" w:color="D1D2D4"/>
            </w:tcBorders>
            <w:shd w:val="clear" w:color="auto" w:fill="D1D2D4"/>
          </w:tcPr>
          <w:p>
            <w:pPr>
              <w:spacing w:after="0"/>
              <w:rPr>
                <w:sz w:val="13"/>
                <w:szCs w:val="13"/>
                <w:color w:val="auto"/>
              </w:rPr>
            </w:pPr>
          </w:p>
        </w:tc>
        <w:tc>
          <w:tcPr>
            <w:tcW w:w="120" w:type="dxa"/>
            <w:vAlign w:val="bottom"/>
            <w:tcBorders>
              <w:bottom w:val="single" w:sz="8" w:color="D1D2D4"/>
              <w:right w:val="single" w:sz="8" w:color="D1D2D4"/>
            </w:tcBorders>
            <w:gridSpan w:val="2"/>
            <w:shd w:val="clear" w:color="auto" w:fill="D1D2D4"/>
          </w:tcPr>
          <w:p>
            <w:pPr>
              <w:spacing w:after="0"/>
              <w:rPr>
                <w:sz w:val="13"/>
                <w:szCs w:val="13"/>
                <w:color w:val="auto"/>
              </w:rPr>
            </w:pPr>
          </w:p>
        </w:tc>
        <w:tc>
          <w:tcPr>
            <w:tcW w:w="1740" w:type="dxa"/>
            <w:vAlign w:val="bottom"/>
            <w:tcBorders>
              <w:bottom w:val="single" w:sz="8" w:color="D1D2D4"/>
            </w:tcBorders>
            <w:shd w:val="clear" w:color="auto" w:fill="D1D2D4"/>
          </w:tcPr>
          <w:p>
            <w:pPr>
              <w:spacing w:after="0"/>
              <w:rPr>
                <w:sz w:val="13"/>
                <w:szCs w:val="13"/>
                <w:color w:val="auto"/>
              </w:rPr>
            </w:pPr>
          </w:p>
        </w:tc>
        <w:tc>
          <w:tcPr>
            <w:tcW w:w="94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D1D2D4"/>
            </w:tcBorders>
            <w:shd w:val="clear" w:color="auto" w:fill="D1D2D4"/>
          </w:tcPr>
          <w:p>
            <w:pPr>
              <w:spacing w:after="0"/>
              <w:rPr>
                <w:sz w:val="13"/>
                <w:szCs w:val="13"/>
                <w:color w:val="auto"/>
              </w:rPr>
            </w:pPr>
          </w:p>
        </w:tc>
        <w:tc>
          <w:tcPr>
            <w:tcW w:w="1040" w:type="dxa"/>
            <w:vAlign w:val="bottom"/>
            <w:tcBorders>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10.30^</w:t>
            </w:r>
          </w:p>
        </w:tc>
        <w:tc>
          <w:tcPr>
            <w:tcW w:w="3780" w:type="dxa"/>
            <w:vAlign w:val="bottom"/>
            <w:tcBorders>
              <w:bottom w:val="single" w:sz="8" w:color="auto"/>
            </w:tcBorders>
            <w:gridSpan w:val="9"/>
          </w:tcPr>
          <w:p>
            <w:pPr>
              <w:spacing w:after="0" w:line="168" w:lineRule="exact"/>
              <w:rPr>
                <w:rFonts w:ascii="Arial" w:cs="Arial" w:eastAsia="Arial" w:hAnsi="Arial"/>
                <w:sz w:val="16"/>
                <w:szCs w:val="16"/>
                <w:color w:val="auto"/>
                <w:w w:val="97"/>
              </w:rPr>
            </w:pPr>
            <w:hyperlink r:id="rId229">
              <w:r>
                <w:rPr>
                  <w:rFonts w:ascii="Arial" w:cs="Arial" w:eastAsia="Arial" w:hAnsi="Arial"/>
                  <w:sz w:val="16"/>
                  <w:szCs w:val="16"/>
                  <w:color w:val="auto"/>
                  <w:w w:val="97"/>
                </w:rPr>
                <w:t>Amendment No. 1 to Direct Funding Agreement, dated</w:t>
              </w:r>
            </w:hyperlink>
          </w:p>
        </w:tc>
        <w:tc>
          <w:tcPr>
            <w:tcW w:w="820" w:type="dxa"/>
            <w:vAlign w:val="bottom"/>
            <w:gridSpan w:val="15"/>
          </w:tcPr>
          <w:p>
            <w:pPr>
              <w:spacing w:after="0"/>
              <w:rPr>
                <w:sz w:val="14"/>
                <w:szCs w:val="14"/>
                <w:color w:val="auto"/>
              </w:rPr>
            </w:pPr>
          </w:p>
        </w:tc>
        <w:tc>
          <w:tcPr>
            <w:tcW w:w="1740" w:type="dxa"/>
            <w:vAlign w:val="bottom"/>
          </w:tcPr>
          <w:p>
            <w:pPr>
              <w:ind w:left="1080"/>
              <w:spacing w:after="0" w:line="168" w:lineRule="exact"/>
              <w:rPr>
                <w:sz w:val="20"/>
                <w:szCs w:val="20"/>
                <w:color w:val="auto"/>
              </w:rPr>
            </w:pPr>
            <w:r>
              <w:rPr>
                <w:rFonts w:ascii="Arial" w:cs="Arial" w:eastAsia="Arial" w:hAnsi="Arial"/>
                <w:sz w:val="16"/>
                <w:szCs w:val="16"/>
                <w:color w:val="auto"/>
              </w:rPr>
              <w:t>10-Q</w:t>
            </w:r>
          </w:p>
        </w:tc>
        <w:tc>
          <w:tcPr>
            <w:tcW w:w="940" w:type="dxa"/>
            <w:vAlign w:val="bottom"/>
          </w:tcPr>
          <w:p>
            <w:pPr>
              <w:jc w:val="right"/>
              <w:ind w:right="242"/>
              <w:spacing w:after="0" w:line="168" w:lineRule="exact"/>
              <w:rPr>
                <w:sz w:val="20"/>
                <w:szCs w:val="20"/>
                <w:color w:val="auto"/>
              </w:rPr>
            </w:pPr>
            <w:r>
              <w:rPr>
                <w:rFonts w:ascii="Arial" w:cs="Arial" w:eastAsia="Arial" w:hAnsi="Arial"/>
                <w:sz w:val="16"/>
                <w:szCs w:val="16"/>
                <w:color w:val="auto"/>
              </w:rPr>
              <w:t>2/27/25</w:t>
            </w:r>
          </w:p>
        </w:tc>
        <w:tc>
          <w:tcPr>
            <w:tcW w:w="1160" w:type="dxa"/>
            <w:vAlign w:val="bottom"/>
          </w:tcPr>
          <w:p>
            <w:pPr>
              <w:ind w:left="100"/>
              <w:spacing w:after="0" w:line="168" w:lineRule="exact"/>
              <w:rPr>
                <w:sz w:val="20"/>
                <w:szCs w:val="20"/>
                <w:color w:val="auto"/>
              </w:rPr>
            </w:pPr>
            <w:r>
              <w:rPr>
                <w:rFonts w:ascii="Arial" w:cs="Arial" w:eastAsia="Arial" w:hAnsi="Arial"/>
                <w:sz w:val="16"/>
                <w:szCs w:val="16"/>
                <w:color w:val="auto"/>
              </w:rPr>
              <w:t>10.11</w:t>
            </w:r>
          </w:p>
        </w:tc>
        <w:tc>
          <w:tcPr>
            <w:tcW w:w="1040" w:type="dxa"/>
            <w:vAlign w:val="bottom"/>
          </w:tcPr>
          <w:p>
            <w:pPr>
              <w:jc w:val="right"/>
              <w:ind w:right="322"/>
              <w:spacing w:after="0" w:line="168" w:lineRule="exact"/>
              <w:rPr>
                <w:sz w:val="20"/>
                <w:szCs w:val="20"/>
                <w:color w:val="auto"/>
              </w:rPr>
            </w:pPr>
            <w:r>
              <w:rPr>
                <w:rFonts w:ascii="Arial" w:cs="Arial" w:eastAsia="Arial" w:hAnsi="Arial"/>
                <w:sz w:val="16"/>
                <w:szCs w:val="16"/>
                <w:color w:val="auto"/>
              </w:rPr>
              <w:t>3/21/25</w:t>
            </w: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4600" w:type="dxa"/>
            <w:vAlign w:val="bottom"/>
            <w:gridSpan w:val="24"/>
          </w:tcPr>
          <w:p>
            <w:pPr>
              <w:spacing w:after="0" w:line="136" w:lineRule="exact"/>
              <w:rPr>
                <w:rFonts w:ascii="Arial" w:cs="Arial" w:eastAsia="Arial" w:hAnsi="Arial"/>
                <w:sz w:val="14"/>
                <w:szCs w:val="14"/>
                <w:color w:val="auto"/>
              </w:rPr>
            </w:pPr>
            <w:hyperlink r:id="rId229">
              <w:r>
                <w:rPr>
                  <w:rFonts w:ascii="Arial" w:cs="Arial" w:eastAsia="Arial" w:hAnsi="Arial"/>
                  <w:sz w:val="14"/>
                  <w:szCs w:val="14"/>
                  <w:color w:val="auto"/>
                </w:rPr>
                <w:t>January 17, 2025, by and between Micron Idaho Semiconductor</w:t>
              </w:r>
            </w:hyperlink>
          </w:p>
        </w:tc>
        <w:tc>
          <w:tcPr>
            <w:tcW w:w="1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4380" w:type="dxa"/>
            <w:vAlign w:val="bottom"/>
            <w:tcBorders>
              <w:top w:val="single" w:sz="8" w:color="auto"/>
              <w:bottom w:val="single" w:sz="8" w:color="auto"/>
            </w:tcBorders>
            <w:gridSpan w:val="18"/>
          </w:tcPr>
          <w:p>
            <w:pPr>
              <w:spacing w:after="0" w:line="136" w:lineRule="exact"/>
              <w:rPr>
                <w:rFonts w:ascii="Arial" w:cs="Arial" w:eastAsia="Arial" w:hAnsi="Arial"/>
                <w:sz w:val="14"/>
                <w:szCs w:val="14"/>
                <w:color w:val="auto"/>
              </w:rPr>
            </w:pPr>
            <w:hyperlink r:id="rId229">
              <w:r>
                <w:rPr>
                  <w:rFonts w:ascii="Arial" w:cs="Arial" w:eastAsia="Arial" w:hAnsi="Arial"/>
                  <w:sz w:val="14"/>
                  <w:szCs w:val="14"/>
                  <w:color w:val="auto"/>
                </w:rPr>
                <w:t>Manufacturing (Triton) LLC and U.S. Department of Commerce</w:t>
              </w:r>
            </w:hyperlink>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10.31^</w:t>
            </w:r>
          </w:p>
        </w:tc>
        <w:tc>
          <w:tcPr>
            <w:tcW w:w="4600" w:type="dxa"/>
            <w:vAlign w:val="bottom"/>
            <w:tcBorders>
              <w:right w:val="single" w:sz="8" w:color="D1D2D4"/>
            </w:tcBorders>
            <w:gridSpan w:val="24"/>
            <w:shd w:val="clear" w:color="auto" w:fill="D1D2D4"/>
          </w:tcPr>
          <w:p>
            <w:pPr>
              <w:spacing w:after="0" w:line="176" w:lineRule="exact"/>
              <w:rPr>
                <w:rFonts w:ascii="Arial" w:cs="Arial" w:eastAsia="Arial" w:hAnsi="Arial"/>
                <w:sz w:val="16"/>
                <w:szCs w:val="16"/>
                <w:color w:val="auto"/>
              </w:rPr>
            </w:pPr>
            <w:hyperlink r:id="rId230">
              <w:r>
                <w:rPr>
                  <w:rFonts w:ascii="Arial" w:cs="Arial" w:eastAsia="Arial" w:hAnsi="Arial"/>
                  <w:sz w:val="16"/>
                  <w:szCs w:val="16"/>
                  <w:color w:val="auto"/>
                </w:rPr>
                <w:t>Amendment No. 1 to Direct Funding Agreement, dated</w:t>
              </w:r>
            </w:hyperlink>
          </w:p>
        </w:tc>
        <w:tc>
          <w:tcPr>
            <w:tcW w:w="1740" w:type="dxa"/>
            <w:vAlign w:val="bottom"/>
            <w:shd w:val="clear" w:color="auto" w:fill="D1D2D4"/>
          </w:tcPr>
          <w:p>
            <w:pPr>
              <w:ind w:left="1080"/>
              <w:spacing w:after="0" w:line="176" w:lineRule="exact"/>
              <w:rPr>
                <w:sz w:val="20"/>
                <w:szCs w:val="20"/>
                <w:color w:val="auto"/>
              </w:rPr>
            </w:pPr>
            <w:r>
              <w:rPr>
                <w:rFonts w:ascii="Arial" w:cs="Arial" w:eastAsia="Arial" w:hAnsi="Arial"/>
                <w:sz w:val="16"/>
                <w:szCs w:val="16"/>
                <w:color w:val="auto"/>
              </w:rPr>
              <w:t>10-Q</w:t>
            </w:r>
          </w:p>
        </w:tc>
        <w:tc>
          <w:tcPr>
            <w:tcW w:w="940" w:type="dxa"/>
            <w:vAlign w:val="bottom"/>
            <w:shd w:val="clear" w:color="auto" w:fill="D1D2D4"/>
          </w:tcPr>
          <w:p>
            <w:pPr>
              <w:jc w:val="right"/>
              <w:ind w:right="242"/>
              <w:spacing w:after="0" w:line="176" w:lineRule="exact"/>
              <w:rPr>
                <w:sz w:val="20"/>
                <w:szCs w:val="20"/>
                <w:color w:val="auto"/>
              </w:rPr>
            </w:pPr>
            <w:r>
              <w:rPr>
                <w:rFonts w:ascii="Arial" w:cs="Arial" w:eastAsia="Arial" w:hAnsi="Arial"/>
                <w:sz w:val="16"/>
                <w:szCs w:val="16"/>
                <w:color w:val="auto"/>
              </w:rPr>
              <w:t>2/27/25</w:t>
            </w:r>
          </w:p>
        </w:tc>
        <w:tc>
          <w:tcPr>
            <w:tcW w:w="1160" w:type="dxa"/>
            <w:vAlign w:val="bottom"/>
            <w:shd w:val="clear" w:color="auto" w:fill="D1D2D4"/>
          </w:tcPr>
          <w:p>
            <w:pPr>
              <w:ind w:left="100"/>
              <w:spacing w:after="0" w:line="176" w:lineRule="exact"/>
              <w:rPr>
                <w:sz w:val="20"/>
                <w:szCs w:val="20"/>
                <w:color w:val="auto"/>
              </w:rPr>
            </w:pPr>
            <w:r>
              <w:rPr>
                <w:rFonts w:ascii="Arial" w:cs="Arial" w:eastAsia="Arial" w:hAnsi="Arial"/>
                <w:sz w:val="16"/>
                <w:szCs w:val="16"/>
                <w:color w:val="auto"/>
              </w:rPr>
              <w:t>10.12</w:t>
            </w:r>
          </w:p>
        </w:tc>
        <w:tc>
          <w:tcPr>
            <w:tcW w:w="1040" w:type="dxa"/>
            <w:vAlign w:val="bottom"/>
            <w:shd w:val="clear" w:color="auto" w:fill="D1D2D4"/>
          </w:tcPr>
          <w:p>
            <w:pPr>
              <w:jc w:val="right"/>
              <w:ind w:right="322"/>
              <w:spacing w:after="0" w:line="176" w:lineRule="exact"/>
              <w:rPr>
                <w:sz w:val="20"/>
                <w:szCs w:val="20"/>
                <w:color w:val="auto"/>
              </w:rPr>
            </w:pPr>
            <w:r>
              <w:rPr>
                <w:rFonts w:ascii="Arial" w:cs="Arial" w:eastAsia="Arial" w:hAnsi="Arial"/>
                <w:sz w:val="16"/>
                <w:szCs w:val="16"/>
                <w:color w:val="auto"/>
              </w:rPr>
              <w:t>3/21/25</w:t>
            </w:r>
          </w:p>
        </w:tc>
        <w:tc>
          <w:tcPr>
            <w:tcW w:w="0" w:type="dxa"/>
            <w:vAlign w:val="bottom"/>
          </w:tcPr>
          <w:p>
            <w:pPr>
              <w:spacing w:after="0"/>
              <w:rPr>
                <w:sz w:val="1"/>
                <w:szCs w:val="1"/>
                <w:color w:val="auto"/>
              </w:rPr>
            </w:pPr>
          </w:p>
        </w:tc>
      </w:tr>
      <w:tr>
        <w:trPr>
          <w:trHeight w:val="136"/>
        </w:trPr>
        <w:tc>
          <w:tcPr>
            <w:tcW w:w="1080" w:type="dxa"/>
            <w:vAlign w:val="bottom"/>
            <w:tcBorders>
              <w:top w:val="single" w:sz="8" w:color="D1D2D4"/>
            </w:tcBorders>
            <w:shd w:val="clear" w:color="auto" w:fill="D1D2D4"/>
          </w:tcPr>
          <w:p>
            <w:pPr>
              <w:spacing w:after="0"/>
              <w:rPr>
                <w:sz w:val="11"/>
                <w:szCs w:val="11"/>
                <w:color w:val="auto"/>
              </w:rPr>
            </w:pPr>
          </w:p>
        </w:tc>
        <w:tc>
          <w:tcPr>
            <w:tcW w:w="3780" w:type="dxa"/>
            <w:vAlign w:val="bottom"/>
            <w:tcBorders>
              <w:top w:val="single" w:sz="8" w:color="auto"/>
            </w:tcBorders>
            <w:gridSpan w:val="9"/>
            <w:shd w:val="clear" w:color="auto" w:fill="D1D2D4"/>
          </w:tcPr>
          <w:p>
            <w:pPr>
              <w:spacing w:after="0" w:line="136" w:lineRule="exact"/>
              <w:rPr>
                <w:rFonts w:ascii="Arial" w:cs="Arial" w:eastAsia="Arial" w:hAnsi="Arial"/>
                <w:sz w:val="14"/>
                <w:szCs w:val="14"/>
                <w:color w:val="auto"/>
              </w:rPr>
            </w:pPr>
            <w:hyperlink r:id="rId230">
              <w:r>
                <w:rPr>
                  <w:rFonts w:ascii="Arial" w:cs="Arial" w:eastAsia="Arial" w:hAnsi="Arial"/>
                  <w:sz w:val="14"/>
                  <w:szCs w:val="14"/>
                  <w:color w:val="auto"/>
                </w:rPr>
                <w:t>January 17, 2025, by and between Micron New York</w:t>
              </w:r>
            </w:hyperlink>
          </w:p>
        </w:tc>
        <w:tc>
          <w:tcPr>
            <w:tcW w:w="60" w:type="dxa"/>
            <w:vAlign w:val="bottom"/>
            <w:tcBorders>
              <w:top w:val="single" w:sz="8" w:color="D1D2D4"/>
            </w:tcBorders>
            <w:shd w:val="clear" w:color="auto" w:fill="D1D2D4"/>
          </w:tcPr>
          <w:p>
            <w:pPr>
              <w:spacing w:after="0"/>
              <w:rPr>
                <w:sz w:val="11"/>
                <w:szCs w:val="11"/>
                <w:color w:val="auto"/>
              </w:rPr>
            </w:pPr>
          </w:p>
        </w:tc>
        <w:tc>
          <w:tcPr>
            <w:tcW w:w="100" w:type="dxa"/>
            <w:vAlign w:val="bottom"/>
            <w:tcBorders>
              <w:top w:val="single" w:sz="8" w:color="D1D2D4"/>
            </w:tcBorders>
            <w:shd w:val="clear" w:color="auto" w:fill="D1D2D4"/>
          </w:tcPr>
          <w:p>
            <w:pPr>
              <w:spacing w:after="0"/>
              <w:rPr>
                <w:sz w:val="11"/>
                <w:szCs w:val="11"/>
                <w:color w:val="auto"/>
              </w:rPr>
            </w:pPr>
          </w:p>
        </w:tc>
        <w:tc>
          <w:tcPr>
            <w:tcW w:w="40" w:type="dxa"/>
            <w:vAlign w:val="bottom"/>
            <w:tcBorders>
              <w:top w:val="single" w:sz="8" w:color="D1D2D4"/>
            </w:tcBorders>
            <w:shd w:val="clear" w:color="auto" w:fill="D1D2D4"/>
          </w:tcPr>
          <w:p>
            <w:pPr>
              <w:spacing w:after="0"/>
              <w:rPr>
                <w:sz w:val="11"/>
                <w:szCs w:val="11"/>
                <w:color w:val="auto"/>
              </w:rPr>
            </w:pPr>
          </w:p>
        </w:tc>
        <w:tc>
          <w:tcPr>
            <w:tcW w:w="140" w:type="dxa"/>
            <w:vAlign w:val="bottom"/>
            <w:tcBorders>
              <w:top w:val="single" w:sz="8" w:color="D1D2D4"/>
            </w:tcBorders>
            <w:gridSpan w:val="2"/>
            <w:shd w:val="clear" w:color="auto" w:fill="D1D2D4"/>
          </w:tcPr>
          <w:p>
            <w:pPr>
              <w:spacing w:after="0"/>
              <w:rPr>
                <w:sz w:val="11"/>
                <w:szCs w:val="11"/>
                <w:color w:val="auto"/>
              </w:rPr>
            </w:pPr>
          </w:p>
        </w:tc>
        <w:tc>
          <w:tcPr>
            <w:tcW w:w="180" w:type="dxa"/>
            <w:vAlign w:val="bottom"/>
            <w:tcBorders>
              <w:top w:val="single" w:sz="8" w:color="D1D2D4"/>
              <w:right w:val="single" w:sz="8" w:color="D1D2D4"/>
            </w:tcBorders>
            <w:gridSpan w:val="3"/>
            <w:shd w:val="clear" w:color="auto" w:fill="D1D2D4"/>
          </w:tcPr>
          <w:p>
            <w:pPr>
              <w:spacing w:after="0"/>
              <w:rPr>
                <w:sz w:val="11"/>
                <w:szCs w:val="11"/>
                <w:color w:val="auto"/>
              </w:rPr>
            </w:pPr>
          </w:p>
        </w:tc>
        <w:tc>
          <w:tcPr>
            <w:tcW w:w="140" w:type="dxa"/>
            <w:vAlign w:val="bottom"/>
            <w:tcBorders>
              <w:top w:val="single" w:sz="8" w:color="D1D2D4"/>
            </w:tcBorders>
            <w:gridSpan w:val="3"/>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20" w:type="dxa"/>
            <w:vAlign w:val="bottom"/>
            <w:tcBorders>
              <w:top w:val="single" w:sz="8" w:color="D1D2D4"/>
            </w:tcBorders>
            <w:shd w:val="clear" w:color="auto" w:fill="D1D2D4"/>
          </w:tcPr>
          <w:p>
            <w:pPr>
              <w:spacing w:after="0"/>
              <w:rPr>
                <w:sz w:val="11"/>
                <w:szCs w:val="11"/>
                <w:color w:val="auto"/>
              </w:rPr>
            </w:pPr>
          </w:p>
        </w:tc>
        <w:tc>
          <w:tcPr>
            <w:tcW w:w="120" w:type="dxa"/>
            <w:vAlign w:val="bottom"/>
            <w:tcBorders>
              <w:top w:val="single" w:sz="8" w:color="D1D2D4"/>
              <w:right w:val="single" w:sz="8" w:color="D1D2D4"/>
            </w:tcBorders>
            <w:gridSpan w:val="2"/>
            <w:shd w:val="clear" w:color="auto" w:fill="D1D2D4"/>
          </w:tcPr>
          <w:p>
            <w:pPr>
              <w:spacing w:after="0"/>
              <w:rPr>
                <w:sz w:val="11"/>
                <w:szCs w:val="11"/>
                <w:color w:val="auto"/>
              </w:rPr>
            </w:pPr>
          </w:p>
        </w:tc>
        <w:tc>
          <w:tcPr>
            <w:tcW w:w="1740" w:type="dxa"/>
            <w:vAlign w:val="bottom"/>
            <w:tcBorders>
              <w:top w:val="single" w:sz="8" w:color="D1D2D4"/>
            </w:tcBorders>
            <w:shd w:val="clear" w:color="auto" w:fill="D1D2D4"/>
          </w:tcPr>
          <w:p>
            <w:pPr>
              <w:spacing w:after="0"/>
              <w:rPr>
                <w:sz w:val="11"/>
                <w:szCs w:val="11"/>
                <w:color w:val="auto"/>
              </w:rPr>
            </w:pPr>
          </w:p>
        </w:tc>
        <w:tc>
          <w:tcPr>
            <w:tcW w:w="940" w:type="dxa"/>
            <w:vAlign w:val="bottom"/>
            <w:tcBorders>
              <w:top w:val="single" w:sz="8" w:color="D1D2D4"/>
            </w:tcBorders>
            <w:shd w:val="clear" w:color="auto" w:fill="D1D2D4"/>
          </w:tcPr>
          <w:p>
            <w:pPr>
              <w:spacing w:after="0"/>
              <w:rPr>
                <w:sz w:val="11"/>
                <w:szCs w:val="11"/>
                <w:color w:val="auto"/>
              </w:rPr>
            </w:pPr>
          </w:p>
        </w:tc>
        <w:tc>
          <w:tcPr>
            <w:tcW w:w="1160" w:type="dxa"/>
            <w:vAlign w:val="bottom"/>
            <w:tcBorders>
              <w:top w:val="single" w:sz="8" w:color="D1D2D4"/>
            </w:tcBorders>
            <w:shd w:val="clear" w:color="auto" w:fill="D1D2D4"/>
          </w:tcPr>
          <w:p>
            <w:pPr>
              <w:spacing w:after="0"/>
              <w:rPr>
                <w:sz w:val="11"/>
                <w:szCs w:val="11"/>
                <w:color w:val="auto"/>
              </w:rPr>
            </w:pPr>
          </w:p>
        </w:tc>
        <w:tc>
          <w:tcPr>
            <w:tcW w:w="1040" w:type="dxa"/>
            <w:vAlign w:val="bottom"/>
            <w:tcBorders>
              <w:top w:val="single" w:sz="8" w:color="D1D2D4"/>
            </w:tcBorders>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D1D2D4"/>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D1D2D4"/>
            </w:tcBorders>
            <w:shd w:val="clear" w:color="auto" w:fill="000000"/>
          </w:tcPr>
          <w:p>
            <w:pPr>
              <w:spacing w:after="0" w:line="20" w:lineRule="exact"/>
              <w:rPr>
                <w:sz w:val="1"/>
                <w:szCs w:val="1"/>
                <w:color w:val="auto"/>
              </w:rPr>
            </w:pPr>
          </w:p>
        </w:tc>
        <w:tc>
          <w:tcPr>
            <w:tcW w:w="120" w:type="dxa"/>
            <w:vAlign w:val="bottom"/>
            <w:gridSpan w:val="2"/>
            <w:shd w:val="clear" w:color="auto" w:fill="D1D2D4"/>
          </w:tcPr>
          <w:p>
            <w:pPr>
              <w:spacing w:after="0" w:line="20" w:lineRule="exact"/>
              <w:rPr>
                <w:sz w:val="1"/>
                <w:szCs w:val="1"/>
                <w:color w:val="auto"/>
              </w:rPr>
            </w:pPr>
          </w:p>
        </w:tc>
        <w:tc>
          <w:tcPr>
            <w:tcW w:w="100" w:type="dxa"/>
            <w:vAlign w:val="bottom"/>
            <w:shd w:val="clear" w:color="auto" w:fill="D1D2D4"/>
          </w:tcPr>
          <w:p>
            <w:pPr>
              <w:spacing w:after="0" w:line="20" w:lineRule="exact"/>
              <w:rPr>
                <w:sz w:val="1"/>
                <w:szCs w:val="1"/>
                <w:color w:val="auto"/>
              </w:rPr>
            </w:pPr>
          </w:p>
        </w:tc>
        <w:tc>
          <w:tcPr>
            <w:tcW w:w="40" w:type="dxa"/>
            <w:vAlign w:val="bottom"/>
            <w:shd w:val="clear" w:color="auto" w:fill="D1D2D4"/>
          </w:tcPr>
          <w:p>
            <w:pPr>
              <w:spacing w:after="0" w:line="20" w:lineRule="exact"/>
              <w:rPr>
                <w:sz w:val="1"/>
                <w:szCs w:val="1"/>
                <w:color w:val="auto"/>
              </w:rPr>
            </w:pPr>
          </w:p>
        </w:tc>
        <w:tc>
          <w:tcPr>
            <w:tcW w:w="140" w:type="dxa"/>
            <w:vAlign w:val="bottom"/>
            <w:gridSpan w:val="2"/>
            <w:shd w:val="clear" w:color="auto" w:fill="D1D2D4"/>
          </w:tcPr>
          <w:p>
            <w:pPr>
              <w:spacing w:after="0" w:line="20" w:lineRule="exact"/>
              <w:rPr>
                <w:sz w:val="1"/>
                <w:szCs w:val="1"/>
                <w:color w:val="auto"/>
              </w:rPr>
            </w:pPr>
          </w:p>
        </w:tc>
        <w:tc>
          <w:tcPr>
            <w:tcW w:w="180" w:type="dxa"/>
            <w:vAlign w:val="bottom"/>
            <w:tcBorders>
              <w:right w:val="single" w:sz="8" w:color="D1D2D4"/>
            </w:tcBorders>
            <w:gridSpan w:val="3"/>
            <w:shd w:val="clear" w:color="auto" w:fill="D1D2D4"/>
          </w:tcPr>
          <w:p>
            <w:pPr>
              <w:spacing w:after="0" w:line="20" w:lineRule="exact"/>
              <w:rPr>
                <w:sz w:val="1"/>
                <w:szCs w:val="1"/>
                <w:color w:val="auto"/>
              </w:rPr>
            </w:pPr>
          </w:p>
        </w:tc>
        <w:tc>
          <w:tcPr>
            <w:tcW w:w="140" w:type="dxa"/>
            <w:vAlign w:val="bottom"/>
            <w:gridSpan w:val="3"/>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20" w:type="dxa"/>
            <w:vAlign w:val="bottom"/>
            <w:tcBorders>
              <w:right w:val="single" w:sz="8" w:color="D1D2D4"/>
            </w:tcBorders>
            <w:gridSpan w:val="2"/>
            <w:shd w:val="clear" w:color="auto" w:fill="D1D2D4"/>
          </w:tcPr>
          <w:p>
            <w:pPr>
              <w:spacing w:after="0" w:line="20" w:lineRule="exact"/>
              <w:rPr>
                <w:sz w:val="1"/>
                <w:szCs w:val="1"/>
                <w:color w:val="auto"/>
              </w:rPr>
            </w:pPr>
          </w:p>
        </w:tc>
        <w:tc>
          <w:tcPr>
            <w:tcW w:w="1740" w:type="dxa"/>
            <w:vAlign w:val="bottom"/>
            <w:shd w:val="clear" w:color="auto" w:fill="D1D2D4"/>
          </w:tcPr>
          <w:p>
            <w:pPr>
              <w:spacing w:after="0" w:line="20" w:lineRule="exact"/>
              <w:rPr>
                <w:sz w:val="1"/>
                <w:szCs w:val="1"/>
                <w:color w:val="auto"/>
              </w:rPr>
            </w:pPr>
          </w:p>
        </w:tc>
        <w:tc>
          <w:tcPr>
            <w:tcW w:w="940" w:type="dxa"/>
            <w:vAlign w:val="bottom"/>
            <w:shd w:val="clear" w:color="auto" w:fill="D1D2D4"/>
          </w:tcPr>
          <w:p>
            <w:pPr>
              <w:spacing w:after="0" w:line="20" w:lineRule="exact"/>
              <w:rPr>
                <w:sz w:val="1"/>
                <w:szCs w:val="1"/>
                <w:color w:val="auto"/>
              </w:rPr>
            </w:pPr>
          </w:p>
        </w:tc>
        <w:tc>
          <w:tcPr>
            <w:tcW w:w="1160" w:type="dxa"/>
            <w:vAlign w:val="bottom"/>
            <w:shd w:val="clear" w:color="auto" w:fill="D1D2D4"/>
          </w:tcPr>
          <w:p>
            <w:pPr>
              <w:spacing w:after="0" w:line="20" w:lineRule="exact"/>
              <w:rPr>
                <w:sz w:val="1"/>
                <w:szCs w:val="1"/>
                <w:color w:val="auto"/>
              </w:rPr>
            </w:pPr>
          </w:p>
        </w:tc>
        <w:tc>
          <w:tcPr>
            <w:tcW w:w="104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80" w:type="dxa"/>
            <w:vAlign w:val="bottom"/>
            <w:shd w:val="clear" w:color="auto" w:fill="D1D2D4"/>
          </w:tcPr>
          <w:p>
            <w:pPr>
              <w:spacing w:after="0"/>
              <w:rPr>
                <w:sz w:val="11"/>
                <w:szCs w:val="11"/>
                <w:color w:val="auto"/>
              </w:rPr>
            </w:pPr>
          </w:p>
        </w:tc>
        <w:tc>
          <w:tcPr>
            <w:tcW w:w="4600" w:type="dxa"/>
            <w:vAlign w:val="bottom"/>
            <w:tcBorders>
              <w:right w:val="single" w:sz="8" w:color="D1D2D4"/>
            </w:tcBorders>
            <w:gridSpan w:val="24"/>
            <w:shd w:val="clear" w:color="auto" w:fill="D1D2D4"/>
          </w:tcPr>
          <w:p>
            <w:pPr>
              <w:spacing w:after="0" w:line="136" w:lineRule="exact"/>
              <w:rPr>
                <w:rFonts w:ascii="Arial" w:cs="Arial" w:eastAsia="Arial" w:hAnsi="Arial"/>
                <w:sz w:val="14"/>
                <w:szCs w:val="14"/>
                <w:color w:val="auto"/>
              </w:rPr>
            </w:pPr>
            <w:hyperlink r:id="rId230">
              <w:r>
                <w:rPr>
                  <w:rFonts w:ascii="Arial" w:cs="Arial" w:eastAsia="Arial" w:hAnsi="Arial"/>
                  <w:sz w:val="14"/>
                  <w:szCs w:val="14"/>
                  <w:color w:val="auto"/>
                </w:rPr>
                <w:t>Semiconductor Manufacturing LLC and U.S. Department of</w:t>
              </w:r>
            </w:hyperlink>
          </w:p>
        </w:tc>
        <w:tc>
          <w:tcPr>
            <w:tcW w:w="1740" w:type="dxa"/>
            <w:vAlign w:val="bottom"/>
            <w:shd w:val="clear" w:color="auto" w:fill="D1D2D4"/>
          </w:tcPr>
          <w:p>
            <w:pPr>
              <w:spacing w:after="0"/>
              <w:rPr>
                <w:sz w:val="11"/>
                <w:szCs w:val="11"/>
                <w:color w:val="auto"/>
              </w:rPr>
            </w:pPr>
          </w:p>
        </w:tc>
        <w:tc>
          <w:tcPr>
            <w:tcW w:w="940" w:type="dxa"/>
            <w:vAlign w:val="bottom"/>
            <w:shd w:val="clear" w:color="auto" w:fill="D1D2D4"/>
          </w:tcPr>
          <w:p>
            <w:pPr>
              <w:spacing w:after="0"/>
              <w:rPr>
                <w:sz w:val="11"/>
                <w:szCs w:val="11"/>
                <w:color w:val="auto"/>
              </w:rPr>
            </w:pPr>
          </w:p>
        </w:tc>
        <w:tc>
          <w:tcPr>
            <w:tcW w:w="1160" w:type="dxa"/>
            <w:vAlign w:val="bottom"/>
            <w:shd w:val="clear" w:color="auto" w:fill="D1D2D4"/>
          </w:tcPr>
          <w:p>
            <w:pPr>
              <w:spacing w:after="0"/>
              <w:rPr>
                <w:sz w:val="11"/>
                <w:szCs w:val="11"/>
                <w:color w:val="auto"/>
              </w:rPr>
            </w:pPr>
          </w:p>
        </w:tc>
        <w:tc>
          <w:tcPr>
            <w:tcW w:w="104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760" w:type="dxa"/>
            <w:vAlign w:val="bottom"/>
            <w:tcBorders>
              <w:top w:val="single" w:sz="8" w:color="auto"/>
              <w:bottom w:val="single" w:sz="8" w:color="auto"/>
            </w:tcBorders>
            <w:gridSpan w:val="3"/>
            <w:shd w:val="clear" w:color="auto" w:fill="D1D2D4"/>
          </w:tcPr>
          <w:p>
            <w:pPr>
              <w:spacing w:after="0" w:line="136" w:lineRule="exact"/>
              <w:rPr>
                <w:rFonts w:ascii="Arial" w:cs="Arial" w:eastAsia="Arial" w:hAnsi="Arial"/>
                <w:sz w:val="14"/>
                <w:szCs w:val="14"/>
                <w:color w:val="auto"/>
              </w:rPr>
            </w:pPr>
            <w:hyperlink r:id="rId230">
              <w:r>
                <w:rPr>
                  <w:rFonts w:ascii="Arial" w:cs="Arial" w:eastAsia="Arial" w:hAnsi="Arial"/>
                  <w:sz w:val="14"/>
                  <w:szCs w:val="14"/>
                  <w:color w:val="auto"/>
                </w:rPr>
                <w:t>Commerce</w:t>
              </w:r>
            </w:hyperlink>
          </w:p>
        </w:tc>
        <w:tc>
          <w:tcPr>
            <w:tcW w:w="3320" w:type="dxa"/>
            <w:vAlign w:val="bottom"/>
            <w:tcBorders>
              <w:top w:val="single" w:sz="8" w:color="auto"/>
              <w:bottom w:val="single" w:sz="8" w:color="D1D2D4"/>
            </w:tcBorders>
            <w:gridSpan w:val="10"/>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80" w:type="dxa"/>
            <w:vAlign w:val="bottom"/>
            <w:tcBorders>
              <w:top w:val="single" w:sz="8" w:color="D1D2D4"/>
              <w:bottom w:val="single" w:sz="8" w:color="D1D2D4"/>
              <w:right w:val="single" w:sz="8" w:color="D1D2D4"/>
            </w:tcBorders>
            <w:gridSpan w:val="3"/>
            <w:shd w:val="clear" w:color="auto" w:fill="D1D2D4"/>
          </w:tcPr>
          <w:p>
            <w:pPr>
              <w:spacing w:after="0"/>
              <w:rPr>
                <w:sz w:val="13"/>
                <w:szCs w:val="13"/>
                <w:color w:val="auto"/>
              </w:rPr>
            </w:pPr>
          </w:p>
        </w:tc>
        <w:tc>
          <w:tcPr>
            <w:tcW w:w="140" w:type="dxa"/>
            <w:vAlign w:val="bottom"/>
            <w:tcBorders>
              <w:top w:val="single" w:sz="8" w:color="D1D2D4"/>
              <w:bottom w:val="single" w:sz="8" w:color="D1D2D4"/>
            </w:tcBorders>
            <w:gridSpan w:val="3"/>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20" w:type="dxa"/>
            <w:vAlign w:val="bottom"/>
            <w:tcBorders>
              <w:top w:val="single" w:sz="8" w:color="D1D2D4"/>
              <w:bottom w:val="single" w:sz="8" w:color="D1D2D4"/>
              <w:right w:val="single" w:sz="8" w:color="D1D2D4"/>
            </w:tcBorders>
            <w:gridSpan w:val="2"/>
            <w:shd w:val="clear" w:color="auto" w:fill="D1D2D4"/>
          </w:tcPr>
          <w:p>
            <w:pPr>
              <w:spacing w:after="0"/>
              <w:rPr>
                <w:sz w:val="13"/>
                <w:szCs w:val="13"/>
                <w:color w:val="auto"/>
              </w:rPr>
            </w:pPr>
          </w:p>
        </w:tc>
        <w:tc>
          <w:tcPr>
            <w:tcW w:w="1740" w:type="dxa"/>
            <w:vAlign w:val="bottom"/>
            <w:tcBorders>
              <w:top w:val="single" w:sz="8" w:color="D1D2D4"/>
              <w:bottom w:val="single" w:sz="8" w:color="D1D2D4"/>
            </w:tcBorders>
            <w:shd w:val="clear" w:color="auto" w:fill="D1D2D4"/>
          </w:tcPr>
          <w:p>
            <w:pPr>
              <w:spacing w:after="0"/>
              <w:rPr>
                <w:sz w:val="13"/>
                <w:szCs w:val="13"/>
                <w:color w:val="auto"/>
              </w:rPr>
            </w:pPr>
          </w:p>
        </w:tc>
        <w:tc>
          <w:tcPr>
            <w:tcW w:w="940" w:type="dxa"/>
            <w:vAlign w:val="bottom"/>
            <w:tcBorders>
              <w:top w:val="single" w:sz="8" w:color="D1D2D4"/>
              <w:bottom w:val="single" w:sz="8" w:color="D1D2D4"/>
            </w:tcBorders>
            <w:shd w:val="clear" w:color="auto" w:fill="D1D2D4"/>
          </w:tcPr>
          <w:p>
            <w:pPr>
              <w:spacing w:after="0"/>
              <w:rPr>
                <w:sz w:val="13"/>
                <w:szCs w:val="13"/>
                <w:color w:val="auto"/>
              </w:rPr>
            </w:pPr>
          </w:p>
        </w:tc>
        <w:tc>
          <w:tcPr>
            <w:tcW w:w="1160" w:type="dxa"/>
            <w:vAlign w:val="bottom"/>
            <w:tcBorders>
              <w:top w:val="single" w:sz="8" w:color="D1D2D4"/>
              <w:bottom w:val="single" w:sz="8" w:color="D1D2D4"/>
            </w:tcBorders>
            <w:shd w:val="clear" w:color="auto" w:fill="D1D2D4"/>
          </w:tcPr>
          <w:p>
            <w:pPr>
              <w:spacing w:after="0"/>
              <w:rPr>
                <w:sz w:val="13"/>
                <w:szCs w:val="13"/>
                <w:color w:val="auto"/>
              </w:rPr>
            </w:pPr>
          </w:p>
        </w:tc>
        <w:tc>
          <w:tcPr>
            <w:tcW w:w="104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10.32^</w:t>
            </w:r>
          </w:p>
        </w:tc>
        <w:tc>
          <w:tcPr>
            <w:tcW w:w="4600" w:type="dxa"/>
            <w:vAlign w:val="bottom"/>
            <w:gridSpan w:val="24"/>
          </w:tcPr>
          <w:p>
            <w:pPr>
              <w:spacing w:after="0" w:line="168" w:lineRule="exact"/>
              <w:rPr>
                <w:rFonts w:ascii="Arial" w:cs="Arial" w:eastAsia="Arial" w:hAnsi="Arial"/>
                <w:sz w:val="16"/>
                <w:szCs w:val="16"/>
                <w:color w:val="auto"/>
              </w:rPr>
            </w:pPr>
            <w:hyperlink w:anchor="page1">
              <w:r>
                <w:rPr>
                  <w:rFonts w:ascii="Arial" w:cs="Arial" w:eastAsia="Arial" w:hAnsi="Arial"/>
                  <w:sz w:val="16"/>
                  <w:szCs w:val="16"/>
                  <w:color w:val="auto"/>
                </w:rPr>
                <w:t>Amendment No. 2 to Direct Funding Agreement, dated June 11,</w:t>
              </w:r>
            </w:hyperlink>
          </w:p>
        </w:tc>
        <w:tc>
          <w:tcPr>
            <w:tcW w:w="1740" w:type="dxa"/>
            <w:vAlign w:val="bottom"/>
          </w:tcPr>
          <w:p>
            <w:pPr>
              <w:spacing w:after="0" w:line="168" w:lineRule="exact"/>
              <w:rPr>
                <w:sz w:val="20"/>
                <w:szCs w:val="20"/>
                <w:color w:val="auto"/>
              </w:rPr>
            </w:pPr>
            <w:r>
              <w:rPr>
                <w:rFonts w:ascii="Arial" w:cs="Arial" w:eastAsia="Arial" w:hAnsi="Arial"/>
                <w:sz w:val="16"/>
                <w:szCs w:val="16"/>
                <w:color w:val="auto"/>
              </w:rPr>
              <w:t>X</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4460" w:type="dxa"/>
            <w:vAlign w:val="bottom"/>
            <w:tcBorders>
              <w:top w:val="single" w:sz="8" w:color="auto"/>
              <w:bottom w:val="single" w:sz="8" w:color="auto"/>
            </w:tcBorders>
            <w:gridSpan w:val="21"/>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2025, by and between Micron Idaho Semiconductor Manufacturing</w:t>
              </w:r>
            </w:hyperlink>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3360" w:type="dxa"/>
            <w:vAlign w:val="bottom"/>
            <w:tcBorders>
              <w:bottom w:val="single" w:sz="8" w:color="auto"/>
            </w:tcBorders>
            <w:gridSpan w:val="7"/>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(Triton) LLC and U.S. Department of Commerce</w:t>
              </w:r>
            </w:hyperlink>
          </w:p>
        </w:tc>
        <w:tc>
          <w:tcPr>
            <w:tcW w:w="1240" w:type="dxa"/>
            <w:vAlign w:val="bottom"/>
            <w:gridSpan w:val="17"/>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10.33^</w:t>
            </w:r>
          </w:p>
        </w:tc>
        <w:tc>
          <w:tcPr>
            <w:tcW w:w="4600" w:type="dxa"/>
            <w:vAlign w:val="bottom"/>
            <w:tcBorders>
              <w:right w:val="single" w:sz="8" w:color="D1D2D4"/>
            </w:tcBorders>
            <w:gridSpan w:val="24"/>
            <w:shd w:val="clear" w:color="auto" w:fill="D1D2D4"/>
          </w:tcPr>
          <w:p>
            <w:pPr>
              <w:spacing w:after="0" w:line="176" w:lineRule="exact"/>
              <w:rPr>
                <w:rFonts w:ascii="Arial" w:cs="Arial" w:eastAsia="Arial" w:hAnsi="Arial"/>
                <w:sz w:val="16"/>
                <w:szCs w:val="16"/>
                <w:color w:val="auto"/>
              </w:rPr>
            </w:pPr>
            <w:hyperlink w:anchor="page1">
              <w:r>
                <w:rPr>
                  <w:rFonts w:ascii="Arial" w:cs="Arial" w:eastAsia="Arial" w:hAnsi="Arial"/>
                  <w:sz w:val="16"/>
                  <w:szCs w:val="16"/>
                  <w:color w:val="auto"/>
                </w:rPr>
                <w:t>Amendment No. 2 to Direct Funding Agreement, dated June 11,</w:t>
              </w:r>
            </w:hyperlink>
          </w:p>
        </w:tc>
        <w:tc>
          <w:tcPr>
            <w:tcW w:w="1740" w:type="dxa"/>
            <w:vAlign w:val="bottom"/>
            <w:shd w:val="clear" w:color="auto" w:fill="D1D2D4"/>
          </w:tcPr>
          <w:p>
            <w:pPr>
              <w:spacing w:after="0" w:line="176" w:lineRule="exact"/>
              <w:rPr>
                <w:sz w:val="20"/>
                <w:szCs w:val="20"/>
                <w:color w:val="auto"/>
              </w:rPr>
            </w:pPr>
            <w:r>
              <w:rPr>
                <w:rFonts w:ascii="Arial" w:cs="Arial" w:eastAsia="Arial" w:hAnsi="Arial"/>
                <w:sz w:val="16"/>
                <w:szCs w:val="16"/>
                <w:color w:val="auto"/>
              </w:rPr>
              <w:t>X</w:t>
            </w:r>
          </w:p>
        </w:tc>
        <w:tc>
          <w:tcPr>
            <w:tcW w:w="940" w:type="dxa"/>
            <w:vAlign w:val="bottom"/>
            <w:shd w:val="clear" w:color="auto" w:fill="D1D2D4"/>
          </w:tcPr>
          <w:p>
            <w:pPr>
              <w:spacing w:after="0"/>
              <w:rPr>
                <w:sz w:val="15"/>
                <w:szCs w:val="15"/>
                <w:color w:val="auto"/>
              </w:rPr>
            </w:pPr>
          </w:p>
        </w:tc>
        <w:tc>
          <w:tcPr>
            <w:tcW w:w="116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80" w:type="dxa"/>
            <w:vAlign w:val="bottom"/>
            <w:tcBorders>
              <w:top w:val="single" w:sz="8" w:color="D1D2D4"/>
            </w:tcBorders>
            <w:shd w:val="clear" w:color="auto" w:fill="D1D2D4"/>
          </w:tcPr>
          <w:p>
            <w:pPr>
              <w:spacing w:after="0"/>
              <w:rPr>
                <w:sz w:val="11"/>
                <w:szCs w:val="11"/>
                <w:color w:val="auto"/>
              </w:rPr>
            </w:pPr>
          </w:p>
        </w:tc>
        <w:tc>
          <w:tcPr>
            <w:tcW w:w="4440" w:type="dxa"/>
            <w:vAlign w:val="bottom"/>
            <w:tcBorders>
              <w:top w:val="single" w:sz="8" w:color="auto"/>
            </w:tcBorders>
            <w:gridSpan w:val="20"/>
            <w:shd w:val="clear" w:color="auto" w:fill="D1D2D4"/>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2025, by and between Micron New York Semiconductor</w:t>
              </w:r>
            </w:hyperlink>
          </w:p>
        </w:tc>
        <w:tc>
          <w:tcPr>
            <w:tcW w:w="40" w:type="dxa"/>
            <w:vAlign w:val="bottom"/>
            <w:tcBorders>
              <w:top w:val="single" w:sz="8" w:color="D1D2D4"/>
            </w:tcBorders>
            <w:gridSpan w:val="2"/>
            <w:shd w:val="clear" w:color="auto" w:fill="D1D2D4"/>
          </w:tcPr>
          <w:p>
            <w:pPr>
              <w:spacing w:after="0"/>
              <w:rPr>
                <w:sz w:val="11"/>
                <w:szCs w:val="11"/>
                <w:color w:val="auto"/>
              </w:rPr>
            </w:pPr>
          </w:p>
        </w:tc>
        <w:tc>
          <w:tcPr>
            <w:tcW w:w="120" w:type="dxa"/>
            <w:vAlign w:val="bottom"/>
            <w:tcBorders>
              <w:top w:val="single" w:sz="8" w:color="D1D2D4"/>
              <w:right w:val="single" w:sz="8" w:color="D1D2D4"/>
            </w:tcBorders>
            <w:gridSpan w:val="2"/>
            <w:shd w:val="clear" w:color="auto" w:fill="D1D2D4"/>
          </w:tcPr>
          <w:p>
            <w:pPr>
              <w:spacing w:after="0"/>
              <w:rPr>
                <w:sz w:val="11"/>
                <w:szCs w:val="11"/>
                <w:color w:val="auto"/>
              </w:rPr>
            </w:pPr>
          </w:p>
        </w:tc>
        <w:tc>
          <w:tcPr>
            <w:tcW w:w="1740" w:type="dxa"/>
            <w:vAlign w:val="bottom"/>
            <w:tcBorders>
              <w:top w:val="single" w:sz="8" w:color="D1D2D4"/>
            </w:tcBorders>
            <w:shd w:val="clear" w:color="auto" w:fill="D1D2D4"/>
          </w:tcPr>
          <w:p>
            <w:pPr>
              <w:spacing w:after="0"/>
              <w:rPr>
                <w:sz w:val="11"/>
                <w:szCs w:val="11"/>
                <w:color w:val="auto"/>
              </w:rPr>
            </w:pPr>
          </w:p>
        </w:tc>
        <w:tc>
          <w:tcPr>
            <w:tcW w:w="940" w:type="dxa"/>
            <w:vAlign w:val="bottom"/>
            <w:tcBorders>
              <w:top w:val="single" w:sz="8" w:color="D1D2D4"/>
            </w:tcBorders>
            <w:shd w:val="clear" w:color="auto" w:fill="D1D2D4"/>
          </w:tcPr>
          <w:p>
            <w:pPr>
              <w:spacing w:after="0"/>
              <w:rPr>
                <w:sz w:val="11"/>
                <w:szCs w:val="11"/>
                <w:color w:val="auto"/>
              </w:rPr>
            </w:pPr>
          </w:p>
        </w:tc>
        <w:tc>
          <w:tcPr>
            <w:tcW w:w="1160" w:type="dxa"/>
            <w:vAlign w:val="bottom"/>
            <w:tcBorders>
              <w:top w:val="single" w:sz="8" w:color="D1D2D4"/>
            </w:tcBorders>
            <w:shd w:val="clear" w:color="auto" w:fill="D1D2D4"/>
          </w:tcPr>
          <w:p>
            <w:pPr>
              <w:spacing w:after="0"/>
              <w:rPr>
                <w:sz w:val="11"/>
                <w:szCs w:val="11"/>
                <w:color w:val="auto"/>
              </w:rPr>
            </w:pPr>
          </w:p>
        </w:tc>
        <w:tc>
          <w:tcPr>
            <w:tcW w:w="1040" w:type="dxa"/>
            <w:vAlign w:val="bottom"/>
            <w:tcBorders>
              <w:top w:val="single" w:sz="8" w:color="D1D2D4"/>
            </w:tcBorders>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3840" w:type="dxa"/>
            <w:vAlign w:val="bottom"/>
            <w:tcBorders>
              <w:top w:val="single" w:sz="8" w:color="auto"/>
              <w:bottom w:val="single" w:sz="8" w:color="auto"/>
            </w:tcBorders>
            <w:gridSpan w:val="10"/>
            <w:shd w:val="clear" w:color="auto" w:fill="D1D2D4"/>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Manufacturing LLC and U.S. Department of Commerce</w:t>
              </w:r>
            </w:hyperlink>
          </w:p>
        </w:tc>
        <w:tc>
          <w:tcPr>
            <w:tcW w:w="100" w:type="dxa"/>
            <w:vAlign w:val="bottom"/>
            <w:tcBorders>
              <w:top w:val="single" w:sz="8" w:color="D1D2D4"/>
              <w:bottom w:val="single" w:sz="8" w:color="D1D2D4"/>
            </w:tcBorders>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1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180" w:type="dxa"/>
            <w:vAlign w:val="bottom"/>
            <w:tcBorders>
              <w:top w:val="single" w:sz="8" w:color="D1D2D4"/>
              <w:bottom w:val="single" w:sz="8" w:color="D1D2D4"/>
              <w:right w:val="single" w:sz="8" w:color="D1D2D4"/>
            </w:tcBorders>
            <w:gridSpan w:val="3"/>
            <w:shd w:val="clear" w:color="auto" w:fill="D1D2D4"/>
          </w:tcPr>
          <w:p>
            <w:pPr>
              <w:spacing w:after="0"/>
              <w:rPr>
                <w:sz w:val="13"/>
                <w:szCs w:val="13"/>
                <w:color w:val="auto"/>
              </w:rPr>
            </w:pPr>
          </w:p>
        </w:tc>
        <w:tc>
          <w:tcPr>
            <w:tcW w:w="180" w:type="dxa"/>
            <w:vAlign w:val="bottom"/>
            <w:tcBorders>
              <w:top w:val="single" w:sz="8" w:color="D1D2D4"/>
              <w:bottom w:val="single" w:sz="8" w:color="D1D2D4"/>
            </w:tcBorders>
            <w:gridSpan w:val="5"/>
            <w:shd w:val="clear" w:color="auto" w:fill="D1D2D4"/>
          </w:tcPr>
          <w:p>
            <w:pPr>
              <w:spacing w:after="0"/>
              <w:rPr>
                <w:sz w:val="13"/>
                <w:szCs w:val="13"/>
                <w:color w:val="auto"/>
              </w:rPr>
            </w:pPr>
          </w:p>
        </w:tc>
        <w:tc>
          <w:tcPr>
            <w:tcW w:w="120" w:type="dxa"/>
            <w:vAlign w:val="bottom"/>
            <w:tcBorders>
              <w:top w:val="single" w:sz="8" w:color="D1D2D4"/>
              <w:bottom w:val="single" w:sz="8" w:color="D1D2D4"/>
              <w:right w:val="single" w:sz="8" w:color="D1D2D4"/>
            </w:tcBorders>
            <w:gridSpan w:val="2"/>
            <w:shd w:val="clear" w:color="auto" w:fill="D1D2D4"/>
          </w:tcPr>
          <w:p>
            <w:pPr>
              <w:spacing w:after="0"/>
              <w:rPr>
                <w:sz w:val="13"/>
                <w:szCs w:val="13"/>
                <w:color w:val="auto"/>
              </w:rPr>
            </w:pPr>
          </w:p>
        </w:tc>
        <w:tc>
          <w:tcPr>
            <w:tcW w:w="1740" w:type="dxa"/>
            <w:vAlign w:val="bottom"/>
            <w:tcBorders>
              <w:top w:val="single" w:sz="8" w:color="D1D2D4"/>
              <w:bottom w:val="single" w:sz="8" w:color="D1D2D4"/>
            </w:tcBorders>
            <w:shd w:val="clear" w:color="auto" w:fill="D1D2D4"/>
          </w:tcPr>
          <w:p>
            <w:pPr>
              <w:spacing w:after="0"/>
              <w:rPr>
                <w:sz w:val="13"/>
                <w:szCs w:val="13"/>
                <w:color w:val="auto"/>
              </w:rPr>
            </w:pPr>
          </w:p>
        </w:tc>
        <w:tc>
          <w:tcPr>
            <w:tcW w:w="940" w:type="dxa"/>
            <w:vAlign w:val="bottom"/>
            <w:tcBorders>
              <w:top w:val="single" w:sz="8" w:color="D1D2D4"/>
              <w:bottom w:val="single" w:sz="8" w:color="D1D2D4"/>
            </w:tcBorders>
            <w:shd w:val="clear" w:color="auto" w:fill="D1D2D4"/>
          </w:tcPr>
          <w:p>
            <w:pPr>
              <w:spacing w:after="0"/>
              <w:rPr>
                <w:sz w:val="13"/>
                <w:szCs w:val="13"/>
                <w:color w:val="auto"/>
              </w:rPr>
            </w:pPr>
          </w:p>
        </w:tc>
        <w:tc>
          <w:tcPr>
            <w:tcW w:w="1160" w:type="dxa"/>
            <w:vAlign w:val="bottom"/>
            <w:tcBorders>
              <w:top w:val="single" w:sz="8" w:color="D1D2D4"/>
              <w:bottom w:val="single" w:sz="8" w:color="D1D2D4"/>
            </w:tcBorders>
            <w:shd w:val="clear" w:color="auto" w:fill="D1D2D4"/>
          </w:tcPr>
          <w:p>
            <w:pPr>
              <w:spacing w:after="0"/>
              <w:rPr>
                <w:sz w:val="13"/>
                <w:szCs w:val="13"/>
                <w:color w:val="auto"/>
              </w:rPr>
            </w:pPr>
          </w:p>
        </w:tc>
        <w:tc>
          <w:tcPr>
            <w:tcW w:w="104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10.34</w:t>
            </w:r>
          </w:p>
        </w:tc>
        <w:tc>
          <w:tcPr>
            <w:tcW w:w="4600" w:type="dxa"/>
            <w:vAlign w:val="bottom"/>
            <w:gridSpan w:val="24"/>
          </w:tcPr>
          <w:p>
            <w:pPr>
              <w:spacing w:after="0" w:line="168" w:lineRule="exact"/>
              <w:rPr>
                <w:rFonts w:ascii="Arial" w:cs="Arial" w:eastAsia="Arial" w:hAnsi="Arial"/>
                <w:sz w:val="16"/>
                <w:szCs w:val="16"/>
                <w:color w:val="auto"/>
              </w:rPr>
            </w:pPr>
            <w:hyperlink w:anchor="page1">
              <w:r>
                <w:rPr>
                  <w:rFonts w:ascii="Arial" w:cs="Arial" w:eastAsia="Arial" w:hAnsi="Arial"/>
                  <w:sz w:val="16"/>
                  <w:szCs w:val="16"/>
                  <w:color w:val="auto"/>
                </w:rPr>
                <w:t>Amendment and Restated Guarantee and Equity Contribution</w:t>
              </w:r>
            </w:hyperlink>
          </w:p>
        </w:tc>
        <w:tc>
          <w:tcPr>
            <w:tcW w:w="1740" w:type="dxa"/>
            <w:vAlign w:val="bottom"/>
          </w:tcPr>
          <w:p>
            <w:pPr>
              <w:spacing w:after="0" w:line="168" w:lineRule="exact"/>
              <w:rPr>
                <w:sz w:val="20"/>
                <w:szCs w:val="20"/>
                <w:color w:val="auto"/>
              </w:rPr>
            </w:pPr>
            <w:r>
              <w:rPr>
                <w:rFonts w:ascii="Arial" w:cs="Arial" w:eastAsia="Arial" w:hAnsi="Arial"/>
                <w:sz w:val="16"/>
                <w:szCs w:val="16"/>
                <w:color w:val="auto"/>
              </w:rPr>
              <w:t>X</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4300" w:type="dxa"/>
            <w:vAlign w:val="bottom"/>
            <w:tcBorders>
              <w:top w:val="single" w:sz="8" w:color="auto"/>
            </w:tcBorders>
            <w:gridSpan w:val="17"/>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Agreement, dated June 11, 2025, by and between Micron</w:t>
              </w:r>
            </w:hyperlink>
          </w:p>
        </w:tc>
        <w:tc>
          <w:tcPr>
            <w:tcW w:w="180" w:type="dxa"/>
            <w:vAlign w:val="bottom"/>
            <w:gridSpan w:val="5"/>
          </w:tcPr>
          <w:p>
            <w:pPr>
              <w:spacing w:after="0"/>
              <w:rPr>
                <w:sz w:val="11"/>
                <w:szCs w:val="11"/>
                <w:color w:val="auto"/>
              </w:rPr>
            </w:pPr>
          </w:p>
        </w:tc>
        <w:tc>
          <w:tcPr>
            <w:tcW w:w="12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3940" w:type="dxa"/>
            <w:vAlign w:val="bottom"/>
            <w:tcBorders>
              <w:top w:val="single" w:sz="8" w:color="auto"/>
              <w:bottom w:val="single" w:sz="8" w:color="auto"/>
            </w:tcBorders>
            <w:gridSpan w:val="11"/>
          </w:tcPr>
          <w:p>
            <w:pPr>
              <w:spacing w:after="0" w:line="136" w:lineRule="exact"/>
              <w:rPr>
                <w:rFonts w:ascii="Arial" w:cs="Arial" w:eastAsia="Arial" w:hAnsi="Arial"/>
                <w:sz w:val="14"/>
                <w:szCs w:val="14"/>
                <w:color w:val="auto"/>
              </w:rPr>
            </w:pPr>
            <w:hyperlink w:anchor="page1">
              <w:r>
                <w:rPr>
                  <w:rFonts w:ascii="Arial" w:cs="Arial" w:eastAsia="Arial" w:hAnsi="Arial"/>
                  <w:sz w:val="14"/>
                  <w:szCs w:val="14"/>
                  <w:color w:val="auto"/>
                </w:rPr>
                <w:t>Technology, Inc. and the U. S. Department of Commerce</w:t>
              </w:r>
            </w:hyperlink>
          </w:p>
        </w:tc>
        <w:tc>
          <w:tcPr>
            <w:tcW w:w="40" w:type="dxa"/>
            <w:vAlign w:val="bottom"/>
            <w:tcBorders>
              <w:top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360" w:type="dxa"/>
            <w:vAlign w:val="bottom"/>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19.1</w:t>
            </w:r>
          </w:p>
        </w:tc>
        <w:tc>
          <w:tcPr>
            <w:tcW w:w="2700" w:type="dxa"/>
            <w:vAlign w:val="bottom"/>
            <w:tcBorders>
              <w:bottom w:val="single" w:sz="8" w:color="auto"/>
            </w:tcBorders>
            <w:gridSpan w:val="6"/>
            <w:shd w:val="clear" w:color="auto" w:fill="D1D2D4"/>
          </w:tcPr>
          <w:p>
            <w:pPr>
              <w:spacing w:after="0" w:line="176" w:lineRule="exact"/>
              <w:rPr>
                <w:rFonts w:ascii="Arial" w:cs="Arial" w:eastAsia="Arial" w:hAnsi="Arial"/>
                <w:sz w:val="16"/>
                <w:szCs w:val="16"/>
                <w:color w:val="auto"/>
                <w:w w:val="97"/>
              </w:rPr>
            </w:pPr>
            <w:hyperlink w:anchor="page1">
              <w:r>
                <w:rPr>
                  <w:rFonts w:ascii="Arial" w:cs="Arial" w:eastAsia="Arial" w:hAnsi="Arial"/>
                  <w:sz w:val="16"/>
                  <w:szCs w:val="16"/>
                  <w:color w:val="auto"/>
                  <w:w w:val="97"/>
                </w:rPr>
                <w:t>Insider Trading Policy of the Registrant</w:t>
              </w:r>
            </w:hyperlink>
          </w:p>
        </w:tc>
        <w:tc>
          <w:tcPr>
            <w:tcW w:w="1900" w:type="dxa"/>
            <w:vAlign w:val="bottom"/>
            <w:tcBorders>
              <w:bottom w:val="single" w:sz="8" w:color="D1D2D4"/>
              <w:right w:val="single" w:sz="8" w:color="D1D2D4"/>
            </w:tcBorders>
            <w:gridSpan w:val="18"/>
            <w:shd w:val="clear" w:color="auto" w:fill="D1D2D4"/>
          </w:tcPr>
          <w:p>
            <w:pPr>
              <w:spacing w:after="0"/>
              <w:rPr>
                <w:sz w:val="16"/>
                <w:szCs w:val="16"/>
                <w:color w:val="auto"/>
              </w:rPr>
            </w:pPr>
          </w:p>
        </w:tc>
        <w:tc>
          <w:tcPr>
            <w:tcW w:w="1740" w:type="dxa"/>
            <w:vAlign w:val="bottom"/>
            <w:tcBorders>
              <w:bottom w:val="single" w:sz="8" w:color="D1D2D4"/>
            </w:tcBorders>
            <w:shd w:val="clear" w:color="auto" w:fill="D1D2D4"/>
          </w:tcPr>
          <w:p>
            <w:pPr>
              <w:spacing w:after="0" w:line="176" w:lineRule="exact"/>
              <w:rPr>
                <w:sz w:val="20"/>
                <w:szCs w:val="20"/>
                <w:color w:val="auto"/>
              </w:rPr>
            </w:pPr>
            <w:r>
              <w:rPr>
                <w:rFonts w:ascii="Arial" w:cs="Arial" w:eastAsia="Arial" w:hAnsi="Arial"/>
                <w:sz w:val="16"/>
                <w:szCs w:val="16"/>
                <w:color w:val="auto"/>
              </w:rPr>
              <w:t>X</w:t>
            </w:r>
          </w:p>
        </w:tc>
        <w:tc>
          <w:tcPr>
            <w:tcW w:w="940" w:type="dxa"/>
            <w:vAlign w:val="bottom"/>
            <w:tcBorders>
              <w:bottom w:val="single" w:sz="8" w:color="D1D2D4"/>
            </w:tcBorders>
            <w:shd w:val="clear" w:color="auto" w:fill="D1D2D4"/>
          </w:tcPr>
          <w:p>
            <w:pPr>
              <w:spacing w:after="0"/>
              <w:rPr>
                <w:sz w:val="16"/>
                <w:szCs w:val="16"/>
                <w:color w:val="auto"/>
              </w:rPr>
            </w:pPr>
          </w:p>
        </w:tc>
        <w:tc>
          <w:tcPr>
            <w:tcW w:w="1160" w:type="dxa"/>
            <w:vAlign w:val="bottom"/>
            <w:tcBorders>
              <w:bottom w:val="single" w:sz="8" w:color="D1D2D4"/>
            </w:tcBorders>
            <w:shd w:val="clear" w:color="auto" w:fill="D1D2D4"/>
          </w:tcPr>
          <w:p>
            <w:pPr>
              <w:spacing w:after="0"/>
              <w:rPr>
                <w:sz w:val="16"/>
                <w:szCs w:val="16"/>
                <w:color w:val="auto"/>
              </w:rPr>
            </w:pPr>
          </w:p>
        </w:tc>
        <w:tc>
          <w:tcPr>
            <w:tcW w:w="104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21.1</w:t>
            </w:r>
          </w:p>
        </w:tc>
        <w:tc>
          <w:tcPr>
            <w:tcW w:w="2040" w:type="dxa"/>
            <w:vAlign w:val="bottom"/>
            <w:tcBorders>
              <w:bottom w:val="single" w:sz="8" w:color="auto"/>
            </w:tcBorders>
            <w:gridSpan w:val="4"/>
          </w:tcPr>
          <w:p>
            <w:pPr>
              <w:spacing w:after="0" w:line="168" w:lineRule="exact"/>
              <w:rPr>
                <w:rFonts w:ascii="Arial" w:cs="Arial" w:eastAsia="Arial" w:hAnsi="Arial"/>
                <w:sz w:val="16"/>
                <w:szCs w:val="16"/>
                <w:color w:val="auto"/>
                <w:w w:val="96"/>
              </w:rPr>
            </w:pPr>
            <w:hyperlink w:anchor="page1">
              <w:r>
                <w:rPr>
                  <w:rFonts w:ascii="Arial" w:cs="Arial" w:eastAsia="Arial" w:hAnsi="Arial"/>
                  <w:sz w:val="16"/>
                  <w:szCs w:val="16"/>
                  <w:color w:val="auto"/>
                  <w:w w:val="96"/>
                </w:rPr>
                <w:t>Subsidiaries of the Registrant</w:t>
              </w:r>
            </w:hyperlink>
          </w:p>
        </w:tc>
        <w:tc>
          <w:tcPr>
            <w:tcW w:w="2560" w:type="dxa"/>
            <w:vAlign w:val="bottom"/>
            <w:gridSpan w:val="20"/>
          </w:tcPr>
          <w:p>
            <w:pPr>
              <w:spacing w:after="0"/>
              <w:rPr>
                <w:sz w:val="15"/>
                <w:szCs w:val="15"/>
                <w:color w:val="auto"/>
              </w:rPr>
            </w:pPr>
          </w:p>
        </w:tc>
        <w:tc>
          <w:tcPr>
            <w:tcW w:w="1740" w:type="dxa"/>
            <w:vAlign w:val="bottom"/>
          </w:tcPr>
          <w:p>
            <w:pPr>
              <w:spacing w:after="0" w:line="168" w:lineRule="exact"/>
              <w:rPr>
                <w:sz w:val="20"/>
                <w:szCs w:val="20"/>
                <w:color w:val="auto"/>
              </w:rPr>
            </w:pPr>
            <w:r>
              <w:rPr>
                <w:rFonts w:ascii="Arial" w:cs="Arial" w:eastAsia="Arial" w:hAnsi="Arial"/>
                <w:sz w:val="16"/>
                <w:szCs w:val="16"/>
                <w:color w:val="auto"/>
              </w:rPr>
              <w:t>X</w:t>
            </w: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23.1</w:t>
            </w:r>
          </w:p>
        </w:tc>
        <w:tc>
          <w:tcPr>
            <w:tcW w:w="4120" w:type="dxa"/>
            <w:vAlign w:val="bottom"/>
            <w:tcBorders>
              <w:bottom w:val="single" w:sz="8" w:color="auto"/>
            </w:tcBorders>
            <w:gridSpan w:val="14"/>
            <w:shd w:val="clear" w:color="auto" w:fill="D1D2D4"/>
          </w:tcPr>
          <w:p>
            <w:pPr>
              <w:spacing w:after="0" w:line="176" w:lineRule="exact"/>
              <w:rPr>
                <w:rFonts w:ascii="Arial" w:cs="Arial" w:eastAsia="Arial" w:hAnsi="Arial"/>
                <w:sz w:val="16"/>
                <w:szCs w:val="16"/>
                <w:color w:val="auto"/>
                <w:w w:val="97"/>
              </w:rPr>
            </w:pPr>
            <w:hyperlink w:anchor="page1">
              <w:r>
                <w:rPr>
                  <w:rFonts w:ascii="Arial" w:cs="Arial" w:eastAsia="Arial" w:hAnsi="Arial"/>
                  <w:sz w:val="16"/>
                  <w:szCs w:val="16"/>
                  <w:color w:val="auto"/>
                  <w:w w:val="97"/>
                </w:rPr>
                <w:t>Consent of Independent Registered Public Accounting Firm</w:t>
              </w:r>
            </w:hyperlink>
          </w:p>
        </w:tc>
        <w:tc>
          <w:tcPr>
            <w:tcW w:w="480" w:type="dxa"/>
            <w:vAlign w:val="bottom"/>
            <w:tcBorders>
              <w:bottom w:val="single" w:sz="8" w:color="D1D2D4"/>
              <w:right w:val="single" w:sz="8" w:color="D1D2D4"/>
            </w:tcBorders>
            <w:gridSpan w:val="10"/>
            <w:shd w:val="clear" w:color="auto" w:fill="D1D2D4"/>
          </w:tcPr>
          <w:p>
            <w:pPr>
              <w:spacing w:after="0"/>
              <w:rPr>
                <w:sz w:val="16"/>
                <w:szCs w:val="16"/>
                <w:color w:val="auto"/>
              </w:rPr>
            </w:pPr>
          </w:p>
        </w:tc>
        <w:tc>
          <w:tcPr>
            <w:tcW w:w="1740" w:type="dxa"/>
            <w:vAlign w:val="bottom"/>
            <w:tcBorders>
              <w:bottom w:val="single" w:sz="8" w:color="D1D2D4"/>
            </w:tcBorders>
            <w:shd w:val="clear" w:color="auto" w:fill="D1D2D4"/>
          </w:tcPr>
          <w:p>
            <w:pPr>
              <w:spacing w:after="0" w:line="176" w:lineRule="exact"/>
              <w:rPr>
                <w:sz w:val="20"/>
                <w:szCs w:val="20"/>
                <w:color w:val="auto"/>
              </w:rPr>
            </w:pPr>
            <w:r>
              <w:rPr>
                <w:rFonts w:ascii="Arial" w:cs="Arial" w:eastAsia="Arial" w:hAnsi="Arial"/>
                <w:sz w:val="16"/>
                <w:szCs w:val="16"/>
                <w:color w:val="auto"/>
              </w:rPr>
              <w:t>X</w:t>
            </w:r>
          </w:p>
        </w:tc>
        <w:tc>
          <w:tcPr>
            <w:tcW w:w="940" w:type="dxa"/>
            <w:vAlign w:val="bottom"/>
            <w:tcBorders>
              <w:bottom w:val="single" w:sz="8" w:color="D1D2D4"/>
            </w:tcBorders>
            <w:shd w:val="clear" w:color="auto" w:fill="D1D2D4"/>
          </w:tcPr>
          <w:p>
            <w:pPr>
              <w:spacing w:after="0"/>
              <w:rPr>
                <w:sz w:val="16"/>
                <w:szCs w:val="16"/>
                <w:color w:val="auto"/>
              </w:rPr>
            </w:pPr>
          </w:p>
        </w:tc>
        <w:tc>
          <w:tcPr>
            <w:tcW w:w="1160" w:type="dxa"/>
            <w:vAlign w:val="bottom"/>
            <w:tcBorders>
              <w:bottom w:val="single" w:sz="8" w:color="D1D2D4"/>
            </w:tcBorders>
            <w:shd w:val="clear" w:color="auto" w:fill="D1D2D4"/>
          </w:tcPr>
          <w:p>
            <w:pPr>
              <w:spacing w:after="0"/>
              <w:rPr>
                <w:sz w:val="16"/>
                <w:szCs w:val="16"/>
                <w:color w:val="auto"/>
              </w:rPr>
            </w:pPr>
          </w:p>
        </w:tc>
        <w:tc>
          <w:tcPr>
            <w:tcW w:w="104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31.1</w:t>
            </w:r>
          </w:p>
        </w:tc>
        <w:tc>
          <w:tcPr>
            <w:tcW w:w="3720" w:type="dxa"/>
            <w:vAlign w:val="bottom"/>
            <w:tcBorders>
              <w:bottom w:val="single" w:sz="8" w:color="auto"/>
            </w:tcBorders>
            <w:gridSpan w:val="8"/>
          </w:tcPr>
          <w:p>
            <w:pPr>
              <w:spacing w:after="0" w:line="168" w:lineRule="exact"/>
              <w:rPr>
                <w:rFonts w:ascii="Arial" w:cs="Arial" w:eastAsia="Arial" w:hAnsi="Arial"/>
                <w:sz w:val="16"/>
                <w:szCs w:val="16"/>
                <w:color w:val="auto"/>
                <w:w w:val="96"/>
              </w:rPr>
            </w:pPr>
            <w:hyperlink w:anchor="page1">
              <w:r>
                <w:rPr>
                  <w:rFonts w:ascii="Arial" w:cs="Arial" w:eastAsia="Arial" w:hAnsi="Arial"/>
                  <w:sz w:val="16"/>
                  <w:szCs w:val="16"/>
                  <w:color w:val="auto"/>
                  <w:w w:val="96"/>
                </w:rPr>
                <w:t>Rule 13a-14(a) Certification of Chief Executive Officer</w:t>
              </w:r>
            </w:hyperlink>
          </w:p>
        </w:tc>
        <w:tc>
          <w:tcPr>
            <w:tcW w:w="880" w:type="dxa"/>
            <w:vAlign w:val="bottom"/>
            <w:gridSpan w:val="16"/>
          </w:tcPr>
          <w:p>
            <w:pPr>
              <w:spacing w:after="0"/>
              <w:rPr>
                <w:sz w:val="15"/>
                <w:szCs w:val="15"/>
                <w:color w:val="auto"/>
              </w:rPr>
            </w:pPr>
          </w:p>
        </w:tc>
        <w:tc>
          <w:tcPr>
            <w:tcW w:w="1740" w:type="dxa"/>
            <w:vAlign w:val="bottom"/>
          </w:tcPr>
          <w:p>
            <w:pPr>
              <w:spacing w:after="0" w:line="168" w:lineRule="exact"/>
              <w:rPr>
                <w:sz w:val="20"/>
                <w:szCs w:val="20"/>
                <w:color w:val="auto"/>
              </w:rPr>
            </w:pPr>
            <w:r>
              <w:rPr>
                <w:rFonts w:ascii="Arial" w:cs="Arial" w:eastAsia="Arial" w:hAnsi="Arial"/>
                <w:sz w:val="16"/>
                <w:szCs w:val="16"/>
                <w:color w:val="auto"/>
              </w:rPr>
              <w:t>X</w:t>
            </w: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D1D2D4"/>
            </w:tcBorders>
            <w:shd w:val="clear" w:color="auto" w:fill="D1D2D4"/>
          </w:tcPr>
          <w:p>
            <w:pPr>
              <w:ind w:left="20"/>
              <w:spacing w:after="0" w:line="176" w:lineRule="exact"/>
              <w:rPr>
                <w:sz w:val="20"/>
                <w:szCs w:val="20"/>
                <w:color w:val="auto"/>
              </w:rPr>
            </w:pPr>
            <w:r>
              <w:rPr>
                <w:rFonts w:ascii="Arial" w:cs="Arial" w:eastAsia="Arial" w:hAnsi="Arial"/>
                <w:sz w:val="16"/>
                <w:szCs w:val="16"/>
                <w:color w:val="auto"/>
              </w:rPr>
              <w:t>31.2</w:t>
            </w:r>
          </w:p>
        </w:tc>
        <w:tc>
          <w:tcPr>
            <w:tcW w:w="3720" w:type="dxa"/>
            <w:vAlign w:val="bottom"/>
            <w:tcBorders>
              <w:bottom w:val="single" w:sz="8" w:color="auto"/>
              <w:right w:val="single" w:sz="8" w:color="D1D2D4"/>
            </w:tcBorders>
            <w:gridSpan w:val="8"/>
            <w:shd w:val="clear" w:color="auto" w:fill="D1D2D4"/>
          </w:tcPr>
          <w:p>
            <w:pPr>
              <w:spacing w:after="0" w:line="176" w:lineRule="exact"/>
              <w:rPr>
                <w:rFonts w:ascii="Arial" w:cs="Arial" w:eastAsia="Arial" w:hAnsi="Arial"/>
                <w:sz w:val="16"/>
                <w:szCs w:val="16"/>
                <w:color w:val="auto"/>
                <w:w w:val="98"/>
              </w:rPr>
            </w:pPr>
            <w:hyperlink w:anchor="page1">
              <w:r>
                <w:rPr>
                  <w:rFonts w:ascii="Arial" w:cs="Arial" w:eastAsia="Arial" w:hAnsi="Arial"/>
                  <w:sz w:val="16"/>
                  <w:szCs w:val="16"/>
                  <w:color w:val="auto"/>
                  <w:w w:val="98"/>
                </w:rPr>
                <w:t>Rule 13a-14(a) Certification of Chief Financial Officer</w:t>
              </w:r>
            </w:hyperlink>
          </w:p>
        </w:tc>
        <w:tc>
          <w:tcPr>
            <w:tcW w:w="880" w:type="dxa"/>
            <w:vAlign w:val="bottom"/>
            <w:tcBorders>
              <w:bottom w:val="single" w:sz="8" w:color="D1D2D4"/>
              <w:right w:val="single" w:sz="8" w:color="D1D2D4"/>
            </w:tcBorders>
            <w:gridSpan w:val="16"/>
            <w:shd w:val="clear" w:color="auto" w:fill="D1D2D4"/>
          </w:tcPr>
          <w:p>
            <w:pPr>
              <w:spacing w:after="0"/>
              <w:rPr>
                <w:sz w:val="16"/>
                <w:szCs w:val="16"/>
                <w:color w:val="auto"/>
              </w:rPr>
            </w:pPr>
          </w:p>
        </w:tc>
        <w:tc>
          <w:tcPr>
            <w:tcW w:w="1740" w:type="dxa"/>
            <w:vAlign w:val="bottom"/>
            <w:tcBorders>
              <w:bottom w:val="single" w:sz="8" w:color="D1D2D4"/>
            </w:tcBorders>
            <w:shd w:val="clear" w:color="auto" w:fill="D1D2D4"/>
          </w:tcPr>
          <w:p>
            <w:pPr>
              <w:spacing w:after="0" w:line="176" w:lineRule="exact"/>
              <w:rPr>
                <w:sz w:val="20"/>
                <w:szCs w:val="20"/>
                <w:color w:val="auto"/>
              </w:rPr>
            </w:pPr>
            <w:r>
              <w:rPr>
                <w:rFonts w:ascii="Arial" w:cs="Arial" w:eastAsia="Arial" w:hAnsi="Arial"/>
                <w:sz w:val="16"/>
                <w:szCs w:val="16"/>
                <w:color w:val="auto"/>
              </w:rPr>
              <w:t>X</w:t>
            </w:r>
          </w:p>
        </w:tc>
        <w:tc>
          <w:tcPr>
            <w:tcW w:w="940" w:type="dxa"/>
            <w:vAlign w:val="bottom"/>
            <w:tcBorders>
              <w:bottom w:val="single" w:sz="8" w:color="D1D2D4"/>
            </w:tcBorders>
            <w:shd w:val="clear" w:color="auto" w:fill="D1D2D4"/>
          </w:tcPr>
          <w:p>
            <w:pPr>
              <w:spacing w:after="0"/>
              <w:rPr>
                <w:sz w:val="16"/>
                <w:szCs w:val="16"/>
                <w:color w:val="auto"/>
              </w:rPr>
            </w:pPr>
          </w:p>
        </w:tc>
        <w:tc>
          <w:tcPr>
            <w:tcW w:w="1160" w:type="dxa"/>
            <w:vAlign w:val="bottom"/>
            <w:tcBorders>
              <w:bottom w:val="single" w:sz="8" w:color="D1D2D4"/>
            </w:tcBorders>
            <w:shd w:val="clear" w:color="auto" w:fill="D1D2D4"/>
          </w:tcPr>
          <w:p>
            <w:pPr>
              <w:spacing w:after="0"/>
              <w:rPr>
                <w:sz w:val="16"/>
                <w:szCs w:val="16"/>
                <w:color w:val="auto"/>
              </w:rPr>
            </w:pPr>
          </w:p>
        </w:tc>
        <w:tc>
          <w:tcPr>
            <w:tcW w:w="104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line="168" w:lineRule="exact"/>
              <w:rPr>
                <w:sz w:val="20"/>
                <w:szCs w:val="20"/>
                <w:color w:val="auto"/>
              </w:rPr>
            </w:pPr>
            <w:r>
              <w:rPr>
                <w:rFonts w:ascii="Arial" w:cs="Arial" w:eastAsia="Arial" w:hAnsi="Arial"/>
                <w:sz w:val="16"/>
                <w:szCs w:val="16"/>
                <w:color w:val="auto"/>
              </w:rPr>
              <w:t>32.1</w:t>
            </w:r>
          </w:p>
        </w:tc>
        <w:tc>
          <w:tcPr>
            <w:tcW w:w="6340" w:type="dxa"/>
            <w:vAlign w:val="bottom"/>
            <w:gridSpan w:val="25"/>
          </w:tcPr>
          <w:p>
            <w:pPr>
              <w:spacing w:after="0" w:line="168" w:lineRule="exact"/>
              <w:rPr>
                <w:rFonts w:ascii="Arial" w:cs="Arial" w:eastAsia="Arial" w:hAnsi="Arial"/>
                <w:sz w:val="16"/>
                <w:szCs w:val="16"/>
                <w:color w:val="auto"/>
              </w:rPr>
            </w:pPr>
            <w:hyperlink w:anchor="page1">
              <w:r>
                <w:rPr>
                  <w:rFonts w:ascii="Arial" w:cs="Arial" w:eastAsia="Arial" w:hAnsi="Arial"/>
                  <w:sz w:val="16"/>
                  <w:szCs w:val="16"/>
                  <w:color w:val="auto"/>
                </w:rPr>
                <w:t>Certification of Chief Executive Officer Pursuant to 18 U.S.C. 1350</w:t>
              </w:r>
            </w:hyperlink>
            <w:r>
              <w:rPr>
                <w:rFonts w:ascii="Arial" w:cs="Arial" w:eastAsia="Arial" w:hAnsi="Arial"/>
                <w:sz w:val="16"/>
                <w:szCs w:val="16"/>
                <w:color w:val="auto"/>
              </w:rPr>
              <w:t>X</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shd w:val="clear" w:color="auto" w:fill="D1D2D4"/>
          </w:tcPr>
          <w:p>
            <w:pPr>
              <w:ind w:left="20"/>
              <w:spacing w:after="0" w:line="176" w:lineRule="exact"/>
              <w:rPr>
                <w:sz w:val="20"/>
                <w:szCs w:val="20"/>
                <w:color w:val="auto"/>
              </w:rPr>
            </w:pPr>
            <w:r>
              <w:rPr>
                <w:rFonts w:ascii="Arial" w:cs="Arial" w:eastAsia="Arial" w:hAnsi="Arial"/>
                <w:sz w:val="16"/>
                <w:szCs w:val="16"/>
                <w:color w:val="auto"/>
              </w:rPr>
              <w:t>32.2</w:t>
            </w:r>
          </w:p>
        </w:tc>
        <w:tc>
          <w:tcPr>
            <w:tcW w:w="6340" w:type="dxa"/>
            <w:vAlign w:val="bottom"/>
            <w:gridSpan w:val="25"/>
            <w:shd w:val="clear" w:color="auto" w:fill="D1D2D4"/>
          </w:tcPr>
          <w:p>
            <w:pPr>
              <w:spacing w:after="0" w:line="176" w:lineRule="exact"/>
              <w:rPr>
                <w:rFonts w:ascii="Arial" w:cs="Arial" w:eastAsia="Arial" w:hAnsi="Arial"/>
                <w:sz w:val="16"/>
                <w:szCs w:val="16"/>
                <w:color w:val="auto"/>
              </w:rPr>
            </w:pPr>
            <w:hyperlink w:anchor="page1">
              <w:r>
                <w:rPr>
                  <w:rFonts w:ascii="Arial" w:cs="Arial" w:eastAsia="Arial" w:hAnsi="Arial"/>
                  <w:sz w:val="16"/>
                  <w:szCs w:val="16"/>
                  <w:color w:val="auto"/>
                </w:rPr>
                <w:t xml:space="preserve">Certification of Chief Financial Officer Pursuant to 18 U.S.C. 1350 </w:t>
              </w:r>
            </w:hyperlink>
            <w:r>
              <w:rPr>
                <w:rFonts w:ascii="Arial" w:cs="Arial" w:eastAsia="Arial" w:hAnsi="Arial"/>
                <w:sz w:val="16"/>
                <w:szCs w:val="16"/>
                <w:color w:val="auto"/>
              </w:rPr>
              <w:t>X</w:t>
            </w:r>
          </w:p>
        </w:tc>
        <w:tc>
          <w:tcPr>
            <w:tcW w:w="94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80" w:type="dxa"/>
            <w:vAlign w:val="bottom"/>
            <w:tcBorders>
              <w:top w:val="single" w:sz="8" w:color="D1D2D4"/>
            </w:tcBorders>
          </w:tcPr>
          <w:p>
            <w:pPr>
              <w:ind w:left="20"/>
              <w:spacing w:after="0" w:line="168" w:lineRule="exact"/>
              <w:rPr>
                <w:sz w:val="20"/>
                <w:szCs w:val="20"/>
                <w:color w:val="auto"/>
              </w:rPr>
            </w:pPr>
            <w:r>
              <w:rPr>
                <w:rFonts w:ascii="Arial" w:cs="Arial" w:eastAsia="Arial" w:hAnsi="Arial"/>
                <w:sz w:val="16"/>
                <w:szCs w:val="16"/>
                <w:color w:val="auto"/>
              </w:rPr>
              <w:t>97.1</w:t>
            </w:r>
          </w:p>
        </w:tc>
        <w:tc>
          <w:tcPr>
            <w:tcW w:w="4600" w:type="dxa"/>
            <w:vAlign w:val="bottom"/>
            <w:tcBorders>
              <w:top w:val="single" w:sz="8" w:color="auto"/>
            </w:tcBorders>
            <w:gridSpan w:val="24"/>
          </w:tcPr>
          <w:p>
            <w:pPr>
              <w:spacing w:after="0" w:line="168" w:lineRule="exact"/>
              <w:rPr>
                <w:rFonts w:ascii="Arial" w:cs="Arial" w:eastAsia="Arial" w:hAnsi="Arial"/>
                <w:sz w:val="16"/>
                <w:szCs w:val="16"/>
                <w:color w:val="auto"/>
                <w:w w:val="99"/>
              </w:rPr>
            </w:pPr>
            <w:hyperlink r:id="rId231">
              <w:r>
                <w:rPr>
                  <w:rFonts w:ascii="Arial" w:cs="Arial" w:eastAsia="Arial" w:hAnsi="Arial"/>
                  <w:sz w:val="16"/>
                  <w:szCs w:val="16"/>
                  <w:color w:val="auto"/>
                  <w:w w:val="99"/>
                </w:rPr>
                <w:t>Compensation Recoupment (Clawback) Policy, as amended and</w:t>
              </w:r>
            </w:hyperlink>
          </w:p>
        </w:tc>
        <w:tc>
          <w:tcPr>
            <w:tcW w:w="1740" w:type="dxa"/>
            <w:vAlign w:val="bottom"/>
            <w:tcBorders>
              <w:top w:val="single" w:sz="8" w:color="D1D2D4"/>
            </w:tcBorders>
          </w:tcPr>
          <w:p>
            <w:pPr>
              <w:ind w:left="1080"/>
              <w:spacing w:after="0" w:line="168" w:lineRule="exact"/>
              <w:rPr>
                <w:sz w:val="20"/>
                <w:szCs w:val="20"/>
                <w:color w:val="auto"/>
              </w:rPr>
            </w:pPr>
            <w:r>
              <w:rPr>
                <w:rFonts w:ascii="Arial" w:cs="Arial" w:eastAsia="Arial" w:hAnsi="Arial"/>
                <w:sz w:val="16"/>
                <w:szCs w:val="16"/>
                <w:color w:val="auto"/>
              </w:rPr>
              <w:t>10-K</w:t>
            </w:r>
          </w:p>
        </w:tc>
        <w:tc>
          <w:tcPr>
            <w:tcW w:w="940" w:type="dxa"/>
            <w:vAlign w:val="bottom"/>
            <w:tcBorders>
              <w:top w:val="single" w:sz="8" w:color="D1D2D4"/>
            </w:tcBorders>
          </w:tcPr>
          <w:p>
            <w:pPr>
              <w:jc w:val="right"/>
              <w:ind w:right="242"/>
              <w:spacing w:after="0" w:line="168" w:lineRule="exact"/>
              <w:rPr>
                <w:sz w:val="20"/>
                <w:szCs w:val="20"/>
                <w:color w:val="auto"/>
              </w:rPr>
            </w:pPr>
            <w:r>
              <w:rPr>
                <w:rFonts w:ascii="Arial" w:cs="Arial" w:eastAsia="Arial" w:hAnsi="Arial"/>
                <w:sz w:val="16"/>
                <w:szCs w:val="16"/>
                <w:color w:val="auto"/>
              </w:rPr>
              <w:t>8/31/23</w:t>
            </w:r>
          </w:p>
        </w:tc>
        <w:tc>
          <w:tcPr>
            <w:tcW w:w="1160" w:type="dxa"/>
            <w:vAlign w:val="bottom"/>
            <w:tcBorders>
              <w:top w:val="single" w:sz="8" w:color="D1D2D4"/>
            </w:tcBorders>
          </w:tcPr>
          <w:p>
            <w:pPr>
              <w:ind w:left="100"/>
              <w:spacing w:after="0" w:line="168" w:lineRule="exact"/>
              <w:rPr>
                <w:sz w:val="20"/>
                <w:szCs w:val="20"/>
                <w:color w:val="auto"/>
              </w:rPr>
            </w:pPr>
            <w:r>
              <w:rPr>
                <w:rFonts w:ascii="Arial" w:cs="Arial" w:eastAsia="Arial" w:hAnsi="Arial"/>
                <w:sz w:val="16"/>
                <w:szCs w:val="16"/>
                <w:color w:val="auto"/>
              </w:rPr>
              <w:t>97.1</w:t>
            </w:r>
          </w:p>
        </w:tc>
        <w:tc>
          <w:tcPr>
            <w:tcW w:w="1040" w:type="dxa"/>
            <w:vAlign w:val="bottom"/>
            <w:tcBorders>
              <w:top w:val="single" w:sz="8" w:color="D1D2D4"/>
            </w:tcBorders>
          </w:tcPr>
          <w:p>
            <w:pPr>
              <w:jc w:val="right"/>
              <w:ind w:right="322"/>
              <w:spacing w:after="0" w:line="168" w:lineRule="exact"/>
              <w:rPr>
                <w:sz w:val="20"/>
                <w:szCs w:val="20"/>
                <w:color w:val="auto"/>
              </w:rPr>
            </w:pPr>
            <w:r>
              <w:rPr>
                <w:rFonts w:ascii="Arial" w:cs="Arial" w:eastAsia="Arial" w:hAnsi="Arial"/>
                <w:sz w:val="16"/>
                <w:szCs w:val="16"/>
                <w:color w:val="auto"/>
              </w:rPr>
              <w:t>10/6/23</w:t>
            </w: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spacing w:after="0" w:line="136" w:lineRule="exact"/>
              <w:rPr>
                <w:rFonts w:ascii="Arial" w:cs="Arial" w:eastAsia="Arial" w:hAnsi="Arial"/>
                <w:sz w:val="14"/>
                <w:szCs w:val="14"/>
                <w:color w:val="auto"/>
              </w:rPr>
            </w:pPr>
            <w:hyperlink r:id="rId231">
              <w:r>
                <w:rPr>
                  <w:rFonts w:ascii="Arial" w:cs="Arial" w:eastAsia="Arial" w:hAnsi="Arial"/>
                  <w:sz w:val="14"/>
                  <w:szCs w:val="14"/>
                  <w:color w:val="auto"/>
                </w:rPr>
                <w:t>restated</w:t>
              </w:r>
            </w:hyperlink>
          </w:p>
        </w:tc>
        <w:tc>
          <w:tcPr>
            <w:tcW w:w="3920" w:type="dxa"/>
            <w:vAlign w:val="bottom"/>
            <w:tcBorders>
              <w:top w:val="single" w:sz="8" w:color="auto"/>
            </w:tcBorders>
            <w:gridSpan w:val="20"/>
          </w:tcPr>
          <w:p>
            <w:pPr>
              <w:spacing w:after="0"/>
              <w:rPr>
                <w:sz w:val="12"/>
                <w:szCs w:val="12"/>
                <w:color w:val="auto"/>
              </w:rPr>
            </w:pPr>
          </w:p>
        </w:tc>
        <w:tc>
          <w:tcPr>
            <w:tcW w:w="12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80" w:type="dxa"/>
            <w:vAlign w:val="bottom"/>
            <w:shd w:val="clear" w:color="auto" w:fill="D1D2D4"/>
          </w:tcPr>
          <w:p>
            <w:pPr>
              <w:ind w:left="20"/>
              <w:spacing w:after="0" w:line="165" w:lineRule="exact"/>
              <w:rPr>
                <w:sz w:val="20"/>
                <w:szCs w:val="20"/>
                <w:color w:val="auto"/>
              </w:rPr>
            </w:pPr>
            <w:r>
              <w:rPr>
                <w:rFonts w:ascii="Arial" w:cs="Arial" w:eastAsia="Arial" w:hAnsi="Arial"/>
                <w:sz w:val="16"/>
                <w:szCs w:val="16"/>
                <w:color w:val="auto"/>
              </w:rPr>
              <w:t>101.INS</w:t>
            </w:r>
          </w:p>
        </w:tc>
        <w:tc>
          <w:tcPr>
            <w:tcW w:w="6340" w:type="dxa"/>
            <w:vAlign w:val="bottom"/>
            <w:gridSpan w:val="25"/>
            <w:shd w:val="clear" w:color="auto" w:fill="D1D2D4"/>
          </w:tcPr>
          <w:p>
            <w:pPr>
              <w:spacing w:after="0" w:line="165" w:lineRule="exact"/>
              <w:rPr>
                <w:sz w:val="20"/>
                <w:szCs w:val="20"/>
                <w:color w:val="auto"/>
              </w:rPr>
            </w:pPr>
            <w:r>
              <w:rPr>
                <w:rFonts w:ascii="Arial" w:cs="Arial" w:eastAsia="Arial" w:hAnsi="Arial"/>
                <w:sz w:val="16"/>
                <w:szCs w:val="16"/>
                <w:color w:val="auto"/>
              </w:rPr>
              <w:t>Inline XBRL Instance Document - the instance document does not X</w:t>
            </w:r>
          </w:p>
        </w:tc>
        <w:tc>
          <w:tcPr>
            <w:tcW w:w="94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c>
          <w:tcPr>
            <w:tcW w:w="10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shd w:val="clear" w:color="auto" w:fill="D1D2D4"/>
          </w:tcPr>
          <w:p>
            <w:pPr>
              <w:spacing w:after="0"/>
              <w:rPr>
                <w:sz w:val="13"/>
                <w:szCs w:val="13"/>
                <w:color w:val="auto"/>
              </w:rPr>
            </w:pPr>
          </w:p>
        </w:tc>
        <w:tc>
          <w:tcPr>
            <w:tcW w:w="4600" w:type="dxa"/>
            <w:vAlign w:val="bottom"/>
            <w:tcBorders>
              <w:right w:val="single" w:sz="8" w:color="D1D2D4"/>
            </w:tcBorders>
            <w:gridSpan w:val="24"/>
            <w:shd w:val="clear" w:color="auto" w:fill="D1D2D4"/>
          </w:tcPr>
          <w:p>
            <w:pPr>
              <w:spacing w:after="0" w:line="156" w:lineRule="exact"/>
              <w:rPr>
                <w:sz w:val="20"/>
                <w:szCs w:val="20"/>
                <w:color w:val="auto"/>
              </w:rPr>
            </w:pPr>
            <w:r>
              <w:rPr>
                <w:rFonts w:ascii="Arial" w:cs="Arial" w:eastAsia="Arial" w:hAnsi="Arial"/>
                <w:sz w:val="16"/>
                <w:szCs w:val="16"/>
                <w:color w:val="auto"/>
              </w:rPr>
              <w:t>appear in the Interactive Data File because its XBRL tags are</w:t>
            </w:r>
          </w:p>
        </w:tc>
        <w:tc>
          <w:tcPr>
            <w:tcW w:w="174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104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D1D2D4"/>
          </w:tcPr>
          <w:p>
            <w:pPr>
              <w:spacing w:after="0"/>
              <w:rPr>
                <w:sz w:val="17"/>
                <w:szCs w:val="17"/>
                <w:color w:val="auto"/>
              </w:rPr>
            </w:pPr>
          </w:p>
        </w:tc>
        <w:tc>
          <w:tcPr>
            <w:tcW w:w="4600" w:type="dxa"/>
            <w:vAlign w:val="bottom"/>
            <w:tcBorders>
              <w:right w:val="single" w:sz="8" w:color="D1D2D4"/>
            </w:tcBorders>
            <w:gridSpan w:val="24"/>
            <w:shd w:val="clear" w:color="auto" w:fill="D1D2D4"/>
          </w:tcPr>
          <w:p>
            <w:pPr>
              <w:spacing w:after="0"/>
              <w:rPr>
                <w:sz w:val="20"/>
                <w:szCs w:val="20"/>
                <w:color w:val="auto"/>
              </w:rPr>
            </w:pPr>
            <w:r>
              <w:rPr>
                <w:rFonts w:ascii="Arial" w:cs="Arial" w:eastAsia="Arial" w:hAnsi="Arial"/>
                <w:sz w:val="16"/>
                <w:szCs w:val="16"/>
                <w:color w:val="auto"/>
              </w:rPr>
              <w:t>embedded within the Inline XBRL document</w:t>
            </w:r>
          </w:p>
        </w:tc>
        <w:tc>
          <w:tcPr>
            <w:tcW w:w="1740" w:type="dxa"/>
            <w:vAlign w:val="bottom"/>
            <w:shd w:val="clear" w:color="auto" w:fill="D1D2D4"/>
          </w:tcPr>
          <w:p>
            <w:pPr>
              <w:spacing w:after="0"/>
              <w:rPr>
                <w:sz w:val="17"/>
                <w:szCs w:val="17"/>
                <w:color w:val="auto"/>
              </w:rPr>
            </w:pPr>
          </w:p>
        </w:tc>
        <w:tc>
          <w:tcPr>
            <w:tcW w:w="94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101.SCH</w:t>
            </w:r>
          </w:p>
        </w:tc>
        <w:tc>
          <w:tcPr>
            <w:tcW w:w="460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c>
          <w:tcPr>
            <w:tcW w:w="1740" w:type="dxa"/>
            <w:vAlign w:val="bottom"/>
          </w:tcPr>
          <w:p>
            <w:pPr>
              <w:spacing w:after="0"/>
              <w:rPr>
                <w:sz w:val="20"/>
                <w:szCs w:val="20"/>
                <w:color w:val="auto"/>
              </w:rPr>
            </w:pPr>
            <w:r>
              <w:rPr>
                <w:rFonts w:ascii="Arial" w:cs="Arial" w:eastAsia="Arial" w:hAnsi="Arial"/>
                <w:sz w:val="16"/>
                <w:szCs w:val="16"/>
                <w:color w:val="auto"/>
              </w:rPr>
              <w:t>X</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101.CAL</w:t>
            </w:r>
          </w:p>
        </w:tc>
        <w:tc>
          <w:tcPr>
            <w:tcW w:w="6340" w:type="dxa"/>
            <w:vAlign w:val="bottom"/>
            <w:gridSpan w:val="25"/>
            <w:shd w:val="clear" w:color="auto" w:fill="D1D2D4"/>
          </w:tcPr>
          <w:p>
            <w:pPr>
              <w:spacing w:after="0"/>
              <w:rPr>
                <w:sz w:val="20"/>
                <w:szCs w:val="20"/>
                <w:color w:val="auto"/>
              </w:rPr>
            </w:pPr>
            <w:r>
              <w:rPr>
                <w:rFonts w:ascii="Arial" w:cs="Arial" w:eastAsia="Arial" w:hAnsi="Arial"/>
                <w:sz w:val="16"/>
                <w:szCs w:val="16"/>
                <w:color w:val="auto"/>
              </w:rPr>
              <w:t>Inline XBRL Taxonomy Extension Calculation Linkbase Document X</w:t>
            </w:r>
          </w:p>
        </w:tc>
        <w:tc>
          <w:tcPr>
            <w:tcW w:w="94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tcPr>
          <w:p>
            <w:pPr>
              <w:ind w:left="20"/>
              <w:spacing w:after="0"/>
              <w:rPr>
                <w:sz w:val="20"/>
                <w:szCs w:val="20"/>
                <w:color w:val="auto"/>
              </w:rPr>
            </w:pPr>
            <w:r>
              <w:rPr>
                <w:rFonts w:ascii="Arial" w:cs="Arial" w:eastAsia="Arial" w:hAnsi="Arial"/>
                <w:sz w:val="16"/>
                <w:szCs w:val="16"/>
                <w:color w:val="auto"/>
              </w:rPr>
              <w:t>101.DEF</w:t>
            </w:r>
          </w:p>
        </w:tc>
        <w:tc>
          <w:tcPr>
            <w:tcW w:w="460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740" w:type="dxa"/>
            <w:vAlign w:val="bottom"/>
          </w:tcPr>
          <w:p>
            <w:pPr>
              <w:spacing w:after="0"/>
              <w:rPr>
                <w:sz w:val="20"/>
                <w:szCs w:val="20"/>
                <w:color w:val="auto"/>
              </w:rPr>
            </w:pPr>
            <w:r>
              <w:rPr>
                <w:rFonts w:ascii="Arial" w:cs="Arial" w:eastAsia="Arial" w:hAnsi="Arial"/>
                <w:sz w:val="16"/>
                <w:szCs w:val="16"/>
                <w:color w:val="auto"/>
              </w:rPr>
              <w:t>X</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101.LAB</w:t>
            </w:r>
          </w:p>
        </w:tc>
        <w:tc>
          <w:tcPr>
            <w:tcW w:w="4600" w:type="dxa"/>
            <w:vAlign w:val="bottom"/>
            <w:tcBorders>
              <w:right w:val="single" w:sz="8" w:color="D1D2D4"/>
            </w:tcBorders>
            <w:gridSpan w:val="24"/>
            <w:shd w:val="clear" w:color="auto" w:fill="D1D2D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740" w:type="dxa"/>
            <w:vAlign w:val="bottom"/>
            <w:shd w:val="clear" w:color="auto" w:fill="D1D2D4"/>
          </w:tcPr>
          <w:p>
            <w:pPr>
              <w:spacing w:after="0"/>
              <w:rPr>
                <w:sz w:val="20"/>
                <w:szCs w:val="20"/>
                <w:color w:val="auto"/>
              </w:rPr>
            </w:pPr>
            <w:r>
              <w:rPr>
                <w:rFonts w:ascii="Arial" w:cs="Arial" w:eastAsia="Arial" w:hAnsi="Arial"/>
                <w:sz w:val="16"/>
                <w:szCs w:val="16"/>
                <w:color w:val="auto"/>
              </w:rPr>
              <w:t>X</w:t>
            </w:r>
          </w:p>
        </w:tc>
        <w:tc>
          <w:tcPr>
            <w:tcW w:w="94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20"/>
              <w:spacing w:after="0" w:line="157" w:lineRule="exact"/>
              <w:rPr>
                <w:sz w:val="20"/>
                <w:szCs w:val="20"/>
                <w:color w:val="auto"/>
              </w:rPr>
            </w:pPr>
            <w:r>
              <w:rPr>
                <w:rFonts w:ascii="Arial" w:cs="Arial" w:eastAsia="Arial" w:hAnsi="Arial"/>
                <w:sz w:val="16"/>
                <w:szCs w:val="16"/>
                <w:color w:val="auto"/>
              </w:rPr>
              <w:t>101.PRE</w:t>
            </w:r>
          </w:p>
        </w:tc>
        <w:tc>
          <w:tcPr>
            <w:tcW w:w="4600" w:type="dxa"/>
            <w:vAlign w:val="bottom"/>
            <w:gridSpan w:val="24"/>
          </w:tcPr>
          <w:p>
            <w:pPr>
              <w:spacing w:after="0" w:line="157" w:lineRule="exact"/>
              <w:rPr>
                <w:sz w:val="20"/>
                <w:szCs w:val="20"/>
                <w:color w:val="auto"/>
              </w:rPr>
            </w:pPr>
            <w:r>
              <w:rPr>
                <w:rFonts w:ascii="Arial" w:cs="Arial" w:eastAsia="Arial" w:hAnsi="Arial"/>
                <w:sz w:val="16"/>
                <w:szCs w:val="16"/>
                <w:color w:val="auto"/>
              </w:rPr>
              <w:t>Inline XBRL Taxonomy Extension Presentation Linkbase</w:t>
            </w:r>
          </w:p>
        </w:tc>
        <w:tc>
          <w:tcPr>
            <w:tcW w:w="1740" w:type="dxa"/>
            <w:vAlign w:val="bottom"/>
          </w:tcPr>
          <w:p>
            <w:pPr>
              <w:spacing w:after="0" w:line="157" w:lineRule="exact"/>
              <w:rPr>
                <w:sz w:val="20"/>
                <w:szCs w:val="20"/>
                <w:color w:val="auto"/>
              </w:rPr>
            </w:pPr>
            <w:r>
              <w:rPr>
                <w:rFonts w:ascii="Arial" w:cs="Arial" w:eastAsia="Arial" w:hAnsi="Arial"/>
                <w:sz w:val="16"/>
                <w:szCs w:val="16"/>
                <w:color w:val="auto"/>
              </w:rPr>
              <w:t>X</w:t>
            </w: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4600" w:type="dxa"/>
            <w:vAlign w:val="bottom"/>
            <w:gridSpan w:val="24"/>
          </w:tcPr>
          <w:p>
            <w:pPr>
              <w:spacing w:after="0"/>
              <w:rPr>
                <w:sz w:val="20"/>
                <w:szCs w:val="20"/>
                <w:color w:val="auto"/>
              </w:rPr>
            </w:pPr>
            <w:r>
              <w:rPr>
                <w:rFonts w:ascii="Arial" w:cs="Arial" w:eastAsia="Arial" w:hAnsi="Arial"/>
                <w:sz w:val="16"/>
                <w:szCs w:val="16"/>
                <w:color w:val="auto"/>
              </w:rPr>
              <w:t>Document</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080" w:type="dxa"/>
            <w:vAlign w:val="bottom"/>
            <w:shd w:val="clear" w:color="auto" w:fill="D1D2D4"/>
          </w:tcPr>
          <w:p>
            <w:pPr>
              <w:ind w:left="20"/>
              <w:spacing w:after="0" w:line="157" w:lineRule="exact"/>
              <w:rPr>
                <w:sz w:val="20"/>
                <w:szCs w:val="20"/>
                <w:color w:val="auto"/>
              </w:rPr>
            </w:pPr>
            <w:r>
              <w:rPr>
                <w:rFonts w:ascii="Arial" w:cs="Arial" w:eastAsia="Arial" w:hAnsi="Arial"/>
                <w:sz w:val="16"/>
                <w:szCs w:val="16"/>
                <w:color w:val="auto"/>
              </w:rPr>
              <w:t>104</w:t>
            </w:r>
          </w:p>
        </w:tc>
        <w:tc>
          <w:tcPr>
            <w:tcW w:w="4600" w:type="dxa"/>
            <w:vAlign w:val="bottom"/>
            <w:tcBorders>
              <w:right w:val="single" w:sz="8" w:color="D1D2D4"/>
            </w:tcBorders>
            <w:gridSpan w:val="24"/>
            <w:shd w:val="clear" w:color="auto" w:fill="D1D2D4"/>
          </w:tcPr>
          <w:p>
            <w:pPr>
              <w:spacing w:after="0" w:line="157" w:lineRule="exact"/>
              <w:rPr>
                <w:sz w:val="20"/>
                <w:szCs w:val="20"/>
                <w:color w:val="auto"/>
              </w:rPr>
            </w:pPr>
            <w:r>
              <w:rPr>
                <w:rFonts w:ascii="Arial" w:cs="Arial" w:eastAsia="Arial" w:hAnsi="Arial"/>
                <w:sz w:val="16"/>
                <w:szCs w:val="16"/>
                <w:color w:val="auto"/>
              </w:rPr>
              <w:t>Cover Page Interactive Data File (formatted as Inline XBRL and</w:t>
            </w:r>
          </w:p>
        </w:tc>
        <w:tc>
          <w:tcPr>
            <w:tcW w:w="1740" w:type="dxa"/>
            <w:vAlign w:val="bottom"/>
            <w:shd w:val="clear" w:color="auto" w:fill="D1D2D4"/>
          </w:tcPr>
          <w:p>
            <w:pPr>
              <w:spacing w:after="0" w:line="157" w:lineRule="exact"/>
              <w:rPr>
                <w:sz w:val="20"/>
                <w:szCs w:val="20"/>
                <w:color w:val="auto"/>
              </w:rPr>
            </w:pPr>
            <w:r>
              <w:rPr>
                <w:rFonts w:ascii="Arial" w:cs="Arial" w:eastAsia="Arial" w:hAnsi="Arial"/>
                <w:sz w:val="16"/>
                <w:szCs w:val="16"/>
                <w:color w:val="auto"/>
              </w:rPr>
              <w:t>X</w:t>
            </w:r>
          </w:p>
        </w:tc>
        <w:tc>
          <w:tcPr>
            <w:tcW w:w="94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104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D1D2D4"/>
          </w:tcPr>
          <w:p>
            <w:pPr>
              <w:spacing w:after="0"/>
              <w:rPr>
                <w:sz w:val="17"/>
                <w:szCs w:val="17"/>
                <w:color w:val="auto"/>
              </w:rPr>
            </w:pPr>
          </w:p>
        </w:tc>
        <w:tc>
          <w:tcPr>
            <w:tcW w:w="4600" w:type="dxa"/>
            <w:vAlign w:val="bottom"/>
            <w:tcBorders>
              <w:right w:val="single" w:sz="8" w:color="D1D2D4"/>
            </w:tcBorders>
            <w:gridSpan w:val="24"/>
            <w:shd w:val="clear" w:color="auto" w:fill="D1D2D4"/>
          </w:tcPr>
          <w:p>
            <w:pPr>
              <w:spacing w:after="0"/>
              <w:rPr>
                <w:sz w:val="20"/>
                <w:szCs w:val="20"/>
                <w:color w:val="auto"/>
              </w:rPr>
            </w:pPr>
            <w:r>
              <w:rPr>
                <w:rFonts w:ascii="Arial" w:cs="Arial" w:eastAsia="Arial" w:hAnsi="Arial"/>
                <w:sz w:val="16"/>
                <w:szCs w:val="16"/>
                <w:color w:val="auto"/>
              </w:rPr>
              <w:t>contained in Exhibit 101)</w:t>
            </w:r>
          </w:p>
        </w:tc>
        <w:tc>
          <w:tcPr>
            <w:tcW w:w="1740" w:type="dxa"/>
            <w:vAlign w:val="bottom"/>
            <w:shd w:val="clear" w:color="auto" w:fill="D1D2D4"/>
          </w:tcPr>
          <w:p>
            <w:pPr>
              <w:spacing w:after="0"/>
              <w:rPr>
                <w:sz w:val="17"/>
                <w:szCs w:val="17"/>
                <w:color w:val="auto"/>
              </w:rPr>
            </w:pPr>
          </w:p>
        </w:tc>
        <w:tc>
          <w:tcPr>
            <w:tcW w:w="94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92" w:lineRule="exact"/>
        <w:rPr>
          <w:sz w:val="20"/>
          <w:szCs w:val="20"/>
          <w:color w:val="auto"/>
        </w:rPr>
      </w:pPr>
    </w:p>
    <w:p>
      <w:pPr>
        <w:ind w:right="120" w:firstLine="6"/>
        <w:spacing w:after="0" w:line="248" w:lineRule="auto"/>
        <w:tabs>
          <w:tab w:leader="none" w:pos="1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0"/>
        <w:spacing w:after="0"/>
        <w:rPr>
          <w:sz w:val="20"/>
          <w:szCs w:val="20"/>
          <w:color w:val="auto"/>
        </w:rPr>
      </w:pPr>
      <w:r>
        <w:rPr>
          <w:sz w:val="1"/>
          <w:szCs w:val="1"/>
          <w:color w:val="auto"/>
        </w:rPr>
        <w:drawing>
          <wp:inline distT="0" distB="0" distL="0" distR="0">
            <wp:extent cx="693420" cy="14478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93420" cy="144780"/>
                    </a:xfrm>
                    <a:prstGeom prst="rect">
                      <a:avLst/>
                    </a:prstGeom>
                    <a:noFill/>
                    <a:ln>
                      <a:noFill/>
                    </a:ln>
                  </pic:spPr>
                </pic:pic>
              </a:graphicData>
            </a:graphic>
          </wp:inline>
        </w:drawing>
      </w:r>
      <w:r>
        <w:rPr>
          <w:rFonts w:ascii="Arial" w:cs="Arial" w:eastAsia="Arial" w:hAnsi="Arial"/>
          <w:sz w:val="12"/>
          <w:szCs w:val="12"/>
          <w:b w:val="1"/>
          <w:bCs w:val="1"/>
          <w:color w:val="auto"/>
        </w:rPr>
        <w:t xml:space="preserv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78105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8" w:name="page109"/>
    <w:bookmarkEnd w:id="108"/>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SIGNATURES</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Micron Technology, Inc.</w:t>
      </w:r>
    </w:p>
    <w:p>
      <w:pPr>
        <w:spacing w:after="0" w:line="21" w:lineRule="exact"/>
        <w:rPr>
          <w:sz w:val="20"/>
          <w:szCs w:val="20"/>
          <w:color w:val="auto"/>
        </w:rPr>
      </w:pPr>
    </w:p>
    <w:p>
      <w:pPr>
        <w:ind w:left="20"/>
        <w:spacing w:after="0"/>
        <w:tabs>
          <w:tab w:leader="none" w:pos="580" w:val="left"/>
          <w:tab w:leader="none" w:pos="5240" w:val="left"/>
          <w:tab w:leader="none" w:pos="7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11430</wp:posOffset>
            </wp:positionV>
            <wp:extent cx="307911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3079115" cy="7620"/>
                    </a:xfrm>
                    <a:prstGeom prst="rect">
                      <a:avLst/>
                    </a:prstGeom>
                    <a:noFill/>
                  </pic:spPr>
                </pic:pic>
              </a:graphicData>
            </a:graphic>
          </wp:anchor>
        </w:drawing>
      </w:r>
    </w:p>
    <w:p>
      <w:pPr>
        <w:jc w:val="center"/>
        <w:ind w:left="5700"/>
        <w:spacing w:after="0"/>
        <w:rPr>
          <w:sz w:val="20"/>
          <w:szCs w:val="20"/>
          <w:color w:val="auto"/>
        </w:rPr>
      </w:pPr>
      <w:r>
        <w:rPr>
          <w:rFonts w:ascii="Arial" w:cs="Arial" w:eastAsia="Arial" w:hAnsi="Arial"/>
          <w:sz w:val="16"/>
          <w:szCs w:val="16"/>
          <w:b w:val="1"/>
          <w:bCs w:val="1"/>
          <w:color w:val="auto"/>
        </w:rPr>
        <w:t>Mark Murphy</w:t>
      </w:r>
    </w:p>
    <w:p>
      <w:pPr>
        <w:jc w:val="center"/>
        <w:ind w:left="5680"/>
        <w:spacing w:after="0"/>
        <w:rPr>
          <w:sz w:val="20"/>
          <w:szCs w:val="20"/>
          <w:color w:val="auto"/>
        </w:rPr>
      </w:pPr>
      <w:r>
        <w:rPr>
          <w:rFonts w:ascii="Arial" w:cs="Arial" w:eastAsia="Arial" w:hAnsi="Arial"/>
          <w:sz w:val="16"/>
          <w:szCs w:val="16"/>
          <w:color w:val="auto"/>
        </w:rPr>
        <w:t>Executive Vice President and Chief Financial Officer</w:t>
      </w:r>
    </w:p>
    <w:p>
      <w:pPr>
        <w:spacing w:after="0" w:line="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109 | 2025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09" w:name="page110"/>
    <w:bookmarkEnd w:id="109"/>
    <w:p>
      <w:pPr>
        <w:jc w:val="right"/>
        <w:spacing w:after="0"/>
        <w:rPr>
          <w:rFonts w:ascii="Arial" w:cs="Arial" w:eastAsia="Arial" w:hAnsi="Arial"/>
          <w:sz w:val="14"/>
          <w:szCs w:val="14"/>
          <w:b w:val="1"/>
          <w:bCs w:val="1"/>
          <w:u w:val="single" w:color="auto"/>
          <w:color w:val="BD03F7"/>
        </w:rPr>
      </w:pPr>
      <w:hyperlink w:anchor="page3">
        <w:r>
          <w:rPr>
            <w:rFonts w:ascii="Arial" w:cs="Arial" w:eastAsia="Arial" w:hAnsi="Arial"/>
            <w:sz w:val="14"/>
            <w:szCs w:val="14"/>
            <w:b w:val="1"/>
            <w:bCs w:val="1"/>
            <w:u w:val="single" w:color="auto"/>
            <w:color w:val="BD03F7"/>
          </w:rPr>
          <w:t>Table of Contents</w:t>
        </w:r>
      </w:hyperlink>
    </w:p>
    <w:p>
      <w:pPr>
        <w:spacing w:after="0" w:line="200" w:lineRule="exact"/>
        <w:rPr>
          <w:sz w:val="20"/>
          <w:szCs w:val="20"/>
          <w:color w:val="auto"/>
        </w:rPr>
      </w:pPr>
    </w:p>
    <w:p>
      <w:pPr>
        <w:spacing w:after="0" w:line="360" w:lineRule="exact"/>
        <w:rPr>
          <w:sz w:val="20"/>
          <w:szCs w:val="20"/>
          <w:color w:val="auto"/>
        </w:rPr>
      </w:pPr>
    </w:p>
    <w:p>
      <w:pPr>
        <w:ind w:right="580"/>
        <w:spacing w:after="0" w:line="257"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7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7"/>
              </w:rPr>
              <w:t>Signature</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line="169" w:lineRule="exact"/>
              <w:rPr>
                <w:sz w:val="20"/>
                <w:szCs w:val="20"/>
                <w:color w:val="auto"/>
              </w:rPr>
            </w:pPr>
            <w:r>
              <w:rPr>
                <w:rFonts w:ascii="Arial" w:cs="Arial" w:eastAsia="Arial" w:hAnsi="Arial"/>
                <w:sz w:val="16"/>
                <w:szCs w:val="16"/>
                <w:b w:val="1"/>
                <w:bCs w:val="1"/>
                <w:color w:val="auto"/>
                <w:w w:val="91"/>
              </w:rPr>
              <w:t>Title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Date</w:t>
            </w:r>
          </w:p>
        </w:tc>
      </w:tr>
      <w:tr>
        <w:trPr>
          <w:trHeight w:val="20"/>
        </w:trPr>
        <w:tc>
          <w:tcPr>
            <w:tcW w:w="2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Sanjay Mehrotra</w:t>
            </w:r>
          </w:p>
        </w:tc>
        <w:tc>
          <w:tcPr>
            <w:tcW w:w="2840" w:type="dxa"/>
            <w:vAlign w:val="bottom"/>
            <w:gridSpan w:val="3"/>
          </w:tcPr>
          <w:p>
            <w:pPr>
              <w:spacing w:after="0"/>
              <w:rPr>
                <w:sz w:val="20"/>
                <w:szCs w:val="20"/>
                <w:color w:val="auto"/>
              </w:rPr>
            </w:pPr>
            <w:r>
              <w:rPr>
                <w:rFonts w:ascii="Arial" w:cs="Arial" w:eastAsia="Arial" w:hAnsi="Arial"/>
                <w:sz w:val="16"/>
                <w:szCs w:val="16"/>
                <w:color w:val="auto"/>
              </w:rPr>
              <w:t>Chairman, President and</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19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(Sanjay Mehrotra)</w:t>
            </w:r>
          </w:p>
        </w:tc>
        <w:tc>
          <w:tcPr>
            <w:tcW w:w="2840" w:type="dxa"/>
            <w:vAlign w:val="bottom"/>
            <w:gridSpan w:val="3"/>
          </w:tcPr>
          <w:p>
            <w:pPr>
              <w:spacing w:after="0"/>
              <w:rPr>
                <w:sz w:val="20"/>
                <w:szCs w:val="20"/>
                <w:color w:val="auto"/>
              </w:rPr>
            </w:pPr>
            <w:r>
              <w:rPr>
                <w:rFonts w:ascii="Arial" w:cs="Arial" w:eastAsia="Arial" w:hAnsi="Arial"/>
                <w:sz w:val="16"/>
                <w:szCs w:val="16"/>
                <w:color w:val="auto"/>
              </w:rPr>
              <w:t>Chief Executive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40" w:type="dxa"/>
            <w:vAlign w:val="bottom"/>
            <w:gridSpan w:val="3"/>
          </w:tcPr>
          <w:p>
            <w:pPr>
              <w:spacing w:after="0"/>
              <w:rPr>
                <w:sz w:val="20"/>
                <w:szCs w:val="20"/>
                <w:color w:val="auto"/>
              </w:rPr>
            </w:pPr>
            <w:r>
              <w:rPr>
                <w:rFonts w:ascii="Arial" w:cs="Arial" w:eastAsia="Arial" w:hAnsi="Arial"/>
                <w:sz w:val="16"/>
                <w:szCs w:val="16"/>
                <w:color w:val="auto"/>
              </w:rPr>
              <w:t>(Principal Executive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4"/>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7"/>
              </w:rPr>
              <w:t>/s/ Mark Murphy</w:t>
            </w:r>
          </w:p>
        </w:tc>
        <w:tc>
          <w:tcPr>
            <w:tcW w:w="2840" w:type="dxa"/>
            <w:vAlign w:val="bottom"/>
            <w:gridSpan w:val="3"/>
          </w:tcPr>
          <w:p>
            <w:pPr>
              <w:spacing w:after="0"/>
              <w:rPr>
                <w:sz w:val="20"/>
                <w:szCs w:val="20"/>
                <w:color w:val="auto"/>
              </w:rPr>
            </w:pPr>
            <w:r>
              <w:rPr>
                <w:rFonts w:ascii="Arial" w:cs="Arial" w:eastAsia="Arial" w:hAnsi="Arial"/>
                <w:sz w:val="16"/>
                <w:szCs w:val="16"/>
                <w:color w:val="auto"/>
              </w:rPr>
              <w:t>Executive Vice President and</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19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(Mark Murphy)</w:t>
            </w:r>
          </w:p>
        </w:tc>
        <w:tc>
          <w:tcPr>
            <w:tcW w:w="2840" w:type="dxa"/>
            <w:vAlign w:val="bottom"/>
            <w:gridSpan w:val="3"/>
          </w:tcPr>
          <w:p>
            <w:pPr>
              <w:spacing w:after="0"/>
              <w:rPr>
                <w:sz w:val="20"/>
                <w:szCs w:val="20"/>
                <w:color w:val="auto"/>
              </w:rPr>
            </w:pPr>
            <w:r>
              <w:rPr>
                <w:rFonts w:ascii="Arial" w:cs="Arial" w:eastAsia="Arial" w:hAnsi="Arial"/>
                <w:sz w:val="16"/>
                <w:szCs w:val="16"/>
                <w:color w:val="auto"/>
              </w:rPr>
              <w:t>Chief Financial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40" w:type="dxa"/>
            <w:vAlign w:val="bottom"/>
            <w:gridSpan w:val="3"/>
          </w:tcPr>
          <w:p>
            <w:pPr>
              <w:spacing w:after="0"/>
              <w:rPr>
                <w:sz w:val="20"/>
                <w:szCs w:val="20"/>
                <w:color w:val="auto"/>
              </w:rPr>
            </w:pPr>
            <w:r>
              <w:rPr>
                <w:rFonts w:ascii="Arial" w:cs="Arial" w:eastAsia="Arial" w:hAnsi="Arial"/>
                <w:sz w:val="16"/>
                <w:szCs w:val="16"/>
                <w:color w:val="auto"/>
              </w:rPr>
              <w:t>(Principal Financial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4"/>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Scott Allen</w:t>
            </w:r>
          </w:p>
        </w:tc>
        <w:tc>
          <w:tcPr>
            <w:tcW w:w="2840" w:type="dxa"/>
            <w:vAlign w:val="bottom"/>
            <w:gridSpan w:val="3"/>
          </w:tcPr>
          <w:p>
            <w:pPr>
              <w:spacing w:after="0"/>
              <w:rPr>
                <w:sz w:val="20"/>
                <w:szCs w:val="20"/>
                <w:color w:val="auto"/>
              </w:rPr>
            </w:pPr>
            <w:r>
              <w:rPr>
                <w:rFonts w:ascii="Arial" w:cs="Arial" w:eastAsia="Arial" w:hAnsi="Arial"/>
                <w:sz w:val="16"/>
                <w:szCs w:val="16"/>
                <w:color w:val="auto"/>
              </w:rPr>
              <w:t>Corporate Vice President and</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19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(Scott Allen)</w:t>
            </w:r>
          </w:p>
        </w:tc>
        <w:tc>
          <w:tcPr>
            <w:tcW w:w="2840" w:type="dxa"/>
            <w:vAlign w:val="bottom"/>
            <w:gridSpan w:val="3"/>
          </w:tcPr>
          <w:p>
            <w:pPr>
              <w:spacing w:after="0"/>
              <w:rPr>
                <w:sz w:val="20"/>
                <w:szCs w:val="20"/>
                <w:color w:val="auto"/>
              </w:rPr>
            </w:pPr>
            <w:r>
              <w:rPr>
                <w:rFonts w:ascii="Arial" w:cs="Arial" w:eastAsia="Arial" w:hAnsi="Arial"/>
                <w:sz w:val="16"/>
                <w:szCs w:val="16"/>
                <w:color w:val="auto"/>
              </w:rPr>
              <w:t>Chief Accounting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840" w:type="dxa"/>
            <w:vAlign w:val="bottom"/>
            <w:gridSpan w:val="3"/>
          </w:tcPr>
          <w:p>
            <w:pPr>
              <w:spacing w:after="0"/>
              <w:rPr>
                <w:sz w:val="20"/>
                <w:szCs w:val="20"/>
                <w:color w:val="auto"/>
              </w:rPr>
            </w:pPr>
            <w:r>
              <w:rPr>
                <w:rFonts w:ascii="Arial" w:cs="Arial" w:eastAsia="Arial" w:hAnsi="Arial"/>
                <w:sz w:val="16"/>
                <w:szCs w:val="16"/>
                <w:color w:val="auto"/>
              </w:rPr>
              <w:t>(Principal Accounting Officer)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4"/>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7"/>
              </w:rPr>
              <w:t>/s/ Richard M. Beyer</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(Richard M. Beyer)</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5"/>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Lynn A. Dugle</w:t>
            </w:r>
          </w:p>
        </w:tc>
        <w:tc>
          <w:tcPr>
            <w:tcW w:w="2840" w:type="dxa"/>
            <w:vAlign w:val="bottom"/>
            <w:gridSpan w:val="3"/>
          </w:tcPr>
          <w:p>
            <w:pPr>
              <w:spacing w:after="0"/>
              <w:rPr>
                <w:sz w:val="20"/>
                <w:szCs w:val="20"/>
                <w:color w:val="auto"/>
              </w:rPr>
            </w:pPr>
            <w:r>
              <w:rPr>
                <w:rFonts w:ascii="Arial" w:cs="Arial" w:eastAsia="Arial" w:hAnsi="Arial"/>
                <w:sz w:val="16"/>
                <w:szCs w:val="16"/>
                <w:color w:val="auto"/>
              </w:rPr>
              <w:t>Lead Independent 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(Lynn A. Dugle)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5"/>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6"/>
              </w:rPr>
              <w:t>/s/ Steven J. Gomo</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(Steven J. Gomo)</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5"/>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Linnie M. Haynesworth</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(Linnie M. Haynesworth)</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09"/>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T. Mark Liu</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(T. Mark Liu)</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09"/>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7"/>
              </w:rPr>
              <w:t>/s/ Mary Pat McCarthy</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6"/>
              </w:rPr>
              <w:t>(Mary Pat McCarthy)</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5"/>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7"/>
              </w:rPr>
              <w:t>/s/ A. Christine Simons</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(A. Christine Simons)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09"/>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6"/>
              </w:rPr>
              <w:t>/s/ Robert H. Swan</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(Robert H. Swan)</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85"/>
        </w:trPr>
        <w:tc>
          <w:tcPr>
            <w:tcW w:w="5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i w:val="1"/>
                <w:iCs w:val="1"/>
                <w:color w:val="auto"/>
                <w:w w:val="98"/>
              </w:rPr>
              <w:t>/s/ MaryAnn Wright</w:t>
            </w:r>
          </w:p>
        </w:tc>
        <w:tc>
          <w:tcPr>
            <w:tcW w:w="2840" w:type="dxa"/>
            <w:vAlign w:val="bottom"/>
            <w:gridSpan w:val="3"/>
          </w:tcPr>
          <w:p>
            <w:pPr>
              <w:spacing w:after="0"/>
              <w:rPr>
                <w:sz w:val="20"/>
                <w:szCs w:val="20"/>
                <w:color w:val="auto"/>
              </w:rPr>
            </w:pPr>
            <w:r>
              <w:rPr>
                <w:rFonts w:ascii="Arial" w:cs="Arial" w:eastAsia="Arial" w:hAnsi="Arial"/>
                <w:sz w:val="16"/>
                <w:szCs w:val="16"/>
                <w:color w:val="auto"/>
              </w:rPr>
              <w:t>Director</w:t>
            </w:r>
          </w:p>
        </w:tc>
        <w:tc>
          <w:tcPr>
            <w:tcW w:w="1960" w:type="dxa"/>
            <w:vAlign w:val="bottom"/>
            <w:gridSpan w:val="3"/>
          </w:tcPr>
          <w:p>
            <w:pPr>
              <w:ind w:left="800"/>
              <w:spacing w:after="0"/>
              <w:rPr>
                <w:sz w:val="20"/>
                <w:szCs w:val="20"/>
                <w:color w:val="auto"/>
              </w:rPr>
            </w:pPr>
            <w:r>
              <w:rPr>
                <w:rFonts w:ascii="Arial" w:cs="Arial" w:eastAsia="Arial" w:hAnsi="Arial"/>
                <w:sz w:val="16"/>
                <w:szCs w:val="16"/>
                <w:color w:val="auto"/>
                <w:w w:val="99"/>
              </w:rPr>
              <w:t>October 3, 2025</w:t>
            </w:r>
          </w:p>
        </w:tc>
      </w:tr>
      <w:tr>
        <w:trPr>
          <w:trHeight w:val="207"/>
        </w:trPr>
        <w:tc>
          <w:tcPr>
            <w:tcW w:w="5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(MaryAnn Wright)</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787"/>
        </w:trPr>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gridSpan w:val="3"/>
          </w:tcPr>
          <w:p>
            <w:pPr>
              <w:ind w:left="1720"/>
              <w:spacing w:after="0"/>
              <w:rPr>
                <w:sz w:val="20"/>
                <w:szCs w:val="20"/>
                <w:color w:val="auto"/>
              </w:rPr>
            </w:pPr>
            <w:r>
              <w:rPr>
                <w:rFonts w:ascii="Arial" w:cs="Arial" w:eastAsia="Arial" w:hAnsi="Arial"/>
                <w:sz w:val="14"/>
                <w:szCs w:val="14"/>
                <w:b w:val="1"/>
                <w:bCs w:val="1"/>
                <w:color w:val="auto"/>
                <w:w w:val="94"/>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-193675</wp:posOffset>
            </wp:positionV>
            <wp:extent cx="693420" cy="144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93420" cy="14478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10" w:name="page111"/>
    <w:bookmarkEnd w:id="110"/>
    <w:p>
      <w:pPr>
        <w:jc w:val="right"/>
        <w:spacing w:after="0"/>
        <w:rPr>
          <w:sz w:val="20"/>
          <w:szCs w:val="20"/>
          <w:color w:val="auto"/>
        </w:rPr>
      </w:pPr>
      <w:r>
        <w:rPr>
          <w:rFonts w:ascii="Arial" w:cs="Arial" w:eastAsia="Arial" w:hAnsi="Arial"/>
          <w:sz w:val="13"/>
          <w:szCs w:val="13"/>
          <w:b w:val="1"/>
          <w:bCs w:val="1"/>
          <w:color w:val="auto"/>
        </w:rPr>
        <w:t>Exhibit 10.32</w:t>
      </w:r>
    </w:p>
    <w:p>
      <w:pPr>
        <w:spacing w:after="0" w:line="307"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 TO DIRECT FUNDING AGREEMENT</w:t>
      </w:r>
    </w:p>
    <w:p>
      <w:pPr>
        <w:spacing w:after="0" w:line="201" w:lineRule="exact"/>
        <w:rPr>
          <w:sz w:val="20"/>
          <w:szCs w:val="20"/>
          <w:color w:val="auto"/>
        </w:rPr>
      </w:pPr>
    </w:p>
    <w:p>
      <w:pPr>
        <w:ind w:right="120" w:firstLine="576"/>
        <w:spacing w:after="0" w:line="259" w:lineRule="auto"/>
        <w:rPr>
          <w:sz w:val="20"/>
          <w:szCs w:val="20"/>
          <w:color w:val="auto"/>
        </w:rPr>
      </w:pPr>
      <w:r>
        <w:rPr>
          <w:rFonts w:ascii="Arial" w:cs="Arial" w:eastAsia="Arial" w:hAnsi="Arial"/>
          <w:sz w:val="18"/>
          <w:szCs w:val="18"/>
          <w:b w:val="1"/>
          <w:bCs w:val="1"/>
          <w:color w:val="auto"/>
        </w:rPr>
        <w:t xml:space="preserve">This AMENDMENT NO. 2 TO DIRECT FUNDING AGREEMENT </w:t>
      </w:r>
      <w:r>
        <w:rPr>
          <w:rFonts w:ascii="Arial" w:cs="Arial" w:eastAsia="Arial" w:hAnsi="Arial"/>
          <w:sz w:val="18"/>
          <w:szCs w:val="18"/>
          <w:color w:val="auto"/>
        </w:rPr>
        <w:t>dated as of June 11, 2025 (this “</w:t>
      </w:r>
      <w:r>
        <w:rPr>
          <w:rFonts w:ascii="Arial" w:cs="Arial" w:eastAsia="Arial" w:hAnsi="Arial"/>
          <w:sz w:val="18"/>
          <w:szCs w:val="18"/>
          <w:b w:val="1"/>
          <w:bCs w:val="1"/>
          <w:color w:val="auto"/>
        </w:rPr>
        <w:t>Amendment</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(a) MICRON IDAHO SEMICONDUCTOR MANUFACTURING (TRITON) LLC, a Delaware limited liability company as the recipient (the “ </w:t>
      </w:r>
      <w:r>
        <w:rPr>
          <w:rFonts w:ascii="Arial" w:cs="Arial" w:eastAsia="Arial" w:hAnsi="Arial"/>
          <w:sz w:val="18"/>
          <w:szCs w:val="18"/>
          <w:b w:val="1"/>
          <w:bCs w:val="1"/>
          <w:color w:val="auto"/>
        </w:rPr>
        <w:t>Recipient</w:t>
      </w:r>
      <w:r>
        <w:rPr>
          <w:rFonts w:ascii="Arial" w:cs="Arial" w:eastAsia="Arial" w:hAnsi="Arial"/>
          <w:sz w:val="18"/>
          <w:szCs w:val="18"/>
          <w:color w:val="auto"/>
        </w:rPr>
        <w:t>”); and (b) the UNITED STATES DEPARTMENT OF COMMERCE (the “</w:t>
      </w:r>
      <w:r>
        <w:rPr>
          <w:rFonts w:ascii="Arial" w:cs="Arial" w:eastAsia="Arial" w:hAnsi="Arial"/>
          <w:sz w:val="18"/>
          <w:szCs w:val="18"/>
          <w:b w:val="1"/>
          <w:bCs w:val="1"/>
          <w:color w:val="auto"/>
        </w:rPr>
        <w:t>Department</w:t>
      </w:r>
      <w:r>
        <w:rPr>
          <w:rFonts w:ascii="Arial" w:cs="Arial" w:eastAsia="Arial" w:hAnsi="Arial"/>
          <w:sz w:val="18"/>
          <w:szCs w:val="18"/>
          <w:color w:val="auto"/>
        </w:rPr>
        <w:t>” and together with the Recipient,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 an agency of the United States of America, acting by and through the Secretary of Commerce (or appropriate authorized representative thereof).</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01" w:lineRule="exact"/>
        <w:rPr>
          <w:sz w:val="20"/>
          <w:szCs w:val="20"/>
          <w:color w:val="auto"/>
        </w:rPr>
      </w:pPr>
    </w:p>
    <w:p>
      <w:pPr>
        <w:ind w:right="280" w:firstLine="576"/>
        <w:spacing w:after="0" w:line="29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Recipient has entered into that certain Direct Funding Agreement dated as of December 9, 2024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restated, supplemented or modified and in effect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Recipient and the Department, setting forth, among other things, certain terms and conditions associated with the Award (as defined therein);</w:t>
      </w:r>
    </w:p>
    <w:p>
      <w:pPr>
        <w:spacing w:after="0" w:line="129" w:lineRule="exact"/>
        <w:rPr>
          <w:sz w:val="20"/>
          <w:szCs w:val="20"/>
          <w:color w:val="auto"/>
        </w:rPr>
      </w:pPr>
    </w:p>
    <w:p>
      <w:pPr>
        <w:ind w:right="320" w:firstLine="564"/>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to amend the Agreement to add an additional project to the Agreement on the terms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w:t>
      </w:r>
    </w:p>
    <w:p>
      <w:pPr>
        <w:spacing w:after="0" w:line="129" w:lineRule="exact"/>
        <w:rPr>
          <w:sz w:val="20"/>
          <w:szCs w:val="20"/>
          <w:color w:val="auto"/>
        </w:rPr>
      </w:pPr>
    </w:p>
    <w:p>
      <w:pPr>
        <w:jc w:val="both"/>
        <w:ind w:right="160" w:firstLine="576"/>
        <w:spacing w:after="0" w:line="26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10.5 (</w:t>
      </w:r>
      <w:r>
        <w:rPr>
          <w:rFonts w:ascii="Arial" w:cs="Arial" w:eastAsia="Arial" w:hAnsi="Arial"/>
          <w:sz w:val="18"/>
          <w:szCs w:val="18"/>
          <w:i w:val="1"/>
          <w:iCs w:val="1"/>
          <w:color w:val="auto"/>
        </w:rPr>
        <w:t>Waiver and Amendment</w:t>
      </w:r>
      <w:r>
        <w:rPr>
          <w:rFonts w:ascii="Arial" w:cs="Arial" w:eastAsia="Arial" w:hAnsi="Arial"/>
          <w:sz w:val="18"/>
          <w:szCs w:val="18"/>
          <w:color w:val="auto"/>
        </w:rPr>
        <w:t>) of the Agreement, neither the Agreement nor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may be amended, waived, discharged, or terminated unless such amendment, waiver, discharge, or termination is in writing and executed by the Recipient and the Department.</w:t>
      </w:r>
    </w:p>
    <w:p>
      <w:pPr>
        <w:spacing w:after="0" w:line="144" w:lineRule="exact"/>
        <w:rPr>
          <w:sz w:val="20"/>
          <w:szCs w:val="20"/>
          <w:color w:val="auto"/>
        </w:rPr>
      </w:pPr>
    </w:p>
    <w:p>
      <w:pPr>
        <w:ind w:right="60" w:firstLine="576"/>
        <w:spacing w:after="0" w:line="287"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premises and mutual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receipt and sufficiency of which are hereby acknowledged, the Parties agree as follows: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RULES OF INTERPRETATION</w:t>
      </w:r>
    </w:p>
    <w:p>
      <w:pPr>
        <w:spacing w:after="0" w:line="201" w:lineRule="exact"/>
        <w:rPr>
          <w:sz w:val="20"/>
          <w:szCs w:val="20"/>
          <w:color w:val="auto"/>
        </w:rPr>
      </w:pPr>
    </w:p>
    <w:p>
      <w:pPr>
        <w:jc w:val="both"/>
        <w:ind w:right="420" w:firstLine="576"/>
        <w:spacing w:after="0" w:line="269" w:lineRule="auto"/>
        <w:rPr>
          <w:sz w:val="20"/>
          <w:szCs w:val="20"/>
          <w:color w:val="auto"/>
        </w:rPr>
      </w:pPr>
      <w:r>
        <w:rPr>
          <w:rFonts w:ascii="Arial" w:cs="Arial" w:eastAsia="Arial" w:hAnsi="Arial"/>
          <w:sz w:val="18"/>
          <w:szCs w:val="18"/>
          <w:b w:val="1"/>
          <w:bCs w:val="1"/>
          <w:color w:val="auto"/>
        </w:rPr>
        <w:t>Section 1.1 Defined Terms</w:t>
      </w:r>
      <w:r>
        <w:rPr>
          <w:rFonts w:ascii="Arial" w:cs="Arial" w:eastAsia="Arial" w:hAnsi="Arial"/>
          <w:sz w:val="18"/>
          <w:szCs w:val="18"/>
          <w:color w:val="auto"/>
        </w:rPr>
        <w:t>. Except as otherwise expressly provided herein, the Parties agree that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this Amendment (including such terms used in the preamble and recitals above) shall have the meanings given to them (directly or by reference) in the Agreement.</w:t>
      </w:r>
    </w:p>
    <w:p>
      <w:pPr>
        <w:spacing w:after="0" w:line="120" w:lineRule="exact"/>
        <w:rPr>
          <w:sz w:val="20"/>
          <w:szCs w:val="20"/>
          <w:color w:val="auto"/>
        </w:rPr>
      </w:pPr>
    </w:p>
    <w:p>
      <w:pPr>
        <w:ind w:right="620" w:firstLine="576"/>
        <w:spacing w:after="0" w:line="287" w:lineRule="auto"/>
        <w:rPr>
          <w:sz w:val="20"/>
          <w:szCs w:val="20"/>
          <w:color w:val="auto"/>
        </w:rPr>
      </w:pPr>
      <w:r>
        <w:rPr>
          <w:rFonts w:ascii="Arial" w:cs="Arial" w:eastAsia="Arial" w:hAnsi="Arial"/>
          <w:sz w:val="18"/>
          <w:szCs w:val="18"/>
          <w:b w:val="1"/>
          <w:bCs w:val="1"/>
          <w:color w:val="auto"/>
        </w:rPr>
        <w:t>Section 1.2 Rules of Interpretation</w:t>
      </w:r>
      <w:r>
        <w:rPr>
          <w:rFonts w:ascii="Arial" w:cs="Arial" w:eastAsia="Arial" w:hAnsi="Arial"/>
          <w:sz w:val="18"/>
          <w:szCs w:val="18"/>
          <w:color w:val="auto"/>
        </w:rPr>
        <w:t>. The rules of interpretation set forth in Annex B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apply to this Amendment as if set forth herein.</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AGREEMENT</w:t>
      </w:r>
    </w:p>
    <w:p>
      <w:pPr>
        <w:spacing w:after="0" w:line="201" w:lineRule="exact"/>
        <w:rPr>
          <w:sz w:val="20"/>
          <w:szCs w:val="20"/>
          <w:color w:val="auto"/>
        </w:rPr>
      </w:pPr>
    </w:p>
    <w:p>
      <w:pPr>
        <w:ind w:right="260" w:firstLine="576"/>
        <w:spacing w:after="0" w:line="296" w:lineRule="auto"/>
        <w:rPr>
          <w:sz w:val="20"/>
          <w:szCs w:val="20"/>
          <w:color w:val="auto"/>
        </w:rPr>
      </w:pPr>
      <w:r>
        <w:rPr>
          <w:rFonts w:ascii="Arial" w:cs="Arial" w:eastAsia="Arial" w:hAnsi="Arial"/>
          <w:sz w:val="18"/>
          <w:szCs w:val="18"/>
          <w:b w:val="1"/>
          <w:bCs w:val="1"/>
          <w:color w:val="auto"/>
        </w:rPr>
        <w:t>Section 2.1 Amendment to Recitals</w:t>
      </w:r>
      <w:r>
        <w:rPr>
          <w:rFonts w:ascii="Arial" w:cs="Arial" w:eastAsia="Arial" w:hAnsi="Arial"/>
          <w:sz w:val="18"/>
          <w:szCs w:val="18"/>
          <w:color w:val="auto"/>
        </w:rPr>
        <w:t>. The first Recital of the Agreement is hereby amended and restated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replaced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ectPr>
          <w:pgSz w:w="11900" w:h="16840" w:orient="portrait"/>
          <w:cols w:equalWidth="0" w:num="1">
            <w:col w:w="10580"/>
          </w:cols>
          <w:pgMar w:left="660" w:top="558" w:right="66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xml:space="preserve">, the Recipient has undertaken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the construction of a fabrication facility in Boise, Idaho (the “</w:t>
      </w:r>
      <w:r>
        <w:rPr>
          <w:rFonts w:ascii="Arial" w:cs="Arial" w:eastAsia="Arial" w:hAnsi="Arial"/>
          <w:sz w:val="18"/>
          <w:szCs w:val="18"/>
          <w:b w:val="1"/>
          <w:bCs w:val="1"/>
          <w:u w:val="single" w:color="auto"/>
          <w:color w:val="auto"/>
        </w:rPr>
        <w:t>ID Fab 1</w:t>
      </w:r>
    </w:p>
    <w:p>
      <w:pPr>
        <w:spacing w:after="0" w:line="27" w:lineRule="exact"/>
        <w:rPr>
          <w:sz w:val="20"/>
          <w:szCs w:val="20"/>
          <w:color w:val="auto"/>
        </w:rPr>
      </w:pPr>
    </w:p>
    <w:p>
      <w:pPr>
        <w:ind w:left="580" w:right="20"/>
        <w:spacing w:after="0" w:line="275" w:lineRule="auto"/>
        <w:rPr>
          <w:sz w:val="20"/>
          <w:szCs w:val="20"/>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w:t>
      </w:r>
      <w:r>
        <w:rPr>
          <w:rFonts w:ascii="Arial" w:cs="Arial" w:eastAsia="Arial" w:hAnsi="Arial"/>
          <w:sz w:val="18"/>
          <w:szCs w:val="18"/>
          <w:color w:val="auto"/>
          <w:strike w:val="1"/>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and (b) the construction of a second fabrication facility in Boise, Idaho (the “ID Fab 2 Project” and together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with the ID Fab 1 Project, the “Projects” and each a “Project”)</w:t>
      </w:r>
      <w:r>
        <w:rPr>
          <w:rFonts w:ascii="Arial" w:cs="Arial" w:eastAsia="Arial" w:hAnsi="Arial"/>
          <w:sz w:val="18"/>
          <w:szCs w:val="18"/>
          <w:color w:val="auto"/>
        </w:rPr>
        <w:t>;”</w:t>
      </w:r>
    </w:p>
    <w:p>
      <w:pPr>
        <w:spacing w:after="0" w:line="168" w:lineRule="exact"/>
        <w:rPr>
          <w:sz w:val="20"/>
          <w:szCs w:val="20"/>
          <w:color w:val="auto"/>
        </w:rPr>
      </w:pPr>
    </w:p>
    <w:p>
      <w:pPr>
        <w:ind w:firstLine="576"/>
        <w:spacing w:after="0" w:line="273" w:lineRule="auto"/>
        <w:rPr>
          <w:sz w:val="20"/>
          <w:szCs w:val="20"/>
          <w:color w:val="auto"/>
        </w:rPr>
      </w:pPr>
      <w:r>
        <w:rPr>
          <w:rFonts w:ascii="Arial" w:cs="Arial" w:eastAsia="Arial" w:hAnsi="Arial"/>
          <w:sz w:val="18"/>
          <w:szCs w:val="18"/>
          <w:b w:val="1"/>
          <w:bCs w:val="1"/>
          <w:color w:val="auto"/>
        </w:rPr>
        <w:t>Section 2.2 Amendment to Section 2.1(a) (Award Amount)</w:t>
      </w:r>
      <w:r>
        <w:rPr>
          <w:rFonts w:ascii="Arial" w:cs="Arial" w:eastAsia="Arial" w:hAnsi="Arial"/>
          <w:sz w:val="18"/>
          <w:szCs w:val="18"/>
          <w:color w:val="auto"/>
        </w:rPr>
        <w:t>. Section 2.1(a) (</w:t>
      </w:r>
      <w:r>
        <w:rPr>
          <w:rFonts w:ascii="Arial" w:cs="Arial" w:eastAsia="Arial" w:hAnsi="Arial"/>
          <w:sz w:val="18"/>
          <w:szCs w:val="18"/>
          <w:i w:val="1"/>
          <w:iCs w:val="1"/>
          <w:color w:val="auto"/>
        </w:rPr>
        <w:t>Award Amount</w:t>
      </w:r>
      <w:r>
        <w:rPr>
          <w:rFonts w:ascii="Arial" w:cs="Arial" w:eastAsia="Arial" w:hAnsi="Arial"/>
          <w:sz w:val="18"/>
          <w:szCs w:val="18"/>
          <w:color w:val="auto"/>
        </w:rPr>
        <w:t>) of the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and restated in its entirety and replaced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16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t>
      </w:r>
      <w:r>
        <w:rPr>
          <w:sz w:val="20"/>
          <w:szCs w:val="20"/>
          <w:color w:val="auto"/>
        </w:rPr>
        <w:tab/>
      </w:r>
      <w:r>
        <w:rPr>
          <w:rFonts w:ascii="Arial" w:cs="Arial" w:eastAsia="Arial" w:hAnsi="Arial"/>
          <w:sz w:val="17"/>
          <w:szCs w:val="17"/>
          <w:color w:val="auto"/>
        </w:rPr>
        <w:t>The total maximum amount of the Award:</w:t>
      </w:r>
    </w:p>
    <w:p>
      <w:pPr>
        <w:spacing w:after="0" w:line="177" w:lineRule="exact"/>
        <w:rPr>
          <w:sz w:val="20"/>
          <w:szCs w:val="20"/>
          <w:color w:val="auto"/>
        </w:rPr>
      </w:pPr>
    </w:p>
    <w:p>
      <w:pPr>
        <w:ind w:left="580" w:right="60" w:firstLine="578"/>
        <w:spacing w:after="0" w:line="296" w:lineRule="auto"/>
        <w:tabs>
          <w:tab w:leader="none" w:pos="1528" w:val="left"/>
        </w:tabs>
        <w:numPr>
          <w:ilvl w:val="0"/>
          <w:numId w:val="38"/>
        </w:numPr>
        <w:rPr>
          <w:rFonts w:ascii="Arial" w:cs="Arial" w:eastAsia="Arial" w:hAnsi="Arial"/>
          <w:sz w:val="18"/>
          <w:szCs w:val="18"/>
          <w:b w:val="1"/>
          <w:bCs w:val="1"/>
          <w:u w:val="single" w:color="auto"/>
          <w:color w:val="auto"/>
        </w:rPr>
      </w:pPr>
      <w:r>
        <w:rPr>
          <w:rFonts w:ascii="Arial" w:cs="Arial" w:eastAsia="Arial" w:hAnsi="Arial"/>
          <w:sz w:val="18"/>
          <w:szCs w:val="18"/>
          <w:color w:val="auto"/>
        </w:rPr>
        <w:t xml:space="preserve">for Direct Funding for the </w:t>
      </w:r>
      <w:r>
        <w:rPr>
          <w:rFonts w:ascii="Arial" w:cs="Arial" w:eastAsia="Arial" w:hAnsi="Arial"/>
          <w:sz w:val="18"/>
          <w:szCs w:val="18"/>
          <w:b w:val="1"/>
          <w:bCs w:val="1"/>
          <w:u w:val="single" w:color="auto"/>
          <w:color w:val="auto"/>
        </w:rPr>
        <w:t>ID Fab 1</w:t>
      </w:r>
      <w:r>
        <w:rPr>
          <w:rFonts w:ascii="Arial" w:cs="Arial" w:eastAsia="Arial" w:hAnsi="Arial"/>
          <w:sz w:val="18"/>
          <w:szCs w:val="18"/>
          <w:color w:val="auto"/>
        </w:rPr>
        <w:t xml:space="preserve"> Project is </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ID Fab 1</w:t>
      </w:r>
      <w:r>
        <w:rPr>
          <w:rFonts w:ascii="Arial" w:cs="Arial" w:eastAsia="Arial" w:hAnsi="Arial"/>
          <w:sz w:val="18"/>
          <w:szCs w:val="18"/>
          <w:color w:val="auto"/>
        </w:rPr>
        <w:t xml:space="preserve"> </w:t>
      </w:r>
      <w:r>
        <w:rPr>
          <w:rFonts w:ascii="Arial" w:cs="Arial" w:eastAsia="Arial" w:hAnsi="Arial"/>
          <w:sz w:val="18"/>
          <w:szCs w:val="18"/>
          <w:b w:val="1"/>
          <w:bCs w:val="1"/>
          <w:color w:val="auto"/>
        </w:rPr>
        <w:t>Maximum Direct Funding Award Amount</w:t>
      </w:r>
      <w:r>
        <w:rPr>
          <w:rFonts w:ascii="Arial" w:cs="Arial" w:eastAsia="Arial" w:hAnsi="Arial"/>
          <w:sz w:val="18"/>
          <w:szCs w:val="18"/>
          <w:color w:val="auto"/>
        </w:rPr>
        <w:t>” and such Award, the “</w:t>
      </w:r>
      <w:r>
        <w:rPr>
          <w:rFonts w:ascii="Arial" w:cs="Arial" w:eastAsia="Arial" w:hAnsi="Arial"/>
          <w:sz w:val="18"/>
          <w:szCs w:val="18"/>
          <w:b w:val="1"/>
          <w:bCs w:val="1"/>
          <w:u w:val="single" w:color="auto"/>
          <w:color w:val="auto"/>
        </w:rPr>
        <w:t>ID Fab 1</w:t>
      </w:r>
      <w:r>
        <w:rPr>
          <w:rFonts w:ascii="Arial" w:cs="Arial" w:eastAsia="Arial" w:hAnsi="Arial"/>
          <w:sz w:val="18"/>
          <w:szCs w:val="18"/>
          <w:color w:val="auto"/>
        </w:rPr>
        <w:t xml:space="preserve"> </w:t>
      </w:r>
      <w:r>
        <w:rPr>
          <w:rFonts w:ascii="Arial" w:cs="Arial" w:eastAsia="Arial" w:hAnsi="Arial"/>
          <w:sz w:val="18"/>
          <w:szCs w:val="18"/>
          <w:b w:val="1"/>
          <w:bCs w:val="1"/>
          <w:color w:val="auto"/>
        </w:rPr>
        <w:t>Direct Funding Award</w:t>
      </w:r>
      <w:r>
        <w:rPr>
          <w:rFonts w:ascii="Arial" w:cs="Arial" w:eastAsia="Arial" w:hAnsi="Arial"/>
          <w:sz w:val="18"/>
          <w:szCs w:val="18"/>
          <w:color w:val="auto"/>
        </w:rPr>
        <w:t>”)</w:t>
      </w:r>
      <w:r>
        <w:rPr>
          <w:rFonts w:ascii="Arial" w:cs="Arial" w:eastAsia="Arial" w:hAnsi="Arial"/>
          <w:sz w:val="18"/>
          <w:szCs w:val="18"/>
          <w:b w:val="1"/>
          <w:bCs w:val="1"/>
          <w:u w:val="single" w:color="auto"/>
          <w:color w:val="auto"/>
        </w:rPr>
        <w:t>;</w:t>
      </w:r>
    </w:p>
    <w:p>
      <w:pPr>
        <w:spacing w:after="0" w:line="89" w:lineRule="exact"/>
        <w:rPr>
          <w:rFonts w:ascii="Arial" w:cs="Arial" w:eastAsia="Arial" w:hAnsi="Arial"/>
          <w:sz w:val="18"/>
          <w:szCs w:val="18"/>
          <w:b w:val="1"/>
          <w:bCs w:val="1"/>
          <w:u w:val="single" w:color="auto"/>
          <w:color w:val="auto"/>
        </w:rPr>
      </w:pPr>
    </w:p>
    <w:p>
      <w:pPr>
        <w:ind w:left="580" w:right="20" w:firstLine="578"/>
        <w:spacing w:after="0" w:line="265" w:lineRule="auto"/>
        <w:tabs>
          <w:tab w:leader="none" w:pos="1575" w:val="left"/>
        </w:tabs>
        <w:numPr>
          <w:ilvl w:val="0"/>
          <w:numId w:val="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for Direct Funding for the ID Fab 2 Project is</w:t>
      </w:r>
      <w:r>
        <w:rPr>
          <w:rFonts w:ascii="Arial" w:cs="Arial" w:eastAsia="Arial" w:hAnsi="Arial"/>
          <w:sz w:val="18"/>
          <w:szCs w:val="18"/>
          <w:b w:val="1"/>
          <w:bCs w:val="1"/>
          <w:color w:val="auto"/>
        </w:rPr>
        <w:t xml:space="preserve"> [***] (the “ID Fab 2 Maximum Direct Funding Award Amount” </w:t>
      </w:r>
      <w:r>
        <w:rPr>
          <w:rFonts w:ascii="Arial" w:cs="Arial" w:eastAsia="Arial" w:hAnsi="Arial"/>
          <w:sz w:val="18"/>
          <w:szCs w:val="18"/>
          <w:b w:val="1"/>
          <w:bCs w:val="1"/>
          <w:u w:val="single" w:color="auto"/>
          <w:color w:val="auto"/>
        </w:rPr>
        <w:t>and together with the ID Fab 1 Maximum Direct Funding Award Amount, the “Maximum Direct Funding Award Amount” and such Award, the “ID Fab 2 Direct Funding Award” and together with the ID Fab 1 Direct Funding Award, the “Direct Funding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-457200</wp:posOffset>
            </wp:positionV>
            <wp:extent cx="307149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3071495" cy="7620"/>
                    </a:xfrm>
                    <a:prstGeom prst="rect">
                      <a:avLst/>
                    </a:prstGeom>
                    <a:noFill/>
                  </pic:spPr>
                </pic:pic>
              </a:graphicData>
            </a:graphic>
          </wp:anchor>
        </w:drawing>
      </w:r>
    </w:p>
    <w:p>
      <w:pPr>
        <w:spacing w:after="0" w:line="98" w:lineRule="exact"/>
        <w:rPr>
          <w:sz w:val="20"/>
          <w:szCs w:val="20"/>
          <w:color w:val="auto"/>
        </w:rPr>
      </w:pPr>
    </w:p>
    <w:p>
      <w:pPr>
        <w:ind w:left="580" w:right="260"/>
        <w:spacing w:after="0" w:line="328" w:lineRule="auto"/>
        <w:rPr>
          <w:sz w:val="20"/>
          <w:szCs w:val="20"/>
          <w:color w:val="auto"/>
        </w:rPr>
      </w:pPr>
      <w:r>
        <w:rPr>
          <w:rFonts w:ascii="Arial" w:cs="Arial" w:eastAsia="Arial" w:hAnsi="Arial"/>
          <w:sz w:val="17"/>
          <w:szCs w:val="17"/>
          <w:color w:val="auto"/>
        </w:rPr>
        <w:t>which</w:t>
      </w:r>
      <w:r>
        <w:rPr>
          <w:rFonts w:ascii="Arial" w:cs="Arial" w:eastAsia="Arial" w:hAnsi="Arial"/>
          <w:sz w:val="17"/>
          <w:szCs w:val="17"/>
          <w:b w:val="1"/>
          <w:bCs w:val="1"/>
          <w:u w:val="single" w:color="auto"/>
          <w:color w:val="auto"/>
        </w:rPr>
        <w:t>, collectively,</w:t>
      </w:r>
      <w:r>
        <w:rPr>
          <w:rFonts w:ascii="Arial" w:cs="Arial" w:eastAsia="Arial" w:hAnsi="Arial"/>
          <w:sz w:val="17"/>
          <w:szCs w:val="17"/>
          <w:color w:val="auto"/>
        </w:rPr>
        <w:t xml:space="preserve"> represent</w:t>
      </w:r>
      <w:r>
        <w:rPr>
          <w:rFonts w:ascii="Arial" w:cs="Arial" w:eastAsia="Arial" w:hAnsi="Arial"/>
          <w:sz w:val="17"/>
          <w:szCs w:val="17"/>
          <w:color w:val="auto"/>
          <w:strike w:val="1"/>
        </w:rPr>
        <w:t>s</w:t>
      </w:r>
      <w:r>
        <w:rPr>
          <w:rFonts w:ascii="Arial" w:cs="Arial" w:eastAsia="Arial" w:hAnsi="Arial"/>
          <w:sz w:val="17"/>
          <w:szCs w:val="17"/>
          <w:color w:val="auto"/>
        </w:rPr>
        <w:t xml:space="preserve"> the total amount of funds that may be disbursed by the Department to the Recipient upon execution and delivery of one or more Funding Obligations in accordance with Schedule A (</w:t>
      </w:r>
      <w:r>
        <w:rPr>
          <w:rFonts w:ascii="Arial" w:cs="Arial" w:eastAsia="Arial" w:hAnsi="Arial"/>
          <w:sz w:val="17"/>
          <w:szCs w:val="17"/>
          <w:b w:val="1"/>
          <w:bCs w:val="1"/>
          <w:color w:val="auto"/>
        </w:rPr>
        <w:t>Fiscal Year Appropriations</w:t>
      </w:r>
      <w:r>
        <w:rPr>
          <w:rFonts w:ascii="Arial" w:cs="Arial" w:eastAsia="Arial" w:hAnsi="Arial"/>
          <w:sz w:val="17"/>
          <w:szCs w:val="17"/>
          <w:color w:val="auto"/>
        </w:rPr>
        <w:t>).”</w:t>
      </w:r>
    </w:p>
    <w:p>
      <w:pPr>
        <w:spacing w:after="0" w:line="66"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7"/>
          <w:szCs w:val="17"/>
          <w:b w:val="1"/>
          <w:bCs w:val="1"/>
          <w:color w:val="auto"/>
        </w:rPr>
        <w:t>Amendment to Section 5.1.4 (Completion of Disbursement Milestone)</w:t>
      </w:r>
      <w:r>
        <w:rPr>
          <w:rFonts w:ascii="Arial" w:cs="Arial" w:eastAsia="Arial" w:hAnsi="Arial"/>
          <w:sz w:val="17"/>
          <w:szCs w:val="17"/>
          <w:color w:val="auto"/>
        </w:rPr>
        <w:t>. Sections 5.1.4(b) and (c)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of Disbursement Milestone</w:t>
      </w:r>
      <w:r>
        <w:rPr>
          <w:rFonts w:ascii="Arial" w:cs="Arial" w:eastAsia="Arial" w:hAnsi="Arial"/>
          <w:sz w:val="18"/>
          <w:szCs w:val="18"/>
          <w:color w:val="auto"/>
        </w:rPr>
        <w:t>) of the Agreement are hereby amended and restated in their entirety and replaced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59" w:lineRule="exact"/>
        <w:rPr>
          <w:sz w:val="20"/>
          <w:szCs w:val="20"/>
          <w:color w:val="auto"/>
        </w:rPr>
      </w:pPr>
    </w:p>
    <w:p>
      <w:pPr>
        <w:ind w:left="1160"/>
        <w:spacing w:after="0"/>
        <w:tabs>
          <w:tab w:leader="none" w:pos="1620" w:val="left"/>
        </w:tabs>
        <w:rPr>
          <w:sz w:val="20"/>
          <w:szCs w:val="20"/>
          <w:color w:val="auto"/>
        </w:rPr>
      </w:pPr>
      <w:r>
        <w:rPr>
          <w:rFonts w:ascii="Arial" w:cs="Arial" w:eastAsia="Arial" w:hAnsi="Arial"/>
          <w:sz w:val="18"/>
          <w:szCs w:val="18"/>
          <w:color w:val="auto"/>
        </w:rPr>
        <w:t>“(b)</w:t>
        <w:tab/>
        <w:t xml:space="preserve">With respect to the Disbursement for </w:t>
      </w:r>
      <w:r>
        <w:rPr>
          <w:rFonts w:ascii="Arial" w:cs="Arial" w:eastAsia="Arial" w:hAnsi="Arial"/>
          <w:sz w:val="18"/>
          <w:szCs w:val="18"/>
          <w:b w:val="1"/>
          <w:bCs w:val="1"/>
          <w:color w:val="auto"/>
        </w:rPr>
        <w:t>[***]</w:t>
      </w:r>
      <w:r>
        <w:rPr>
          <w:rFonts w:ascii="Arial" w:cs="Arial" w:eastAsia="Arial" w:hAnsi="Arial"/>
          <w:sz w:val="18"/>
          <w:szCs w:val="18"/>
          <w:color w:val="auto"/>
        </w:rPr>
        <w:t xml:space="preserve">, the Department shall have received evidence of completion of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7" w:lineRule="exact"/>
        <w:rPr>
          <w:sz w:val="20"/>
          <w:szCs w:val="20"/>
          <w:color w:val="auto"/>
        </w:rPr>
      </w:pPr>
    </w:p>
    <w:p>
      <w:pPr>
        <w:ind w:left="1560" w:hanging="402"/>
        <w:spacing w:after="0"/>
        <w:tabs>
          <w:tab w:leader="none" w:pos="1560" w:val="left"/>
        </w:tabs>
        <w:numPr>
          <w:ilvl w:val="0"/>
          <w:numId w:val="39"/>
        </w:numPr>
        <w:rPr>
          <w:rFonts w:ascii="Arial" w:cs="Arial" w:eastAsia="Arial" w:hAnsi="Arial"/>
          <w:sz w:val="18"/>
          <w:szCs w:val="18"/>
          <w:color w:val="auto"/>
          <w:strike w:val="1"/>
        </w:rPr>
      </w:pPr>
      <w:r>
        <w:rPr>
          <w:rFonts w:ascii="Arial" w:cs="Arial" w:eastAsia="Arial" w:hAnsi="Arial"/>
          <w:sz w:val="18"/>
          <w:szCs w:val="18"/>
          <w:color w:val="auto"/>
          <w:strike w:val="1"/>
        </w:rPr>
        <w:t>With respect to the Disbursement for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strike w:val="1"/>
        </w:rPr>
        <w:t>, the Department shall have received evidence of completion of</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7" w:lineRule="exact"/>
        <w:rPr>
          <w:sz w:val="20"/>
          <w:szCs w:val="20"/>
          <w:color w:val="auto"/>
        </w:rPr>
      </w:pPr>
    </w:p>
    <w:p>
      <w:pPr>
        <w:ind w:right="340" w:firstLine="576"/>
        <w:spacing w:after="0" w:line="260" w:lineRule="auto"/>
        <w:rPr>
          <w:sz w:val="20"/>
          <w:szCs w:val="20"/>
          <w:color w:val="auto"/>
        </w:rPr>
      </w:pPr>
      <w:r>
        <w:rPr>
          <w:rFonts w:ascii="Arial" w:cs="Arial" w:eastAsia="Arial" w:hAnsi="Arial"/>
          <w:sz w:val="18"/>
          <w:szCs w:val="18"/>
          <w:b w:val="1"/>
          <w:bCs w:val="1"/>
          <w:color w:val="auto"/>
        </w:rPr>
        <w:t>Section 2.4 Amendment to Section 9.1.1 (Clawback Events)</w:t>
      </w:r>
      <w:r>
        <w:rPr>
          <w:rFonts w:ascii="Arial" w:cs="Arial" w:eastAsia="Arial" w:hAnsi="Arial"/>
          <w:sz w:val="18"/>
          <w:szCs w:val="18"/>
          <w:color w:val="auto"/>
        </w:rPr>
        <w:t>. Section 9.1.1 (</w:t>
      </w:r>
      <w:r>
        <w:rPr>
          <w:rFonts w:ascii="Arial" w:cs="Arial" w:eastAsia="Arial" w:hAnsi="Arial"/>
          <w:sz w:val="18"/>
          <w:szCs w:val="18"/>
          <w:i w:val="1"/>
          <w:iCs w:val="1"/>
          <w:color w:val="auto"/>
        </w:rPr>
        <w:t>Clawback Events</w:t>
      </w:r>
      <w:r>
        <w:rPr>
          <w:rFonts w:ascii="Arial" w:cs="Arial" w:eastAsia="Arial" w:hAnsi="Arial"/>
          <w:sz w:val="18"/>
          <w:szCs w:val="18"/>
          <w:color w:val="auto"/>
        </w:rPr>
        <w:t>) 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by inserting the following new clause (i):</w:t>
      </w:r>
    </w:p>
    <w:p>
      <w:pPr>
        <w:spacing w:after="0" w:line="2" w:lineRule="exact"/>
        <w:rPr>
          <w:sz w:val="20"/>
          <w:szCs w:val="20"/>
          <w:color w:val="auto"/>
        </w:rPr>
      </w:pPr>
    </w:p>
    <w:p>
      <w:pPr>
        <w:ind w:left="1160"/>
        <w:spacing w:after="0"/>
        <w:tabs>
          <w:tab w:leader="none" w:pos="1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b w:val="1"/>
          <w:bCs w:val="1"/>
          <w:color w:val="auto"/>
        </w:rPr>
        <w:t>ID Fab 2 Project Clawback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the failure of the Recipient to achieve</w:t>
      </w:r>
      <w:r>
        <w:rPr>
          <w:rFonts w:ascii="Arial" w:cs="Arial" w:eastAsia="Arial" w:hAnsi="Arial"/>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w:t>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576"/>
        <w:spacing w:after="0" w:line="273" w:lineRule="auto"/>
        <w:rPr>
          <w:sz w:val="20"/>
          <w:szCs w:val="20"/>
          <w:color w:val="auto"/>
        </w:rPr>
      </w:pPr>
      <w:r>
        <w:rPr>
          <w:rFonts w:ascii="Arial" w:cs="Arial" w:eastAsia="Arial" w:hAnsi="Arial"/>
          <w:sz w:val="18"/>
          <w:szCs w:val="18"/>
          <w:b w:val="1"/>
          <w:bCs w:val="1"/>
          <w:color w:val="auto"/>
        </w:rPr>
        <w:t>Section 2.5 Amendments to Section 9.2 (Remedies for Events of Default)</w:t>
      </w:r>
      <w:r>
        <w:rPr>
          <w:rFonts w:ascii="Arial" w:cs="Arial" w:eastAsia="Arial" w:hAnsi="Arial"/>
          <w:sz w:val="18"/>
          <w:szCs w:val="18"/>
          <w:color w:val="auto"/>
        </w:rPr>
        <w:t>. Section 9.2(l) and (m) (</w:t>
      </w:r>
      <w:r>
        <w:rPr>
          <w:rFonts w:ascii="Arial" w:cs="Arial" w:eastAsia="Arial" w:hAnsi="Arial"/>
          <w:sz w:val="18"/>
          <w:szCs w:val="18"/>
          <w:i w:val="1"/>
          <w:iCs w:val="1"/>
          <w:color w:val="auto"/>
        </w:rPr>
        <w:t>Remedies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Events of Default</w:t>
      </w:r>
      <w:r>
        <w:rPr>
          <w:rFonts w:ascii="Arial" w:cs="Arial" w:eastAsia="Arial" w:hAnsi="Arial"/>
          <w:sz w:val="18"/>
          <w:szCs w:val="18"/>
          <w:color w:val="auto"/>
        </w:rPr>
        <w:t>) of the Agreement are hereby amended and restated in their entirety and replaced with the following (deleted text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firstLine="576"/>
        <w:spacing w:after="0" w:line="258" w:lineRule="auto"/>
        <w:rPr>
          <w:sz w:val="20"/>
          <w:szCs w:val="20"/>
          <w:color w:val="auto"/>
        </w:rPr>
      </w:pPr>
      <w:r>
        <w:rPr>
          <w:rFonts w:ascii="Arial" w:cs="Arial" w:eastAsia="Arial" w:hAnsi="Arial"/>
          <w:sz w:val="18"/>
          <w:szCs w:val="18"/>
          <w:color w:val="auto"/>
        </w:rPr>
        <w:t>“(l) with respect to an Event of Default under Section 9.1.1(f) (</w:t>
      </w:r>
      <w:r>
        <w:rPr>
          <w:rFonts w:ascii="Arial" w:cs="Arial" w:eastAsia="Arial" w:hAnsi="Arial"/>
          <w:sz w:val="18"/>
          <w:szCs w:val="18"/>
          <w:b w:val="1"/>
          <w:bCs w:val="1"/>
          <w:color w:val="auto"/>
        </w:rPr>
        <w:t>NY Fab 1 Project Clawback Event</w:t>
      </w:r>
      <w:r>
        <w:rPr>
          <w:rFonts w:ascii="Arial" w:cs="Arial" w:eastAsia="Arial" w:hAnsi="Arial"/>
          <w:sz w:val="18"/>
          <w:szCs w:val="18"/>
          <w:color w:val="auto"/>
        </w:rPr>
        <w:t xml:space="preserve">), demand recovery of </w:t>
      </w:r>
      <w:r>
        <w:rPr>
          <w:rFonts w:ascii="Arial" w:cs="Arial" w:eastAsia="Arial" w:hAnsi="Arial"/>
          <w:sz w:val="18"/>
          <w:szCs w:val="18"/>
          <w:b w:val="1"/>
          <w:bCs w:val="1"/>
          <w:u w:val="single" w:color="auto"/>
          <w:color w:val="auto"/>
        </w:rPr>
        <w:t>(i)</w:t>
      </w:r>
      <w:r>
        <w:rPr>
          <w:rFonts w:ascii="Arial" w:cs="Arial" w:eastAsia="Arial" w:hAnsi="Arial"/>
          <w:sz w:val="18"/>
          <w:szCs w:val="18"/>
          <w:color w:val="auto"/>
        </w:rPr>
        <w:t xml:space="preserve"> an amount up to </w:t>
      </w:r>
      <w:r>
        <w:rPr>
          <w:rFonts w:ascii="Arial" w:cs="Arial" w:eastAsia="Arial" w:hAnsi="Arial"/>
          <w:sz w:val="18"/>
          <w:szCs w:val="18"/>
          <w:b w:val="1"/>
          <w:bCs w:val="1"/>
          <w:color w:val="auto"/>
        </w:rPr>
        <w:t>[***]</w:t>
      </w:r>
      <w:r>
        <w:rPr>
          <w:rFonts w:ascii="Arial" w:cs="Arial" w:eastAsia="Arial" w:hAnsi="Arial"/>
          <w:sz w:val="18"/>
          <w:szCs w:val="18"/>
          <w:color w:val="auto"/>
        </w:rPr>
        <w:t xml:space="preserve">of Direct Funding Disbursements made from the </w:t>
      </w:r>
      <w:r>
        <w:rPr>
          <w:rFonts w:ascii="Arial" w:cs="Arial" w:eastAsia="Arial" w:hAnsi="Arial"/>
          <w:sz w:val="18"/>
          <w:szCs w:val="18"/>
          <w:b w:val="1"/>
          <w:bCs w:val="1"/>
          <w:u w:val="single" w:color="auto"/>
          <w:color w:val="auto"/>
        </w:rPr>
        <w:t>ID Fab 1</w:t>
      </w:r>
      <w:r>
        <w:rPr>
          <w:rFonts w:ascii="Arial" w:cs="Arial" w:eastAsia="Arial" w:hAnsi="Arial"/>
          <w:sz w:val="18"/>
          <w:szCs w:val="18"/>
          <w:color w:val="auto"/>
        </w:rPr>
        <w:t xml:space="preserve"> Maximum Direct Funding Award Amount </w:t>
      </w:r>
      <w:r>
        <w:rPr>
          <w:rFonts w:ascii="Arial" w:cs="Arial" w:eastAsia="Arial" w:hAnsi="Arial"/>
          <w:sz w:val="18"/>
          <w:szCs w:val="18"/>
          <w:b w:val="1"/>
          <w:bCs w:val="1"/>
          <w:u w:val="single" w:color="auto"/>
          <w:color w:val="auto"/>
        </w:rPr>
        <w:t>and (ii) an amount up to</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 Direct Funding Disbursements made from the ID Fab 2 Maximum Direct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Funding Award Amount</w:t>
      </w:r>
      <w:r>
        <w:rPr>
          <w:rFonts w:ascii="Arial" w:cs="Arial" w:eastAsia="Arial" w:hAnsi="Arial"/>
          <w:sz w:val="18"/>
          <w:szCs w:val="18"/>
          <w:color w:val="auto"/>
        </w:rPr>
        <w:t>; provided, that, in each case, such amount shall not exceed an amount equal</w:t>
      </w:r>
      <w:r>
        <w:rPr>
          <w:rFonts w:ascii="Arial" w:cs="Arial" w:eastAsia="Arial" w:hAnsi="Arial"/>
          <w:sz w:val="18"/>
          <w:szCs w:val="18"/>
          <w:b w:val="1"/>
          <w:bCs w:val="1"/>
          <w:color w:val="auto"/>
        </w:rPr>
        <w:t xml:space="preserve"> [***] </w:t>
      </w:r>
      <w:r>
        <w:rPr>
          <w:rFonts w:ascii="Arial" w:cs="Arial" w:eastAsia="Arial" w:hAnsi="Arial"/>
          <w:sz w:val="18"/>
          <w:szCs w:val="18"/>
          <w:color w:val="auto"/>
        </w:rPr>
        <w:t>less the sum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portions of any Scheduled Disbursement Amounts in respect of any Disbursement Milestones in respect of the applicable Project that are not disbursed to Recipient or its Affiliate pursuant to Section 5.1.4(b) (Completion of Disbursement Milestone) on account of the failure of the Recipient to provide evidence of completion of the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auto"/>
          <w:strike w:val="1"/>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3" w:lineRule="exact"/>
        <w:rPr>
          <w:sz w:val="20"/>
          <w:szCs w:val="20"/>
          <w:color w:val="auto"/>
        </w:rPr>
      </w:pPr>
    </w:p>
    <w:p>
      <w:pPr>
        <w:ind w:left="580" w:right="120" w:firstLine="578"/>
        <w:spacing w:after="0" w:line="259" w:lineRule="auto"/>
        <w:tabs>
          <w:tab w:leader="none" w:pos="1672" w:val="left"/>
        </w:tabs>
        <w:numPr>
          <w:ilvl w:val="0"/>
          <w:numId w:val="40"/>
        </w:numPr>
        <w:rPr>
          <w:rFonts w:ascii="Arial" w:cs="Arial" w:eastAsia="Arial" w:hAnsi="Arial"/>
          <w:sz w:val="18"/>
          <w:szCs w:val="18"/>
          <w:color w:val="auto"/>
        </w:rPr>
      </w:pPr>
      <w:r>
        <w:rPr>
          <w:rFonts w:ascii="Arial" w:cs="Arial" w:eastAsia="Arial" w:hAnsi="Arial"/>
          <w:sz w:val="18"/>
          <w:szCs w:val="18"/>
          <w:color w:val="auto"/>
          <w:strike w:val="1"/>
        </w:rPr>
        <w:t>with respect to an Event of Default under Section 9.1.1(g) (</w:t>
      </w:r>
      <w:r>
        <w:rPr>
          <w:rFonts w:ascii="Arial" w:cs="Arial" w:eastAsia="Arial" w:hAnsi="Arial"/>
          <w:sz w:val="18"/>
          <w:szCs w:val="18"/>
          <w:b w:val="1"/>
          <w:bCs w:val="1"/>
          <w:color w:val="auto"/>
          <w:strike w:val="1"/>
        </w:rPr>
        <w:t>NY Fab 2 Project Clawback Event</w:t>
      </w:r>
      <w:r>
        <w:rPr>
          <w:rFonts w:ascii="Arial" w:cs="Arial" w:eastAsia="Arial" w:hAnsi="Arial"/>
          <w:sz w:val="18"/>
          <w:szCs w:val="18"/>
          <w:color w:val="auto"/>
          <w:strike w:val="1"/>
        </w:rPr>
        <w:t xml:space="preserve">), demand recovery of an amount up to </w:t>
      </w:r>
      <w:r>
        <w:rPr>
          <w:rFonts w:ascii="Arial" w:cs="Arial" w:eastAsia="Arial" w:hAnsi="Arial"/>
          <w:sz w:val="18"/>
          <w:szCs w:val="18"/>
          <w:b w:val="1"/>
          <w:bCs w:val="1"/>
          <w:color w:val="auto"/>
          <w:strike w:val="1"/>
        </w:rPr>
        <w:t>[***]</w:t>
      </w:r>
      <w:r>
        <w:rPr>
          <w:rFonts w:ascii="Arial" w:cs="Arial" w:eastAsia="Arial" w:hAnsi="Arial"/>
          <w:sz w:val="18"/>
          <w:szCs w:val="18"/>
          <w:color w:val="auto"/>
          <w:strike w:val="1"/>
        </w:rPr>
        <w:t xml:space="preserve"> of Direct Funding Disbursements made from the Maximum Direct Funding Award Amount provided, that if the recovery of amounts under Section 9.2(l) was not already limited pursuant to the proviso in such Section 9.2(l), such amount shall not exceed an amount equal to </w:t>
      </w:r>
      <w:r>
        <w:rPr>
          <w:rFonts w:ascii="Arial" w:cs="Arial" w:eastAsia="Arial" w:hAnsi="Arial"/>
          <w:sz w:val="18"/>
          <w:szCs w:val="18"/>
          <w:b w:val="1"/>
          <w:bCs w:val="1"/>
          <w:color w:val="auto"/>
          <w:strike w:val="1"/>
        </w:rPr>
        <w:t>[***]</w:t>
      </w:r>
      <w:r>
        <w:rPr>
          <w:rFonts w:ascii="Arial" w:cs="Arial" w:eastAsia="Arial" w:hAnsi="Arial"/>
          <w:sz w:val="18"/>
          <w:szCs w:val="18"/>
          <w:color w:val="auto"/>
          <w:strike w:val="1"/>
        </w:rPr>
        <w:t xml:space="preserve">less the sum of any portions of any Scheduled Disbursement Amounts in respect of any Disbursement Milestones that are not disbursed to Recipient or its Affiliate pursuant to Section 5.1.4(a) or 5.1.4(c) on account of the failure of the Recipient to provide evidence of </w:t>
      </w:r>
      <w:r>
        <w:rPr>
          <w:rFonts w:ascii="Arial" w:cs="Arial" w:eastAsia="Arial" w:hAnsi="Arial"/>
          <w:sz w:val="18"/>
          <w:szCs w:val="18"/>
          <w:b w:val="1"/>
          <w:bCs w:val="1"/>
          <w:color w:val="auto"/>
          <w:strike w:val="1"/>
        </w:rPr>
        <w:t>[***]</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[RESERVED]</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-636270</wp:posOffset>
            </wp:positionV>
            <wp:extent cx="454279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4542790" cy="7620"/>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-87630</wp:posOffset>
            </wp:positionV>
            <wp:extent cx="304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04" w:lineRule="exact"/>
        <w:rPr>
          <w:sz w:val="20"/>
          <w:szCs w:val="20"/>
          <w:color w:val="auto"/>
        </w:rPr>
      </w:pPr>
    </w:p>
    <w:p>
      <w:pPr>
        <w:ind w:right="260" w:firstLine="576"/>
        <w:spacing w:after="0" w:line="273" w:lineRule="auto"/>
        <w:rPr>
          <w:sz w:val="20"/>
          <w:szCs w:val="20"/>
          <w:color w:val="auto"/>
        </w:rPr>
      </w:pPr>
      <w:r>
        <w:rPr>
          <w:rFonts w:ascii="Arial" w:cs="Arial" w:eastAsia="Arial" w:hAnsi="Arial"/>
          <w:sz w:val="18"/>
          <w:szCs w:val="18"/>
          <w:b w:val="1"/>
          <w:bCs w:val="1"/>
          <w:color w:val="auto"/>
        </w:rPr>
        <w:t>Section 2.6 Amendment to Section 9.2 (Remedies for Events of Default)</w:t>
      </w:r>
      <w:r>
        <w:rPr>
          <w:rFonts w:ascii="Arial" w:cs="Arial" w:eastAsia="Arial" w:hAnsi="Arial"/>
          <w:sz w:val="18"/>
          <w:szCs w:val="18"/>
          <w:color w:val="auto"/>
        </w:rPr>
        <w:t>. Section 9.2(o) (</w:t>
      </w:r>
      <w:r>
        <w:rPr>
          <w:rFonts w:ascii="Arial" w:cs="Arial" w:eastAsia="Arial" w:hAnsi="Arial"/>
          <w:sz w:val="18"/>
          <w:szCs w:val="18"/>
          <w:i w:val="1"/>
          <w:iCs w:val="1"/>
          <w:color w:val="auto"/>
        </w:rPr>
        <w:t>Remedies for Events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of the Agreement is hereby amended and restated in their entirety and replaced with the following (deleted text is marked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120" w:firstLine="576"/>
        <w:spacing w:after="0" w:line="276" w:lineRule="auto"/>
        <w:rPr>
          <w:sz w:val="20"/>
          <w:szCs w:val="20"/>
          <w:color w:val="auto"/>
        </w:rPr>
      </w:pPr>
      <w:r>
        <w:rPr>
          <w:rFonts w:ascii="Arial" w:cs="Arial" w:eastAsia="Arial" w:hAnsi="Arial"/>
          <w:sz w:val="17"/>
          <w:szCs w:val="17"/>
          <w:color w:val="auto"/>
        </w:rPr>
        <w:t>“(o) with respect to any Fundamental Event of Default, demand recovery of all or part of the Disbursements paid to the Recipient as a debt payable to the Department in accordance with the terms of such demand</w:t>
      </w:r>
      <w:r>
        <w:rPr>
          <w:rFonts w:ascii="Arial" w:cs="Arial" w:eastAsia="Arial" w:hAnsi="Arial"/>
          <w:sz w:val="17"/>
          <w:szCs w:val="17"/>
          <w:b w:val="1"/>
          <w:bCs w:val="1"/>
          <w:u w:val="single" w:color="auto"/>
          <w:color w:val="auto"/>
        </w:rPr>
        <w:t>; provided that, where the</w:t>
      </w:r>
    </w:p>
    <w:p>
      <w:pPr>
        <w:spacing w:after="0" w:line="1" w:lineRule="exact"/>
        <w:rPr>
          <w:sz w:val="20"/>
          <w:szCs w:val="20"/>
          <w:color w:val="auto"/>
        </w:rPr>
      </w:pPr>
    </w:p>
    <w:p>
      <w:pPr>
        <w:ind w:left="580" w:right="500"/>
        <w:spacing w:after="0" w:line="275" w:lineRule="auto"/>
        <w:rPr>
          <w:sz w:val="20"/>
          <w:szCs w:val="20"/>
          <w:color w:val="auto"/>
        </w:rPr>
      </w:pPr>
      <w:r>
        <w:rPr>
          <w:rFonts w:ascii="Arial" w:cs="Arial" w:eastAsia="Arial" w:hAnsi="Arial"/>
          <w:sz w:val="18"/>
          <w:szCs w:val="18"/>
          <w:b w:val="1"/>
          <w:bCs w:val="1"/>
          <w:u w:val="single" w:color="auto"/>
          <w:color w:val="auto"/>
        </w:rPr>
        <w:t>Fundamental Event of Default relates only to a specific Project or Projects, recovery shall be limited only to the Direct Funding Disbursements related to such Project or Projects</w:t>
      </w:r>
      <w:r>
        <w:rPr>
          <w:rFonts w:ascii="Arial" w:cs="Arial" w:eastAsia="Arial" w:hAnsi="Arial"/>
          <w:sz w:val="18"/>
          <w:szCs w:val="18"/>
          <w:color w:val="auto"/>
        </w:rPr>
        <w:t>;”</w:t>
      </w:r>
    </w:p>
    <w:p>
      <w:pPr>
        <w:spacing w:after="0" w:line="108" w:lineRule="exact"/>
        <w:rPr>
          <w:sz w:val="20"/>
          <w:szCs w:val="20"/>
          <w:color w:val="auto"/>
        </w:rPr>
      </w:pPr>
    </w:p>
    <w:p>
      <w:pPr>
        <w:ind w:right="160" w:firstLine="576"/>
        <w:spacing w:after="0" w:line="269" w:lineRule="auto"/>
        <w:rPr>
          <w:sz w:val="20"/>
          <w:szCs w:val="20"/>
          <w:color w:val="auto"/>
        </w:rPr>
      </w:pPr>
      <w:r>
        <w:rPr>
          <w:rFonts w:ascii="Arial" w:cs="Arial" w:eastAsia="Arial" w:hAnsi="Arial"/>
          <w:sz w:val="18"/>
          <w:szCs w:val="18"/>
          <w:b w:val="1"/>
          <w:bCs w:val="1"/>
          <w:color w:val="auto"/>
        </w:rPr>
        <w:t>Section 2.7 Amendment to Section 9.2 (Remedies for Events of Default)</w:t>
      </w:r>
      <w:r>
        <w:rPr>
          <w:rFonts w:ascii="Arial" w:cs="Arial" w:eastAsia="Arial" w:hAnsi="Arial"/>
          <w:sz w:val="18"/>
          <w:szCs w:val="18"/>
          <w:color w:val="auto"/>
        </w:rPr>
        <w:t>. Section 9.2 (</w:t>
      </w:r>
      <w:r>
        <w:rPr>
          <w:rFonts w:ascii="Arial" w:cs="Arial" w:eastAsia="Arial" w:hAnsi="Arial"/>
          <w:sz w:val="18"/>
          <w:szCs w:val="18"/>
          <w:i w:val="1"/>
          <w:iCs w:val="1"/>
          <w:color w:val="auto"/>
        </w:rPr>
        <w:t>Remedies for Events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of the Agreement is hereby amended by deleting “and” at the end of clause (s), inserting “and” at the end of clause (t),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inserting the following new clause (u):</w:t>
      </w:r>
    </w:p>
    <w:p>
      <w:pPr>
        <w:spacing w:after="0" w:line="120" w:lineRule="exact"/>
        <w:rPr>
          <w:sz w:val="20"/>
          <w:szCs w:val="20"/>
          <w:color w:val="auto"/>
        </w:rPr>
      </w:pPr>
    </w:p>
    <w:p>
      <w:pPr>
        <w:ind w:left="580" w:right="340" w:firstLine="576"/>
        <w:spacing w:after="0" w:line="328" w:lineRule="auto"/>
        <w:rPr>
          <w:sz w:val="20"/>
          <w:szCs w:val="20"/>
          <w:color w:val="auto"/>
        </w:rPr>
      </w:pPr>
      <w:r>
        <w:rPr>
          <w:rFonts w:ascii="Arial" w:cs="Arial" w:eastAsia="Arial" w:hAnsi="Arial"/>
          <w:sz w:val="17"/>
          <w:szCs w:val="17"/>
          <w:color w:val="auto"/>
        </w:rPr>
        <w:t>“ (u) with respect to an Event of Default under Section 9.1.1(i) (</w:t>
      </w:r>
      <w:r>
        <w:rPr>
          <w:rFonts w:ascii="Arial" w:cs="Arial" w:eastAsia="Arial" w:hAnsi="Arial"/>
          <w:sz w:val="17"/>
          <w:szCs w:val="17"/>
          <w:b w:val="1"/>
          <w:bCs w:val="1"/>
          <w:color w:val="auto"/>
        </w:rPr>
        <w:t>ID Fab 2 Project Clawback Event)</w:t>
      </w:r>
      <w:r>
        <w:rPr>
          <w:rFonts w:ascii="Arial" w:cs="Arial" w:eastAsia="Arial" w:hAnsi="Arial"/>
          <w:sz w:val="17"/>
          <w:szCs w:val="17"/>
          <w:color w:val="auto"/>
        </w:rPr>
        <w:t xml:space="preserve">, demand recovery of up an amount up to </w:t>
      </w:r>
      <w:r>
        <w:rPr>
          <w:rFonts w:ascii="Arial" w:cs="Arial" w:eastAsia="Arial" w:hAnsi="Arial"/>
          <w:sz w:val="17"/>
          <w:szCs w:val="17"/>
          <w:b w:val="1"/>
          <w:bCs w:val="1"/>
          <w:color w:val="auto"/>
        </w:rPr>
        <w:t>[***]</w:t>
      </w:r>
      <w:r>
        <w:rPr>
          <w:rFonts w:ascii="Arial" w:cs="Arial" w:eastAsia="Arial" w:hAnsi="Arial"/>
          <w:sz w:val="17"/>
          <w:szCs w:val="17"/>
          <w:color w:val="auto"/>
        </w:rPr>
        <w:t xml:space="preserve"> of Disbursements made from the ID Fab 1 Maximum Direct Funding Award Amount;”</w:t>
      </w:r>
    </w:p>
    <w:p>
      <w:pPr>
        <w:spacing w:after="0" w:line="66" w:lineRule="exact"/>
        <w:rPr>
          <w:sz w:val="20"/>
          <w:szCs w:val="20"/>
          <w:color w:val="auto"/>
        </w:rPr>
      </w:pPr>
    </w:p>
    <w:p>
      <w:pPr>
        <w:ind w:right="120" w:firstLine="576"/>
        <w:spacing w:after="0" w:line="273" w:lineRule="auto"/>
        <w:rPr>
          <w:sz w:val="20"/>
          <w:szCs w:val="20"/>
          <w:color w:val="auto"/>
        </w:rPr>
      </w:pPr>
      <w:r>
        <w:rPr>
          <w:rFonts w:ascii="Arial" w:cs="Arial" w:eastAsia="Arial" w:hAnsi="Arial"/>
          <w:sz w:val="18"/>
          <w:szCs w:val="18"/>
          <w:b w:val="1"/>
          <w:bCs w:val="1"/>
          <w:color w:val="auto"/>
        </w:rPr>
        <w:t>Section 2.8 Amendment to Section 9.4 (Specific Performance)</w:t>
      </w:r>
      <w:r>
        <w:rPr>
          <w:rFonts w:ascii="Arial" w:cs="Arial" w:eastAsia="Arial" w:hAnsi="Arial"/>
          <w:sz w:val="18"/>
          <w:szCs w:val="18"/>
          <w:color w:val="auto"/>
        </w:rPr>
        <w:t>. Section 9.4 (</w:t>
      </w:r>
      <w:r>
        <w:rPr>
          <w:rFonts w:ascii="Arial" w:cs="Arial" w:eastAsia="Arial" w:hAnsi="Arial"/>
          <w:sz w:val="18"/>
          <w:szCs w:val="18"/>
          <w:i w:val="1"/>
          <w:iCs w:val="1"/>
          <w:color w:val="auto"/>
        </w:rPr>
        <w:t>Specific Performance</w:t>
      </w:r>
      <w:r>
        <w:rPr>
          <w:rFonts w:ascii="Arial" w:cs="Arial" w:eastAsia="Arial" w:hAnsi="Arial"/>
          <w:sz w:val="18"/>
          <w:szCs w:val="18"/>
          <w:color w:val="auto"/>
        </w:rPr>
        <w:t>)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amended by replacing each reference to Section “3.5.4 (</w:t>
      </w:r>
      <w:r>
        <w:rPr>
          <w:rFonts w:ascii="Arial" w:cs="Arial" w:eastAsia="Arial" w:hAnsi="Arial"/>
          <w:sz w:val="18"/>
          <w:szCs w:val="18"/>
          <w:b w:val="1"/>
          <w:bCs w:val="1"/>
          <w:color w:val="auto"/>
        </w:rPr>
        <w:t>Community Investments</w:t>
      </w:r>
      <w:r>
        <w:rPr>
          <w:rFonts w:ascii="Arial" w:cs="Arial" w:eastAsia="Arial" w:hAnsi="Arial"/>
          <w:sz w:val="18"/>
          <w:szCs w:val="18"/>
          <w:color w:val="auto"/>
        </w:rPr>
        <w:t>) of Annex D (</w:t>
      </w:r>
      <w:r>
        <w:rPr>
          <w:rFonts w:ascii="Arial" w:cs="Arial" w:eastAsia="Arial" w:hAnsi="Arial"/>
          <w:sz w:val="18"/>
          <w:szCs w:val="18"/>
          <w:b w:val="1"/>
          <w:bCs w:val="1"/>
          <w:color w:val="auto"/>
        </w:rPr>
        <w:t>Program</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with reference to Section “3.6 (</w:t>
      </w:r>
      <w:r>
        <w:rPr>
          <w:rFonts w:ascii="Arial" w:cs="Arial" w:eastAsia="Arial" w:hAnsi="Arial"/>
          <w:sz w:val="18"/>
          <w:szCs w:val="18"/>
          <w:b w:val="1"/>
          <w:bCs w:val="1"/>
          <w:color w:val="auto"/>
        </w:rPr>
        <w:t>Community Investments</w:t>
      </w:r>
      <w:r>
        <w:rPr>
          <w:rFonts w:ascii="Arial" w:cs="Arial" w:eastAsia="Arial" w:hAnsi="Arial"/>
          <w:sz w:val="18"/>
          <w:szCs w:val="18"/>
          <w:color w:val="auto"/>
        </w:rPr>
        <w:t>) of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firstLine="576"/>
        <w:spacing w:after="0" w:line="287" w:lineRule="auto"/>
        <w:rPr>
          <w:sz w:val="20"/>
          <w:szCs w:val="20"/>
          <w:color w:val="auto"/>
        </w:rPr>
      </w:pPr>
      <w:r>
        <w:rPr>
          <w:rFonts w:ascii="Arial" w:cs="Arial" w:eastAsia="Arial" w:hAnsi="Arial"/>
          <w:sz w:val="18"/>
          <w:szCs w:val="18"/>
          <w:b w:val="1"/>
          <w:bCs w:val="1"/>
          <w:color w:val="auto"/>
        </w:rPr>
        <w:t>Section 2.9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inserting the following defined terms (in each case, in the correct alphabetical order):</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1 Direct Funding Award</w:t>
      </w:r>
      <w:r>
        <w:rPr>
          <w:rFonts w:ascii="Arial" w:cs="Arial" w:eastAsia="Arial" w:hAnsi="Arial"/>
          <w:sz w:val="18"/>
          <w:szCs w:val="18"/>
          <w:color w:val="auto"/>
        </w:rPr>
        <w:t>” has the meaning set forth in Section 2.1(a) (</w:t>
      </w:r>
      <w:r>
        <w:rPr>
          <w:rFonts w:ascii="Arial" w:cs="Arial" w:eastAsia="Arial" w:hAnsi="Arial"/>
          <w:sz w:val="18"/>
          <w:szCs w:val="18"/>
          <w:b w:val="1"/>
          <w:bCs w:val="1"/>
          <w:color w:val="auto"/>
        </w:rPr>
        <w:t>Award Amount</w:t>
      </w:r>
      <w:r>
        <w:rPr>
          <w:rFonts w:ascii="Arial" w:cs="Arial" w:eastAsia="Arial" w:hAnsi="Arial"/>
          <w:sz w:val="18"/>
          <w:szCs w:val="18"/>
          <w:color w:val="auto"/>
        </w:rPr>
        <w:t>).</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1 Maximum Direct Funding Award Amount</w:t>
      </w:r>
      <w:r>
        <w:rPr>
          <w:rFonts w:ascii="Arial" w:cs="Arial" w:eastAsia="Arial" w:hAnsi="Arial"/>
          <w:sz w:val="18"/>
          <w:szCs w:val="18"/>
          <w:color w:val="auto"/>
        </w:rPr>
        <w:t>" has the meaning set forth in Section 2.1(a) (</w:t>
      </w:r>
      <w:r>
        <w:rPr>
          <w:rFonts w:ascii="Arial" w:cs="Arial" w:eastAsia="Arial" w:hAnsi="Arial"/>
          <w:sz w:val="18"/>
          <w:szCs w:val="18"/>
          <w:b w:val="1"/>
          <w:bCs w:val="1"/>
          <w:color w:val="auto"/>
        </w:rPr>
        <w:t>Award Amount</w:t>
      </w:r>
      <w:r>
        <w:rPr>
          <w:rFonts w:ascii="Arial" w:cs="Arial" w:eastAsia="Arial" w:hAnsi="Arial"/>
          <w:sz w:val="18"/>
          <w:szCs w:val="18"/>
          <w:color w:val="auto"/>
        </w:rPr>
        <w:t>).</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1 Project</w:t>
      </w:r>
      <w:r>
        <w:rPr>
          <w:rFonts w:ascii="Arial" w:cs="Arial" w:eastAsia="Arial" w:hAnsi="Arial"/>
          <w:sz w:val="18"/>
          <w:szCs w:val="18"/>
          <w:color w:val="auto"/>
        </w:rPr>
        <w:t>" has the meaning set forth in the recitals hereto.</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2 Direct Funding Award</w:t>
      </w:r>
      <w:r>
        <w:rPr>
          <w:rFonts w:ascii="Arial" w:cs="Arial" w:eastAsia="Arial" w:hAnsi="Arial"/>
          <w:sz w:val="18"/>
          <w:szCs w:val="18"/>
          <w:color w:val="auto"/>
        </w:rPr>
        <w:t>" has the meaning set forth in Section 2.1(a) (</w:t>
      </w:r>
      <w:r>
        <w:rPr>
          <w:rFonts w:ascii="Arial" w:cs="Arial" w:eastAsia="Arial" w:hAnsi="Arial"/>
          <w:sz w:val="18"/>
          <w:szCs w:val="18"/>
          <w:b w:val="1"/>
          <w:bCs w:val="1"/>
          <w:color w:val="auto"/>
        </w:rPr>
        <w:t>Award Amount</w:t>
      </w:r>
      <w:r>
        <w:rPr>
          <w:rFonts w:ascii="Arial" w:cs="Arial" w:eastAsia="Arial" w:hAnsi="Arial"/>
          <w:sz w:val="18"/>
          <w:szCs w:val="18"/>
          <w:color w:val="auto"/>
        </w:rPr>
        <w:t>).</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2 Maximum Direct Funding Award Amount</w:t>
      </w:r>
      <w:r>
        <w:rPr>
          <w:rFonts w:ascii="Arial" w:cs="Arial" w:eastAsia="Arial" w:hAnsi="Arial"/>
          <w:sz w:val="18"/>
          <w:szCs w:val="18"/>
          <w:color w:val="auto"/>
        </w:rPr>
        <w:t>" has the meaning set forth in Section 2.1(a) (</w:t>
      </w:r>
      <w:r>
        <w:rPr>
          <w:rFonts w:ascii="Arial" w:cs="Arial" w:eastAsia="Arial" w:hAnsi="Arial"/>
          <w:sz w:val="18"/>
          <w:szCs w:val="18"/>
          <w:b w:val="1"/>
          <w:bCs w:val="1"/>
          <w:color w:val="auto"/>
        </w:rPr>
        <w:t>Award Amount</w:t>
      </w:r>
      <w:r>
        <w:rPr>
          <w:rFonts w:ascii="Arial" w:cs="Arial" w:eastAsia="Arial" w:hAnsi="Arial"/>
          <w:sz w:val="18"/>
          <w:szCs w:val="18"/>
          <w:color w:val="auto"/>
        </w:rPr>
        <w:t>).</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Fab 2 Project</w:t>
      </w:r>
      <w:r>
        <w:rPr>
          <w:rFonts w:ascii="Arial" w:cs="Arial" w:eastAsia="Arial" w:hAnsi="Arial"/>
          <w:sz w:val="18"/>
          <w:szCs w:val="18"/>
          <w:color w:val="auto"/>
        </w:rPr>
        <w:t>" has the meaning set forth in the recitals hereto.</w:t>
      </w:r>
    </w:p>
    <w:p>
      <w:pPr>
        <w:spacing w:after="0" w:line="201" w:lineRule="exact"/>
        <w:rPr>
          <w:sz w:val="20"/>
          <w:szCs w:val="20"/>
          <w:color w:val="auto"/>
        </w:rPr>
      </w:pPr>
    </w:p>
    <w:p>
      <w:pPr>
        <w:ind w:right="120" w:firstLine="576"/>
        <w:spacing w:after="0" w:line="287"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w:t>
      </w:r>
      <w:r>
        <w:rPr>
          <w:rFonts w:ascii="Arial" w:cs="Arial" w:eastAsia="Arial" w:hAnsi="Arial"/>
          <w:sz w:val="18"/>
          <w:szCs w:val="18"/>
          <w:b w:val="1"/>
          <w:bCs w:val="1"/>
          <w:color w:val="auto"/>
        </w:rPr>
        <w:t>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deleting the definitions of “Ground Prep Milestone” and “Start of Construction Milestone” in their entirety.</w:t>
      </w:r>
    </w:p>
    <w:p>
      <w:pPr>
        <w:spacing w:after="0" w:line="105" w:lineRule="exact"/>
        <w:rPr>
          <w:sz w:val="20"/>
          <w:szCs w:val="20"/>
          <w:color w:val="auto"/>
        </w:rPr>
      </w:pPr>
    </w:p>
    <w:p>
      <w:pPr>
        <w:ind w:right="220" w:firstLine="576"/>
        <w:spacing w:after="0" w:line="273" w:lineRule="auto"/>
        <w:rPr>
          <w:sz w:val="20"/>
          <w:szCs w:val="20"/>
          <w:color w:val="auto"/>
        </w:rPr>
      </w:pPr>
      <w:r>
        <w:rPr>
          <w:rFonts w:ascii="Arial" w:cs="Arial" w:eastAsia="Arial" w:hAnsi="Arial"/>
          <w:sz w:val="18"/>
          <w:szCs w:val="18"/>
          <w:b w:val="1"/>
          <w:bCs w:val="1"/>
          <w:color w:val="auto"/>
        </w:rPr>
        <w:t>Section 2.11 Amendment to Annex A (Definitions)</w:t>
      </w:r>
      <w:r>
        <w:rPr>
          <w:rFonts w:ascii="Arial" w:cs="Arial" w:eastAsia="Arial" w:hAnsi="Arial"/>
          <w:sz w:val="18"/>
          <w:szCs w:val="18"/>
          <w:color w:val="auto"/>
        </w:rPr>
        <w:t>. Annex A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“Abandonment”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jc w:val="both"/>
        <w:ind w:left="580" w:right="60" w:firstLine="57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Abandonmen</w:t>
      </w:r>
      <w:r>
        <w:rPr>
          <w:rFonts w:ascii="Arial" w:cs="Arial" w:eastAsia="Arial" w:hAnsi="Arial"/>
          <w:sz w:val="18"/>
          <w:szCs w:val="18"/>
          <w:color w:val="auto"/>
        </w:rPr>
        <w:t>t” means</w:t>
      </w:r>
      <w:r>
        <w:rPr>
          <w:rFonts w:ascii="Arial" w:cs="Arial" w:eastAsia="Arial" w:hAnsi="Arial"/>
          <w:sz w:val="18"/>
          <w:szCs w:val="18"/>
          <w:b w:val="1"/>
          <w:bCs w:val="1"/>
          <w:u w:val="single" w:color="auto"/>
          <w:color w:val="auto"/>
        </w:rPr>
        <w:t>, with respect to any Project,</w:t>
      </w:r>
      <w:r>
        <w:rPr>
          <w:rFonts w:ascii="Arial" w:cs="Arial" w:eastAsia="Arial" w:hAnsi="Arial"/>
          <w:sz w:val="18"/>
          <w:szCs w:val="18"/>
          <w:color w:val="auto"/>
        </w:rPr>
        <w:t xml:space="preserve"> the relinquishment of possession and control of the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Project by the Recipient or the complete cessation of work or activity for </w:t>
      </w:r>
      <w:r>
        <w:rPr>
          <w:rFonts w:ascii="Arial" w:cs="Arial" w:eastAsia="Arial" w:hAnsi="Arial"/>
          <w:sz w:val="18"/>
          <w:szCs w:val="18"/>
          <w:b w:val="1"/>
          <w:bCs w:val="1"/>
          <w:color w:val="auto"/>
        </w:rPr>
        <w:t>[***]</w:t>
      </w:r>
      <w:r>
        <w:rPr>
          <w:rFonts w:ascii="Arial" w:cs="Arial" w:eastAsia="Arial" w:hAnsi="Arial"/>
          <w:sz w:val="18"/>
          <w:szCs w:val="18"/>
          <w:color w:val="auto"/>
        </w:rPr>
        <w:t xml:space="preserve">consecutive days (or </w:t>
      </w:r>
      <w:r>
        <w:rPr>
          <w:rFonts w:ascii="Arial" w:cs="Arial" w:eastAsia="Arial" w:hAnsi="Arial"/>
          <w:sz w:val="18"/>
          <w:szCs w:val="18"/>
          <w:b w:val="1"/>
          <w:bCs w:val="1"/>
          <w:color w:val="auto"/>
        </w:rPr>
        <w:t>[***]</w:t>
      </w:r>
      <w:r>
        <w:rPr>
          <w:rFonts w:ascii="Arial" w:cs="Arial" w:eastAsia="Arial" w:hAnsi="Arial"/>
          <w:sz w:val="18"/>
          <w:szCs w:val="18"/>
          <w:color w:val="auto"/>
        </w:rPr>
        <w:t xml:space="preserve">non-consecutive days in any Fiscal Year) at the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Project, except as a result of the occurrence of an Event of Force Majeure, and the term “Abandon” shall have a correlative meaning.”</w:t>
      </w:r>
    </w:p>
    <w:p>
      <w:pPr>
        <w:spacing w:after="0" w:line="128" w:lineRule="exact"/>
        <w:rPr>
          <w:sz w:val="20"/>
          <w:szCs w:val="20"/>
          <w:color w:val="auto"/>
        </w:rPr>
      </w:pPr>
    </w:p>
    <w:p>
      <w:pPr>
        <w:ind w:firstLine="576"/>
        <w:spacing w:after="0" w:line="273" w:lineRule="auto"/>
        <w:rPr>
          <w:sz w:val="20"/>
          <w:szCs w:val="20"/>
          <w:color w:val="auto"/>
        </w:rPr>
      </w:pPr>
      <w:r>
        <w:rPr>
          <w:rFonts w:ascii="Arial" w:cs="Arial" w:eastAsia="Arial" w:hAnsi="Arial"/>
          <w:sz w:val="18"/>
          <w:szCs w:val="18"/>
          <w:b w:val="1"/>
          <w:bCs w:val="1"/>
          <w:color w:val="auto"/>
        </w:rPr>
        <w:t>Section 2.12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“Advanced Packaging Resiliency Objectives”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Advanced Packaging Resiliency Objectives</w:t>
      </w:r>
      <w:r>
        <w:rPr>
          <w:rFonts w:ascii="Arial" w:cs="Arial" w:eastAsia="Arial" w:hAnsi="Arial"/>
          <w:sz w:val="18"/>
          <w:szCs w:val="18"/>
          <w:color w:val="auto"/>
        </w:rPr>
        <w:t>” means the following advanced packaging resiliency objectives:</w:t>
      </w:r>
    </w:p>
    <w:p>
      <w:pPr>
        <w:spacing w:after="0" w:line="177" w:lineRule="exact"/>
        <w:rPr>
          <w:sz w:val="20"/>
          <w:szCs w:val="20"/>
          <w:color w:val="auto"/>
        </w:rPr>
      </w:pPr>
    </w:p>
    <w:p>
      <w:pPr>
        <w:ind w:left="580" w:right="40" w:firstLine="578"/>
        <w:spacing w:after="0" w:line="262" w:lineRule="auto"/>
        <w:tabs>
          <w:tab w:leader="none" w:pos="14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on or before </w:t>
      </w:r>
      <w:r>
        <w:rPr>
          <w:rFonts w:ascii="Arial" w:cs="Arial" w:eastAsia="Arial" w:hAnsi="Arial"/>
          <w:sz w:val="18"/>
          <w:szCs w:val="18"/>
          <w:b w:val="1"/>
          <w:bCs w:val="1"/>
          <w:color w:val="auto"/>
        </w:rPr>
        <w:t>[***]</w:t>
      </w:r>
      <w:r>
        <w:rPr>
          <w:rFonts w:ascii="Arial" w:cs="Arial" w:eastAsia="Arial" w:hAnsi="Arial"/>
          <w:sz w:val="18"/>
          <w:szCs w:val="18"/>
          <w:color w:val="auto"/>
        </w:rPr>
        <w:t xml:space="preserve">, the Sponsor Guarantor and its subsidiaries, on a Consolidated Basis, shall have the operational capability and installed equipment capacity to package HBM wafers in </w:t>
      </w:r>
      <w:r>
        <w:rPr>
          <w:rFonts w:ascii="Arial" w:cs="Arial" w:eastAsia="Arial" w:hAnsi="Arial"/>
          <w:sz w:val="18"/>
          <w:szCs w:val="18"/>
          <w:b w:val="1"/>
          <w:bCs w:val="1"/>
          <w:color w:val="auto"/>
        </w:rPr>
        <w:t>[***]</w:t>
      </w:r>
      <w:r>
        <w:rPr>
          <w:rFonts w:ascii="Arial" w:cs="Arial" w:eastAsia="Arial" w:hAnsi="Arial"/>
          <w:sz w:val="18"/>
          <w:szCs w:val="18"/>
          <w:color w:val="auto"/>
        </w:rPr>
        <w:t xml:space="preserve"> in an amount of not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total amount of HBM wafers that the Sponsor Guarantor and its subsidiaries have the operational capability and installed equipment capacity to produce on a global basis; </w:t>
      </w:r>
      <w:r>
        <w:rPr>
          <w:rFonts w:ascii="Arial" w:cs="Arial" w:eastAsia="Arial" w:hAnsi="Arial"/>
          <w:sz w:val="18"/>
          <w:szCs w:val="18"/>
          <w:color w:val="auto"/>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480"/>
          </w:cols>
          <w:pgMar w:left="660" w:top="1440" w:right="76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20" w:hanging="262"/>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operational capability to package </w:t>
      </w:r>
      <w:r>
        <w:rPr>
          <w:rFonts w:ascii="Arial" w:cs="Arial" w:eastAsia="Arial" w:hAnsi="Arial"/>
          <w:sz w:val="18"/>
          <w:szCs w:val="18"/>
          <w:b w:val="1"/>
          <w:bCs w:val="1"/>
          <w:color w:val="auto"/>
        </w:rPr>
        <w:t>[***]</w:t>
      </w:r>
      <w:r>
        <w:rPr>
          <w:rFonts w:ascii="Arial" w:cs="Arial" w:eastAsia="Arial" w:hAnsi="Arial"/>
          <w:sz w:val="18"/>
          <w:szCs w:val="18"/>
          <w:color w:val="auto"/>
        </w:rPr>
        <w:t xml:space="preserve"> of HBM wafers manufactured by the Recipient in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and</w:t>
      </w:r>
    </w:p>
    <w:p>
      <w:pPr>
        <w:spacing w:after="0" w:line="177" w:lineRule="exact"/>
        <w:rPr>
          <w:rFonts w:ascii="Arial" w:cs="Arial" w:eastAsia="Arial" w:hAnsi="Arial"/>
          <w:sz w:val="18"/>
          <w:szCs w:val="18"/>
          <w:color w:val="auto"/>
        </w:rPr>
      </w:pPr>
    </w:p>
    <w:p>
      <w:pPr>
        <w:ind w:left="580" w:right="160" w:firstLine="578"/>
        <w:spacing w:after="0" w:line="296" w:lineRule="auto"/>
        <w:tabs>
          <w:tab w:leader="none" w:pos="1426" w:val="left"/>
        </w:tabs>
        <w:numPr>
          <w:ilvl w:val="0"/>
          <w:numId w:val="4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Sponsor Guarantor and its subsidiaries, on a Consolidated Basis, shall use commercially reasonable efforts to package a minimum of</w:t>
      </w: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HBM wafers per week within</w:t>
      </w: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by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w:t>
      </w:r>
    </w:p>
    <w:p>
      <w:pPr>
        <w:spacing w:after="0" w:line="90" w:lineRule="exact"/>
        <w:rPr>
          <w:sz w:val="20"/>
          <w:szCs w:val="20"/>
          <w:color w:val="auto"/>
        </w:rPr>
      </w:pPr>
    </w:p>
    <w:p>
      <w:pPr>
        <w:ind w:right="260" w:firstLine="576"/>
        <w:spacing w:after="0" w:line="257" w:lineRule="auto"/>
        <w:rPr>
          <w:sz w:val="20"/>
          <w:szCs w:val="20"/>
          <w:color w:val="auto"/>
        </w:rPr>
      </w:pPr>
      <w:r>
        <w:rPr>
          <w:rFonts w:ascii="Arial" w:cs="Arial" w:eastAsia="Arial" w:hAnsi="Arial"/>
          <w:sz w:val="18"/>
          <w:szCs w:val="18"/>
          <w:b w:val="1"/>
          <w:bCs w:val="1"/>
          <w:color w:val="auto"/>
        </w:rPr>
        <w:t>Section 2.13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“Base Case Financial Model”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 w:lineRule="exact"/>
        <w:rPr>
          <w:sz w:val="20"/>
          <w:szCs w:val="20"/>
          <w:color w:val="auto"/>
        </w:rPr>
      </w:pPr>
    </w:p>
    <w:p>
      <w:pPr>
        <w:ind w:left="580" w:firstLine="57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Case Financial Model</w:t>
      </w:r>
      <w:r>
        <w:rPr>
          <w:rFonts w:ascii="Arial" w:cs="Arial" w:eastAsia="Arial" w:hAnsi="Arial"/>
          <w:sz w:val="17"/>
          <w:szCs w:val="17"/>
          <w:color w:val="auto"/>
        </w:rPr>
        <w:t>” means the base case financial model delivered by the Recipient, and approved by the Department, in connection with the Award Date, pursuant to Section 4.9 (</w:t>
      </w:r>
      <w:r>
        <w:rPr>
          <w:rFonts w:ascii="Arial" w:cs="Arial" w:eastAsia="Arial" w:hAnsi="Arial"/>
          <w:sz w:val="17"/>
          <w:szCs w:val="17"/>
          <w:b w:val="1"/>
          <w:bCs w:val="1"/>
          <w:color w:val="auto"/>
        </w:rPr>
        <w:t>Base Case Financial Model</w:t>
      </w:r>
      <w:r>
        <w:rPr>
          <w:rFonts w:ascii="Arial" w:cs="Arial" w:eastAsia="Arial" w:hAnsi="Arial"/>
          <w:sz w:val="17"/>
          <w:szCs w:val="17"/>
          <w:color w:val="auto"/>
        </w:rPr>
        <w:t>)</w:t>
      </w:r>
      <w:r>
        <w:rPr>
          <w:rFonts w:ascii="Arial" w:cs="Arial" w:eastAsia="Arial" w:hAnsi="Arial"/>
          <w:sz w:val="17"/>
          <w:szCs w:val="17"/>
          <w:b w:val="1"/>
          <w:bCs w:val="1"/>
          <w:u w:val="single" w:color="auto"/>
          <w:color w:val="auto"/>
        </w:rPr>
        <w:t>, as such Base Case</w:t>
      </w:r>
    </w:p>
    <w:p>
      <w:pPr>
        <w:jc w:val="both"/>
        <w:ind w:left="580" w:right="20"/>
        <w:spacing w:after="0" w:line="263" w:lineRule="auto"/>
        <w:rPr>
          <w:sz w:val="20"/>
          <w:szCs w:val="20"/>
          <w:color w:val="auto"/>
        </w:rPr>
      </w:pPr>
      <w:r>
        <w:rPr>
          <w:rFonts w:ascii="Arial" w:cs="Arial" w:eastAsia="Arial" w:hAnsi="Arial"/>
          <w:sz w:val="18"/>
          <w:szCs w:val="18"/>
          <w:b w:val="1"/>
          <w:bCs w:val="1"/>
          <w:u w:val="single" w:color="auto"/>
          <w:color w:val="auto"/>
        </w:rPr>
        <w:t>Financial Model may be updated by a revised base case financial model delivered by the Recipient and approved by the Department in connection with an amendment to the Agreement or as otherwise may be agreed in writing by the Recipient and the Department</w:t>
      </w:r>
      <w:r>
        <w:rPr>
          <w:rFonts w:ascii="Arial" w:cs="Arial" w:eastAsia="Arial" w:hAnsi="Arial"/>
          <w:sz w:val="18"/>
          <w:szCs w:val="18"/>
          <w:color w:val="auto"/>
        </w:rPr>
        <w:t>.”</w:t>
      </w:r>
    </w:p>
    <w:p>
      <w:pPr>
        <w:spacing w:after="0" w:line="118" w:lineRule="exact"/>
        <w:rPr>
          <w:sz w:val="20"/>
          <w:szCs w:val="20"/>
          <w:color w:val="auto"/>
        </w:rPr>
      </w:pPr>
    </w:p>
    <w:p>
      <w:pPr>
        <w:ind w:right="460" w:firstLine="576"/>
        <w:spacing w:after="0" w:line="257" w:lineRule="auto"/>
        <w:rPr>
          <w:sz w:val="20"/>
          <w:szCs w:val="20"/>
          <w:color w:val="auto"/>
        </w:rPr>
      </w:pPr>
      <w:r>
        <w:rPr>
          <w:rFonts w:ascii="Arial" w:cs="Arial" w:eastAsia="Arial" w:hAnsi="Arial"/>
          <w:sz w:val="18"/>
          <w:szCs w:val="18"/>
          <w:b w:val="1"/>
          <w:bCs w:val="1"/>
          <w:color w:val="auto"/>
        </w:rPr>
        <w:t>Section 2.14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“Construction Contract”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w:t>
      </w:r>
      <w:r>
        <w:rPr>
          <w:rFonts w:ascii="Arial" w:cs="Arial" w:eastAsia="Arial" w:hAnsi="Arial"/>
          <w:sz w:val="18"/>
          <w:szCs w:val="18"/>
          <w:color w:val="auto"/>
        </w:rPr>
        <w:t>” means collectively:</w:t>
      </w:r>
    </w:p>
    <w:p>
      <w:pPr>
        <w:spacing w:after="0" w:line="183" w:lineRule="exact"/>
        <w:rPr>
          <w:sz w:val="20"/>
          <w:szCs w:val="20"/>
          <w:color w:val="auto"/>
        </w:rPr>
      </w:pPr>
    </w:p>
    <w:p>
      <w:pPr>
        <w:jc w:val="both"/>
        <w:ind w:left="1160" w:right="20" w:hanging="2"/>
        <w:spacing w:after="0" w:line="273" w:lineRule="auto"/>
        <w:tabs>
          <w:tab w:leader="none" w:pos="1429" w:val="left"/>
        </w:tabs>
        <w:numPr>
          <w:ilvl w:val="0"/>
          <w:numId w:val="44"/>
        </w:numPr>
        <w:rPr>
          <w:rFonts w:ascii="Arial" w:cs="Arial" w:eastAsia="Arial" w:hAnsi="Arial"/>
          <w:sz w:val="18"/>
          <w:szCs w:val="18"/>
          <w:color w:val="auto"/>
          <w:strike w:val="1"/>
        </w:rPr>
      </w:pPr>
      <w:r>
        <w:rPr>
          <w:rFonts w:ascii="Arial" w:cs="Arial" w:eastAsia="Arial" w:hAnsi="Arial"/>
          <w:sz w:val="18"/>
          <w:szCs w:val="18"/>
          <w:color w:val="auto"/>
          <w:strike w:val="1"/>
        </w:rPr>
        <w:t>Construction contracts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strike w:val="1"/>
        </w:rPr>
        <w:t>to provide design and construction related services related to the construction of a new</w:t>
      </w:r>
      <w:r>
        <w:rPr>
          <w:rFonts w:ascii="Arial" w:cs="Arial" w:eastAsia="Arial" w:hAnsi="Arial"/>
          <w:sz w:val="18"/>
          <w:szCs w:val="18"/>
          <w:color w:val="auto"/>
        </w:rPr>
        <w:t xml:space="preserve"> </w:t>
      </w:r>
      <w:r>
        <w:rPr>
          <w:rFonts w:ascii="Arial" w:cs="Arial" w:eastAsia="Arial" w:hAnsi="Arial"/>
          <w:sz w:val="18"/>
          <w:szCs w:val="18"/>
          <w:color w:val="auto"/>
          <w:strike w:val="1"/>
        </w:rPr>
        <w:t>semiconductor fab with a current contract value of approximately</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strike w:val="1"/>
        </w:rPr>
        <w:t>, and expected to eventually total approximately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once executed by the Recipient;</w:t>
      </w:r>
    </w:p>
    <w:p>
      <w:pPr>
        <w:spacing w:after="0" w:line="134" w:lineRule="exact"/>
        <w:rPr>
          <w:sz w:val="20"/>
          <w:szCs w:val="20"/>
          <w:color w:val="auto"/>
        </w:rPr>
      </w:pPr>
    </w:p>
    <w:p>
      <w:pPr>
        <w:ind w:left="1160" w:right="460"/>
        <w:spacing w:after="0" w:line="269" w:lineRule="auto"/>
        <w:rPr>
          <w:sz w:val="20"/>
          <w:szCs w:val="20"/>
          <w:color w:val="auto"/>
        </w:rPr>
      </w:pPr>
      <w:r>
        <w:rPr>
          <w:rFonts w:ascii="Arial" w:cs="Arial" w:eastAsia="Arial" w:hAnsi="Arial"/>
          <w:sz w:val="18"/>
          <w:szCs w:val="18"/>
          <w:color w:val="auto"/>
          <w:strike w:val="1"/>
        </w:rPr>
        <w:t>(b)</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each construction contract contemplated in the Sources and Uses Plan and entered into between the Recipient and a Construction Contractor in connection with the construction of the Project prior to the first Direct Funding Disbursement Date and is otherwise in form and substance satisfactory to the Department; and</w:t>
      </w:r>
    </w:p>
    <w:p>
      <w:pPr>
        <w:spacing w:after="0" w:line="144" w:lineRule="exact"/>
        <w:rPr>
          <w:sz w:val="20"/>
          <w:szCs w:val="20"/>
          <w:color w:val="auto"/>
        </w:rPr>
      </w:pPr>
    </w:p>
    <w:p>
      <w:pPr>
        <w:ind w:left="1160"/>
        <w:spacing w:after="0"/>
        <w:tabs>
          <w:tab w:leader="none" w:pos="1780" w:val="left"/>
        </w:tabs>
        <w:rPr>
          <w:sz w:val="20"/>
          <w:szCs w:val="20"/>
          <w:color w:val="auto"/>
        </w:rPr>
      </w:pPr>
      <w:r>
        <w:rPr>
          <w:rFonts w:ascii="Arial" w:cs="Arial" w:eastAsia="Arial" w:hAnsi="Arial"/>
          <w:sz w:val="18"/>
          <w:szCs w:val="18"/>
          <w:color w:val="auto"/>
          <w:strike w:val="1"/>
        </w:rPr>
        <w:t>(c)</w:t>
      </w:r>
      <w:r>
        <w:rPr>
          <w:rFonts w:ascii="Arial" w:cs="Arial" w:eastAsia="Arial" w:hAnsi="Arial"/>
          <w:sz w:val="18"/>
          <w:szCs w:val="18"/>
          <w:b w:val="1"/>
          <w:bCs w:val="1"/>
          <w:u w:val="single" w:color="auto"/>
          <w:color w:val="auto"/>
        </w:rPr>
        <w:t>(b)</w:t>
      </w:r>
      <w:r>
        <w:rPr>
          <w:sz w:val="20"/>
          <w:szCs w:val="20"/>
          <w:color w:val="auto"/>
        </w:rPr>
        <w:tab/>
      </w:r>
      <w:r>
        <w:rPr>
          <w:rFonts w:ascii="Arial" w:cs="Arial" w:eastAsia="Arial" w:hAnsi="Arial"/>
          <w:sz w:val="17"/>
          <w:szCs w:val="17"/>
          <w:color w:val="auto"/>
        </w:rPr>
        <w:t>any other document designated in writing as a Construction Contract by the Recipient and the Department.”</w:t>
      </w:r>
    </w:p>
    <w:p>
      <w:pPr>
        <w:spacing w:after="0" w:line="201" w:lineRule="exact"/>
        <w:rPr>
          <w:sz w:val="20"/>
          <w:szCs w:val="20"/>
          <w:color w:val="auto"/>
        </w:rPr>
      </w:pPr>
    </w:p>
    <w:p>
      <w:pPr>
        <w:ind w:right="460" w:firstLine="576"/>
        <w:spacing w:after="0" w:line="273" w:lineRule="auto"/>
        <w:rPr>
          <w:sz w:val="20"/>
          <w:szCs w:val="20"/>
          <w:color w:val="auto"/>
        </w:rPr>
      </w:pPr>
      <w:r>
        <w:rPr>
          <w:rFonts w:ascii="Arial" w:cs="Arial" w:eastAsia="Arial" w:hAnsi="Arial"/>
          <w:sz w:val="18"/>
          <w:szCs w:val="18"/>
          <w:b w:val="1"/>
          <w:bCs w:val="1"/>
          <w:color w:val="auto"/>
        </w:rPr>
        <w:t>Section 2.15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“Equity Commitment”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500"/>
          </w:cols>
          <w:pgMar w:left="660" w:top="1440" w:right="740"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Commitment</w:t>
      </w:r>
      <w:r>
        <w:rPr>
          <w:rFonts w:ascii="Arial" w:cs="Arial" w:eastAsia="Arial" w:hAnsi="Arial"/>
          <w:sz w:val="18"/>
          <w:szCs w:val="18"/>
          <w:color w:val="auto"/>
        </w:rPr>
        <w:t>” means,</w:t>
      </w:r>
    </w:p>
    <w:p>
      <w:pPr>
        <w:spacing w:after="0" w:line="177" w:lineRule="exact"/>
        <w:rPr>
          <w:sz w:val="20"/>
          <w:szCs w:val="20"/>
          <w:color w:val="auto"/>
        </w:rPr>
      </w:pPr>
    </w:p>
    <w:p>
      <w:pPr>
        <w:ind w:left="1160" w:right="80" w:hanging="2"/>
        <w:spacing w:after="0" w:line="272" w:lineRule="auto"/>
        <w:tabs>
          <w:tab w:leader="none" w:pos="15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with respect to the </w:t>
      </w:r>
      <w:r>
        <w:rPr>
          <w:rFonts w:ascii="Arial" w:cs="Arial" w:eastAsia="Arial" w:hAnsi="Arial"/>
          <w:sz w:val="17"/>
          <w:szCs w:val="17"/>
          <w:b w:val="1"/>
          <w:bCs w:val="1"/>
          <w:u w:val="single" w:color="auto"/>
          <w:color w:val="auto"/>
        </w:rPr>
        <w:t>ID Fab 1</w:t>
      </w:r>
      <w:r>
        <w:rPr>
          <w:rFonts w:ascii="Arial" w:cs="Arial" w:eastAsia="Arial" w:hAnsi="Arial"/>
          <w:sz w:val="17"/>
          <w:szCs w:val="17"/>
          <w:color w:val="auto"/>
        </w:rPr>
        <w:t xml:space="preserve"> Project, the obligation of the Sponsor Guarantor under the Sponsor Guarantee to fund an aggregate amount equal to </w:t>
      </w:r>
      <w:r>
        <w:rPr>
          <w:rFonts w:ascii="Arial" w:cs="Arial" w:eastAsia="Arial" w:hAnsi="Arial"/>
          <w:sz w:val="17"/>
          <w:szCs w:val="17"/>
          <w:b w:val="1"/>
          <w:bCs w:val="1"/>
          <w:color w:val="auto"/>
        </w:rPr>
        <w:t>[***]</w:t>
      </w:r>
      <w:r>
        <w:rPr>
          <w:rFonts w:ascii="Arial" w:cs="Arial" w:eastAsia="Arial" w:hAnsi="Arial"/>
          <w:sz w:val="17"/>
          <w:szCs w:val="17"/>
          <w:color w:val="auto"/>
        </w:rPr>
        <w:t xml:space="preserve"> which is an amount equal to the positive difference between (i) the Estimated Project Costs </w:t>
      </w:r>
      <w:r>
        <w:rPr>
          <w:rFonts w:ascii="Arial" w:cs="Arial" w:eastAsia="Arial" w:hAnsi="Arial"/>
          <w:sz w:val="17"/>
          <w:szCs w:val="17"/>
          <w:b w:val="1"/>
          <w:bCs w:val="1"/>
          <w:u w:val="single" w:color="auto"/>
          <w:color w:val="auto"/>
        </w:rPr>
        <w:t>for such Project</w:t>
      </w:r>
      <w:r>
        <w:rPr>
          <w:rFonts w:ascii="Arial" w:cs="Arial" w:eastAsia="Arial" w:hAnsi="Arial"/>
          <w:sz w:val="17"/>
          <w:szCs w:val="17"/>
          <w:color w:val="auto"/>
        </w:rPr>
        <w:t xml:space="preserve">; and (ii) the sum of (A) the Maximum Direct Funding Award Amount </w:t>
      </w:r>
      <w:r>
        <w:rPr>
          <w:rFonts w:ascii="Arial" w:cs="Arial" w:eastAsia="Arial" w:hAnsi="Arial"/>
          <w:sz w:val="17"/>
          <w:szCs w:val="17"/>
          <w:b w:val="1"/>
          <w:bCs w:val="1"/>
          <w:u w:val="single" w:color="auto"/>
          <w:color w:val="auto"/>
        </w:rPr>
        <w:t>for such Project</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1160" w:right="400"/>
        <w:spacing w:after="0" w:line="275" w:lineRule="auto"/>
        <w:rPr>
          <w:rFonts w:ascii="Arial" w:cs="Arial" w:eastAsia="Arial" w:hAnsi="Arial"/>
          <w:sz w:val="17"/>
          <w:szCs w:val="17"/>
          <w:color w:val="auto"/>
        </w:rPr>
      </w:pPr>
      <w:r>
        <w:rPr>
          <w:rFonts w:ascii="Arial" w:cs="Arial" w:eastAsia="Arial" w:hAnsi="Arial"/>
          <w:sz w:val="18"/>
          <w:szCs w:val="18"/>
          <w:color w:val="auto"/>
        </w:rPr>
        <w:t xml:space="preserve">(B) the aggregate debt funding amounts provided for in the Third Party Debt Funding Documents in respect of </w:t>
      </w:r>
      <w:r>
        <w:rPr>
          <w:rFonts w:ascii="Arial" w:cs="Arial" w:eastAsia="Arial" w:hAnsi="Arial"/>
          <w:sz w:val="18"/>
          <w:szCs w:val="18"/>
          <w:color w:val="auto"/>
          <w:strike w:val="1"/>
        </w:rPr>
        <w:t>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and (C) Covered Incentives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Project</w:t>
      </w:r>
      <w:r>
        <w:rPr>
          <w:rFonts w:ascii="Arial" w:cs="Arial" w:eastAsia="Arial" w:hAnsi="Arial"/>
          <w:sz w:val="18"/>
          <w:szCs w:val="18"/>
          <w:b w:val="1"/>
          <w:bCs w:val="1"/>
          <w:u w:val="single" w:color="auto"/>
          <w:color w:val="auto"/>
        </w:rPr>
        <w:t>; and</w:t>
      </w:r>
    </w:p>
    <w:p>
      <w:pPr>
        <w:spacing w:after="0" w:line="107" w:lineRule="exact"/>
        <w:rPr>
          <w:rFonts w:ascii="Arial" w:cs="Arial" w:eastAsia="Arial" w:hAnsi="Arial"/>
          <w:sz w:val="17"/>
          <w:szCs w:val="17"/>
          <w:color w:val="auto"/>
        </w:rPr>
      </w:pPr>
    </w:p>
    <w:p>
      <w:pPr>
        <w:ind w:left="1160" w:right="120" w:hanging="2"/>
        <w:spacing w:after="0" w:line="262" w:lineRule="auto"/>
        <w:tabs>
          <w:tab w:leader="none" w:pos="1589" w:val="left"/>
        </w:tabs>
        <w:numPr>
          <w:ilvl w:val="0"/>
          <w:numId w:val="4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with respect to the ID Fab 2 Project, the obligation of the Sponsor Guarantor under the Sponsor Guarantee to fund an aggregate amount equal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 which is an amount equal to the positive difference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between (i) the Estimated Project Costs for such Project; and (ii) the sum of (A) the Maximum Direct Funding Award Amount for such Project; (B) the aggregate debt funding amounts provided for in the Third Party Debt Funding Documents in respect of such Project; and (C) Covered Incentives in respect of such Project</w:t>
      </w:r>
      <w:r>
        <w:rPr>
          <w:rFonts w:ascii="Arial" w:cs="Arial" w:eastAsia="Arial" w:hAnsi="Arial"/>
          <w:sz w:val="18"/>
          <w:szCs w:val="18"/>
          <w:color w:val="auto"/>
        </w:rPr>
        <w:t>.”</w:t>
      </w:r>
    </w:p>
    <w:p>
      <w:pPr>
        <w:spacing w:after="0" w:line="119" w:lineRule="exact"/>
        <w:rPr>
          <w:sz w:val="20"/>
          <w:szCs w:val="20"/>
          <w:color w:val="auto"/>
        </w:rPr>
      </w:pPr>
    </w:p>
    <w:p>
      <w:pPr>
        <w:jc w:val="both"/>
        <w:ind w:right="540" w:firstLine="576"/>
        <w:spacing w:after="0" w:line="273" w:lineRule="auto"/>
        <w:rPr>
          <w:sz w:val="20"/>
          <w:szCs w:val="20"/>
          <w:color w:val="auto"/>
        </w:rPr>
      </w:pPr>
      <w:r>
        <w:rPr>
          <w:rFonts w:ascii="Arial" w:cs="Arial" w:eastAsia="Arial" w:hAnsi="Arial"/>
          <w:sz w:val="18"/>
          <w:szCs w:val="18"/>
          <w:b w:val="1"/>
          <w:bCs w:val="1"/>
          <w:color w:val="auto"/>
        </w:rPr>
        <w:t>Section 2.16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“Estimated Project Costs”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160" w:firstLine="576"/>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Project Costs</w:t>
      </w:r>
      <w:r>
        <w:rPr>
          <w:rFonts w:ascii="Arial" w:cs="Arial" w:eastAsia="Arial" w:hAnsi="Arial"/>
          <w:sz w:val="18"/>
          <w:szCs w:val="18"/>
          <w:color w:val="auto"/>
        </w:rPr>
        <w:t xml:space="preserve">” means an amount equal to </w:t>
      </w:r>
      <w:r>
        <w:rPr>
          <w:rFonts w:ascii="Arial" w:cs="Arial" w:eastAsia="Arial" w:hAnsi="Arial"/>
          <w:sz w:val="18"/>
          <w:szCs w:val="18"/>
          <w:b w:val="1"/>
          <w:bCs w:val="1"/>
          <w:u w:val="single" w:color="auto"/>
          <w:color w:val="auto"/>
        </w:rPr>
        <w:t>(a) with respect to the ID Fab 1 Project</w:t>
      </w:r>
      <w:r>
        <w:rPr>
          <w:rFonts w:ascii="Arial" w:cs="Arial" w:eastAsia="Arial" w:hAnsi="Arial"/>
          <w:sz w:val="18"/>
          <w:szCs w:val="18"/>
          <w:b w:val="1"/>
          <w:bCs w:val="1"/>
          <w:color w:val="auto"/>
        </w:rPr>
        <w:t>, [***]</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(b) with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respect to the ID Fab 2 Project,</w:t>
      </w:r>
      <w:r>
        <w:rPr>
          <w:rFonts w:ascii="Arial" w:cs="Arial" w:eastAsia="Arial" w:hAnsi="Arial"/>
          <w:sz w:val="18"/>
          <w:szCs w:val="18"/>
          <w:b w:val="1"/>
          <w:bCs w:val="1"/>
          <w:color w:val="auto"/>
        </w:rPr>
        <w:t xml:space="preserve"> [***]</w:t>
      </w:r>
    </w:p>
    <w:p>
      <w:pPr>
        <w:spacing w:after="0" w:line="90" w:lineRule="exact"/>
        <w:rPr>
          <w:sz w:val="20"/>
          <w:szCs w:val="20"/>
          <w:color w:val="auto"/>
        </w:rPr>
      </w:pPr>
    </w:p>
    <w:p>
      <w:pPr>
        <w:ind w:right="140" w:firstLine="576"/>
        <w:spacing w:after="0" w:line="273" w:lineRule="auto"/>
        <w:rPr>
          <w:sz w:val="20"/>
          <w:szCs w:val="20"/>
          <w:color w:val="auto"/>
        </w:rPr>
      </w:pPr>
      <w:r>
        <w:rPr>
          <w:rFonts w:ascii="Arial" w:cs="Arial" w:eastAsia="Arial" w:hAnsi="Arial"/>
          <w:sz w:val="18"/>
          <w:szCs w:val="18"/>
          <w:b w:val="1"/>
          <w:bCs w:val="1"/>
          <w:color w:val="auto"/>
        </w:rPr>
        <w:t>Section 2.17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“Facility”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w:t>
      </w:r>
    </w:p>
    <w:p>
      <w:pPr>
        <w:spacing w:after="0" w:line="177" w:lineRule="exact"/>
        <w:rPr>
          <w:sz w:val="20"/>
          <w:szCs w:val="20"/>
          <w:color w:val="auto"/>
        </w:rPr>
      </w:pPr>
    </w:p>
    <w:p>
      <w:pPr>
        <w:ind w:left="1160" w:hanging="2"/>
        <w:spacing w:after="0" w:line="296" w:lineRule="auto"/>
        <w:tabs>
          <w:tab w:leader="none" w:pos="1429" w:val="left"/>
        </w:tabs>
        <w:numPr>
          <w:ilvl w:val="0"/>
          <w:numId w:val="4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with respect to the ID Fab 1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a fabrication facility located at the Project Site and including all the buildings,</w:t>
      </w:r>
      <w:r>
        <w:rPr>
          <w:rFonts w:ascii="Arial" w:cs="Arial" w:eastAsia="Arial" w:hAnsi="Arial"/>
          <w:sz w:val="18"/>
          <w:szCs w:val="18"/>
          <w:b w:val="1"/>
          <w:bCs w:val="1"/>
          <w:color w:val="auto"/>
        </w:rPr>
        <w:t xml:space="preserve"> </w:t>
      </w:r>
      <w:r>
        <w:rPr>
          <w:rFonts w:ascii="Arial" w:cs="Arial" w:eastAsia="Arial" w:hAnsi="Arial"/>
          <w:sz w:val="18"/>
          <w:szCs w:val="18"/>
          <w:color w:val="auto"/>
        </w:rPr>
        <w:t>fixtures and other improvements situated, or to be situated, on the Project Site</w:t>
      </w:r>
      <w:r>
        <w:rPr>
          <w:rFonts w:ascii="Arial" w:cs="Arial" w:eastAsia="Arial" w:hAnsi="Arial"/>
          <w:sz w:val="18"/>
          <w:szCs w:val="18"/>
          <w:b w:val="1"/>
          <w:bCs w:val="1"/>
          <w:u w:val="single" w:color="auto"/>
          <w:color w:val="auto"/>
        </w:rPr>
        <w:t>;</w:t>
      </w:r>
    </w:p>
    <w:p>
      <w:pPr>
        <w:spacing w:after="0" w:line="89" w:lineRule="exact"/>
        <w:rPr>
          <w:rFonts w:ascii="Arial" w:cs="Arial" w:eastAsia="Arial" w:hAnsi="Arial"/>
          <w:sz w:val="18"/>
          <w:szCs w:val="18"/>
          <w:b w:val="1"/>
          <w:bCs w:val="1"/>
          <w:u w:val="single" w:color="auto"/>
          <w:color w:val="auto"/>
        </w:rPr>
      </w:pPr>
    </w:p>
    <w:p>
      <w:pPr>
        <w:ind w:left="1160" w:right="280" w:hanging="2"/>
        <w:spacing w:after="0" w:line="296" w:lineRule="auto"/>
        <w:tabs>
          <w:tab w:leader="none" w:pos="1439" w:val="left"/>
        </w:tabs>
        <w:numPr>
          <w:ilvl w:val="0"/>
          <w:numId w:val="4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with respect to ID Fab 2 Project, a second fabrication facility located at the Project Site and including all the buildings, fixtures and other improvements situated, or to be situated, on the Project Site</w:t>
      </w:r>
      <w:r>
        <w:rPr>
          <w:rFonts w:ascii="Arial" w:cs="Arial" w:eastAsia="Arial" w:hAnsi="Arial"/>
          <w:sz w:val="18"/>
          <w:szCs w:val="18"/>
          <w:color w:val="auto"/>
        </w:rPr>
        <w:t>.”</w:t>
      </w:r>
    </w:p>
    <w:p>
      <w:pPr>
        <w:spacing w:after="0" w:line="90" w:lineRule="exact"/>
        <w:rPr>
          <w:sz w:val="20"/>
          <w:szCs w:val="20"/>
          <w:color w:val="auto"/>
        </w:rPr>
      </w:pPr>
    </w:p>
    <w:p>
      <w:pPr>
        <w:ind w:right="540" w:firstLine="576"/>
        <w:spacing w:after="0" w:line="273" w:lineRule="auto"/>
        <w:rPr>
          <w:sz w:val="20"/>
          <w:szCs w:val="20"/>
          <w:color w:val="auto"/>
        </w:rPr>
      </w:pPr>
      <w:r>
        <w:rPr>
          <w:rFonts w:ascii="Arial" w:cs="Arial" w:eastAsia="Arial" w:hAnsi="Arial"/>
          <w:sz w:val="18"/>
          <w:szCs w:val="18"/>
          <w:b w:val="1"/>
          <w:bCs w:val="1"/>
          <w:color w:val="auto"/>
        </w:rPr>
        <w:t>Section 2.18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“Period of Performance”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jc w:val="both"/>
        <w:ind w:left="580" w:right="360" w:firstLine="57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 of Performance</w:t>
      </w:r>
      <w:r>
        <w:rPr>
          <w:rFonts w:ascii="Arial" w:cs="Arial" w:eastAsia="Arial" w:hAnsi="Arial"/>
          <w:sz w:val="18"/>
          <w:szCs w:val="18"/>
          <w:color w:val="auto"/>
        </w:rPr>
        <w:t>” means</w:t>
      </w:r>
      <w:r>
        <w:rPr>
          <w:rFonts w:ascii="Arial" w:cs="Arial" w:eastAsia="Arial" w:hAnsi="Arial"/>
          <w:sz w:val="18"/>
          <w:szCs w:val="18"/>
          <w:b w:val="1"/>
          <w:bCs w:val="1"/>
          <w:u w:val="single" w:color="auto"/>
          <w:color w:val="auto"/>
        </w:rPr>
        <w:t>, with respect to each Project</w:t>
      </w:r>
      <w:r>
        <w:rPr>
          <w:rFonts w:ascii="Arial" w:cs="Arial" w:eastAsia="Arial" w:hAnsi="Arial"/>
          <w:sz w:val="18"/>
          <w:szCs w:val="18"/>
          <w:color w:val="auto"/>
        </w:rPr>
        <w:t xml:space="preserve">, the period commencing on the Award Date and ending on the earlier of (a) the fifth (5th) anniversary of the Project Completion Date </w:t>
      </w:r>
      <w:r>
        <w:rPr>
          <w:rFonts w:ascii="Arial" w:cs="Arial" w:eastAsia="Arial" w:hAnsi="Arial"/>
          <w:sz w:val="18"/>
          <w:szCs w:val="18"/>
          <w:b w:val="1"/>
          <w:bCs w:val="1"/>
          <w:u w:val="single" w:color="auto"/>
          <w:color w:val="auto"/>
        </w:rPr>
        <w:t>for such Project</w:t>
      </w:r>
      <w:r>
        <w:rPr>
          <w:rFonts w:ascii="Arial" w:cs="Arial" w:eastAsia="Arial" w:hAnsi="Arial"/>
          <w:sz w:val="18"/>
          <w:szCs w:val="18"/>
          <w:color w:val="auto"/>
        </w:rPr>
        <w:t xml:space="preserve"> and (b) the date on which such Project is Abandoned prior to the Project Completion Date and the Department Obligations have been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10580"/>
          </w:cols>
          <w:pgMar w:left="660" w:top="1440" w:right="660"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576"/>
        <w:spacing w:after="0" w:line="273" w:lineRule="auto"/>
        <w:rPr>
          <w:sz w:val="20"/>
          <w:szCs w:val="20"/>
          <w:color w:val="auto"/>
        </w:rPr>
      </w:pPr>
      <w:r>
        <w:rPr>
          <w:rFonts w:ascii="Arial" w:cs="Arial" w:eastAsia="Arial" w:hAnsi="Arial"/>
          <w:sz w:val="18"/>
          <w:szCs w:val="18"/>
          <w:b w:val="1"/>
          <w:bCs w:val="1"/>
          <w:color w:val="auto"/>
        </w:rPr>
        <w:t>Section 2.19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“Project Commencement Clawback Date”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120" w:firstLine="576"/>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Commencement Clawback Date</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with respect to the </w:t>
      </w:r>
      <w:r>
        <w:rPr>
          <w:rFonts w:ascii="Arial" w:cs="Arial" w:eastAsia="Arial" w:hAnsi="Arial"/>
          <w:sz w:val="18"/>
          <w:szCs w:val="18"/>
          <w:b w:val="1"/>
          <w:bCs w:val="1"/>
          <w:u w:val="single" w:color="auto"/>
          <w:color w:val="auto"/>
        </w:rPr>
        <w:t>ID Fab 1</w:t>
      </w:r>
      <w:r>
        <w:rPr>
          <w:rFonts w:ascii="Arial" w:cs="Arial" w:eastAsia="Arial" w:hAnsi="Arial"/>
          <w:sz w:val="18"/>
          <w:szCs w:val="18"/>
          <w:color w:val="auto"/>
        </w:rPr>
        <w:t xml:space="preserve"> Project, the Award Date</w:t>
      </w:r>
      <w:r>
        <w:rPr>
          <w:rFonts w:ascii="Arial" w:cs="Arial" w:eastAsia="Arial" w:hAnsi="Arial"/>
          <w:sz w:val="18"/>
          <w:szCs w:val="18"/>
          <w:b w:val="1"/>
          <w:bCs w:val="1"/>
          <w:u w:val="single" w:color="auto"/>
          <w:color w:val="auto"/>
        </w:rPr>
        <w:t>; and (b)</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with respect to the ID Fab 2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90" w:lineRule="exact"/>
        <w:rPr>
          <w:sz w:val="20"/>
          <w:szCs w:val="20"/>
          <w:color w:val="auto"/>
        </w:rPr>
      </w:pPr>
    </w:p>
    <w:p>
      <w:pPr>
        <w:ind w:right="540" w:firstLine="576"/>
        <w:spacing w:after="0" w:line="273" w:lineRule="auto"/>
        <w:rPr>
          <w:sz w:val="20"/>
          <w:szCs w:val="20"/>
          <w:color w:val="auto"/>
        </w:rPr>
      </w:pPr>
      <w:r>
        <w:rPr>
          <w:rFonts w:ascii="Arial" w:cs="Arial" w:eastAsia="Arial" w:hAnsi="Arial"/>
          <w:sz w:val="18"/>
          <w:szCs w:val="18"/>
          <w:b w:val="1"/>
          <w:bCs w:val="1"/>
          <w:color w:val="auto"/>
        </w:rPr>
        <w:t>Section 2.20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“Project Completion”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jc w:val="both"/>
        <w:ind w:left="580" w:right="560" w:firstLine="57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Completion Date</w:t>
      </w:r>
      <w:r>
        <w:rPr>
          <w:rFonts w:ascii="Arial" w:cs="Arial" w:eastAsia="Arial" w:hAnsi="Arial"/>
          <w:sz w:val="18"/>
          <w:szCs w:val="18"/>
          <w:color w:val="auto"/>
        </w:rPr>
        <w:t xml:space="preserve">” means, with </w:t>
      </w:r>
      <w:r>
        <w:rPr>
          <w:rFonts w:ascii="Arial" w:cs="Arial" w:eastAsia="Arial" w:hAnsi="Arial"/>
          <w:sz w:val="18"/>
          <w:szCs w:val="18"/>
          <w:b w:val="1"/>
          <w:bCs w:val="1"/>
          <w:u w:val="single" w:color="auto"/>
          <w:color w:val="auto"/>
        </w:rPr>
        <w:t>respect to any Project</w:t>
      </w:r>
      <w:r>
        <w:rPr>
          <w:rFonts w:ascii="Arial" w:cs="Arial" w:eastAsia="Arial" w:hAnsi="Arial"/>
          <w:sz w:val="18"/>
          <w:szCs w:val="18"/>
          <w:color w:val="auto"/>
        </w:rPr>
        <w:t xml:space="preserve">, the first date on which </w:t>
      </w:r>
      <w:r>
        <w:rPr>
          <w:rFonts w:ascii="Arial" w:cs="Arial" w:eastAsia="Arial" w:hAnsi="Arial"/>
          <w:sz w:val="18"/>
          <w:szCs w:val="18"/>
          <w:b w:val="1"/>
          <w:bCs w:val="1"/>
          <w:u w:val="single" w:color="auto"/>
          <w:color w:val="auto"/>
        </w:rPr>
        <w:t>the applicable</w:t>
      </w:r>
      <w:r>
        <w:rPr>
          <w:rFonts w:ascii="Arial" w:cs="Arial" w:eastAsia="Arial" w:hAnsi="Arial"/>
          <w:sz w:val="18"/>
          <w:szCs w:val="18"/>
          <w:color w:val="auto"/>
        </w:rPr>
        <w:t xml:space="preserve"> Project Completion Requirements have been achieved </w:t>
      </w:r>
      <w:r>
        <w:rPr>
          <w:rFonts w:ascii="Arial" w:cs="Arial" w:eastAsia="Arial" w:hAnsi="Arial"/>
          <w:sz w:val="18"/>
          <w:szCs w:val="18"/>
          <w:b w:val="1"/>
          <w:bCs w:val="1"/>
          <w:u w:val="single" w:color="auto"/>
          <w:color w:val="auto"/>
        </w:rPr>
        <w:t>with respect to such Project</w:t>
      </w:r>
      <w:r>
        <w:rPr>
          <w:rFonts w:ascii="Arial" w:cs="Arial" w:eastAsia="Arial" w:hAnsi="Arial"/>
          <w:sz w:val="18"/>
          <w:szCs w:val="18"/>
          <w:color w:val="auto"/>
        </w:rPr>
        <w:t xml:space="preserve"> to the satisfaction of the Department, as evidenced by a written notification from the Department to the Recipient.”</w:t>
      </w:r>
    </w:p>
    <w:p>
      <w:pPr>
        <w:spacing w:after="0" w:line="120" w:lineRule="exact"/>
        <w:rPr>
          <w:sz w:val="20"/>
          <w:szCs w:val="20"/>
          <w:color w:val="auto"/>
        </w:rPr>
      </w:pPr>
    </w:p>
    <w:p>
      <w:pPr>
        <w:ind w:right="320" w:firstLine="576"/>
        <w:spacing w:after="0" w:line="273" w:lineRule="auto"/>
        <w:rPr>
          <w:sz w:val="20"/>
          <w:szCs w:val="20"/>
          <w:color w:val="auto"/>
        </w:rPr>
      </w:pPr>
      <w:r>
        <w:rPr>
          <w:rFonts w:ascii="Arial" w:cs="Arial" w:eastAsia="Arial" w:hAnsi="Arial"/>
          <w:sz w:val="18"/>
          <w:szCs w:val="18"/>
          <w:b w:val="1"/>
          <w:bCs w:val="1"/>
          <w:color w:val="auto"/>
        </w:rPr>
        <w:t>Section 2.21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“Upside Sharing Percentage”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280" w:firstLine="576"/>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Upside Sharing Percentage</w:t>
      </w:r>
      <w:r>
        <w:rPr>
          <w:rFonts w:ascii="Arial" w:cs="Arial" w:eastAsia="Arial" w:hAnsi="Arial"/>
          <w:sz w:val="18"/>
          <w:szCs w:val="18"/>
          <w:color w:val="auto"/>
        </w:rPr>
        <w:t xml:space="preserve">” means, with respect to </w:t>
      </w:r>
      <w:r>
        <w:rPr>
          <w:rFonts w:ascii="Arial" w:cs="Arial" w:eastAsia="Arial" w:hAnsi="Arial"/>
          <w:sz w:val="18"/>
          <w:szCs w:val="18"/>
          <w:b w:val="1"/>
          <w:bCs w:val="1"/>
          <w:u w:val="single" w:color="auto"/>
          <w:color w:val="auto"/>
        </w:rPr>
        <w:t>each Project for</w:t>
      </w:r>
      <w:r>
        <w:rPr>
          <w:rFonts w:ascii="Arial" w:cs="Arial" w:eastAsia="Arial" w:hAnsi="Arial"/>
          <w:sz w:val="18"/>
          <w:szCs w:val="18"/>
          <w:color w:val="auto"/>
        </w:rPr>
        <w:t xml:space="preserve"> each Relevant Period, </w:t>
      </w:r>
      <w:r>
        <w:rPr>
          <w:rFonts w:ascii="Arial" w:cs="Arial" w:eastAsia="Arial" w:hAnsi="Arial"/>
          <w:sz w:val="18"/>
          <w:szCs w:val="18"/>
          <w:b w:val="1"/>
          <w:bCs w:val="1"/>
          <w:u w:val="single" w:color="auto"/>
          <w:color w:val="auto"/>
        </w:rPr>
        <w:t>(a) with respect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ID Fab 1 Project,</w:t>
      </w: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and (b) with respect to the ID Fab 2 Project,</w:t>
      </w:r>
      <w:r>
        <w:rPr>
          <w:rFonts w:ascii="Arial" w:cs="Arial" w:eastAsia="Arial" w:hAnsi="Arial"/>
          <w:sz w:val="18"/>
          <w:szCs w:val="18"/>
          <w:b w:val="1"/>
          <w:bCs w:val="1"/>
          <w:color w:val="auto"/>
        </w:rPr>
        <w:t xml:space="preserve"> [***].</w:t>
      </w:r>
    </w:p>
    <w:p>
      <w:pPr>
        <w:spacing w:after="0" w:line="90" w:lineRule="exact"/>
        <w:rPr>
          <w:sz w:val="20"/>
          <w:szCs w:val="20"/>
          <w:color w:val="auto"/>
        </w:rPr>
      </w:pPr>
    </w:p>
    <w:p>
      <w:pPr>
        <w:ind w:right="20" w:firstLine="576"/>
        <w:spacing w:after="0" w:line="273" w:lineRule="auto"/>
        <w:rPr>
          <w:sz w:val="20"/>
          <w:szCs w:val="20"/>
          <w:color w:val="auto"/>
        </w:rPr>
      </w:pPr>
      <w:r>
        <w:rPr>
          <w:rFonts w:ascii="Arial" w:cs="Arial" w:eastAsia="Arial" w:hAnsi="Arial"/>
          <w:sz w:val="18"/>
          <w:szCs w:val="18"/>
          <w:b w:val="1"/>
          <w:bCs w:val="1"/>
          <w:color w:val="auto"/>
        </w:rPr>
        <w:t xml:space="preserve">Section 2.22 Amendment to Annex B (Rules of Interpretation) </w:t>
      </w:r>
      <w:r>
        <w:rPr>
          <w:rFonts w:ascii="Arial" w:cs="Arial" w:eastAsia="Arial" w:hAnsi="Arial"/>
          <w:sz w:val="18"/>
          <w:szCs w:val="18"/>
          <w:color w:val="auto"/>
        </w:rPr>
        <w:t>. Annex B (</w:t>
      </w:r>
      <w:r>
        <w:rPr>
          <w:rFonts w:ascii="Arial" w:cs="Arial" w:eastAsia="Arial" w:hAnsi="Arial"/>
          <w:sz w:val="18"/>
          <w:szCs w:val="18"/>
          <w:i w:val="1"/>
          <w:iCs w:val="1"/>
          <w:color w:val="auto"/>
        </w:rPr>
        <w:t>Rule of Interpretation</w:t>
      </w:r>
      <w:r>
        <w:rPr>
          <w:rFonts w:ascii="Arial" w:cs="Arial" w:eastAsia="Arial" w:hAnsi="Arial"/>
          <w:sz w:val="18"/>
          <w:szCs w:val="18"/>
          <w:color w:val="auto"/>
        </w:rPr>
        <w:t>) 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amended and restated in its entirety and replaced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80" w:firstLine="57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Plurals and Gender</w:t>
      </w:r>
      <w:r>
        <w:rPr>
          <w:rFonts w:ascii="Arial" w:cs="Arial" w:eastAsia="Arial" w:hAnsi="Arial"/>
          <w:sz w:val="18"/>
          <w:szCs w:val="18"/>
          <w:color w:val="auto"/>
        </w:rPr>
        <w:t xml:space="preserve">. Defined terms in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the masculine, feminine or neuter gender shall include all genders. </w:t>
      </w:r>
      <w:r>
        <w:rPr>
          <w:rFonts w:ascii="Arial" w:cs="Arial" w:eastAsia="Arial" w:hAnsi="Arial"/>
          <w:sz w:val="18"/>
          <w:szCs w:val="18"/>
          <w:b w:val="1"/>
          <w:bCs w:val="1"/>
          <w:u w:val="single" w:color="auto"/>
          <w:color w:val="auto"/>
        </w:rPr>
        <w:t>The word “Project” shall be construed in light of the existence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two Projects in this Agreement so that each reference to “Project” shall be read as “any Project”, “each Project,” “the applicable Project,” “the relevant Project” “Projects”, “such Project” or as otherwise required by the context of the clause in which the word “Project” is used</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19" w:lineRule="exact"/>
        <w:rPr>
          <w:sz w:val="20"/>
          <w:szCs w:val="20"/>
          <w:color w:val="auto"/>
        </w:rPr>
      </w:pPr>
    </w:p>
    <w:p>
      <w:pPr>
        <w:ind w:right="60" w:firstLine="576"/>
        <w:spacing w:after="0" w:line="287" w:lineRule="auto"/>
        <w:rPr>
          <w:sz w:val="20"/>
          <w:szCs w:val="20"/>
          <w:color w:val="auto"/>
        </w:rPr>
      </w:pPr>
      <w:r>
        <w:rPr>
          <w:rFonts w:ascii="Arial" w:cs="Arial" w:eastAsia="Arial" w:hAnsi="Arial"/>
          <w:sz w:val="18"/>
          <w:szCs w:val="18"/>
          <w:b w:val="1"/>
          <w:bCs w:val="1"/>
          <w:color w:val="auto"/>
        </w:rPr>
        <w:t>Section 2.23 Amendment to Annex D</w:t>
      </w:r>
      <w:r>
        <w:rPr>
          <w:rFonts w:ascii="Arial" w:cs="Arial" w:eastAsia="Arial" w:hAnsi="Arial"/>
          <w:sz w:val="18"/>
          <w:szCs w:val="18"/>
          <w:color w:val="auto"/>
        </w:rPr>
        <w:t>. Annex D (</w:t>
      </w:r>
      <w:r>
        <w:rPr>
          <w:rFonts w:ascii="Arial" w:cs="Arial" w:eastAsia="Arial" w:hAnsi="Arial"/>
          <w:sz w:val="18"/>
          <w:szCs w:val="18"/>
          <w:i w:val="1"/>
          <w:iCs w:val="1"/>
          <w:color w:val="auto"/>
        </w:rPr>
        <w:t>Program Requirements</w:t>
      </w:r>
      <w:r>
        <w:rPr>
          <w:rFonts w:ascii="Arial" w:cs="Arial" w:eastAsia="Arial" w:hAnsi="Arial"/>
          <w:sz w:val="18"/>
          <w:szCs w:val="18"/>
          <w:color w:val="auto"/>
        </w:rPr>
        <w:t>) of the Agreement shall be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Annex attached here to as Annex 1.</w:t>
      </w:r>
    </w:p>
    <w:p>
      <w:pPr>
        <w:spacing w:after="0" w:line="105" w:lineRule="exact"/>
        <w:rPr>
          <w:sz w:val="20"/>
          <w:szCs w:val="20"/>
          <w:color w:val="auto"/>
        </w:rPr>
      </w:pPr>
    </w:p>
    <w:p>
      <w:pPr>
        <w:ind w:firstLine="576"/>
        <w:spacing w:after="0" w:line="287" w:lineRule="auto"/>
        <w:rPr>
          <w:sz w:val="20"/>
          <w:szCs w:val="20"/>
          <w:color w:val="auto"/>
        </w:rPr>
      </w:pPr>
      <w:r>
        <w:rPr>
          <w:rFonts w:ascii="Arial" w:cs="Arial" w:eastAsia="Arial" w:hAnsi="Arial"/>
          <w:sz w:val="18"/>
          <w:szCs w:val="18"/>
          <w:b w:val="1"/>
          <w:bCs w:val="1"/>
          <w:color w:val="auto"/>
        </w:rPr>
        <w:t>Section 2.24 Amendment to Annex F</w:t>
      </w:r>
      <w:r>
        <w:rPr>
          <w:rFonts w:ascii="Arial" w:cs="Arial" w:eastAsia="Arial" w:hAnsi="Arial"/>
          <w:sz w:val="18"/>
          <w:szCs w:val="18"/>
          <w:color w:val="auto"/>
        </w:rPr>
        <w:t>. Annex F (</w:t>
      </w:r>
      <w:r>
        <w:rPr>
          <w:rFonts w:ascii="Arial" w:cs="Arial" w:eastAsia="Arial" w:hAnsi="Arial"/>
          <w:sz w:val="18"/>
          <w:szCs w:val="18"/>
          <w:i w:val="1"/>
          <w:iCs w:val="1"/>
          <w:color w:val="auto"/>
        </w:rPr>
        <w:t>Reporting Requirements</w:t>
      </w:r>
      <w:r>
        <w:rPr>
          <w:rFonts w:ascii="Arial" w:cs="Arial" w:eastAsia="Arial" w:hAnsi="Arial"/>
          <w:sz w:val="18"/>
          <w:szCs w:val="18"/>
          <w:color w:val="auto"/>
        </w:rPr>
        <w:t>) of the Agreement shall be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Annex attached here to as Annex 2.</w:t>
      </w:r>
    </w:p>
    <w:p>
      <w:pPr>
        <w:spacing w:after="0" w:line="105" w:lineRule="exact"/>
        <w:rPr>
          <w:sz w:val="20"/>
          <w:szCs w:val="20"/>
          <w:color w:val="auto"/>
        </w:rPr>
      </w:pPr>
    </w:p>
    <w:p>
      <w:pPr>
        <w:ind w:right="180" w:firstLine="576"/>
        <w:spacing w:after="0" w:line="287" w:lineRule="auto"/>
        <w:rPr>
          <w:sz w:val="20"/>
          <w:szCs w:val="20"/>
          <w:color w:val="auto"/>
        </w:rPr>
      </w:pPr>
      <w:r>
        <w:rPr>
          <w:rFonts w:ascii="Arial" w:cs="Arial" w:eastAsia="Arial" w:hAnsi="Arial"/>
          <w:sz w:val="18"/>
          <w:szCs w:val="18"/>
          <w:b w:val="1"/>
          <w:bCs w:val="1"/>
          <w:color w:val="auto"/>
        </w:rPr>
        <w:t>Section 2.25 Amendment to Schedule A</w:t>
      </w:r>
      <w:r>
        <w:rPr>
          <w:rFonts w:ascii="Arial" w:cs="Arial" w:eastAsia="Arial" w:hAnsi="Arial"/>
          <w:sz w:val="18"/>
          <w:szCs w:val="18"/>
          <w:color w:val="auto"/>
        </w:rPr>
        <w:t>. Schedule A (</w:t>
      </w:r>
      <w:r>
        <w:rPr>
          <w:rFonts w:ascii="Arial" w:cs="Arial" w:eastAsia="Arial" w:hAnsi="Arial"/>
          <w:sz w:val="18"/>
          <w:szCs w:val="18"/>
          <w:i w:val="1"/>
          <w:iCs w:val="1"/>
          <w:color w:val="auto"/>
        </w:rPr>
        <w:t>Fiscal Year Appropriations</w:t>
      </w:r>
      <w:r>
        <w:rPr>
          <w:rFonts w:ascii="Arial" w:cs="Arial" w:eastAsia="Arial" w:hAnsi="Arial"/>
          <w:sz w:val="18"/>
          <w:szCs w:val="18"/>
          <w:color w:val="auto"/>
        </w:rPr>
        <w:t>) of the Agreement shall be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replaced with the schedule attached here to as Annex 3.</w:t>
      </w:r>
    </w:p>
    <w:p>
      <w:pPr>
        <w:spacing w:after="0" w:line="105" w:lineRule="exact"/>
        <w:rPr>
          <w:sz w:val="20"/>
          <w:szCs w:val="20"/>
          <w:color w:val="auto"/>
        </w:rPr>
      </w:pPr>
    </w:p>
    <w:p>
      <w:pPr>
        <w:ind w:right="120" w:firstLine="576"/>
        <w:spacing w:after="0" w:line="287" w:lineRule="auto"/>
        <w:rPr>
          <w:sz w:val="20"/>
          <w:szCs w:val="20"/>
          <w:color w:val="auto"/>
        </w:rPr>
      </w:pPr>
      <w:r>
        <w:rPr>
          <w:rFonts w:ascii="Arial" w:cs="Arial" w:eastAsia="Arial" w:hAnsi="Arial"/>
          <w:sz w:val="18"/>
          <w:szCs w:val="18"/>
          <w:b w:val="1"/>
          <w:bCs w:val="1"/>
          <w:color w:val="auto"/>
        </w:rPr>
        <w:t>Section 2.26 Amendment to Schedule B</w:t>
      </w:r>
      <w:r>
        <w:rPr>
          <w:rFonts w:ascii="Arial" w:cs="Arial" w:eastAsia="Arial" w:hAnsi="Arial"/>
          <w:sz w:val="18"/>
          <w:szCs w:val="18"/>
          <w:color w:val="auto"/>
        </w:rPr>
        <w:t>. Schedule B (</w:t>
      </w:r>
      <w:r>
        <w:rPr>
          <w:rFonts w:ascii="Arial" w:cs="Arial" w:eastAsia="Arial" w:hAnsi="Arial"/>
          <w:sz w:val="18"/>
          <w:szCs w:val="18"/>
          <w:i w:val="1"/>
          <w:iCs w:val="1"/>
          <w:color w:val="auto"/>
        </w:rPr>
        <w:t>Project Milestone Schedule</w:t>
      </w:r>
      <w:r>
        <w:rPr>
          <w:rFonts w:ascii="Arial" w:cs="Arial" w:eastAsia="Arial" w:hAnsi="Arial"/>
          <w:sz w:val="18"/>
          <w:szCs w:val="18"/>
          <w:color w:val="auto"/>
        </w:rPr>
        <w:t>) of the Agreement shall be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replaced with the schedule attached here to as Annex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40" w:orient="portrait"/>
          <w:cols w:equalWidth="0" w:num="1">
            <w:col w:w="10580"/>
          </w:cols>
          <w:pgMar w:left="660" w:top="1440" w:right="66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576"/>
        <w:spacing w:after="0" w:line="287" w:lineRule="auto"/>
        <w:rPr>
          <w:sz w:val="20"/>
          <w:szCs w:val="20"/>
          <w:color w:val="auto"/>
        </w:rPr>
      </w:pPr>
      <w:r>
        <w:rPr>
          <w:rFonts w:ascii="Arial" w:cs="Arial" w:eastAsia="Arial" w:hAnsi="Arial"/>
          <w:sz w:val="18"/>
          <w:szCs w:val="18"/>
          <w:b w:val="1"/>
          <w:bCs w:val="1"/>
          <w:color w:val="auto"/>
        </w:rPr>
        <w:t>Section 2.27 Amendment to Schedule C</w:t>
      </w:r>
      <w:r>
        <w:rPr>
          <w:rFonts w:ascii="Arial" w:cs="Arial" w:eastAsia="Arial" w:hAnsi="Arial"/>
          <w:sz w:val="18"/>
          <w:szCs w:val="18"/>
          <w:color w:val="auto"/>
        </w:rPr>
        <w:t>. Schedule C (</w:t>
      </w:r>
      <w:r>
        <w:rPr>
          <w:rFonts w:ascii="Arial" w:cs="Arial" w:eastAsia="Arial" w:hAnsi="Arial"/>
          <w:sz w:val="18"/>
          <w:szCs w:val="18"/>
          <w:i w:val="1"/>
          <w:iCs w:val="1"/>
          <w:color w:val="auto"/>
        </w:rPr>
        <w:t>Permitting Plan</w:t>
      </w:r>
      <w:r>
        <w:rPr>
          <w:rFonts w:ascii="Arial" w:cs="Arial" w:eastAsia="Arial" w:hAnsi="Arial"/>
          <w:sz w:val="18"/>
          <w:szCs w:val="18"/>
          <w:color w:val="auto"/>
        </w:rPr>
        <w:t>) of the Agreement shall be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schedule attached here to as Annex 5.</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EFFECTIVE DATE</w:t>
      </w:r>
    </w:p>
    <w:p>
      <w:pPr>
        <w:spacing w:after="0" w:line="201" w:lineRule="exact"/>
        <w:rPr>
          <w:sz w:val="20"/>
          <w:szCs w:val="20"/>
          <w:color w:val="auto"/>
        </w:rPr>
      </w:pPr>
    </w:p>
    <w:p>
      <w:pPr>
        <w:ind w:right="100" w:firstLine="576"/>
        <w:spacing w:after="0" w:line="269"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color w:val="auto"/>
        </w:rPr>
        <w:t>This Amendment shall become effective only upon the date on which each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have been satisfied or waived by the Department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each of which shall be in form and substance and otherwise satisfactory to the Department:</w:t>
      </w:r>
    </w:p>
    <w:p>
      <w:pPr>
        <w:spacing w:after="0" w:line="120" w:lineRule="exact"/>
        <w:rPr>
          <w:sz w:val="20"/>
          <w:szCs w:val="20"/>
          <w:color w:val="auto"/>
        </w:rPr>
      </w:pPr>
    </w:p>
    <w:p>
      <w:pPr>
        <w:ind w:left="1160"/>
        <w:spacing w:after="0"/>
        <w:tabs>
          <w:tab w:leader="none" w:pos="1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The Department shall have received from the Recipient each of the following items in previously agreed upon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59" w:lineRule="exact"/>
        <w:rPr>
          <w:sz w:val="20"/>
          <w:szCs w:val="20"/>
          <w:color w:val="auto"/>
        </w:rPr>
      </w:pPr>
    </w:p>
    <w:p>
      <w:pPr>
        <w:ind w:left="2340" w:hanging="605"/>
        <w:spacing w:after="0"/>
        <w:tabs>
          <w:tab w:leader="none" w:pos="2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Sources and Uses Plan for each Project;</w:t>
      </w:r>
    </w:p>
    <w:p>
      <w:pPr>
        <w:spacing w:after="0" w:line="177" w:lineRule="exact"/>
        <w:rPr>
          <w:rFonts w:ascii="Arial" w:cs="Arial" w:eastAsia="Arial" w:hAnsi="Arial"/>
          <w:sz w:val="18"/>
          <w:szCs w:val="18"/>
          <w:color w:val="auto"/>
        </w:rPr>
      </w:pPr>
    </w:p>
    <w:p>
      <w:pPr>
        <w:ind w:right="160" w:firstLine="1735"/>
        <w:spacing w:after="0" w:line="287" w:lineRule="auto"/>
        <w:tabs>
          <w:tab w:leader="none" w:pos="23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legal opinions dated as of the Amendment Effective Date and addressed to the Department from Akin Gump Strauss Hauer &amp; Feld LLP, as New York and Delaware counsel to the Recipient Parties;</w:t>
      </w:r>
    </w:p>
    <w:p>
      <w:pPr>
        <w:spacing w:after="0" w:line="105" w:lineRule="exact"/>
        <w:rPr>
          <w:rFonts w:ascii="Arial" w:cs="Arial" w:eastAsia="Arial" w:hAnsi="Arial"/>
          <w:sz w:val="18"/>
          <w:szCs w:val="18"/>
          <w:color w:val="auto"/>
        </w:rPr>
      </w:pPr>
    </w:p>
    <w:p>
      <w:pPr>
        <w:ind w:left="2320" w:hanging="585"/>
        <w:spacing w:after="0"/>
        <w:tabs>
          <w:tab w:leader="none" w:pos="2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Base Case Financial Model for each Project;</w:t>
      </w:r>
    </w:p>
    <w:p>
      <w:pPr>
        <w:spacing w:after="0" w:line="177" w:lineRule="exact"/>
        <w:rPr>
          <w:rFonts w:ascii="Arial" w:cs="Arial" w:eastAsia="Arial" w:hAnsi="Arial"/>
          <w:sz w:val="18"/>
          <w:szCs w:val="18"/>
          <w:color w:val="auto"/>
        </w:rPr>
      </w:pPr>
    </w:p>
    <w:p>
      <w:pPr>
        <w:ind w:firstLine="1735"/>
        <w:spacing w:after="0" w:line="269" w:lineRule="auto"/>
        <w:tabs>
          <w:tab w:leader="none" w:pos="23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evidence that all Periodic Expenses due and payable to the Department and the Department’s Consultants in connection with this Amendment have been paid or reimbursed in full or, in the case of the Department’s Consultants, arrangements for payment have been made, in each case, in accordance with any applicable fee letters;</w:t>
      </w:r>
    </w:p>
    <w:p>
      <w:pPr>
        <w:spacing w:after="0" w:line="120" w:lineRule="exact"/>
        <w:rPr>
          <w:rFonts w:ascii="Arial" w:cs="Arial" w:eastAsia="Arial" w:hAnsi="Arial"/>
          <w:sz w:val="18"/>
          <w:szCs w:val="18"/>
          <w:color w:val="auto"/>
        </w:rPr>
      </w:pPr>
    </w:p>
    <w:p>
      <w:pPr>
        <w:ind w:right="260" w:firstLine="1735"/>
        <w:spacing w:after="0" w:line="287" w:lineRule="auto"/>
        <w:tabs>
          <w:tab w:leader="none" w:pos="23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Construction and Tool Installation Budget for the ID Fab 2 Project consistent with the Base Case Financial Model for the ID Fab 2 Project;</w:t>
      </w:r>
    </w:p>
    <w:p>
      <w:pPr>
        <w:spacing w:after="0" w:line="105" w:lineRule="exact"/>
        <w:rPr>
          <w:rFonts w:ascii="Arial" w:cs="Arial" w:eastAsia="Arial" w:hAnsi="Arial"/>
          <w:sz w:val="18"/>
          <w:szCs w:val="18"/>
          <w:color w:val="auto"/>
        </w:rPr>
      </w:pPr>
    </w:p>
    <w:p>
      <w:pPr>
        <w:ind w:left="2320" w:hanging="585"/>
        <w:spacing w:after="0"/>
        <w:tabs>
          <w:tab w:leader="none" w:pos="2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Milestone Based Schedule for the ID Fab 2 Project;</w:t>
      </w:r>
    </w:p>
    <w:p>
      <w:pPr>
        <w:spacing w:after="0" w:line="177" w:lineRule="exact"/>
        <w:rPr>
          <w:rFonts w:ascii="Arial" w:cs="Arial" w:eastAsia="Arial" w:hAnsi="Arial"/>
          <w:sz w:val="18"/>
          <w:szCs w:val="18"/>
          <w:color w:val="auto"/>
        </w:rPr>
      </w:pPr>
    </w:p>
    <w:p>
      <w:pPr>
        <w:ind w:right="720" w:firstLine="1735"/>
        <w:spacing w:after="0" w:line="287" w:lineRule="auto"/>
        <w:tabs>
          <w:tab w:leader="none" w:pos="232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Officer’s Certificate of the Recipient substantially in the form of Exhibit A (Form of Recipient Amendment No. 2 Amendment Date) attached hereto; and</w:t>
      </w:r>
    </w:p>
    <w:p>
      <w:pPr>
        <w:spacing w:after="0" w:line="105" w:lineRule="exact"/>
        <w:rPr>
          <w:rFonts w:ascii="Arial" w:cs="Arial" w:eastAsia="Arial" w:hAnsi="Arial"/>
          <w:sz w:val="18"/>
          <w:szCs w:val="18"/>
          <w:color w:val="auto"/>
        </w:rPr>
      </w:pPr>
    </w:p>
    <w:p>
      <w:pPr>
        <w:ind w:right="40" w:firstLine="1735"/>
        <w:spacing w:after="0" w:line="287" w:lineRule="auto"/>
        <w:tabs>
          <w:tab w:leader="none" w:pos="23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copies of the Recipient’s duly adopted resolutions to authorize the execution, delivery and performance by the Recipient of this Amendment and all transactions contemplated hereunder.</w:t>
      </w:r>
    </w:p>
    <w:p>
      <w:pPr>
        <w:spacing w:after="0" w:line="105" w:lineRule="exact"/>
        <w:rPr>
          <w:sz w:val="20"/>
          <w:szCs w:val="20"/>
          <w:color w:val="auto"/>
        </w:rPr>
      </w:pPr>
    </w:p>
    <w:p>
      <w:pPr>
        <w:ind w:right="480" w:firstLine="1152"/>
        <w:spacing w:after="0" w:line="287" w:lineRule="auto"/>
        <w:rPr>
          <w:sz w:val="20"/>
          <w:szCs w:val="20"/>
          <w:color w:val="auto"/>
        </w:rPr>
      </w:pPr>
      <w:r>
        <w:rPr>
          <w:rFonts w:ascii="Arial" w:cs="Arial" w:eastAsia="Arial" w:hAnsi="Arial"/>
          <w:sz w:val="18"/>
          <w:szCs w:val="18"/>
          <w:color w:val="auto"/>
        </w:rPr>
        <w:t>3.1.2 Each of the Department and NY Recipient shall have executed an amendment to the NY DFA to amend, among other things, Schedule B (</w:t>
      </w:r>
      <w:r>
        <w:rPr>
          <w:rFonts w:ascii="Arial" w:cs="Arial" w:eastAsia="Arial" w:hAnsi="Arial"/>
          <w:sz w:val="18"/>
          <w:szCs w:val="18"/>
          <w:i w:val="1"/>
          <w:iCs w:val="1"/>
          <w:color w:val="auto"/>
        </w:rPr>
        <w:t>Project Milestone Schedule</w:t>
      </w:r>
      <w:r>
        <w:rPr>
          <w:rFonts w:ascii="Arial" w:cs="Arial" w:eastAsia="Arial" w:hAnsi="Arial"/>
          <w:sz w:val="18"/>
          <w:szCs w:val="18"/>
          <w:color w:val="auto"/>
        </w:rPr>
        <w:t>) thereto.</w:t>
      </w:r>
    </w:p>
    <w:p>
      <w:pPr>
        <w:spacing w:after="0" w:line="105"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The Department shall have received a fully executed amendment and restatement of the Sponsor Guarantee.</w:t>
      </w:r>
    </w:p>
    <w:p>
      <w:pPr>
        <w:spacing w:after="0" w:line="177" w:lineRule="exact"/>
        <w:rPr>
          <w:sz w:val="20"/>
          <w:szCs w:val="20"/>
          <w:color w:val="auto"/>
        </w:rPr>
      </w:pPr>
    </w:p>
    <w:p>
      <w:pPr>
        <w:ind w:right="640" w:firstLine="1152"/>
        <w:spacing w:after="0" w:line="287" w:lineRule="auto"/>
        <w:rPr>
          <w:sz w:val="20"/>
          <w:szCs w:val="20"/>
          <w:color w:val="auto"/>
        </w:rPr>
      </w:pPr>
      <w:r>
        <w:rPr>
          <w:rFonts w:ascii="Arial" w:cs="Arial" w:eastAsia="Arial" w:hAnsi="Arial"/>
          <w:sz w:val="18"/>
          <w:szCs w:val="18"/>
          <w:color w:val="auto"/>
        </w:rPr>
        <w:t>3.1.4 Each of the Parties shall have executed this Amendment and delivered its executed counterpart to this Amendment to each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w:t>
      </w:r>
    </w:p>
    <w:p>
      <w:pPr>
        <w:sectPr>
          <w:pgSz w:w="11900" w:h="16840" w:orient="portrait"/>
          <w:cols w:equalWidth="0" w:num="1">
            <w:col w:w="10540"/>
          </w:cols>
          <w:pgMar w:left="660" w:top="1440" w:right="70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The representations and warranties set forth in Article 4(</w:t>
      </w: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hereto are true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159" w:lineRule="exact"/>
        <w:rPr>
          <w:sz w:val="20"/>
          <w:szCs w:val="20"/>
          <w:color w:val="auto"/>
        </w:rPr>
      </w:pPr>
    </w:p>
    <w:p>
      <w:pPr>
        <w:ind w:right="120" w:firstLine="1152"/>
        <w:spacing w:after="0" w:line="287" w:lineRule="auto"/>
        <w:rPr>
          <w:sz w:val="20"/>
          <w:szCs w:val="20"/>
          <w:color w:val="auto"/>
        </w:rPr>
      </w:pPr>
      <w:r>
        <w:rPr>
          <w:rFonts w:ascii="Arial" w:cs="Arial" w:eastAsia="Arial" w:hAnsi="Arial"/>
          <w:sz w:val="18"/>
          <w:szCs w:val="18"/>
          <w:color w:val="auto"/>
        </w:rPr>
        <w:t>3. 1.6 After giving effect to the amendments set forth in Article 2 (</w:t>
      </w:r>
      <w:r>
        <w:rPr>
          <w:rFonts w:ascii="Arial" w:cs="Arial" w:eastAsia="Arial" w:hAnsi="Arial"/>
          <w:sz w:val="18"/>
          <w:szCs w:val="18"/>
          <w:b w:val="1"/>
          <w:bCs w:val="1"/>
          <w:color w:val="auto"/>
        </w:rPr>
        <w:t>Amendments to Agreement</w:t>
      </w:r>
      <w:r>
        <w:rPr>
          <w:rFonts w:ascii="Arial" w:cs="Arial" w:eastAsia="Arial" w:hAnsi="Arial"/>
          <w:sz w:val="18"/>
          <w:szCs w:val="18"/>
          <w:color w:val="auto"/>
        </w:rPr>
        <w:t>) hereto, no Potential Event of Default or Event of Default shall have occurred and be continuing.</w:t>
      </w:r>
    </w:p>
    <w:p>
      <w:pPr>
        <w:spacing w:after="0" w:line="10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01" w:lineRule="exact"/>
        <w:rPr>
          <w:sz w:val="20"/>
          <w:szCs w:val="20"/>
          <w:color w:val="auto"/>
        </w:rPr>
      </w:pPr>
    </w:p>
    <w:p>
      <w:pPr>
        <w:ind w:right="440" w:firstLine="576"/>
        <w:spacing w:after="0" w:line="287"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color w:val="auto"/>
        </w:rPr>
        <w:t>The Recipient hereby represents and warrants as of the date hereof and as of the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that:</w:t>
      </w:r>
    </w:p>
    <w:p>
      <w:pPr>
        <w:spacing w:after="0" w:line="105" w:lineRule="exact"/>
        <w:rPr>
          <w:sz w:val="20"/>
          <w:szCs w:val="20"/>
          <w:color w:val="auto"/>
        </w:rPr>
      </w:pPr>
    </w:p>
    <w:p>
      <w:pPr>
        <w:ind w:firstLine="1735"/>
        <w:spacing w:after="0" w:line="262" w:lineRule="auto"/>
        <w:tabs>
          <w:tab w:leader="none" w:pos="2329"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Recipient (i) is a limited liability company, duly organized, validly existing and in good standing under the laws of the State of Delaware; (ii) is duly qualified to do business in the State of Idaho and in each other jurisdiction where the failure to so qualify could reasonably be expected to have a Material Adverse Effect; and (iii) has all requisite power and authority to execute, deliver, perform and observe the terms and conditions under this Amendment;</w:t>
      </w:r>
    </w:p>
    <w:p>
      <w:pPr>
        <w:spacing w:after="0" w:line="128" w:lineRule="exact"/>
        <w:rPr>
          <w:rFonts w:ascii="Arial" w:cs="Arial" w:eastAsia="Arial" w:hAnsi="Arial"/>
          <w:sz w:val="18"/>
          <w:szCs w:val="18"/>
          <w:color w:val="auto"/>
        </w:rPr>
      </w:pPr>
    </w:p>
    <w:p>
      <w:pPr>
        <w:jc w:val="both"/>
        <w:ind w:right="40" w:firstLine="1735"/>
        <w:spacing w:after="0" w:line="272" w:lineRule="auto"/>
        <w:tabs>
          <w:tab w:leader="none" w:pos="23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Recipient has duly authorized, executed and delivered this Amendment, and neither its execution and delivery thereof nor its consummation of the transactions contemplated hereby or thereby nor its compliance with the terms of this Amendment or thereof does or will (i) contravene its Organizational Documents or any Applicable Laws in any material respects;</w:t>
      </w:r>
    </w:p>
    <w:p>
      <w:pPr>
        <w:spacing w:after="0" w:line="1" w:lineRule="exact"/>
        <w:rPr>
          <w:rFonts w:ascii="Arial" w:cs="Arial" w:eastAsia="Arial" w:hAnsi="Arial"/>
          <w:sz w:val="17"/>
          <w:szCs w:val="17"/>
          <w:color w:val="auto"/>
        </w:rPr>
      </w:pPr>
    </w:p>
    <w:p>
      <w:pPr>
        <w:ind w:right="40" w:firstLine="6"/>
        <w:spacing w:after="0" w:line="254"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contravene or result in any breach or constitute any default under any material Governmental Judgment; (iii) contravene or result in any breach or constitute any default under, or result in or require the creation of any Lien upon any of its material Properties under any material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 and</w:t>
      </w:r>
    </w:p>
    <w:p>
      <w:pPr>
        <w:spacing w:after="0" w:line="135" w:lineRule="exact"/>
        <w:rPr>
          <w:rFonts w:ascii="Arial" w:cs="Arial" w:eastAsia="Arial" w:hAnsi="Arial"/>
          <w:sz w:val="18"/>
          <w:szCs w:val="18"/>
          <w:color w:val="auto"/>
        </w:rPr>
      </w:pPr>
    </w:p>
    <w:p>
      <w:pPr>
        <w:ind w:firstLine="1735"/>
        <w:spacing w:after="0" w:line="257" w:lineRule="auto"/>
        <w:tabs>
          <w:tab w:leader="none" w:pos="23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representations and warranties of the Recipient provided in Article 6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of the Agreement are true and correct in all material respects (except to the extent any such representation and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itself is qualified by “materiality,” “Material Adverse Effect” or a similar qualifier, in which case it shall be true and correct in all respects) as of the date the representation and warranty is made (or deemed made), except to the extent such representation or warranty is made only as of a specific date or time (in which event such representation or warranty shall be true and correct as of such date or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40" w:orient="portrait"/>
          <w:cols w:equalWidth="0" w:num="1">
            <w:col w:w="10560"/>
          </w:cols>
          <w:pgMar w:left="660" w:top="1440" w:right="680"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1" w:lineRule="exact"/>
        <w:rPr>
          <w:sz w:val="20"/>
          <w:szCs w:val="20"/>
          <w:color w:val="auto"/>
        </w:rPr>
      </w:pPr>
    </w:p>
    <w:p>
      <w:pPr>
        <w:ind w:right="20" w:firstLine="576"/>
        <w:spacing w:after="0" w:line="262" w:lineRule="auto"/>
        <w:rPr>
          <w:sz w:val="20"/>
          <w:szCs w:val="20"/>
          <w:color w:val="auto"/>
        </w:rPr>
      </w:pPr>
      <w:r>
        <w:rPr>
          <w:rFonts w:ascii="Arial" w:cs="Arial" w:eastAsia="Arial" w:hAnsi="Arial"/>
          <w:sz w:val="18"/>
          <w:szCs w:val="18"/>
          <w:b w:val="1"/>
          <w:bCs w:val="1"/>
          <w:color w:val="auto"/>
        </w:rPr>
        <w:t>Section 5.1 Entire Agreement</w:t>
      </w:r>
      <w:r>
        <w:rPr>
          <w:rFonts w:ascii="Arial" w:cs="Arial" w:eastAsia="Arial" w:hAnsi="Arial"/>
          <w:sz w:val="18"/>
          <w:szCs w:val="18"/>
          <w:color w:val="auto"/>
        </w:rPr>
        <w:t>.This Amendment, including any agreement, document, or instrument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or referred to herein, integrates all the terms and conditions mentioned herein or incidental to this Amendment and supersedes all prior drafts, discussions, term sheets, commitments, negotiations, agreements, and understandings, oral or written, of the Parties in respect to the subject matter of this Amendment.</w:t>
      </w:r>
    </w:p>
    <w:p>
      <w:pPr>
        <w:spacing w:after="0" w:line="128"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7"/>
          <w:szCs w:val="17"/>
          <w:b w:val="1"/>
          <w:bCs w:val="1"/>
          <w:color w:val="auto"/>
        </w:rPr>
        <w:t>Incorporated Provisions</w:t>
      </w:r>
      <w:r>
        <w:rPr>
          <w:rFonts w:ascii="Arial" w:cs="Arial" w:eastAsia="Arial" w:hAnsi="Arial"/>
          <w:sz w:val="17"/>
          <w:szCs w:val="17"/>
          <w:color w:val="auto"/>
        </w:rPr>
        <w:t>. The provisions set forth in Sections 10.5 (</w:t>
      </w:r>
      <w:r>
        <w:rPr>
          <w:rFonts w:ascii="Arial" w:cs="Arial" w:eastAsia="Arial" w:hAnsi="Arial"/>
          <w:sz w:val="17"/>
          <w:szCs w:val="17"/>
          <w:i w:val="1"/>
          <w:iCs w:val="1"/>
          <w:color w:val="auto"/>
        </w:rPr>
        <w:t>Waiver and Amendment</w:t>
      </w:r>
      <w:r>
        <w:rPr>
          <w:rFonts w:ascii="Arial" w:cs="Arial" w:eastAsia="Arial" w:hAnsi="Arial"/>
          <w:sz w:val="17"/>
          <w:szCs w:val="17"/>
          <w:color w:val="auto"/>
        </w:rPr>
        <w:t>), 10.7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Governing Law</w:t>
      </w:r>
      <w:r>
        <w:rPr>
          <w:rFonts w:ascii="Arial" w:cs="Arial" w:eastAsia="Arial" w:hAnsi="Arial"/>
          <w:sz w:val="18"/>
          <w:szCs w:val="18"/>
          <w:color w:val="auto"/>
        </w:rPr>
        <w:t>), 10.8 (</w:t>
      </w:r>
      <w:r>
        <w:rPr>
          <w:rFonts w:ascii="Arial" w:cs="Arial" w:eastAsia="Arial" w:hAnsi="Arial"/>
          <w:sz w:val="18"/>
          <w:szCs w:val="18"/>
          <w:i w:val="1"/>
          <w:iCs w:val="1"/>
          <w:color w:val="auto"/>
        </w:rPr>
        <w:t>Severability</w:t>
      </w:r>
      <w:r>
        <w:rPr>
          <w:rFonts w:ascii="Arial" w:cs="Arial" w:eastAsia="Arial" w:hAnsi="Arial"/>
          <w:sz w:val="18"/>
          <w:szCs w:val="18"/>
          <w:color w:val="auto"/>
        </w:rPr>
        <w:t>), 10.10 (</w:t>
      </w:r>
      <w:r>
        <w:rPr>
          <w:rFonts w:ascii="Arial" w:cs="Arial" w:eastAsia="Arial" w:hAnsi="Arial"/>
          <w:sz w:val="18"/>
          <w:szCs w:val="18"/>
          <w:i w:val="1"/>
          <w:iCs w:val="1"/>
          <w:color w:val="auto"/>
        </w:rPr>
        <w:t>Waiver of Jury Trial</w:t>
      </w:r>
      <w:r>
        <w:rPr>
          <w:rFonts w:ascii="Arial" w:cs="Arial" w:eastAsia="Arial" w:hAnsi="Arial"/>
          <w:sz w:val="18"/>
          <w:szCs w:val="18"/>
          <w:color w:val="auto"/>
        </w:rPr>
        <w:t>), 10.11 (</w:t>
      </w:r>
      <w:r>
        <w:rPr>
          <w:rFonts w:ascii="Arial" w:cs="Arial" w:eastAsia="Arial" w:hAnsi="Arial"/>
          <w:sz w:val="18"/>
          <w:szCs w:val="18"/>
          <w:i w:val="1"/>
          <w:iCs w:val="1"/>
          <w:color w:val="auto"/>
        </w:rPr>
        <w:t>Consent to Jurisdiction</w:t>
      </w:r>
      <w:r>
        <w:rPr>
          <w:rFonts w:ascii="Arial" w:cs="Arial" w:eastAsia="Arial" w:hAnsi="Arial"/>
          <w:sz w:val="18"/>
          <w:szCs w:val="18"/>
          <w:color w:val="auto"/>
        </w:rPr>
        <w:t>), 10.12 (</w:t>
      </w:r>
      <w:r>
        <w:rPr>
          <w:rFonts w:ascii="Arial" w:cs="Arial" w:eastAsia="Arial" w:hAnsi="Arial"/>
          <w:sz w:val="18"/>
          <w:szCs w:val="18"/>
          <w:i w:val="1"/>
          <w:iCs w:val="1"/>
          <w:color w:val="auto"/>
        </w:rPr>
        <w:t>Dispute Resolution</w:t>
      </w:r>
      <w:r>
        <w:rPr>
          <w:rFonts w:ascii="Arial" w:cs="Arial" w:eastAsia="Arial" w:hAnsi="Arial"/>
          <w:sz w:val="18"/>
          <w:szCs w:val="18"/>
          <w:color w:val="auto"/>
        </w:rPr>
        <w:t>), 10.13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Successors and Assigns</w:t>
      </w:r>
      <w:r>
        <w:rPr>
          <w:rFonts w:ascii="Arial" w:cs="Arial" w:eastAsia="Arial" w:hAnsi="Arial"/>
          <w:sz w:val="18"/>
          <w:szCs w:val="18"/>
          <w:color w:val="auto"/>
        </w:rPr>
        <w:t>) and 10.18 (</w:t>
      </w:r>
      <w:r>
        <w:rPr>
          <w:rFonts w:ascii="Arial" w:cs="Arial" w:eastAsia="Arial" w:hAnsi="Arial"/>
          <w:sz w:val="18"/>
          <w:szCs w:val="18"/>
          <w:i w:val="1"/>
          <w:iCs w:val="1"/>
          <w:color w:val="auto"/>
        </w:rPr>
        <w:t>Counterparts; Electronic Signatures</w:t>
      </w:r>
      <w:r>
        <w:rPr>
          <w:rFonts w:ascii="Arial" w:cs="Arial" w:eastAsia="Arial" w:hAnsi="Arial"/>
          <w:sz w:val="18"/>
          <w:szCs w:val="18"/>
          <w:color w:val="auto"/>
        </w:rPr>
        <w:t>) of the Agreement are hereby incorporated by reference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out in full herein.</w:t>
      </w:r>
    </w:p>
    <w:p>
      <w:pPr>
        <w:spacing w:after="0" w:line="159" w:lineRule="exact"/>
        <w:rPr>
          <w:sz w:val="20"/>
          <w:szCs w:val="20"/>
          <w:color w:val="auto"/>
        </w:rPr>
      </w:pPr>
    </w:p>
    <w:p>
      <w:pPr>
        <w:ind w:firstLine="576"/>
        <w:spacing w:after="0" w:line="259" w:lineRule="auto"/>
        <w:rPr>
          <w:sz w:val="20"/>
          <w:szCs w:val="20"/>
          <w:color w:val="auto"/>
        </w:rPr>
      </w:pPr>
      <w:r>
        <w:rPr>
          <w:rFonts w:ascii="Arial" w:cs="Arial" w:eastAsia="Arial" w:hAnsi="Arial"/>
          <w:sz w:val="18"/>
          <w:szCs w:val="18"/>
          <w:b w:val="1"/>
          <w:bCs w:val="1"/>
          <w:color w:val="auto"/>
        </w:rPr>
        <w:t>Section 5.3 Further Amendments</w:t>
      </w:r>
      <w:r>
        <w:rPr>
          <w:rFonts w:ascii="Arial" w:cs="Arial" w:eastAsia="Arial" w:hAnsi="Arial"/>
          <w:sz w:val="18"/>
          <w:szCs w:val="18"/>
          <w:color w:val="auto"/>
        </w:rPr>
        <w:t>. The parties acknowledge and agree that this Amendment is being entered into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the inclusion of an additional fabrication facility at the Company’s Boise, Idaho facility. To the extent either party determines, in good faith, that additional amendments to the Agreement are necessary or desirable to implement such inclusion, ensure appropriate mechanics for the funding of associated disbursements, or avoid unintended consequences to such inclusion, the parties shall cooperate in good faith to negotiate further amendments to the Agreement as reasonably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-174625</wp:posOffset>
            </wp:positionV>
            <wp:extent cx="304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11"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7"/>
          <w:szCs w:val="17"/>
          <w:b w:val="1"/>
          <w:bCs w:val="1"/>
          <w:color w:val="auto"/>
        </w:rPr>
        <w:t>Reference to and Effect on the Agreement</w:t>
      </w:r>
      <w:r>
        <w:rPr>
          <w:rFonts w:ascii="Arial" w:cs="Arial" w:eastAsia="Arial" w:hAnsi="Arial"/>
          <w:sz w:val="17"/>
          <w:szCs w:val="17"/>
          <w:color w:val="auto"/>
        </w:rPr>
        <w:t>.</w:t>
      </w:r>
    </w:p>
    <w:p>
      <w:pPr>
        <w:spacing w:after="0" w:line="2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This Amendment is hereby designated an Award Document for all purposes of the Agreement.</w:t>
      </w:r>
    </w:p>
    <w:p>
      <w:pPr>
        <w:spacing w:after="0" w:line="159" w:lineRule="exact"/>
        <w:rPr>
          <w:sz w:val="20"/>
          <w:szCs w:val="20"/>
          <w:color w:val="auto"/>
        </w:rPr>
      </w:pPr>
    </w:p>
    <w:p>
      <w:pPr>
        <w:ind w:right="140" w:firstLine="1152"/>
        <w:spacing w:after="0" w:line="262" w:lineRule="auto"/>
        <w:rPr>
          <w:sz w:val="20"/>
          <w:szCs w:val="20"/>
          <w:color w:val="auto"/>
        </w:rPr>
      </w:pPr>
      <w:r>
        <w:rPr>
          <w:rFonts w:ascii="Arial" w:cs="Arial" w:eastAsia="Arial" w:hAnsi="Arial"/>
          <w:sz w:val="18"/>
          <w:szCs w:val="18"/>
          <w:color w:val="auto"/>
        </w:rPr>
        <w:t>5.4.2 On and after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128" w:lineRule="exact"/>
        <w:rPr>
          <w:sz w:val="20"/>
          <w:szCs w:val="20"/>
          <w:color w:val="auto"/>
        </w:rPr>
      </w:pPr>
    </w:p>
    <w:p>
      <w:pPr>
        <w:ind w:right="120" w:firstLine="1152"/>
        <w:spacing w:after="0" w:line="262" w:lineRule="auto"/>
        <w:rPr>
          <w:sz w:val="20"/>
          <w:szCs w:val="20"/>
          <w:color w:val="auto"/>
        </w:rPr>
      </w:pPr>
      <w:r>
        <w:rPr>
          <w:rFonts w:ascii="Arial" w:cs="Arial" w:eastAsia="Arial" w:hAnsi="Arial"/>
          <w:sz w:val="18"/>
          <w:szCs w:val="18"/>
          <w:color w:val="auto"/>
        </w:rPr>
        <w:t>5.4.3 Except as specifically amended above, each of the Agreement and the other Financing Documents is and shall remain unchanged and in full force and effect and is hereby ratified and confirmed. Nothing contained in this Amendment shall abrogate, prejudice, diminish or otherwise affect any powers, right, remedies or obligations of any Person arising before the date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1152"/>
        <w:spacing w:after="0" w:line="257" w:lineRule="auto"/>
        <w:rPr>
          <w:sz w:val="20"/>
          <w:szCs w:val="20"/>
          <w:color w:val="auto"/>
        </w:rPr>
      </w:pPr>
      <w:r>
        <w:rPr>
          <w:rFonts w:ascii="Arial" w:cs="Arial" w:eastAsia="Arial" w:hAnsi="Arial"/>
          <w:sz w:val="18"/>
          <w:szCs w:val="18"/>
          <w:color w:val="auto"/>
        </w:rPr>
        <w:t>5.4.4 The execution, delivery and effectiveness of this Amendment shall not, except as expressly provided herein, constitute an amendment of any action or transaction, operate as a waiver or modification of any right, power or remedy of any party to the Agreement or any other Financing Document, or constitute a waiver or modification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different provisions under the Agreement or any other Financing Document, as the case may be,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40" w:orient="portrait"/>
          <w:cols w:equalWidth="0" w:num="1">
            <w:col w:w="10500"/>
          </w:cols>
          <w:pgMar w:left="660" w:top="1440" w:right="740" w:bottom="1440" w:gutter="0" w:footer="0" w:header="0"/>
        </w:sectPr>
      </w:pPr>
    </w:p>
    <w:bookmarkStart w:id="121" w:name="page122"/>
    <w:bookmarkEnd w:id="121"/>
    <w:p>
      <w:pPr>
        <w:spacing w:after="0" w:line="269" w:lineRule="exact"/>
        <w:rPr>
          <w:sz w:val="20"/>
          <w:szCs w:val="20"/>
          <w:color w:val="auto"/>
        </w:rPr>
      </w:pPr>
    </w:p>
    <w:p>
      <w:pPr>
        <w:ind w:firstLine="576"/>
        <w:spacing w:after="0" w:line="287" w:lineRule="auto"/>
        <w:rPr>
          <w:sz w:val="20"/>
          <w:szCs w:val="20"/>
          <w:color w:val="auto"/>
        </w:rPr>
      </w:pPr>
      <w:r>
        <w:rPr>
          <w:rFonts w:ascii="Arial" w:cs="Arial" w:eastAsia="Arial" w:hAnsi="Arial"/>
          <w:sz w:val="18"/>
          <w:szCs w:val="18"/>
          <w:color w:val="auto"/>
        </w:rPr>
        <w:t>IN WITNESS WHEREOF, the Parties have caused this Amendment to be executed and delivered by their respective officers or representatives hereunto duly authorized as of the date first written above.</w:t>
      </w:r>
    </w:p>
    <w:p>
      <w:pPr>
        <w:spacing w:after="0" w:line="129" w:lineRule="exact"/>
        <w:rPr>
          <w:sz w:val="20"/>
          <w:szCs w:val="20"/>
          <w:color w:val="auto"/>
        </w:rPr>
      </w:pPr>
    </w:p>
    <w:p>
      <w:pPr>
        <w:ind w:left="3460" w:right="1140"/>
        <w:spacing w:after="0" w:line="287" w:lineRule="auto"/>
        <w:rPr>
          <w:sz w:val="20"/>
          <w:szCs w:val="20"/>
          <w:color w:val="auto"/>
        </w:rPr>
      </w:pPr>
      <w:r>
        <w:rPr>
          <w:rFonts w:ascii="Arial" w:cs="Arial" w:eastAsia="Arial" w:hAnsi="Arial"/>
          <w:sz w:val="18"/>
          <w:szCs w:val="18"/>
          <w:b w:val="1"/>
          <w:bCs w:val="1"/>
          <w:color w:val="auto"/>
        </w:rPr>
        <w:t>MICRON IDAHO SEMICONDUCTOR MANUFACTURING (TRITON) LLC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Recipient</w:t>
      </w: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Arial" w:cs="Arial" w:eastAsia="Arial" w:hAnsi="Arial"/>
          <w:sz w:val="18"/>
          <w:szCs w:val="18"/>
          <w:u w:val="single" w:color="auto"/>
          <w:color w:val="auto"/>
        </w:rPr>
        <w:t>/s/ Scott Gatzemeier</w:t>
      </w:r>
      <w:r>
        <w:rPr>
          <w:rFonts w:ascii="Arial" w:cs="Arial" w:eastAsia="Arial" w:hAnsi="Arial"/>
          <w:sz w:val="18"/>
          <w:szCs w:val="18"/>
          <w:color w:val="auto"/>
        </w:rPr>
        <w:t>______________________</w:t>
      </w:r>
    </w:p>
    <w:p>
      <w:pPr>
        <w:spacing w:after="0" w:line="27" w:lineRule="exact"/>
        <w:rPr>
          <w:sz w:val="20"/>
          <w:szCs w:val="20"/>
          <w:color w:val="auto"/>
        </w:rPr>
      </w:pPr>
    </w:p>
    <w:p>
      <w:pPr>
        <w:ind w:left="3460"/>
        <w:spacing w:after="0"/>
        <w:tabs>
          <w:tab w:leader="none" w:pos="4220" w:val="left"/>
        </w:tabs>
        <w:rPr>
          <w:sz w:val="20"/>
          <w:szCs w:val="20"/>
          <w:color w:val="auto"/>
        </w:rPr>
      </w:pPr>
      <w:r>
        <w:rPr>
          <w:rFonts w:ascii="Arial" w:cs="Arial" w:eastAsia="Arial" w:hAnsi="Arial"/>
          <w:sz w:val="18"/>
          <w:szCs w:val="18"/>
          <w:color w:val="auto"/>
        </w:rPr>
        <w:t>Name:</w:t>
        <w:tab/>
        <w:t>Scott Gatzemeier</w:t>
      </w:r>
    </w:p>
    <w:p>
      <w:pPr>
        <w:spacing w:after="0" w:line="9" w:lineRule="exact"/>
        <w:rPr>
          <w:sz w:val="20"/>
          <w:szCs w:val="20"/>
          <w:color w:val="auto"/>
        </w:rPr>
      </w:pPr>
    </w:p>
    <w:p>
      <w:pPr>
        <w:ind w:left="3460"/>
        <w:spacing w:after="0"/>
        <w:tabs>
          <w:tab w:leader="none" w:pos="40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ID Project - Signature Page to Amendment to Direct Funding Agreement</w:t>
      </w:r>
    </w:p>
    <w:p>
      <w:pPr>
        <w:sectPr>
          <w:pgSz w:w="11900" w:h="16840" w:orient="portrait"/>
          <w:cols w:equalWidth="0" w:num="1">
            <w:col w:w="10540"/>
          </w:cols>
          <w:pgMar w:left="660" w:top="1440" w:right="700" w:bottom="1440" w:gutter="0" w:footer="0" w:header="0"/>
        </w:sectPr>
      </w:pPr>
    </w:p>
    <w:bookmarkStart w:id="122" w:name="page123"/>
    <w:bookmarkEnd w:id="122"/>
    <w:p>
      <w:pPr>
        <w:spacing w:after="0" w:line="377" w:lineRule="exact"/>
        <w:rPr>
          <w:sz w:val="20"/>
          <w:szCs w:val="20"/>
          <w:color w:val="auto"/>
        </w:rPr>
      </w:pPr>
    </w:p>
    <w:p>
      <w:pPr>
        <w:ind w:left="2680"/>
        <w:spacing w:after="0" w:line="287" w:lineRule="auto"/>
        <w:rPr>
          <w:sz w:val="20"/>
          <w:szCs w:val="20"/>
          <w:color w:val="auto"/>
        </w:rPr>
      </w:pPr>
      <w:r>
        <w:rPr>
          <w:rFonts w:ascii="Arial" w:cs="Arial" w:eastAsia="Arial" w:hAnsi="Arial"/>
          <w:sz w:val="18"/>
          <w:szCs w:val="18"/>
          <w:b w:val="1"/>
          <w:bCs w:val="1"/>
          <w:color w:val="auto"/>
        </w:rPr>
        <w:t xml:space="preserve">UNITED STATES DEPARTMENT OF COMMERCE </w:t>
      </w:r>
      <w:r>
        <w:rPr>
          <w:rFonts w:ascii="Arial" w:cs="Arial" w:eastAsia="Arial" w:hAnsi="Arial"/>
          <w:sz w:val="18"/>
          <w:szCs w:val="18"/>
          <w:color w:val="auto"/>
        </w:rPr>
        <w:t>, an agency of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of the United States of America</w:t>
      </w:r>
    </w:p>
    <w:p>
      <w:pPr>
        <w:spacing w:after="0" w:line="200" w:lineRule="exact"/>
        <w:rPr>
          <w:sz w:val="20"/>
          <w:szCs w:val="20"/>
          <w:color w:val="auto"/>
        </w:rPr>
      </w:pPr>
    </w:p>
    <w:p>
      <w:pPr>
        <w:spacing w:after="0" w:line="301" w:lineRule="exact"/>
        <w:rPr>
          <w:sz w:val="20"/>
          <w:szCs w:val="20"/>
          <w:color w:val="auto"/>
        </w:rPr>
      </w:pPr>
    </w:p>
    <w:p>
      <w:pPr>
        <w:ind w:left="2680"/>
        <w:spacing w:after="0"/>
        <w:rPr>
          <w:sz w:val="20"/>
          <w:szCs w:val="20"/>
          <w:color w:val="auto"/>
        </w:rPr>
      </w:pPr>
      <w:r>
        <w:rPr>
          <w:rFonts w:ascii="Arial" w:cs="Arial" w:eastAsia="Arial" w:hAnsi="Arial"/>
          <w:sz w:val="18"/>
          <w:szCs w:val="18"/>
          <w:u w:val="single" w:color="auto"/>
          <w:color w:val="auto"/>
        </w:rPr>
        <w:t>/s/ Lynelle McKay</w:t>
      </w:r>
      <w:r>
        <w:rPr>
          <w:rFonts w:ascii="Arial" w:cs="Arial" w:eastAsia="Arial" w:hAnsi="Arial"/>
          <w:sz w:val="18"/>
          <w:szCs w:val="18"/>
          <w:color w:val="auto"/>
        </w:rPr>
        <w:t>______________________</w:t>
      </w:r>
    </w:p>
    <w:p>
      <w:pPr>
        <w:spacing w:after="0" w:line="27" w:lineRule="exact"/>
        <w:rPr>
          <w:sz w:val="20"/>
          <w:szCs w:val="20"/>
          <w:color w:val="auto"/>
        </w:rPr>
      </w:pPr>
    </w:p>
    <w:p>
      <w:pPr>
        <w:ind w:left="2680"/>
        <w:spacing w:after="0"/>
        <w:tabs>
          <w:tab w:leader="none" w:pos="3400" w:val="left"/>
        </w:tabs>
        <w:rPr>
          <w:sz w:val="20"/>
          <w:szCs w:val="20"/>
          <w:color w:val="auto"/>
        </w:rPr>
      </w:pPr>
      <w:r>
        <w:rPr>
          <w:rFonts w:ascii="Arial" w:cs="Arial" w:eastAsia="Arial" w:hAnsi="Arial"/>
          <w:sz w:val="18"/>
          <w:szCs w:val="18"/>
          <w:color w:val="auto"/>
        </w:rPr>
        <w:t>Name:</w:t>
        <w:tab/>
        <w:t>Lynelle McKay</w:t>
      </w:r>
    </w:p>
    <w:p>
      <w:pPr>
        <w:spacing w:after="0" w:line="9" w:lineRule="exact"/>
        <w:rPr>
          <w:sz w:val="20"/>
          <w:szCs w:val="20"/>
          <w:color w:val="auto"/>
        </w:rPr>
      </w:pPr>
    </w:p>
    <w:p>
      <w:pPr>
        <w:ind w:left="2680"/>
        <w:spacing w:after="0"/>
        <w:tabs>
          <w:tab w:leader="none" w:pos="3300" w:val="left"/>
        </w:tabs>
        <w:rPr>
          <w:sz w:val="20"/>
          <w:szCs w:val="20"/>
          <w:color w:val="auto"/>
        </w:rPr>
      </w:pPr>
      <w:r>
        <w:rPr>
          <w:rFonts w:ascii="Arial" w:cs="Arial" w:eastAsia="Arial" w:hAnsi="Arial"/>
          <w:sz w:val="18"/>
          <w:szCs w:val="18"/>
          <w:color w:val="auto"/>
        </w:rPr>
        <w:t>Title:</w:t>
        <w:tab/>
        <w:t>CPO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auto"/>
        </w:rPr>
        <w:t>ID Project - Signature Page to Amendment No. 2 to Direct Funding Agreement</w:t>
      </w:r>
    </w:p>
    <w:p>
      <w:pPr>
        <w:sectPr>
          <w:pgSz w:w="11900" w:h="16840" w:orient="portrait"/>
          <w:cols w:equalWidth="0" w:num="1">
            <w:col w:w="9780"/>
          </w:cols>
          <w:pgMar w:left="1440" w:top="1440" w:right="680" w:bottom="1440" w:gutter="0" w:footer="0" w:header="0"/>
        </w:sectPr>
      </w:pPr>
    </w:p>
    <w:bookmarkStart w:id="123" w:name="page124"/>
    <w:bookmarkEnd w:id="123"/>
    <w:p>
      <w:pPr>
        <w:spacing w:after="0" w:line="36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1</w:t>
      </w:r>
    </w:p>
    <w:p>
      <w:pPr>
        <w:spacing w:after="0" w:line="15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ANNEX D (PROGRAM REQUIREMENTS)</w:t>
      </w:r>
    </w:p>
    <w:p>
      <w:pPr>
        <w:spacing w:after="0" w:line="17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Program Requirements shall apply through the applicable Period of Performance, unless otherwise specified. The Program Requirements set forth in Section 2 (</w:t>
      </w:r>
      <w:r>
        <w:rPr>
          <w:rFonts w:ascii="Arial" w:cs="Arial" w:eastAsia="Arial" w:hAnsi="Arial"/>
          <w:sz w:val="17"/>
          <w:szCs w:val="17"/>
          <w:b w:val="1"/>
          <w:bCs w:val="1"/>
          <w:color w:val="auto"/>
        </w:rPr>
        <w:t>Program Requirements Not Subject to Cure Period</w:t>
      </w:r>
      <w:r>
        <w:rPr>
          <w:rFonts w:ascii="Arial" w:cs="Arial" w:eastAsia="Arial" w:hAnsi="Arial"/>
          <w:sz w:val="17"/>
          <w:szCs w:val="17"/>
          <w:color w:val="auto"/>
        </w:rPr>
        <w:t>) shall not be subject to a cure period. The Program Requirements set forth in Section 3 (</w:t>
      </w:r>
      <w:r>
        <w:rPr>
          <w:rFonts w:ascii="Arial" w:cs="Arial" w:eastAsia="Arial" w:hAnsi="Arial"/>
          <w:sz w:val="17"/>
          <w:szCs w:val="17"/>
          <w:b w:val="1"/>
          <w:bCs w:val="1"/>
          <w:color w:val="auto"/>
        </w:rPr>
        <w:t>Program Requirements Subject to Cure Period</w:t>
      </w:r>
      <w:r>
        <w:rPr>
          <w:rFonts w:ascii="Arial" w:cs="Arial" w:eastAsia="Arial" w:hAnsi="Arial"/>
          <w:sz w:val="17"/>
          <w:szCs w:val="17"/>
          <w:color w:val="auto"/>
        </w:rPr>
        <w:t>) shall be subject to a forty-five</w:t>
      </w:r>
    </w:p>
    <w:p>
      <w:pPr>
        <w:spacing w:after="0" w:line="2" w:lineRule="exact"/>
        <w:rPr>
          <w:sz w:val="20"/>
          <w:szCs w:val="20"/>
          <w:color w:val="auto"/>
        </w:rPr>
      </w:pPr>
    </w:p>
    <w:p>
      <w:pPr>
        <w:ind w:right="300" w:firstLine="6"/>
        <w:spacing w:after="0" w:line="258" w:lineRule="auto"/>
        <w:tabs>
          <w:tab w:leader="none" w:pos="3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 cure period. Any waiver of a breach of any such Program Requirement shall be subject to the prior written consent of the Department. The applicable Recipient may request such a waiver upon submission of a proposed corrective action plan to the Department.</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183"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DRAM Wafer Expansion Capital Expenditures</w:t>
      </w:r>
      <w:r>
        <w:rPr>
          <w:rFonts w:ascii="Arial" w:cs="Arial" w:eastAsia="Arial" w:hAnsi="Arial"/>
          <w:sz w:val="17"/>
          <w:szCs w:val="17"/>
          <w:color w:val="auto"/>
        </w:rPr>
        <w:t>” means the Sponsor Guarantor and its Consolidated Subsidiaries’ capital expenditures to build and equip new cleanroom space that is built or acquired after the Award Date (until such cleanroom space is fully ramped) to increase DRAM semiconductor manufacturing capacity in terms of wafer starts per year; provided, that DRAM Wafer Expansion Capital Expenditures shall exclude capital expenditures related to capacity expansion due to technology node transitions.</w:t>
      </w:r>
    </w:p>
    <w:p>
      <w:pPr>
        <w:spacing w:after="0" w:line="14"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for any Measurement Period, (a) Consolidated EBITDA minus (b) any direct government incentives provided by the U.S. federal government under the CHIPS Incentives Program and similar U.S. government programs commenced after the Award Date to the extent added to consolidated net income in Consolidated EBITDA.</w:t>
      </w:r>
    </w:p>
    <w:p>
      <w:pPr>
        <w:spacing w:after="0" w:line="2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Economically Disadvantaged Individuals</w:t>
      </w:r>
      <w:r>
        <w:rPr>
          <w:rFonts w:ascii="Arial" w:cs="Arial" w:eastAsia="Arial" w:hAnsi="Arial"/>
          <w:sz w:val="18"/>
          <w:szCs w:val="18"/>
          <w:color w:val="auto"/>
        </w:rPr>
        <w:t xml:space="preserve"> ” means persons living in households (a) that have incomes that are at or below 185% of the poverty line then established by the U.S. Census Bureau or (b) with incomes lower than 85% of the median income of the county in which the Project is located.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“Emissions</w:t>
      </w:r>
      <w:r>
        <w:rPr>
          <w:rFonts w:ascii="Arial" w:cs="Arial" w:eastAsia="Arial" w:hAnsi="Arial"/>
          <w:sz w:val="18"/>
          <w:szCs w:val="18"/>
          <w:color w:val="auto"/>
        </w:rPr>
        <w:t>” has the meaning set forth in Section 3.5.6 (</w:t>
      </w:r>
      <w:r>
        <w:rPr>
          <w:rFonts w:ascii="Arial" w:cs="Arial" w:eastAsia="Arial" w:hAnsi="Arial"/>
          <w:sz w:val="18"/>
          <w:szCs w:val="18"/>
          <w:b w:val="1"/>
          <w:bCs w:val="1"/>
          <w:color w:val="auto"/>
        </w:rPr>
        <w:t>Emissions Abatement</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Staffing Targets</w:t>
      </w:r>
      <w:r>
        <w:rPr>
          <w:rFonts w:ascii="Arial" w:cs="Arial" w:eastAsia="Arial" w:hAnsi="Arial"/>
          <w:sz w:val="18"/>
          <w:szCs w:val="18"/>
          <w:color w:val="auto"/>
        </w:rPr>
        <w:t>” has the meaning set forth in Section 2.2 (</w:t>
      </w:r>
      <w:r>
        <w:rPr>
          <w:rFonts w:ascii="Arial" w:cs="Arial" w:eastAsia="Arial" w:hAnsi="Arial"/>
          <w:sz w:val="18"/>
          <w:szCs w:val="18"/>
          <w:b w:val="1"/>
          <w:bCs w:val="1"/>
          <w:color w:val="auto"/>
        </w:rPr>
        <w:t>Workforce</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8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“Facility Workforce</w:t>
      </w:r>
      <w:r>
        <w:rPr>
          <w:rFonts w:ascii="Arial" w:cs="Arial" w:eastAsia="Arial" w:hAnsi="Arial"/>
          <w:sz w:val="18"/>
          <w:szCs w:val="18"/>
          <w:color w:val="auto"/>
        </w:rPr>
        <w:t>” means all full -time and part-time staff employees that are directly employed by the applicable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work at an Eligible Facility, including (a) production workers and technicians who operate machines and other equipment to assemble goods or distribute energy (e.g., including operators and machinists), and (b) non-technicians who perform other roles at the Eligible Facility, including engineering, administrative, support (e.g., finance, procurement) and managerial staff.</w:t>
      </w:r>
    </w:p>
    <w:p>
      <w:pPr>
        <w:spacing w:after="0" w:line="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Cash Flow</w:t>
      </w:r>
      <w:r>
        <w:rPr>
          <w:rFonts w:ascii="Arial" w:cs="Arial" w:eastAsia="Arial" w:hAnsi="Arial"/>
          <w:sz w:val="18"/>
          <w:szCs w:val="18"/>
          <w:color w:val="auto"/>
        </w:rPr>
        <w:t xml:space="preserve">” means, for any Measurement Period, the sum of (a) net cash provided by operating activities, minus (b) expenditures for property, plant and equipment and payments on equipment purchase contracts net of (i) without duplication of any amount otherwise deducted from expenditures in this clause (b) , proceeds from government incentives (except as provided below) and, net of (ii) proceeds from sales of property, plant, and equipment;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purpose of such calculation each of the amounts set forth in clause (a) and (b) above shall exclude any direct government incentives provided by the U.S. federal government under the CHIPS Incentives Program and similar programs commenced after the Award Date.</w:t>
      </w:r>
    </w:p>
    <w:p>
      <w:pPr>
        <w:spacing w:after="0" w:line="3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Project</w:t>
      </w:r>
      <w:r>
        <w:rPr>
          <w:rFonts w:ascii="Arial" w:cs="Arial" w:eastAsia="Arial" w:hAnsi="Arial"/>
          <w:sz w:val="18"/>
          <w:szCs w:val="18"/>
          <w:color w:val="auto"/>
        </w:rPr>
        <w:t>” means the “Project” as such term is defined in that certain Direct Funding Agreement, dated as of the Award Date, entered into by and between the ID Recipient and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Annex 1-1</w:t>
      </w:r>
    </w:p>
    <w:p>
      <w:pPr>
        <w:sectPr>
          <w:pgSz w:w="11900" w:h="16840" w:orient="portrait"/>
          <w:cols w:equalWidth="0" w:num="1">
            <w:col w:w="10580"/>
          </w:cols>
          <w:pgMar w:left="660" w:top="1440" w:right="660" w:bottom="1440" w:gutter="0" w:footer="0" w:header="0"/>
        </w:sectPr>
      </w:pPr>
    </w:p>
    <w:bookmarkStart w:id="124" w:name="page125"/>
    <w:bookmarkEnd w:id="124"/>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Recipient</w:t>
      </w:r>
      <w:r>
        <w:rPr>
          <w:rFonts w:ascii="Arial" w:cs="Arial" w:eastAsia="Arial" w:hAnsi="Arial"/>
          <w:sz w:val="18"/>
          <w:szCs w:val="18"/>
          <w:color w:val="auto"/>
        </w:rPr>
        <w:t>” means MICRON IDAHO SEMICONDUCTOR MANUFACTURING (TRITON) LLC.</w:t>
      </w:r>
    </w:p>
    <w:p>
      <w:pPr>
        <w:spacing w:after="0" w:line="20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 Ratio</w:t>
      </w:r>
      <w:r>
        <w:rPr>
          <w:rFonts w:ascii="Arial" w:cs="Arial" w:eastAsia="Arial" w:hAnsi="Arial"/>
          <w:sz w:val="18"/>
          <w:szCs w:val="18"/>
          <w:color w:val="auto"/>
        </w:rPr>
        <w:t>” means the ratio of (a) the sum of (i) Indebtedness for Borrowed Money (and similar obligations under debt like securities) minus (ii) the Unrestricted Cash, Cash Equivalent and Marketable Securities Amount and minus (iii) restricted cash, to (b) EBITDA.</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NSTC</w:t>
      </w:r>
      <w:r>
        <w:rPr>
          <w:rFonts w:ascii="Arial" w:cs="Arial" w:eastAsia="Arial" w:hAnsi="Arial"/>
          <w:sz w:val="18"/>
          <w:szCs w:val="18"/>
          <w:color w:val="auto"/>
        </w:rPr>
        <w:t>” means the National Semiconductor Technology Center.</w:t>
      </w:r>
    </w:p>
    <w:p>
      <w:pPr>
        <w:spacing w:after="0" w:line="8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 xml:space="preserve">“NY Projects” </w:t>
      </w:r>
      <w:r>
        <w:rPr>
          <w:rFonts w:ascii="Arial" w:cs="Arial" w:eastAsia="Arial" w:hAnsi="Arial"/>
          <w:sz w:val="18"/>
          <w:szCs w:val="18"/>
          <w:color w:val="auto"/>
        </w:rPr>
        <w:t>means, collectively, each “Project” as such term is defined in that certain Direct Funding Agreement,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Date, entered into by and between the NY Recipient and the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 Recipient” </w:t>
      </w:r>
      <w:r>
        <w:rPr>
          <w:rFonts w:ascii="Arial" w:cs="Arial" w:eastAsia="Arial" w:hAnsi="Arial"/>
          <w:sz w:val="18"/>
          <w:szCs w:val="18"/>
          <w:color w:val="auto"/>
        </w:rPr>
        <w:t>means MICRON NEW YORK SEMICONDUCTOR MANUFACTURING LLC.</w:t>
      </w:r>
    </w:p>
    <w:p>
      <w:pPr>
        <w:spacing w:after="0" w:line="8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Dividends</w:t>
      </w:r>
      <w:r>
        <w:rPr>
          <w:rFonts w:ascii="Arial" w:cs="Arial" w:eastAsia="Arial" w:hAnsi="Arial"/>
          <w:sz w:val="18"/>
          <w:szCs w:val="18"/>
          <w:color w:val="auto"/>
        </w:rPr>
        <w:t>” means customary and ordinary course recurring dividends (and reasonably ordinary course increases thereof) consistent with the Sponsor Guarantor’s past practice, but excluding any special or one-time 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Stock Buybacks</w:t>
      </w:r>
      <w:r>
        <w:rPr>
          <w:rFonts w:ascii="Arial" w:cs="Arial" w:eastAsia="Arial" w:hAnsi="Arial"/>
          <w:sz w:val="18"/>
          <w:szCs w:val="18"/>
          <w:color w:val="auto"/>
        </w:rPr>
        <w:t>” means:</w:t>
      </w:r>
    </w:p>
    <w:p>
      <w:pPr>
        <w:spacing w:after="0" w:line="201" w:lineRule="exact"/>
        <w:rPr>
          <w:sz w:val="20"/>
          <w:szCs w:val="20"/>
          <w:color w:val="auto"/>
        </w:rPr>
      </w:pPr>
    </w:p>
    <w:p>
      <w:pPr>
        <w:ind w:left="580" w:hanging="286"/>
        <w:spacing w:after="0" w:line="291" w:lineRule="auto"/>
        <w:tabs>
          <w:tab w:leader="none" w:pos="604" w:val="left"/>
        </w:tabs>
        <w:numPr>
          <w:ilvl w:val="0"/>
          <w:numId w:val="51"/>
        </w:numPr>
        <w:rPr>
          <w:rFonts w:ascii="Arial" w:cs="Arial" w:eastAsia="Arial" w:hAnsi="Arial"/>
          <w:sz w:val="17"/>
          <w:szCs w:val="17"/>
          <w:color w:val="auto"/>
        </w:rPr>
      </w:pPr>
      <w:r>
        <w:rPr>
          <w:rFonts w:ascii="Arial" w:cs="Arial" w:eastAsia="Arial" w:hAnsi="Arial"/>
          <w:sz w:val="17"/>
          <w:szCs w:val="17"/>
          <w:color w:val="auto"/>
        </w:rPr>
        <w:t>shares of common stock of Sponsor Guarantor withheld as payment of withholding taxes and exercise prices in connection with the vesting or exercise of equity awards under Sponsor Guarantor’s existing equity plans in effect on the Award Date and any subsequent similar equity plans that are treated as repurchases of Sponsor Guarantor’s common stock under GAAP;</w:t>
      </w:r>
    </w:p>
    <w:p>
      <w:pPr>
        <w:spacing w:after="0" w:line="129" w:lineRule="exact"/>
        <w:rPr>
          <w:rFonts w:ascii="Arial" w:cs="Arial" w:eastAsia="Arial" w:hAnsi="Arial"/>
          <w:sz w:val="17"/>
          <w:szCs w:val="17"/>
          <w:color w:val="auto"/>
        </w:rPr>
      </w:pPr>
    </w:p>
    <w:p>
      <w:pPr>
        <w:ind w:left="580" w:right="100" w:hanging="286"/>
        <w:spacing w:after="0" w:line="251" w:lineRule="auto"/>
        <w:tabs>
          <w:tab w:leader="none" w:pos="592"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the period beginning on the Award Date and ending on the first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anniversary of the Award Date, stock buybacks to offset the dilutive effect of Sponsor Guarantor’s existing equity plans in effect on the Award Date and any subsequent similar equity plans during the applicable Measurement Period, not to exceed </w:t>
      </w:r>
      <w:r>
        <w:rPr>
          <w:rFonts w:ascii="Times New Roman" w:cs="Times New Roman" w:eastAsia="Times New Roman" w:hAnsi="Times New Roman"/>
          <w:sz w:val="18"/>
          <w:szCs w:val="18"/>
          <w:b w:val="1"/>
          <w:b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per year during such Measurement Period;</w:t>
      </w:r>
    </w:p>
    <w:p>
      <w:pPr>
        <w:spacing w:after="0" w:line="153" w:lineRule="exact"/>
        <w:rPr>
          <w:rFonts w:ascii="Arial" w:cs="Arial" w:eastAsia="Arial" w:hAnsi="Arial"/>
          <w:sz w:val="17"/>
          <w:szCs w:val="17"/>
          <w:color w:val="auto"/>
        </w:rPr>
      </w:pPr>
    </w:p>
    <w:p>
      <w:pPr>
        <w:ind w:left="580" w:right="120" w:hanging="286"/>
        <w:spacing w:after="0" w:line="237" w:lineRule="auto"/>
        <w:tabs>
          <w:tab w:leader="none" w:pos="5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period beginning on the first (1</w:t>
      </w:r>
      <w:r>
        <w:rPr>
          <w:rFonts w:ascii="Arial" w:cs="Arial" w:eastAsia="Arial" w:hAnsi="Arial"/>
          <w:sz w:val="24"/>
          <w:szCs w:val="24"/>
          <w:color w:val="auto"/>
          <w:vertAlign w:val="superscript"/>
        </w:rPr>
        <w:t>st</w:t>
      </w:r>
      <w:r>
        <w:rPr>
          <w:rFonts w:ascii="Arial" w:cs="Arial" w:eastAsia="Arial" w:hAnsi="Arial"/>
          <w:sz w:val="18"/>
          <w:szCs w:val="18"/>
          <w:color w:val="auto"/>
        </w:rPr>
        <w:t>) anniversary of the Award Date and ending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anniversary of the Award Date, stock buybacks to offset the dilutive effect of Sponsor Guarantor’s existing equity plans in effect on the Award Date and any subsequent similar equity plans during the applicable Measurement Period, not to exceed </w:t>
      </w:r>
      <w:r>
        <w:rPr>
          <w:rFonts w:ascii="Times New Roman" w:cs="Times New Roman" w:eastAsia="Times New Roman" w:hAnsi="Times New Roman"/>
          <w:sz w:val="19"/>
          <w:szCs w:val="19"/>
          <w:b w:val="1"/>
          <w:bCs w:val="1"/>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9"/>
          <w:szCs w:val="19"/>
          <w:b w:val="1"/>
          <w:bCs w:val="1"/>
          <w:color w:val="auto"/>
        </w:rPr>
        <w:t>]</w:t>
      </w:r>
      <w:r>
        <w:rPr>
          <w:rFonts w:ascii="Arial" w:cs="Arial" w:eastAsia="Arial" w:hAnsi="Arial"/>
          <w:sz w:val="18"/>
          <w:szCs w:val="18"/>
          <w:color w:val="auto"/>
        </w:rPr>
        <w:t xml:space="preserve"> per year during such Measurement Period; and</w:t>
      </w:r>
    </w:p>
    <w:p>
      <w:pPr>
        <w:spacing w:after="0" w:line="170" w:lineRule="exact"/>
        <w:rPr>
          <w:rFonts w:ascii="Arial" w:cs="Arial" w:eastAsia="Arial" w:hAnsi="Arial"/>
          <w:sz w:val="18"/>
          <w:szCs w:val="18"/>
          <w:color w:val="auto"/>
        </w:rPr>
      </w:pPr>
    </w:p>
    <w:p>
      <w:pPr>
        <w:ind w:left="580" w:right="40" w:hanging="286"/>
        <w:spacing w:after="0" w:line="239" w:lineRule="auto"/>
        <w:tabs>
          <w:tab w:leader="none" w:pos="5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each fiscal quarter of the Sponsor Guarantor during the period beginning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Award Date and ending on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Award Date, additional stock buybacks which, when taken together with all other Permitted Stock Buybacks and Permitted Dividends during the applicable Measurement Period, are not in excess of the Free Cash Flow of the Sponsor Guarantor and its Consolidated Subsidiaries during the most recent Measurement Period ended prior to such fiscal quarter so long as the following conditions are met: (i) after giving pro forma effect for such stock buyback as if made as of the end of the applicable Measurement Period, the Sponsor Guarantor and its Consolidated Subsidiaries would have a Net Debt Ratio not in excess of 1.75: 1.00 as of the end of such Measurement Period, (ii) as of the date of such stock buyback, the Sponsor Guarantor is Investment Grade, (iii) the Sponsor Guarantor and its Consolidated Subsidiaries research and development expenditures during the applicable Measurement Period are in excess of $3 billion, (iv) the amount of the Sponsor Guarantor and its Consolidated Subsidiaries' total capital expenditures determined in accordance with GAAP during such Measurement Period are greater than four times the amount of Direct Funding received by the Recipients during such Measurement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1-2</w:t>
      </w:r>
    </w:p>
    <w:p>
      <w:pPr>
        <w:sectPr>
          <w:pgSz w:w="11900" w:h="16840" w:orient="portrait"/>
          <w:cols w:equalWidth="0" w:num="1">
            <w:col w:w="10560"/>
          </w:cols>
          <w:pgMar w:left="660" w:top="1440" w:right="680" w:bottom="1440" w:gutter="0" w:footer="0" w:header="0"/>
        </w:sectPr>
      </w:pPr>
    </w:p>
    <w:bookmarkStart w:id="125" w:name="page126"/>
    <w:bookmarkEnd w:id="125"/>
    <w:p>
      <w:pPr>
        <w:spacing w:after="0" w:line="200" w:lineRule="exact"/>
        <w:rPr>
          <w:sz w:val="20"/>
          <w:szCs w:val="20"/>
          <w:color w:val="auto"/>
        </w:rPr>
      </w:pPr>
    </w:p>
    <w:p>
      <w:pPr>
        <w:spacing w:after="0" w:line="370" w:lineRule="exact"/>
        <w:rPr>
          <w:sz w:val="20"/>
          <w:szCs w:val="20"/>
          <w:color w:val="auto"/>
        </w:rPr>
      </w:pPr>
    </w:p>
    <w:p>
      <w:pPr>
        <w:ind w:left="580" w:right="580"/>
        <w:spacing w:after="0" w:line="269" w:lineRule="auto"/>
        <w:rPr>
          <w:sz w:val="20"/>
          <w:szCs w:val="20"/>
          <w:color w:val="auto"/>
        </w:rPr>
      </w:pPr>
      <w:r>
        <w:rPr>
          <w:rFonts w:ascii="Arial" w:cs="Arial" w:eastAsia="Arial" w:hAnsi="Arial"/>
          <w:sz w:val="18"/>
          <w:szCs w:val="18"/>
          <w:color w:val="auto"/>
        </w:rPr>
        <w:t>It is understood that the Recipient shall be entitled to request an amendment or waiver under Section 10.12 (</w:t>
      </w:r>
      <w:r>
        <w:rPr>
          <w:rFonts w:ascii="Arial" w:cs="Arial" w:eastAsia="Arial" w:hAnsi="Arial"/>
          <w:sz w:val="18"/>
          <w:szCs w:val="18"/>
          <w:b w:val="1"/>
          <w:bCs w:val="1"/>
          <w:color w:val="auto"/>
        </w:rPr>
        <w:t>Dispute</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of the Agreement to allow the Sponsor Guarantor to engage in stock buybacks at higher amounts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by clauses (b) and (c) above.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“PFAS</w:t>
      </w:r>
      <w:r>
        <w:rPr>
          <w:rFonts w:ascii="Arial" w:cs="Arial" w:eastAsia="Arial" w:hAnsi="Arial"/>
          <w:sz w:val="18"/>
          <w:szCs w:val="18"/>
          <w:color w:val="auto"/>
        </w:rPr>
        <w:t>” has the meaning set forth in Section 3.5.7 (</w:t>
      </w:r>
      <w:r>
        <w:rPr>
          <w:rFonts w:ascii="Arial" w:cs="Arial" w:eastAsia="Arial" w:hAnsi="Arial"/>
          <w:sz w:val="18"/>
          <w:szCs w:val="18"/>
          <w:b w:val="1"/>
          <w:bCs w:val="1"/>
          <w:color w:val="auto"/>
        </w:rPr>
        <w:t>[***]</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Prohibited Equipment</w:t>
      </w:r>
      <w:r>
        <w:rPr>
          <w:rFonts w:ascii="Arial" w:cs="Arial" w:eastAsia="Arial" w:hAnsi="Arial"/>
          <w:sz w:val="17"/>
          <w:szCs w:val="17"/>
          <w:color w:val="auto"/>
        </w:rPr>
        <w:t>” means any of the following types of equipment manufactured or assembled by any Foreign Entity of Concern that is used or installed by the Recipient for the fabrication, assembly, testing, advanced packaging, production, or research and development of semiconductors: (a) deposition equipment; (b) etching equipment; (c) lithography equipment; (d) inspection and measuring equipment; (e) wafer slicing equipment; (f) wafer dicing equipment; (g) wire bonders; (h) ion implantation equipment; and</w:t>
      </w:r>
    </w:p>
    <w:p>
      <w:pPr>
        <w:spacing w:after="0" w:line="3" w:lineRule="exact"/>
        <w:rPr>
          <w:sz w:val="20"/>
          <w:szCs w:val="20"/>
          <w:color w:val="auto"/>
        </w:rPr>
      </w:pPr>
    </w:p>
    <w:p>
      <w:pPr>
        <w:ind w:right="100" w:firstLine="6"/>
        <w:spacing w:after="0" w:line="273" w:lineRule="auto"/>
        <w:tabs>
          <w:tab w:leader="none" w:pos="21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diffusion/oxidation furnaces; but does not, in each case, include any subsystem or subcomponent that enables, or is incorporated into, any such equipment, except that “Prohibited Equipment” does not include any of the following: (x) certain equipment specified to the Department in writing that is used or installed exclusively for internal tool evaluation and (y) with respect to which a waiver is provided by the Department after consideration of whether there are no available market alternatives in reasonably available quantities or of a satisfactory quality to support a Project that present a reasonable substitute for such equipment.</w:t>
      </w:r>
    </w:p>
    <w:p>
      <w:pPr>
        <w:spacing w:after="0" w:line="2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Agreement</w:t>
      </w:r>
      <w:r>
        <w:rPr>
          <w:rFonts w:ascii="Arial" w:cs="Arial" w:eastAsia="Arial" w:hAnsi="Arial"/>
          <w:sz w:val="18"/>
          <w:szCs w:val="18"/>
          <w:color w:val="auto"/>
        </w:rPr>
        <w:t>” means that certain Credit Agreement, dated as of May 14, 2021, among the Sponsor Guarantor, HSBC Bank USA, National Association, as administrative agent, and certain financial institutions from time to time party thereto, as amended and in effect as of the Award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shall have the meaning set forth in the Revolving Credit Agreement (as in effect on the Award Date):</w:t>
      </w:r>
    </w:p>
    <w:p>
      <w:pPr>
        <w:spacing w:after="0" w:line="27" w:lineRule="exact"/>
        <w:rPr>
          <w:sz w:val="20"/>
          <w:szCs w:val="20"/>
          <w:color w:val="auto"/>
        </w:rPr>
      </w:pPr>
    </w:p>
    <w:p>
      <w:pPr>
        <w:ind w:right="520" w:firstLine="6"/>
        <w:spacing w:after="0" w:line="266"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Subsidiaries; (b) Measurement Period; (c) the Unrestricted Cash, Cash Equivalent and Marketable Securities Amount and (d) Consolidated EBITDA.</w:t>
      </w:r>
    </w:p>
    <w:p>
      <w:pPr>
        <w:spacing w:after="0" w:line="183" w:lineRule="exact"/>
        <w:rPr>
          <w:sz w:val="20"/>
          <w:szCs w:val="20"/>
          <w:color w:val="auto"/>
        </w:rPr>
      </w:pPr>
    </w:p>
    <w:p>
      <w:pPr>
        <w:ind w:right="400"/>
        <w:spacing w:after="0" w:line="318" w:lineRule="auto"/>
        <w:rPr>
          <w:sz w:val="20"/>
          <w:szCs w:val="20"/>
          <w:color w:val="auto"/>
        </w:rPr>
      </w:pPr>
      <w:r>
        <w:rPr>
          <w:rFonts w:ascii="Arial" w:cs="Arial" w:eastAsia="Arial" w:hAnsi="Arial"/>
          <w:sz w:val="17"/>
          <w:szCs w:val="17"/>
          <w:color w:val="auto"/>
        </w:rPr>
        <w:t>For the purposes of this Annex D (</w:t>
      </w:r>
      <w:r>
        <w:rPr>
          <w:rFonts w:ascii="Arial" w:cs="Arial" w:eastAsia="Arial" w:hAnsi="Arial"/>
          <w:sz w:val="17"/>
          <w:szCs w:val="17"/>
          <w:b w:val="1"/>
          <w:bCs w:val="1"/>
          <w:color w:val="auto"/>
        </w:rPr>
        <w:t>Program Requirements</w:t>
      </w:r>
      <w:r>
        <w:rPr>
          <w:rFonts w:ascii="Arial" w:cs="Arial" w:eastAsia="Arial" w:hAnsi="Arial"/>
          <w:sz w:val="17"/>
          <w:szCs w:val="17"/>
          <w:color w:val="auto"/>
        </w:rPr>
        <w:t>), (i) Recipient shall refer to either or both of the ID Recipient and NY Recipient, as the context requires, and (ii) Project shall refer to any of the ID Projects and NY Projects, as the context requires.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REQUIREMENTS NOT SUBJECT TO CURE PERIOD</w:t>
      </w:r>
    </w:p>
    <w:p>
      <w:pPr>
        <w:spacing w:after="0" w:line="201"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7"/>
          <w:szCs w:val="17"/>
          <w:b w:val="1"/>
          <w:bCs w:val="1"/>
          <w:color w:val="auto"/>
        </w:rPr>
        <w:t>Economic and National Security Objectives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b w:val="1"/>
          <w:bCs w:val="1"/>
          <w:color w:val="auto"/>
        </w:rPr>
        <w:t>Resilience</w:t>
      </w:r>
      <w:r>
        <w:rPr>
          <w:rFonts w:ascii="Arial" w:cs="Arial" w:eastAsia="Arial" w:hAnsi="Arial"/>
          <w:sz w:val="17"/>
          <w:szCs w:val="17"/>
          <w:color w:val="auto"/>
        </w:rPr>
        <w:t>.</w:t>
      </w:r>
    </w:p>
    <w:p>
      <w:pPr>
        <w:spacing w:after="0" w:line="177" w:lineRule="exact"/>
        <w:rPr>
          <w:sz w:val="20"/>
          <w:szCs w:val="20"/>
          <w:color w:val="auto"/>
        </w:rPr>
      </w:pPr>
    </w:p>
    <w:p>
      <w:pPr>
        <w:ind w:left="580" w:right="240" w:firstLine="578"/>
        <w:spacing w:after="0" w:line="269" w:lineRule="auto"/>
        <w:tabs>
          <w:tab w:leader="none" w:pos="17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Recipient will use commercially reasonable efforts to work with the Department, subject to compliance with U.S. and other relevant regulations, to accelerate supply chain resilience with domestic materials suppliers where practicable.</w:t>
      </w:r>
    </w:p>
    <w:p>
      <w:pPr>
        <w:spacing w:after="0" w:line="120" w:lineRule="exact"/>
        <w:rPr>
          <w:rFonts w:ascii="Arial" w:cs="Arial" w:eastAsia="Arial" w:hAnsi="Arial"/>
          <w:sz w:val="18"/>
          <w:szCs w:val="18"/>
          <w:color w:val="auto"/>
        </w:rPr>
      </w:pPr>
    </w:p>
    <w:p>
      <w:pPr>
        <w:ind w:left="580" w:firstLine="578"/>
        <w:spacing w:after="0" w:line="262" w:lineRule="auto"/>
        <w:tabs>
          <w:tab w:leader="none" w:pos="17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NY Recipient shall use commercially reasonable efforts to ensure that the agreements with the general contractor for the NY Projects contain terms relating to physical and non-physical security substantially similar to, or greater in scope than, those contained in the agreements with the general contractor for the ID Project, or are otherwise reasonably satisfactory to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1-3</w:t>
      </w:r>
    </w:p>
    <w:p>
      <w:pPr>
        <w:sectPr>
          <w:pgSz w:w="11900" w:h="16840" w:orient="portrait"/>
          <w:cols w:equalWidth="0" w:num="1">
            <w:col w:w="10560"/>
          </w:cols>
          <w:pgMar w:left="660" w:top="1440" w:right="680" w:bottom="1440" w:gutter="0" w:footer="0" w:header="0"/>
        </w:sectPr>
      </w:pPr>
    </w:p>
    <w:bookmarkStart w:id="126" w:name="page127"/>
    <w:bookmarkEnd w:id="126"/>
    <w:p>
      <w:pPr>
        <w:spacing w:after="0" w:line="377" w:lineRule="exact"/>
        <w:rPr>
          <w:sz w:val="20"/>
          <w:szCs w:val="20"/>
          <w:color w:val="auto"/>
        </w:rPr>
      </w:pPr>
    </w:p>
    <w:p>
      <w:pPr>
        <w:ind w:firstLine="1152"/>
        <w:spacing w:after="0" w:line="26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Prohibited Equipment</w:t>
      </w:r>
      <w:r>
        <w:rPr>
          <w:rFonts w:ascii="Arial" w:cs="Arial" w:eastAsia="Arial" w:hAnsi="Arial"/>
          <w:sz w:val="18"/>
          <w:szCs w:val="18"/>
          <w:color w:val="auto"/>
        </w:rPr>
        <w:t>. Absent a consent or waiver from the Department and subject to any exceptions set forth on Schedule I (</w:t>
      </w:r>
      <w:r>
        <w:rPr>
          <w:rFonts w:ascii="Arial" w:cs="Arial" w:eastAsia="Arial" w:hAnsi="Arial"/>
          <w:sz w:val="18"/>
          <w:szCs w:val="18"/>
          <w:b w:val="1"/>
          <w:bCs w:val="1"/>
          <w:color w:val="auto"/>
        </w:rPr>
        <w:t>Excepted Equipment</w:t>
      </w:r>
      <w:r>
        <w:rPr>
          <w:rFonts w:ascii="Arial" w:cs="Arial" w:eastAsia="Arial" w:hAnsi="Arial"/>
          <w:sz w:val="18"/>
          <w:szCs w:val="18"/>
          <w:color w:val="auto"/>
        </w:rPr>
        <w:t>) of this Agreement (as it may be amended from time to time in accordance with the terms hereof), each Recipient shall not knowingly use or install in any Project completed, fully assembled Prohibited Equipment.</w:t>
      </w:r>
    </w:p>
    <w:p>
      <w:pPr>
        <w:spacing w:after="0" w:line="120" w:lineRule="exact"/>
        <w:rPr>
          <w:sz w:val="20"/>
          <w:szCs w:val="20"/>
          <w:color w:val="auto"/>
        </w:rPr>
      </w:pPr>
    </w:p>
    <w:p>
      <w:pPr>
        <w:ind w:right="60" w:firstLine="1152"/>
        <w:spacing w:after="0" w:line="25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Due Diligence Mitigation</w:t>
      </w:r>
      <w:r>
        <w:rPr>
          <w:rFonts w:ascii="Arial" w:cs="Arial" w:eastAsia="Arial" w:hAnsi="Arial"/>
          <w:sz w:val="18"/>
          <w:szCs w:val="18"/>
          <w:color w:val="auto"/>
        </w:rPr>
        <w:t>. Each Recipient shall use commercially reasonable efforts to ensure that its suppliers will notify such Recipient with respect to any change of control and/or ownership, and that its supplier agreements entered into, renegotiated or subject to a material amendment or amendment and restatement after the date of Award contain notification provisions with respect to any change of control and/or ownership. It is acknowledged and agreed that commercially reasonable efforts with respect to the foregoing (a) shall require that each Recipient request that its suppliers notify it in writing with respect to any change of control and/or ownership in a manner consistent with its form supplier agreement, and (b) shall not require amendments or amendment and restatements of all of the Recipients supplier agreements.</w:t>
      </w:r>
    </w:p>
    <w:p>
      <w:pPr>
        <w:spacing w:after="0" w:line="135"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7"/>
          <w:szCs w:val="17"/>
          <w:b w:val="1"/>
          <w:bCs w:val="1"/>
          <w:color w:val="auto"/>
        </w:rPr>
        <w:t>Workforce</w:t>
      </w:r>
      <w:r>
        <w:rPr>
          <w:rFonts w:ascii="Arial" w:cs="Arial" w:eastAsia="Arial" w:hAnsi="Arial"/>
          <w:sz w:val="17"/>
          <w:szCs w:val="17"/>
          <w:color w:val="auto"/>
        </w:rPr>
        <w:t>.</w:t>
      </w:r>
    </w:p>
    <w:p>
      <w:pPr>
        <w:spacing w:after="0" w:line="177" w:lineRule="exact"/>
        <w:rPr>
          <w:sz w:val="20"/>
          <w:szCs w:val="20"/>
          <w:color w:val="auto"/>
        </w:rPr>
      </w:pPr>
    </w:p>
    <w:p>
      <w:pPr>
        <w:ind w:left="580" w:right="340" w:firstLine="578"/>
        <w:spacing w:after="0" w:line="287" w:lineRule="auto"/>
        <w:tabs>
          <w:tab w:leader="none" w:pos="18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Recipients shall achieve the following facility staffing targets (“</w:t>
      </w:r>
      <w:r>
        <w:rPr>
          <w:rFonts w:ascii="Arial" w:cs="Arial" w:eastAsia="Arial" w:hAnsi="Arial"/>
          <w:sz w:val="18"/>
          <w:szCs w:val="18"/>
          <w:b w:val="1"/>
          <w:bCs w:val="1"/>
          <w:color w:val="auto"/>
        </w:rPr>
        <w:t>Facility Staffing Targets</w:t>
      </w:r>
      <w:r>
        <w:rPr>
          <w:rFonts w:ascii="Arial" w:cs="Arial" w:eastAsia="Arial" w:hAnsi="Arial"/>
          <w:sz w:val="18"/>
          <w:szCs w:val="18"/>
          <w:color w:val="auto"/>
        </w:rPr>
        <w:t>”) by the date specified below:</w:t>
      </w:r>
    </w:p>
    <w:p>
      <w:pPr>
        <w:spacing w:after="0" w:line="105" w:lineRule="exact"/>
        <w:rPr>
          <w:rFonts w:ascii="Arial" w:cs="Arial" w:eastAsia="Arial" w:hAnsi="Arial"/>
          <w:sz w:val="18"/>
          <w:szCs w:val="18"/>
          <w:color w:val="auto"/>
        </w:rPr>
      </w:pPr>
    </w:p>
    <w:p>
      <w:pPr>
        <w:ind w:left="580" w:right="40" w:firstLine="1155"/>
        <w:spacing w:after="0" w:line="255" w:lineRule="auto"/>
        <w:tabs>
          <w:tab w:leader="none" w:pos="23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for the NY Projects, (A) by the Project Completion Longstop Date for NY Fab 1 Project (as such date may be extended in accordance with a waiver granted pursuant to the Award Document),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xml:space="preserve"> people; or (2) subject to the Department’s review and approval, a lesser amount based on the projected staffing needs of the NY Projects which projected staffing needs are expected to be shared annually with the Department, and (B) by the Project Completion Longstop Date for NY Fab 2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xml:space="preserve"> people; or (2) subject to the Department’s review and approval, a lesser amount based on the projected staffing needs of the NY Projects which projected staffing needs are expected to be shared annually with the Department; and</w:t>
      </w:r>
    </w:p>
    <w:p>
      <w:pPr>
        <w:spacing w:after="0" w:line="137" w:lineRule="exact"/>
        <w:rPr>
          <w:rFonts w:ascii="Arial" w:cs="Arial" w:eastAsia="Arial" w:hAnsi="Arial"/>
          <w:sz w:val="18"/>
          <w:szCs w:val="18"/>
          <w:color w:val="auto"/>
        </w:rPr>
      </w:pPr>
    </w:p>
    <w:p>
      <w:pPr>
        <w:ind w:left="580" w:firstLine="1155"/>
        <w:spacing w:after="0" w:line="255" w:lineRule="auto"/>
        <w:tabs>
          <w:tab w:leader="none" w:pos="23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for the ID Projects, (A) by the Project Completion Longstop Date for the ID Fab 1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xml:space="preserve"> people; or (2) subject to the Department’s review and approval, a lesser amount based on the projected staffing needs of the ID Projects which projected staffing needs are expected to be shared annually with the Department, and (B) by the Project Completion Longstop Date for the ID Fab 2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or (2) subject to the Department’s review and approval, a lesser amount based on the projected staffing needs of the ID Projects which projected staffing needs are expected to be shared annually with the Department.</w:t>
      </w:r>
    </w:p>
    <w:p>
      <w:pPr>
        <w:spacing w:after="0" w:line="137" w:lineRule="exact"/>
        <w:rPr>
          <w:sz w:val="20"/>
          <w:szCs w:val="20"/>
          <w:color w:val="auto"/>
        </w:rPr>
      </w:pPr>
    </w:p>
    <w:p>
      <w:pPr>
        <w:ind w:right="140" w:firstLine="576"/>
        <w:spacing w:after="0" w:line="269" w:lineRule="auto"/>
        <w:rPr>
          <w:sz w:val="20"/>
          <w:szCs w:val="20"/>
          <w:color w:val="auto"/>
        </w:rPr>
      </w:pPr>
      <w:r>
        <w:rPr>
          <w:rFonts w:ascii="Arial" w:cs="Arial" w:eastAsia="Arial" w:hAnsi="Arial"/>
          <w:sz w:val="18"/>
          <w:szCs w:val="18"/>
          <w:b w:val="1"/>
          <w:bCs w:val="1"/>
          <w:color w:val="auto"/>
        </w:rPr>
        <w:t xml:space="preserve">Section 2.3 Stock Buybacks and Dividends. </w:t>
      </w:r>
      <w:r>
        <w:rPr>
          <w:rFonts w:ascii="Arial" w:cs="Arial" w:eastAsia="Arial" w:hAnsi="Arial"/>
          <w:sz w:val="18"/>
          <w:szCs w:val="18"/>
          <w:color w:val="auto"/>
        </w:rPr>
        <w:t>For the period beginning on the Award Date and ending on the fifth (5th)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Award Date, each Recipient and each Recipient Entity shall not (a) engage in any stock buybacks, except for Permitted Stock Buybacks and (b) make any dividends to Sponsor Guarantor’s shareholders, except for Permitted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Annex 1-4</w:t>
      </w:r>
    </w:p>
    <w:p>
      <w:pPr>
        <w:sectPr>
          <w:pgSz w:w="11900" w:h="16840" w:orient="portrait"/>
          <w:cols w:equalWidth="0" w:num="1">
            <w:col w:w="10520"/>
          </w:cols>
          <w:pgMar w:left="660" w:top="1440" w:right="720" w:bottom="1440" w:gutter="0" w:footer="0" w:header="0"/>
        </w:sectPr>
      </w:pPr>
    </w:p>
    <w:bookmarkStart w:id="127" w:name="page128"/>
    <w:bookmarkEnd w:id="127"/>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REQUIREMENTS SUBJECT TO CURE PERIOD</w:t>
      </w:r>
    </w:p>
    <w:p>
      <w:pPr>
        <w:spacing w:after="0" w:line="201"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7"/>
          <w:szCs w:val="17"/>
          <w:b w:val="1"/>
          <w:bCs w:val="1"/>
          <w:color w:val="auto"/>
        </w:rPr>
        <w:t>Economic and National Security Objectives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b w:val="1"/>
          <w:bCs w:val="1"/>
          <w:color w:val="auto"/>
        </w:rPr>
        <w:t>Supply Chain Security</w:t>
      </w:r>
      <w:r>
        <w:rPr>
          <w:rFonts w:ascii="Arial" w:cs="Arial" w:eastAsia="Arial" w:hAnsi="Arial"/>
          <w:sz w:val="17"/>
          <w:szCs w:val="17"/>
          <w:color w:val="auto"/>
        </w:rPr>
        <w:t>.</w:t>
      </w:r>
    </w:p>
    <w:p>
      <w:pPr>
        <w:spacing w:after="0" w:line="177" w:lineRule="exact"/>
        <w:rPr>
          <w:sz w:val="20"/>
          <w:szCs w:val="20"/>
          <w:color w:val="auto"/>
        </w:rPr>
      </w:pPr>
    </w:p>
    <w:p>
      <w:pPr>
        <w:jc w:val="both"/>
        <w:ind w:left="580" w:right="160" w:firstLine="578"/>
        <w:spacing w:after="0" w:line="269" w:lineRule="auto"/>
        <w:tabs>
          <w:tab w:leader="none" w:pos="17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Recipient shall implement and comply with (including through the provision of adequate resources and staffing) supply chain risk management plans, policies and procedures for each Project, which shall include, at a minimum, the following elements:</w:t>
      </w:r>
    </w:p>
    <w:p>
      <w:pPr>
        <w:spacing w:after="0" w:line="120" w:lineRule="exact"/>
        <w:rPr>
          <w:rFonts w:ascii="Arial" w:cs="Arial" w:eastAsia="Arial" w:hAnsi="Arial"/>
          <w:sz w:val="18"/>
          <w:szCs w:val="18"/>
          <w:color w:val="auto"/>
        </w:rPr>
      </w:pPr>
    </w:p>
    <w:p>
      <w:pPr>
        <w:ind w:left="2320" w:hanging="585"/>
        <w:spacing w:after="0"/>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requirements to identify geographic concentration risks;</w:t>
      </w:r>
    </w:p>
    <w:p>
      <w:pPr>
        <w:spacing w:after="0" w:line="177" w:lineRule="exact"/>
        <w:rPr>
          <w:rFonts w:ascii="Arial" w:cs="Arial" w:eastAsia="Arial" w:hAnsi="Arial"/>
          <w:sz w:val="18"/>
          <w:szCs w:val="18"/>
          <w:color w:val="auto"/>
        </w:rPr>
      </w:pPr>
    </w:p>
    <w:p>
      <w:pPr>
        <w:ind w:left="580" w:right="140" w:firstLine="1155"/>
        <w:spacing w:after="0" w:line="269" w:lineRule="auto"/>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requirements to identify the name, location, and ownership, to the extent reasonably available, for (A) all first-tier suppliers and service providers, and (B) original sources of critical suppliers of front end raw materials and equipment supporting the identification of supply chain risks; and</w:t>
      </w:r>
    </w:p>
    <w:p>
      <w:pPr>
        <w:spacing w:after="0" w:line="120" w:lineRule="exact"/>
        <w:rPr>
          <w:rFonts w:ascii="Arial" w:cs="Arial" w:eastAsia="Arial" w:hAnsi="Arial"/>
          <w:sz w:val="18"/>
          <w:szCs w:val="18"/>
          <w:color w:val="auto"/>
        </w:rPr>
      </w:pPr>
    </w:p>
    <w:p>
      <w:pPr>
        <w:ind w:left="580" w:right="1160" w:firstLine="1155"/>
        <w:spacing w:after="0" w:line="287" w:lineRule="auto"/>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requirements for supplier and distributor qualification and monitoring for quality, integrity, ownership/control, access, and availability risks.</w:t>
      </w:r>
    </w:p>
    <w:p>
      <w:pPr>
        <w:spacing w:after="0" w:line="105" w:lineRule="exact"/>
        <w:rPr>
          <w:rFonts w:ascii="Arial" w:cs="Arial" w:eastAsia="Arial" w:hAnsi="Arial"/>
          <w:sz w:val="18"/>
          <w:szCs w:val="18"/>
          <w:color w:val="auto"/>
        </w:rPr>
      </w:pPr>
    </w:p>
    <w:p>
      <w:pPr>
        <w:ind w:left="1740" w:hanging="582"/>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Recipient shall use commercially reasonable efforts to:</w:t>
      </w:r>
    </w:p>
    <w:p>
      <w:pPr>
        <w:spacing w:after="0" w:line="177" w:lineRule="exact"/>
        <w:rPr>
          <w:rFonts w:ascii="Arial" w:cs="Arial" w:eastAsia="Arial" w:hAnsi="Arial"/>
          <w:sz w:val="18"/>
          <w:szCs w:val="18"/>
          <w:color w:val="auto"/>
        </w:rPr>
      </w:pPr>
    </w:p>
    <w:p>
      <w:pPr>
        <w:ind w:left="580" w:right="580" w:firstLine="1155"/>
        <w:spacing w:after="0" w:line="287" w:lineRule="auto"/>
        <w:tabs>
          <w:tab w:leader="none" w:pos="23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implement bill-of-material requirements in any new or renegotiated agreements with suppliers of equipment for the fabrication and production of semiconductors;</w:t>
      </w:r>
    </w:p>
    <w:p>
      <w:pPr>
        <w:spacing w:after="0" w:line="105" w:lineRule="exact"/>
        <w:rPr>
          <w:rFonts w:ascii="Arial" w:cs="Arial" w:eastAsia="Arial" w:hAnsi="Arial"/>
          <w:sz w:val="18"/>
          <w:szCs w:val="18"/>
          <w:color w:val="auto"/>
        </w:rPr>
      </w:pPr>
    </w:p>
    <w:p>
      <w:pPr>
        <w:ind w:left="580" w:right="340" w:firstLine="1155"/>
        <w:spacing w:after="0" w:line="287" w:lineRule="auto"/>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conduct security audits or receive security attestations of 20% of first-tier suppliers of front end raw materials and equipment (in each case for Semiconductor Manufacturing) per year; and</w:t>
      </w:r>
    </w:p>
    <w:p>
      <w:pPr>
        <w:spacing w:after="0" w:line="105" w:lineRule="exact"/>
        <w:rPr>
          <w:rFonts w:ascii="Arial" w:cs="Arial" w:eastAsia="Arial" w:hAnsi="Arial"/>
          <w:sz w:val="18"/>
          <w:szCs w:val="18"/>
          <w:color w:val="auto"/>
        </w:rPr>
      </w:pPr>
    </w:p>
    <w:p>
      <w:pPr>
        <w:ind w:left="580" w:right="80" w:firstLine="1155"/>
        <w:spacing w:after="0" w:line="287" w:lineRule="auto"/>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participate in industry and government efforts towards achieving viable PFAS (per- and polyfluoroalkyl substances) substitutions and emissions controls.</w:t>
      </w:r>
    </w:p>
    <w:p>
      <w:pPr>
        <w:spacing w:after="0" w:line="105" w:lineRule="exact"/>
        <w:rPr>
          <w:rFonts w:ascii="Arial" w:cs="Arial" w:eastAsia="Arial" w:hAnsi="Arial"/>
          <w:sz w:val="18"/>
          <w:szCs w:val="18"/>
          <w:color w:val="auto"/>
        </w:rPr>
      </w:pPr>
    </w:p>
    <w:p>
      <w:pPr>
        <w:ind w:left="580" w:firstLine="578"/>
        <w:spacing w:after="0" w:line="269" w:lineRule="auto"/>
        <w:tabs>
          <w:tab w:leader="none" w:pos="17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Recipient shall use commercially reasonable efforts to mitigate supply chain resilience risks related to importing into the United States qualified specialty chemicals, including photoresist materials and materials containing PFAS, which efforts may include:</w:t>
      </w:r>
    </w:p>
    <w:p>
      <w:pPr>
        <w:spacing w:after="0" w:line="120" w:lineRule="exact"/>
        <w:rPr>
          <w:rFonts w:ascii="Arial" w:cs="Arial" w:eastAsia="Arial" w:hAnsi="Arial"/>
          <w:sz w:val="18"/>
          <w:szCs w:val="18"/>
          <w:color w:val="auto"/>
        </w:rPr>
      </w:pPr>
    </w:p>
    <w:p>
      <w:pPr>
        <w:ind w:left="2320" w:hanging="585"/>
        <w:spacing w:after="0"/>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decreasing use of PFAS in such Recipient’s facilities, material handling, and production, as well as in</w:t>
      </w:r>
    </w:p>
    <w:p>
      <w:pPr>
        <w:spacing w:after="0" w:line="2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consortia programs;</w:t>
      </w:r>
    </w:p>
    <w:p>
      <w:pPr>
        <w:spacing w:after="0" w:line="159" w:lineRule="exact"/>
        <w:rPr>
          <w:rFonts w:ascii="Arial" w:cs="Arial" w:eastAsia="Arial" w:hAnsi="Arial"/>
          <w:sz w:val="18"/>
          <w:szCs w:val="18"/>
          <w:color w:val="auto"/>
        </w:rPr>
      </w:pPr>
    </w:p>
    <w:p>
      <w:pPr>
        <w:ind w:left="2320" w:hanging="585"/>
        <w:spacing w:after="0"/>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qualifying redundant suppliers and distributors;</w:t>
      </w:r>
    </w:p>
    <w:p>
      <w:pPr>
        <w:spacing w:after="0" w:line="177" w:lineRule="exact"/>
        <w:rPr>
          <w:rFonts w:ascii="Arial" w:cs="Arial" w:eastAsia="Arial" w:hAnsi="Arial"/>
          <w:sz w:val="18"/>
          <w:szCs w:val="18"/>
          <w:color w:val="auto"/>
        </w:rPr>
      </w:pPr>
    </w:p>
    <w:p>
      <w:pPr>
        <w:ind w:left="580" w:right="120" w:firstLine="1155"/>
        <w:spacing w:after="0" w:line="287" w:lineRule="auto"/>
        <w:tabs>
          <w:tab w:leader="none" w:pos="2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encouraging suppliers to participate in government programs to address supply chain resilience risks, including programs identified by the Department; and</w:t>
      </w:r>
    </w:p>
    <w:p>
      <w:pPr>
        <w:spacing w:after="0" w:line="105" w:lineRule="exact"/>
        <w:rPr>
          <w:rFonts w:ascii="Arial" w:cs="Arial" w:eastAsia="Arial" w:hAnsi="Arial"/>
          <w:sz w:val="18"/>
          <w:szCs w:val="18"/>
          <w:color w:val="auto"/>
        </w:rPr>
      </w:pPr>
    </w:p>
    <w:p>
      <w:pPr>
        <w:ind w:left="2340" w:hanging="605"/>
        <w:spacing w:after="0"/>
        <w:tabs>
          <w:tab w:leader="none" w:pos="234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Annex 1-5</w:t>
      </w:r>
    </w:p>
    <w:p>
      <w:pPr>
        <w:sectPr>
          <w:pgSz w:w="11900" w:h="16840" w:orient="portrait"/>
          <w:cols w:equalWidth="0" w:num="1">
            <w:col w:w="10500"/>
          </w:cols>
          <w:pgMar w:left="660" w:top="1440" w:right="740" w:bottom="1440" w:gutter="0" w:footer="0" w:header="0"/>
        </w:sectPr>
      </w:pPr>
    </w:p>
    <w:bookmarkStart w:id="128" w:name="page129"/>
    <w:bookmarkEnd w:id="128"/>
    <w:p>
      <w:pPr>
        <w:spacing w:after="0" w:line="37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7"/>
          <w:szCs w:val="17"/>
          <w:b w:val="1"/>
          <w:bCs w:val="1"/>
          <w:color w:val="auto"/>
        </w:rPr>
        <w:t>National Security Objectives</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b w:val="1"/>
          <w:bCs w:val="1"/>
          <w:color w:val="auto"/>
        </w:rPr>
        <w:t>Cybersecurity</w:t>
      </w:r>
      <w:r>
        <w:rPr>
          <w:rFonts w:ascii="Arial" w:cs="Arial" w:eastAsia="Arial" w:hAnsi="Arial"/>
          <w:sz w:val="17"/>
          <w:szCs w:val="17"/>
          <w:color w:val="auto"/>
        </w:rPr>
        <w:t>.</w:t>
      </w:r>
    </w:p>
    <w:p>
      <w:pPr>
        <w:spacing w:after="0" w:line="177" w:lineRule="exact"/>
        <w:rPr>
          <w:sz w:val="20"/>
          <w:szCs w:val="20"/>
          <w:color w:val="auto"/>
        </w:rPr>
      </w:pPr>
    </w:p>
    <w:p>
      <w:pPr>
        <w:ind w:left="580" w:right="120" w:firstLine="578"/>
        <w:spacing w:after="0" w:line="269" w:lineRule="auto"/>
        <w:tabs>
          <w:tab w:leader="none" w:pos="17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Recipient shall implement and comply with (including through the provision of adequate resources and staffing) cybersecurity plans, policies and procedures for each Project which shall include, at a minimum, the following elements:</w:t>
      </w:r>
    </w:p>
    <w:p>
      <w:pPr>
        <w:spacing w:after="0" w:line="120" w:lineRule="exact"/>
        <w:rPr>
          <w:rFonts w:ascii="Arial" w:cs="Arial" w:eastAsia="Arial" w:hAnsi="Arial"/>
          <w:sz w:val="18"/>
          <w:szCs w:val="18"/>
          <w:color w:val="auto"/>
        </w:rPr>
      </w:pPr>
    </w:p>
    <w:p>
      <w:pPr>
        <w:ind w:left="2320" w:hanging="585"/>
        <w:spacing w:after="0"/>
        <w:tabs>
          <w:tab w:leader="none" w:pos="2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controls to identify information and technology assets, threats, and risks;</w:t>
      </w:r>
    </w:p>
    <w:p>
      <w:pPr>
        <w:spacing w:after="0" w:line="177" w:lineRule="exact"/>
        <w:rPr>
          <w:rFonts w:ascii="Arial" w:cs="Arial" w:eastAsia="Arial" w:hAnsi="Arial"/>
          <w:sz w:val="18"/>
          <w:szCs w:val="18"/>
          <w:color w:val="auto"/>
        </w:rPr>
      </w:pPr>
    </w:p>
    <w:p>
      <w:pPr>
        <w:ind w:left="580" w:right="260" w:firstLine="1155"/>
        <w:spacing w:after="0" w:line="287" w:lineRule="auto"/>
        <w:tabs>
          <w:tab w:leader="none" w:pos="2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controls to protect data, information technology and operational technology systems consistent with industry best practices; and</w:t>
      </w:r>
    </w:p>
    <w:p>
      <w:pPr>
        <w:spacing w:after="0" w:line="105" w:lineRule="exact"/>
        <w:rPr>
          <w:rFonts w:ascii="Arial" w:cs="Arial" w:eastAsia="Arial" w:hAnsi="Arial"/>
          <w:sz w:val="18"/>
          <w:szCs w:val="18"/>
          <w:color w:val="auto"/>
        </w:rPr>
      </w:pPr>
    </w:p>
    <w:p>
      <w:pPr>
        <w:ind w:left="2320" w:hanging="585"/>
        <w:spacing w:after="0"/>
        <w:tabs>
          <w:tab w:leader="none" w:pos="23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controls to detect, investigate, respond to, recover from, report, and mitigate security incidents.</w:t>
      </w:r>
    </w:p>
    <w:p>
      <w:pPr>
        <w:spacing w:after="0" w:line="177" w:lineRule="exact"/>
        <w:rPr>
          <w:rFonts w:ascii="Arial" w:cs="Arial" w:eastAsia="Arial" w:hAnsi="Arial"/>
          <w:sz w:val="18"/>
          <w:szCs w:val="18"/>
          <w:color w:val="auto"/>
        </w:rPr>
      </w:pPr>
    </w:p>
    <w:p>
      <w:pPr>
        <w:ind w:left="580" w:right="40" w:firstLine="578"/>
        <w:spacing w:after="0" w:line="262" w:lineRule="auto"/>
        <w:tabs>
          <w:tab w:leader="none" w:pos="17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Recipient shall make commercially reasonable efforts to update such plans, policies, and procedures to ensure the capabilities of vendor systems are validated to avoid unauthorized access and exfiltration, through internal or external connections, prior to authorization for access to any of such Recipients’ facilities or systems, and scanned for unauthorized transfer or exfiltration, physical and non-physical, prior to removal from such facilities or systems.</w:t>
      </w:r>
    </w:p>
    <w:p>
      <w:pPr>
        <w:spacing w:after="0" w:line="128"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b w:val="1"/>
          <w:bCs w:val="1"/>
          <w:color w:val="auto"/>
        </w:rPr>
        <w:t>Operational Security</w:t>
      </w:r>
      <w:r>
        <w:rPr>
          <w:rFonts w:ascii="Arial" w:cs="Arial" w:eastAsia="Arial" w:hAnsi="Arial"/>
          <w:sz w:val="17"/>
          <w:szCs w:val="17"/>
          <w:color w:val="auto"/>
        </w:rPr>
        <w:t>.</w:t>
      </w:r>
    </w:p>
    <w:p>
      <w:pPr>
        <w:spacing w:after="0" w:line="177" w:lineRule="exact"/>
        <w:rPr>
          <w:sz w:val="20"/>
          <w:szCs w:val="20"/>
          <w:color w:val="auto"/>
        </w:rPr>
      </w:pPr>
    </w:p>
    <w:p>
      <w:pPr>
        <w:ind w:left="580" w:right="80" w:firstLine="578"/>
        <w:spacing w:after="0" w:line="269" w:lineRule="auto"/>
        <w:tabs>
          <w:tab w:leader="none" w:pos="17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Recipient shall have implemented as of the Award Date and thereafter comply with (including through the provision of adequate resources and staffing) operational security plans, policies and procedures for each Project which shall include, at a minimum, the following elements:</w:t>
      </w:r>
    </w:p>
    <w:p>
      <w:pPr>
        <w:spacing w:after="0" w:line="120" w:lineRule="exact"/>
        <w:rPr>
          <w:rFonts w:ascii="Arial" w:cs="Arial" w:eastAsia="Arial" w:hAnsi="Arial"/>
          <w:sz w:val="18"/>
          <w:szCs w:val="18"/>
          <w:color w:val="auto"/>
        </w:rPr>
      </w:pPr>
    </w:p>
    <w:p>
      <w:pPr>
        <w:ind w:left="580" w:right="260" w:firstLine="1155"/>
        <w:spacing w:after="0" w:line="269" w:lineRule="auto"/>
        <w:tabs>
          <w:tab w:leader="none" w:pos="23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controls to protect physical security through defined perimeters and restricted areas; visitor control processes including visit requests, identification, vetting, and escort procedures; and processes to identify individuals and control accesses; and</w:t>
      </w:r>
    </w:p>
    <w:p>
      <w:pPr>
        <w:spacing w:after="0" w:line="120" w:lineRule="exact"/>
        <w:rPr>
          <w:rFonts w:ascii="Arial" w:cs="Arial" w:eastAsia="Arial" w:hAnsi="Arial"/>
          <w:sz w:val="18"/>
          <w:szCs w:val="18"/>
          <w:color w:val="auto"/>
        </w:rPr>
      </w:pPr>
    </w:p>
    <w:p>
      <w:pPr>
        <w:ind w:left="580" w:right="180" w:firstLine="1155"/>
        <w:spacing w:after="0" w:line="269" w:lineRule="auto"/>
        <w:tabs>
          <w:tab w:leader="none" w:pos="23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controls to mitigate insider threats by vetting employees and contractors in the US, identifying and monitoring for threat indicators, establishing reporting thresholds, and training employees and contractors on insider threat indicators and reporting procedures.</w:t>
      </w:r>
    </w:p>
    <w:p>
      <w:pPr>
        <w:spacing w:after="0" w:line="120" w:lineRule="exact"/>
        <w:rPr>
          <w:rFonts w:ascii="Arial" w:cs="Arial" w:eastAsia="Arial" w:hAnsi="Arial"/>
          <w:sz w:val="18"/>
          <w:szCs w:val="18"/>
          <w:color w:val="auto"/>
        </w:rPr>
      </w:pPr>
    </w:p>
    <w:p>
      <w:pPr>
        <w:ind w:left="1740" w:hanging="582"/>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177" w:lineRule="exact"/>
        <w:rPr>
          <w:sz w:val="20"/>
          <w:szCs w:val="20"/>
          <w:color w:val="auto"/>
        </w:rPr>
      </w:pPr>
    </w:p>
    <w:p>
      <w:pPr>
        <w:ind w:firstLine="1152"/>
        <w:spacing w:after="0" w:line="26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color w:val="auto"/>
        </w:rPr>
        <w:t>Counterfeit Prevention</w:t>
      </w:r>
      <w:r>
        <w:rPr>
          <w:rFonts w:ascii="Arial" w:cs="Arial" w:eastAsia="Arial" w:hAnsi="Arial"/>
          <w:sz w:val="18"/>
          <w:szCs w:val="18"/>
          <w:color w:val="auto"/>
        </w:rPr>
        <w:t>. Each Recipient shall have implemented as of the Award Date and thereafter comply with (including through the provision of adequate resources and staffing) counterfeit prevention plans, policies and procedures for each Project which shall include, at a minimum, the following elements:</w:t>
      </w:r>
    </w:p>
    <w:p>
      <w:pPr>
        <w:spacing w:after="0" w:line="120" w:lineRule="exact"/>
        <w:rPr>
          <w:sz w:val="20"/>
          <w:szCs w:val="20"/>
          <w:color w:val="auto"/>
        </w:rPr>
      </w:pPr>
    </w:p>
    <w:p>
      <w:pPr>
        <w:ind w:left="1760" w:hanging="602"/>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measures to mitigate against the upstream procurement of counterfeit parts, equipment and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Annex 1-6</w:t>
      </w:r>
    </w:p>
    <w:p>
      <w:pPr>
        <w:sectPr>
          <w:pgSz w:w="11900" w:h="16840" w:orient="portrait"/>
          <w:cols w:equalWidth="0" w:num="1">
            <w:col w:w="10460"/>
          </w:cols>
          <w:pgMar w:left="660" w:top="1440" w:right="780" w:bottom="1440" w:gutter="0" w:footer="0" w:header="0"/>
        </w:sectPr>
      </w:pPr>
    </w:p>
    <w:bookmarkStart w:id="129" w:name="page130"/>
    <w:bookmarkEnd w:id="129"/>
    <w:p>
      <w:pPr>
        <w:spacing w:after="0" w:line="377" w:lineRule="exact"/>
        <w:rPr>
          <w:sz w:val="20"/>
          <w:szCs w:val="20"/>
          <w:color w:val="auto"/>
        </w:rPr>
      </w:pPr>
    </w:p>
    <w:p>
      <w:pPr>
        <w:ind w:left="1740" w:hanging="582"/>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measures to integrate security features into products during design and production processes;</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measures to limit opportunities for downstream cloning, counterfeiting, or relabeling of products; and</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measures for identifying counterfeit products and responding to reports of counterfeit products.</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b w:val="1"/>
          <w:bCs w:val="1"/>
          <w:color w:val="auto"/>
        </w:rPr>
        <w:t>Information Sharing</w:t>
      </w:r>
      <w:r>
        <w:rPr>
          <w:rFonts w:ascii="Arial" w:cs="Arial" w:eastAsia="Arial" w:hAnsi="Arial"/>
          <w:sz w:val="17"/>
          <w:szCs w:val="17"/>
          <w:color w:val="auto"/>
        </w:rPr>
        <w:t>. Each Recipient is encouraged to apply to one or more of the following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Government-led programs, as appropriate, and to engage with their local FBI field office to establish a relationship:</w:t>
      </w:r>
    </w:p>
    <w:p>
      <w:pPr>
        <w:spacing w:after="0" w:line="159" w:lineRule="exact"/>
        <w:rPr>
          <w:sz w:val="20"/>
          <w:szCs w:val="20"/>
          <w:color w:val="auto"/>
        </w:rPr>
      </w:pPr>
    </w:p>
    <w:p>
      <w:pPr>
        <w:ind w:left="1760" w:hanging="602"/>
        <w:spacing w:after="0"/>
        <w:tabs>
          <w:tab w:leader="none" w:pos="1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Domestic Security Alliance Council; and</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InfraGard.</w:t>
      </w:r>
    </w:p>
    <w:p>
      <w:pPr>
        <w:spacing w:after="0" w:line="17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7"/>
          <w:szCs w:val="17"/>
          <w:b w:val="1"/>
          <w:bCs w:val="1"/>
          <w:color w:val="auto"/>
        </w:rPr>
        <w:t>Workforce</w:t>
      </w:r>
      <w:r>
        <w:rPr>
          <w:rFonts w:ascii="Arial" w:cs="Arial" w:eastAsia="Arial" w:hAnsi="Arial"/>
          <w:sz w:val="17"/>
          <w:szCs w:val="17"/>
          <w:color w:val="auto"/>
        </w:rPr>
        <w:t>.</w:t>
      </w:r>
    </w:p>
    <w:p>
      <w:pPr>
        <w:spacing w:after="0" w:line="177" w:lineRule="exact"/>
        <w:rPr>
          <w:sz w:val="20"/>
          <w:szCs w:val="20"/>
          <w:color w:val="auto"/>
        </w:rPr>
      </w:pPr>
    </w:p>
    <w:p>
      <w:pPr>
        <w:ind w:firstLine="1152"/>
        <w:spacing w:after="0" w:line="259"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b w:val="1"/>
          <w:bCs w:val="1"/>
          <w:color w:val="auto"/>
        </w:rPr>
        <w:t>Workforce Strategy</w:t>
      </w:r>
      <w:r>
        <w:rPr>
          <w:rFonts w:ascii="Arial" w:cs="Arial" w:eastAsia="Arial" w:hAnsi="Arial"/>
          <w:sz w:val="18"/>
          <w:szCs w:val="18"/>
          <w:color w:val="auto"/>
        </w:rPr>
        <w:t>. Each Recipient shall have implemented as of the Award Date a workforce strategy with respect to each of its Projects to recruit, train and retain the workforce required to meet the Facility Staffing Targets and Disbursement Milestones, which shall include, at a minimum, the following elements (it being understood that these elements may also count toward the applicable community investment commitments in Section 3.6 of this Annex when satisfying such community investment commitments to the extent not financed with the proceeds of the Workforce Award):</w:t>
      </w:r>
    </w:p>
    <w:p>
      <w:pPr>
        <w:spacing w:after="0" w:line="131" w:lineRule="exact"/>
        <w:rPr>
          <w:sz w:val="20"/>
          <w:szCs w:val="20"/>
          <w:color w:val="auto"/>
        </w:rPr>
      </w:pPr>
    </w:p>
    <w:p>
      <w:pPr>
        <w:ind w:left="580" w:right="320" w:firstLine="578"/>
        <w:spacing w:after="0" w:line="287" w:lineRule="auto"/>
        <w:tabs>
          <w:tab w:leader="none" w:pos="17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sponsoring training and education benefits paid for by the Recipients, programs to expand opportunity for Economically Disadvantaged Individuals, and other worker investments, including the following:</w:t>
      </w:r>
    </w:p>
    <w:p>
      <w:pPr>
        <w:spacing w:after="0" w:line="105" w:lineRule="exact"/>
        <w:rPr>
          <w:rFonts w:ascii="Arial" w:cs="Arial" w:eastAsia="Arial" w:hAnsi="Arial"/>
          <w:sz w:val="18"/>
          <w:szCs w:val="18"/>
          <w:color w:val="auto"/>
        </w:rPr>
      </w:pPr>
    </w:p>
    <w:p>
      <w:pPr>
        <w:ind w:left="580" w:right="40" w:firstLine="1155"/>
        <w:spacing w:after="0" w:line="259" w:lineRule="auto"/>
        <w:tabs>
          <w:tab w:leader="none" w:pos="2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for the NY Projects, consistent with the NY Recipient’s commitments in its Application (A) through one or more registered apprenticeship program hire up to </w:t>
      </w:r>
      <w:r>
        <w:rPr>
          <w:rFonts w:ascii="Arial" w:cs="Arial" w:eastAsia="Arial" w:hAnsi="Arial"/>
          <w:sz w:val="18"/>
          <w:szCs w:val="18"/>
          <w:b w:val="1"/>
          <w:bCs w:val="1"/>
          <w:color w:val="auto"/>
        </w:rPr>
        <w:t>[***]</w:t>
      </w:r>
      <w:r>
        <w:rPr>
          <w:rFonts w:ascii="Arial" w:cs="Arial" w:eastAsia="Arial" w:hAnsi="Arial"/>
          <w:sz w:val="18"/>
          <w:szCs w:val="18"/>
          <w:color w:val="auto"/>
        </w:rPr>
        <w:t xml:space="preserve"> apprentices per year after reaching the First Wafer Out Milestone for the NY Fab 1 Project who are hired as full-time employees receiving all of the benefits of any other employee, including tuition assistance up to $10,000 per year to cover tuition, books, and fees; and (B) partner with the Syracuse University’s D’Aniello Institute for Veterans and Military Families in the creation of the Semiconductor Hub and Onward to Opportunity program in a total amount over a three year period of not less than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580" w:firstLine="1155"/>
        <w:spacing w:after="0" w:line="262" w:lineRule="auto"/>
        <w:tabs>
          <w:tab w:leader="none" w:pos="2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for the ID Project, consistent with the ID Recipient’s commitments in its Application, through one or more registered apprenticeship program hire up to </w:t>
      </w:r>
      <w:r>
        <w:rPr>
          <w:rFonts w:ascii="Arial" w:cs="Arial" w:eastAsia="Arial" w:hAnsi="Arial"/>
          <w:sz w:val="18"/>
          <w:szCs w:val="18"/>
          <w:b w:val="1"/>
          <w:bCs w:val="1"/>
          <w:color w:val="auto"/>
        </w:rPr>
        <w:t>[***]</w:t>
      </w:r>
      <w:r>
        <w:rPr>
          <w:rFonts w:ascii="Arial" w:cs="Arial" w:eastAsia="Arial" w:hAnsi="Arial"/>
          <w:sz w:val="18"/>
          <w:szCs w:val="18"/>
          <w:color w:val="auto"/>
        </w:rPr>
        <w:t xml:space="preserve"> apprentices per year after reaching the First Wafer Out Milestone for the ID Project who are hired as full-time employees receiving all of the benefits of any other employee, including tuition assistance up to $10,000 per year to cover tuition, books, and fees;</w:t>
      </w:r>
    </w:p>
    <w:p>
      <w:pPr>
        <w:spacing w:after="0" w:line="128" w:lineRule="exact"/>
        <w:rPr>
          <w:rFonts w:ascii="Arial" w:cs="Arial" w:eastAsia="Arial" w:hAnsi="Arial"/>
          <w:sz w:val="18"/>
          <w:szCs w:val="18"/>
          <w:color w:val="auto"/>
        </w:rPr>
      </w:pPr>
    </w:p>
    <w:p>
      <w:pPr>
        <w:ind w:left="580" w:right="120" w:firstLine="1155"/>
        <w:spacing w:after="0" w:line="287" w:lineRule="auto"/>
        <w:tabs>
          <w:tab w:leader="none" w:pos="2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continuing their funding commitments, as identified in the applications, for: (A) the construction of the Onondaga Community College cleanroom ($5,000,000 commitment); and (B) the Micron internship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Annex 1-7</w:t>
      </w:r>
    </w:p>
    <w:p>
      <w:pPr>
        <w:sectPr>
          <w:pgSz w:w="11900" w:h="16840" w:orient="portrait"/>
          <w:cols w:equalWidth="0" w:num="1">
            <w:col w:w="10440"/>
          </w:cols>
          <w:pgMar w:left="660" w:top="1440" w:right="800" w:bottom="1440" w:gutter="0" w:footer="0" w:header="0"/>
        </w:sectPr>
      </w:pPr>
    </w:p>
    <w:bookmarkStart w:id="130" w:name="page131"/>
    <w:bookmarkEnd w:id="130"/>
    <w:p>
      <w:pPr>
        <w:spacing w:after="0" w:line="200" w:lineRule="exact"/>
        <w:rPr>
          <w:sz w:val="20"/>
          <w:szCs w:val="20"/>
          <w:color w:val="auto"/>
        </w:rPr>
      </w:pPr>
    </w:p>
    <w:p>
      <w:pPr>
        <w:spacing w:after="0" w:line="249" w:lineRule="exact"/>
        <w:rPr>
          <w:sz w:val="20"/>
          <w:szCs w:val="20"/>
          <w:color w:val="auto"/>
        </w:rPr>
      </w:pPr>
    </w:p>
    <w:p>
      <w:pPr>
        <w:jc w:val="both"/>
        <w:ind w:firstLine="576"/>
        <w:spacing w:after="0" w:line="269" w:lineRule="auto"/>
        <w:rPr>
          <w:sz w:val="20"/>
          <w:szCs w:val="20"/>
          <w:color w:val="auto"/>
        </w:rPr>
      </w:pPr>
      <w:r>
        <w:rPr>
          <w:rFonts w:ascii="Arial" w:cs="Arial" w:eastAsia="Arial" w:hAnsi="Arial"/>
          <w:sz w:val="18"/>
          <w:szCs w:val="18"/>
          <w:color w:val="auto"/>
        </w:rPr>
        <w:t>provided that, in each case, the applicable Recipient may replace or modify the foregoing with other similar programs that are at least comparable in quality and utility and are made available to at least the same categories of employees or programs to expand employment opportunity for Economically Disadvantaged Individuals that are at least comparable in effectiveness;</w:t>
      </w:r>
    </w:p>
    <w:p>
      <w:pPr>
        <w:spacing w:after="0" w:line="24" w:lineRule="exact"/>
        <w:rPr>
          <w:sz w:val="20"/>
          <w:szCs w:val="20"/>
          <w:color w:val="auto"/>
        </w:rPr>
      </w:pPr>
    </w:p>
    <w:p>
      <w:pPr>
        <w:ind w:left="580" w:right="360" w:firstLine="578"/>
        <w:spacing w:after="0" w:line="287" w:lineRule="auto"/>
        <w:tabs>
          <w:tab w:leader="none" w:pos="17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NY Projects, encourage construction contractors and subcontractors take commercially reasonable efforts to consider candidates for hire from Central New York (CNY) Build; and</w:t>
      </w:r>
    </w:p>
    <w:p>
      <w:pPr>
        <w:spacing w:after="0" w:line="105" w:lineRule="exact"/>
        <w:rPr>
          <w:rFonts w:ascii="Arial" w:cs="Arial" w:eastAsia="Arial" w:hAnsi="Arial"/>
          <w:sz w:val="18"/>
          <w:szCs w:val="18"/>
          <w:color w:val="auto"/>
        </w:rPr>
      </w:pPr>
    </w:p>
    <w:p>
      <w:pPr>
        <w:ind w:left="580" w:right="480" w:firstLine="578"/>
        <w:spacing w:after="0" w:line="287" w:lineRule="auto"/>
        <w:tabs>
          <w:tab w:leader="none" w:pos="17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implement a skills-based hiring approach by expanding the minimum qualifications that provide entry into semiconductor careers with no degree required.</w:t>
      </w:r>
    </w:p>
    <w:p>
      <w:pPr>
        <w:spacing w:after="0" w:line="105" w:lineRule="exact"/>
        <w:rPr>
          <w:sz w:val="20"/>
          <w:szCs w:val="20"/>
          <w:color w:val="auto"/>
        </w:rPr>
      </w:pPr>
    </w:p>
    <w:p>
      <w:pPr>
        <w:ind w:right="80" w:firstLine="1152"/>
        <w:spacing w:after="0" w:line="262"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b w:val="1"/>
          <w:bCs w:val="1"/>
          <w:color w:val="auto"/>
        </w:rPr>
        <w:t>Training Entity Commitments</w:t>
      </w:r>
      <w:r>
        <w:rPr>
          <w:rFonts w:ascii="Arial" w:cs="Arial" w:eastAsia="Arial" w:hAnsi="Arial"/>
          <w:sz w:val="18"/>
          <w:szCs w:val="18"/>
          <w:color w:val="auto"/>
        </w:rPr>
        <w:t>. Each Recipient shall obtain commitments (which, for the avoidance of doubt, may be evidenced pursuant to memoranda of understanding, written agreements or other writings acknowledging a commitment) from regional educational and training entities, institutions of higher education and/or other workforce or training organizations identified in the Application, or similar organizations, to provide, participate in, or support the workforce strategy, including the activities list in Section 3.3.1 (</w:t>
      </w:r>
      <w:r>
        <w:rPr>
          <w:rFonts w:ascii="Arial" w:cs="Arial" w:eastAsia="Arial" w:hAnsi="Arial"/>
          <w:sz w:val="18"/>
          <w:szCs w:val="18"/>
          <w:b w:val="1"/>
          <w:bCs w:val="1"/>
          <w:color w:val="auto"/>
        </w:rPr>
        <w:t>Workforce Strategy</w:t>
      </w:r>
      <w:r>
        <w:rPr>
          <w:rFonts w:ascii="Arial" w:cs="Arial" w:eastAsia="Arial" w:hAnsi="Arial"/>
          <w:sz w:val="18"/>
          <w:szCs w:val="18"/>
          <w:color w:val="auto"/>
        </w:rPr>
        <w:t>), where applicable.</w:t>
      </w:r>
    </w:p>
    <w:p>
      <w:pPr>
        <w:spacing w:after="0" w:line="119"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7"/>
          <w:szCs w:val="17"/>
          <w:b w:val="1"/>
          <w:bCs w:val="1"/>
          <w:color w:val="auto"/>
        </w:rPr>
        <w:t>Broader Impacts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b w:val="1"/>
          <w:bCs w:val="1"/>
          <w:color w:val="auto"/>
        </w:rPr>
        <w:t>Support for CHIPS Research and Development Programs</w:t>
      </w:r>
      <w:r>
        <w:rPr>
          <w:rFonts w:ascii="Arial" w:cs="Arial" w:eastAsia="Arial" w:hAnsi="Arial"/>
          <w:sz w:val="17"/>
          <w:szCs w:val="17"/>
          <w:color w:val="auto"/>
        </w:rPr>
        <w:t>.</w:t>
      </w:r>
    </w:p>
    <w:p>
      <w:pPr>
        <w:spacing w:after="0" w:line="177" w:lineRule="exact"/>
        <w:rPr>
          <w:sz w:val="20"/>
          <w:szCs w:val="20"/>
          <w:color w:val="auto"/>
        </w:rPr>
      </w:pPr>
    </w:p>
    <w:p>
      <w:pPr>
        <w:ind w:left="580" w:right="120" w:firstLine="578"/>
        <w:spacing w:after="0" w:line="257" w:lineRule="auto"/>
        <w:tabs>
          <w:tab w:leader="none" w:pos="17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Recipient (or the Sponsor Guarantor on their behalf) shall use commercially reasonable efforts to be a member of the NSTC for a minimum of five (5) years, starting from, subject to negotiation and execution of a membership agreement between the Recipients (or the Sponsor Guarantor on their behalf) and the National Center for the Advancement of Semiconductor Technology (Natcast) with mutually agreeable terms, the date that is three (3) months after the date on which NSTC is capable of accepting new members, the effective date of such membership agreement or three (3) months from the date of this Agreement, whichever is later.</w:t>
      </w:r>
    </w:p>
    <w:p>
      <w:pPr>
        <w:spacing w:after="0" w:line="134" w:lineRule="exact"/>
        <w:rPr>
          <w:rFonts w:ascii="Arial" w:cs="Arial" w:eastAsia="Arial" w:hAnsi="Arial"/>
          <w:sz w:val="18"/>
          <w:szCs w:val="18"/>
          <w:color w:val="auto"/>
        </w:rPr>
      </w:pPr>
    </w:p>
    <w:p>
      <w:pPr>
        <w:ind w:left="1740" w:hanging="582"/>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Recipient (or the Sponsor Guarantor on their behalf) shall do the following:</w:t>
      </w:r>
    </w:p>
    <w:p>
      <w:pPr>
        <w:spacing w:after="0" w:line="177" w:lineRule="exact"/>
        <w:rPr>
          <w:rFonts w:ascii="Arial" w:cs="Arial" w:eastAsia="Arial" w:hAnsi="Arial"/>
          <w:sz w:val="18"/>
          <w:szCs w:val="18"/>
          <w:color w:val="auto"/>
        </w:rPr>
      </w:pPr>
    </w:p>
    <w:p>
      <w:pPr>
        <w:ind w:left="580" w:firstLine="1155"/>
        <w:spacing w:after="0" w:line="269" w:lineRule="auto"/>
        <w:tabs>
          <w:tab w:leader="none" w:pos="230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designate a senior official of the Recipients (or the Sponsor Guarantor on their behalf) who will serve as the lead point of contact for activities related to the NSTC and, if requested by the NSTC, serve as a member of the NSTC’s Technical Advisory Committee and relevant working groups;</w:t>
      </w:r>
    </w:p>
    <w:p>
      <w:pPr>
        <w:spacing w:after="0" w:line="120" w:lineRule="exact"/>
        <w:rPr>
          <w:rFonts w:ascii="Arial" w:cs="Arial" w:eastAsia="Arial" w:hAnsi="Arial"/>
          <w:sz w:val="18"/>
          <w:szCs w:val="18"/>
          <w:color w:val="auto"/>
        </w:rPr>
      </w:pPr>
    </w:p>
    <w:p>
      <w:pPr>
        <w:ind w:left="580" w:right="600" w:firstLine="1155"/>
        <w:spacing w:after="0" w:line="287" w:lineRule="auto"/>
        <w:tabs>
          <w:tab w:leader="none" w:pos="2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use commercially reasonable efforts to participate in the NSTC Workforce Center of Excellence, including sharing the Recipient’s best practices; and</w:t>
      </w:r>
    </w:p>
    <w:p>
      <w:pPr>
        <w:spacing w:after="0" w:line="105" w:lineRule="exact"/>
        <w:rPr>
          <w:rFonts w:ascii="Arial" w:cs="Arial" w:eastAsia="Arial" w:hAnsi="Arial"/>
          <w:sz w:val="18"/>
          <w:szCs w:val="18"/>
          <w:color w:val="auto"/>
        </w:rPr>
      </w:pPr>
    </w:p>
    <w:p>
      <w:pPr>
        <w:ind w:left="580" w:firstLine="1155"/>
        <w:spacing w:after="0" w:line="262" w:lineRule="auto"/>
        <w:tabs>
          <w:tab w:leader="none" w:pos="23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use commercially reasonable efforts to support R&amp;D and other technology advancement efforts through active participation in the NSTC and/or other CHIPS R&amp;D programs, subject to negotiation and execution of agreements between the Recipients (or the Sponsor Guarantor on their behalf), the National Center for the Advancement of Semiconductor Technology (Natcast) and the Department’s CHIPS R&amp;D Office.</w:t>
      </w:r>
    </w:p>
    <w:p>
      <w:pPr>
        <w:spacing w:after="0" w:line="128"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7"/>
          <w:szCs w:val="17"/>
          <w:b w:val="1"/>
          <w:bCs w:val="1"/>
          <w:color w:val="auto"/>
        </w:rPr>
        <w:t>Climate and Environmental Responsibility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1-8</w:t>
      </w:r>
    </w:p>
    <w:p>
      <w:pPr>
        <w:sectPr>
          <w:pgSz w:w="11900" w:h="16840" w:orient="portrait"/>
          <w:cols w:equalWidth="0" w:num="1">
            <w:col w:w="10540"/>
          </w:cols>
          <w:pgMar w:left="660" w:top="1440" w:right="700" w:bottom="1440" w:gutter="0" w:footer="0" w:header="0"/>
        </w:sectPr>
      </w:pPr>
    </w:p>
    <w:bookmarkStart w:id="131" w:name="page132"/>
    <w:bookmarkEnd w:id="131"/>
    <w:p>
      <w:pPr>
        <w:spacing w:after="0" w:line="3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[RESERVED.]</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color w:val="auto"/>
        </w:rPr>
        <w:t>[RESERVED.]</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7"/>
          <w:szCs w:val="17"/>
          <w:color w:val="auto"/>
        </w:rPr>
        <w:t>[RESERVED.]</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7"/>
          <w:szCs w:val="17"/>
          <w:color w:val="auto"/>
        </w:rPr>
        <w:t>[RESERVED.]</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3.5.7</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7"/>
          <w:szCs w:val="17"/>
          <w:b w:val="1"/>
          <w:bCs w:val="1"/>
          <w:color w:val="auto"/>
        </w:rPr>
        <w:t>Community Investment</w:t>
      </w:r>
      <w:r>
        <w:rPr>
          <w:rFonts w:ascii="Arial" w:cs="Arial" w:eastAsia="Arial" w:hAnsi="Arial"/>
          <w:sz w:val="17"/>
          <w:szCs w:val="17"/>
          <w:color w:val="auto"/>
        </w:rPr>
        <w:t>. The Recipients, as applicable, shall make:</w:t>
      </w:r>
    </w:p>
    <w:p>
      <w:pPr>
        <w:spacing w:after="0" w:line="177" w:lineRule="exact"/>
        <w:rPr>
          <w:sz w:val="20"/>
          <w:szCs w:val="20"/>
          <w:color w:val="auto"/>
        </w:rPr>
      </w:pPr>
    </w:p>
    <w:p>
      <w:pPr>
        <w:ind w:left="580" w:firstLine="578"/>
        <w:spacing w:after="0" w:line="259" w:lineRule="auto"/>
        <w:tabs>
          <w:tab w:leader="none" w:pos="175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with respect to the NY Projects, investments of no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to the Green CHIPS Community Investment Fund, to be invested during Green Chips Phase 1 (between 2023 and 2035 and associated with the NY Fab 1 Project and the NY Fab 2 Project), and additional investments consistent with the NY Recipient’s obligations under Green Chips Phase 2 to be invested during Green Chips Phase 2, provided NY Recipient constructs two (2) subsequent fabrication facilities to be co-located with the NY Fab 1 Project and the NY Fab 2 Project; and</w:t>
      </w:r>
    </w:p>
    <w:p>
      <w:pPr>
        <w:spacing w:after="0" w:line="131" w:lineRule="exact"/>
        <w:rPr>
          <w:rFonts w:ascii="Arial" w:cs="Arial" w:eastAsia="Arial" w:hAnsi="Arial"/>
          <w:sz w:val="18"/>
          <w:szCs w:val="18"/>
          <w:color w:val="auto"/>
        </w:rPr>
      </w:pPr>
    </w:p>
    <w:p>
      <w:pPr>
        <w:ind w:left="580" w:right="80" w:firstLine="578"/>
        <w:spacing w:after="0" w:line="262" w:lineRule="auto"/>
        <w:tabs>
          <w:tab w:leader="none" w:pos="17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with respect to the ID Project, within ten (10) years from the public announcement of the ID Project, investments no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Idaho for purposes including, but not limited to: of infrastructure, transportation and mobility access, housing affordability and access, and entry-level relocation expenses, including, but not limited to, student loans and retirement grants, and/or internship/apprenticeship programs.</w:t>
      </w:r>
    </w:p>
    <w:p>
      <w:pPr>
        <w:spacing w:after="0" w:line="357" w:lineRule="exact"/>
        <w:rPr>
          <w:sz w:val="20"/>
          <w:szCs w:val="20"/>
          <w:color w:val="auto"/>
        </w:rPr>
      </w:pPr>
    </w:p>
    <w:p>
      <w:pPr>
        <w:ind w:right="140" w:firstLine="576"/>
        <w:spacing w:after="0" w:line="269" w:lineRule="auto"/>
        <w:rPr>
          <w:sz w:val="20"/>
          <w:szCs w:val="20"/>
          <w:color w:val="auto"/>
        </w:rPr>
      </w:pPr>
      <w:r>
        <w:rPr>
          <w:rFonts w:ascii="Arial" w:cs="Arial" w:eastAsia="Arial" w:hAnsi="Arial"/>
          <w:sz w:val="18"/>
          <w:szCs w:val="18"/>
          <w:b w:val="1"/>
          <w:bCs w:val="1"/>
          <w:color w:val="auto"/>
        </w:rPr>
        <w:t xml:space="preserve">Section 3.7 Signage. </w:t>
      </w:r>
      <w:r>
        <w:rPr>
          <w:rFonts w:ascii="Arial" w:cs="Arial" w:eastAsia="Arial" w:hAnsi="Arial"/>
          <w:sz w:val="18"/>
          <w:szCs w:val="18"/>
          <w:color w:val="auto"/>
        </w:rPr>
        <w:t>Each Recipient is encouraged to post project signage and include public acknowledgments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and other collateral materials (e.g., press releases, marketing materials, website, etc.) in form and substance satisfactory to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1-9</w:t>
      </w:r>
    </w:p>
    <w:p>
      <w:pPr>
        <w:sectPr>
          <w:pgSz w:w="11900" w:h="16840" w:orient="portrait"/>
          <w:cols w:equalWidth="0" w:num="1">
            <w:col w:w="10560"/>
          </w:cols>
          <w:pgMar w:left="660" w:top="1440" w:right="680"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auto"/>
        </w:rPr>
        <w:t>Exhibit 10.33</w:t>
      </w:r>
    </w:p>
    <w:p>
      <w:pPr>
        <w:spacing w:after="0" w:line="307"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 TO DIRECT FUNDING AGREEMENT</w:t>
      </w:r>
    </w:p>
    <w:p>
      <w:pPr>
        <w:spacing w:after="0" w:line="201" w:lineRule="exact"/>
        <w:rPr>
          <w:sz w:val="20"/>
          <w:szCs w:val="20"/>
          <w:color w:val="auto"/>
        </w:rPr>
      </w:pPr>
    </w:p>
    <w:p>
      <w:pPr>
        <w:ind w:right="120" w:firstLine="576"/>
        <w:spacing w:after="0" w:line="259" w:lineRule="auto"/>
        <w:rPr>
          <w:sz w:val="20"/>
          <w:szCs w:val="20"/>
          <w:color w:val="auto"/>
        </w:rPr>
      </w:pPr>
      <w:r>
        <w:rPr>
          <w:rFonts w:ascii="Arial" w:cs="Arial" w:eastAsia="Arial" w:hAnsi="Arial"/>
          <w:sz w:val="18"/>
          <w:szCs w:val="18"/>
          <w:b w:val="1"/>
          <w:bCs w:val="1"/>
          <w:color w:val="auto"/>
        </w:rPr>
        <w:t xml:space="preserve">This AMENDMENT NO. 2 TO DIRECT FUNDING AGREEMENT </w:t>
      </w:r>
      <w:r>
        <w:rPr>
          <w:rFonts w:ascii="Arial" w:cs="Arial" w:eastAsia="Arial" w:hAnsi="Arial"/>
          <w:sz w:val="18"/>
          <w:szCs w:val="18"/>
          <w:color w:val="auto"/>
        </w:rPr>
        <w:t>dated as of June 11, 2025 (this “</w:t>
      </w:r>
      <w:r>
        <w:rPr>
          <w:rFonts w:ascii="Arial" w:cs="Arial" w:eastAsia="Arial" w:hAnsi="Arial"/>
          <w:sz w:val="18"/>
          <w:szCs w:val="18"/>
          <w:b w:val="1"/>
          <w:bCs w:val="1"/>
          <w:color w:val="auto"/>
        </w:rPr>
        <w:t xml:space="preserve">Amendment </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(a) MICRON NEW YORK SEMICONDUCTOR MANUFACTURING LLC, a Delaware limited liability company as the recipient (the “ </w:t>
      </w:r>
      <w:r>
        <w:rPr>
          <w:rFonts w:ascii="Arial" w:cs="Arial" w:eastAsia="Arial" w:hAnsi="Arial"/>
          <w:sz w:val="18"/>
          <w:szCs w:val="18"/>
          <w:b w:val="1"/>
          <w:bCs w:val="1"/>
          <w:color w:val="auto"/>
        </w:rPr>
        <w:t>Recipient</w:t>
      </w:r>
      <w:r>
        <w:rPr>
          <w:rFonts w:ascii="Arial" w:cs="Arial" w:eastAsia="Arial" w:hAnsi="Arial"/>
          <w:sz w:val="18"/>
          <w:szCs w:val="18"/>
          <w:color w:val="auto"/>
        </w:rPr>
        <w:t>”); and (b) the UNITED STATES DEPARTMENT OF COMMERCE (the “</w:t>
      </w:r>
      <w:r>
        <w:rPr>
          <w:rFonts w:ascii="Arial" w:cs="Arial" w:eastAsia="Arial" w:hAnsi="Arial"/>
          <w:sz w:val="18"/>
          <w:szCs w:val="18"/>
          <w:b w:val="1"/>
          <w:bCs w:val="1"/>
          <w:color w:val="auto"/>
        </w:rPr>
        <w:t>Department</w:t>
      </w:r>
      <w:r>
        <w:rPr>
          <w:rFonts w:ascii="Arial" w:cs="Arial" w:eastAsia="Arial" w:hAnsi="Arial"/>
          <w:sz w:val="18"/>
          <w:szCs w:val="18"/>
          <w:color w:val="auto"/>
        </w:rPr>
        <w:t>” and together with the Recipient,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 an agency of the United States of America, acting by and through the Secretary of Commerce (or appropriate authorized representative thereof).</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01" w:lineRule="exact"/>
        <w:rPr>
          <w:sz w:val="20"/>
          <w:szCs w:val="20"/>
          <w:color w:val="auto"/>
        </w:rPr>
      </w:pPr>
    </w:p>
    <w:p>
      <w:pPr>
        <w:ind w:right="280" w:firstLine="576"/>
        <w:spacing w:after="0" w:line="29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Recipient has entered into that certain Direct Funding Agreement dated as of December 9, 2024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restated, supplemented or modified and in effect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by and among the Recipient and the Department, setting forth, among other things, certain terms and conditions associated with the Award (as defined therein);</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to amend the Agreement on the terms set out herein; and</w:t>
      </w:r>
    </w:p>
    <w:p>
      <w:pPr>
        <w:spacing w:after="0" w:line="201" w:lineRule="exact"/>
        <w:rPr>
          <w:sz w:val="20"/>
          <w:szCs w:val="20"/>
          <w:color w:val="auto"/>
        </w:rPr>
      </w:pPr>
    </w:p>
    <w:p>
      <w:pPr>
        <w:jc w:val="both"/>
        <w:ind w:right="160" w:firstLine="576"/>
        <w:spacing w:after="0" w:line="26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10.5 (</w:t>
      </w:r>
      <w:r>
        <w:rPr>
          <w:rFonts w:ascii="Arial" w:cs="Arial" w:eastAsia="Arial" w:hAnsi="Arial"/>
          <w:sz w:val="18"/>
          <w:szCs w:val="18"/>
          <w:i w:val="1"/>
          <w:iCs w:val="1"/>
          <w:color w:val="auto"/>
        </w:rPr>
        <w:t>Waiver and Amendment</w:t>
      </w:r>
      <w:r>
        <w:rPr>
          <w:rFonts w:ascii="Arial" w:cs="Arial" w:eastAsia="Arial" w:hAnsi="Arial"/>
          <w:sz w:val="18"/>
          <w:szCs w:val="18"/>
          <w:color w:val="auto"/>
        </w:rPr>
        <w:t>) of the Agreement, neither the Agreement nor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may be amended, waived, discharged, or terminated unless such amendment, waiver, discharge, or termination is in writing and executed by the Recipient and the Department.</w:t>
      </w:r>
    </w:p>
    <w:p>
      <w:pPr>
        <w:spacing w:after="0" w:line="144" w:lineRule="exact"/>
        <w:rPr>
          <w:sz w:val="20"/>
          <w:szCs w:val="20"/>
          <w:color w:val="auto"/>
        </w:rPr>
      </w:pPr>
    </w:p>
    <w:p>
      <w:pPr>
        <w:ind w:right="60" w:firstLine="576"/>
        <w:spacing w:after="0" w:line="287"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premises and mutual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receipt and sufficiency of which are hereby acknowledged, the Parties agree as follows:</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RULES OF INTERPRETATION</w:t>
      </w:r>
    </w:p>
    <w:p>
      <w:pPr>
        <w:spacing w:after="0" w:line="201" w:lineRule="exact"/>
        <w:rPr>
          <w:sz w:val="20"/>
          <w:szCs w:val="20"/>
          <w:color w:val="auto"/>
        </w:rPr>
      </w:pPr>
    </w:p>
    <w:p>
      <w:pPr>
        <w:jc w:val="both"/>
        <w:ind w:right="440" w:firstLine="576"/>
        <w:spacing w:after="0" w:line="269" w:lineRule="auto"/>
        <w:rPr>
          <w:sz w:val="20"/>
          <w:szCs w:val="20"/>
          <w:color w:val="auto"/>
        </w:rPr>
      </w:pPr>
      <w:r>
        <w:rPr>
          <w:rFonts w:ascii="Arial" w:cs="Arial" w:eastAsia="Arial" w:hAnsi="Arial"/>
          <w:sz w:val="18"/>
          <w:szCs w:val="18"/>
          <w:b w:val="1"/>
          <w:bCs w:val="1"/>
          <w:color w:val="auto"/>
        </w:rPr>
        <w:t>Section 1.1 Defined Terms</w:t>
      </w:r>
      <w:r>
        <w:rPr>
          <w:rFonts w:ascii="Arial" w:cs="Arial" w:eastAsia="Arial" w:hAnsi="Arial"/>
          <w:sz w:val="18"/>
          <w:szCs w:val="18"/>
          <w:color w:val="auto"/>
        </w:rPr>
        <w:t>. Except as otherwise expressly provided herein, the Parties agree that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this Amendment (including such terms used in the preamble and recitals above) shall have the meanings given to them (directly or by reference) in the Agreement.</w:t>
      </w:r>
    </w:p>
    <w:p>
      <w:pPr>
        <w:spacing w:after="0" w:line="120" w:lineRule="exact"/>
        <w:rPr>
          <w:sz w:val="20"/>
          <w:szCs w:val="20"/>
          <w:color w:val="auto"/>
        </w:rPr>
      </w:pPr>
    </w:p>
    <w:p>
      <w:pPr>
        <w:jc w:val="both"/>
        <w:ind w:right="600" w:firstLine="576"/>
        <w:spacing w:after="0" w:line="287" w:lineRule="auto"/>
        <w:rPr>
          <w:sz w:val="20"/>
          <w:szCs w:val="20"/>
          <w:color w:val="auto"/>
        </w:rPr>
      </w:pPr>
      <w:r>
        <w:rPr>
          <w:rFonts w:ascii="Arial" w:cs="Arial" w:eastAsia="Arial" w:hAnsi="Arial"/>
          <w:sz w:val="18"/>
          <w:szCs w:val="18"/>
          <w:b w:val="1"/>
          <w:bCs w:val="1"/>
          <w:color w:val="auto"/>
        </w:rPr>
        <w:t>Section 1.2 Rules of Interpretation</w:t>
      </w:r>
      <w:r>
        <w:rPr>
          <w:rFonts w:ascii="Arial" w:cs="Arial" w:eastAsia="Arial" w:hAnsi="Arial"/>
          <w:sz w:val="18"/>
          <w:szCs w:val="18"/>
          <w:color w:val="auto"/>
        </w:rPr>
        <w:t>. The rules of interpretation set forth in Annex B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apply to this Amendment as if set forth herein.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AGREEMENT</w:t>
      </w:r>
    </w:p>
    <w:p>
      <w:pPr>
        <w:spacing w:after="0" w:line="201" w:lineRule="exact"/>
        <w:rPr>
          <w:sz w:val="20"/>
          <w:szCs w:val="20"/>
          <w:color w:val="auto"/>
        </w:rPr>
      </w:pPr>
    </w:p>
    <w:p>
      <w:pPr>
        <w:jc w:val="both"/>
        <w:ind w:right="620" w:firstLine="576"/>
        <w:spacing w:after="0" w:line="273" w:lineRule="auto"/>
        <w:rPr>
          <w:sz w:val="20"/>
          <w:szCs w:val="20"/>
          <w:color w:val="auto"/>
        </w:rPr>
      </w:pPr>
      <w:r>
        <w:rPr>
          <w:rFonts w:ascii="Arial" w:cs="Arial" w:eastAsia="Arial" w:hAnsi="Arial"/>
          <w:sz w:val="18"/>
          <w:szCs w:val="18"/>
          <w:b w:val="1"/>
          <w:bCs w:val="1"/>
          <w:color w:val="auto"/>
        </w:rPr>
        <w:t>Section 2.1 Amendment to Section 2.1(a)</w:t>
      </w:r>
      <w:r>
        <w:rPr>
          <w:rFonts w:ascii="Arial" w:cs="Arial" w:eastAsia="Arial" w:hAnsi="Arial"/>
          <w:sz w:val="18"/>
          <w:szCs w:val="18"/>
          <w:color w:val="auto"/>
        </w:rPr>
        <w:t>. Clause (a) in Section 2.1 (</w:t>
      </w:r>
      <w:r>
        <w:rPr>
          <w:rFonts w:ascii="Arial" w:cs="Arial" w:eastAsia="Arial" w:hAnsi="Arial"/>
          <w:sz w:val="18"/>
          <w:szCs w:val="18"/>
          <w:i w:val="1"/>
          <w:iCs w:val="1"/>
          <w:color w:val="auto"/>
        </w:rPr>
        <w:t>Award Amount</w:t>
      </w:r>
      <w:r>
        <w:rPr>
          <w:rFonts w:ascii="Arial" w:cs="Arial" w:eastAsia="Arial" w:hAnsi="Arial"/>
          <w:sz w:val="18"/>
          <w:szCs w:val="18"/>
          <w:color w:val="auto"/>
        </w:rPr>
        <w:t>) of the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and restated in its entirety and replaced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760" w:hanging="602"/>
        <w:spacing w:after="0"/>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total maximum amount of the Award:</w:t>
      </w:r>
    </w:p>
    <w:p>
      <w:pPr>
        <w:sectPr>
          <w:pgSz w:w="11900" w:h="16840" w:orient="portrait"/>
          <w:cols w:equalWidth="0" w:num="1">
            <w:col w:w="10580"/>
          </w:cols>
          <w:pgMar w:left="660" w:top="558"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40" w:orient="portrait"/>
          <w:cols w:equalWidth="0" w:num="1">
            <w:col w:w="10580"/>
          </w:cols>
          <w:pgMar w:left="660" w:top="558" w:right="660" w:bottom="1440" w:gutter="0" w:footer="0" w:header="0"/>
          <w:type w:val="continuous"/>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right="240" w:firstLine="1155"/>
        <w:spacing w:after="0" w:line="296" w:lineRule="auto"/>
        <w:tabs>
          <w:tab w:leader="none" w:pos="2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for Direct Funding for the NY Fab 1 Project is </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NY Fab 1 Maximum Direct Funding Award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and such Award, the “</w:t>
      </w:r>
      <w:r>
        <w:rPr>
          <w:rFonts w:ascii="Arial" w:cs="Arial" w:eastAsia="Arial" w:hAnsi="Arial"/>
          <w:sz w:val="18"/>
          <w:szCs w:val="18"/>
          <w:b w:val="1"/>
          <w:bCs w:val="1"/>
          <w:color w:val="auto"/>
        </w:rPr>
        <w:t>NY Fab 1 Direct Funding Award</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580" w:firstLine="1155"/>
        <w:spacing w:after="0" w:line="265" w:lineRule="auto"/>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for Direct Funding for the NY Fab 2 Project is </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NY Fab 2 Maximum Direct Funding Award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and together with the NY Fab 2 Maximum Direct Funding Award Amount, the “</w:t>
      </w:r>
      <w:r>
        <w:rPr>
          <w:rFonts w:ascii="Arial" w:cs="Arial" w:eastAsia="Arial" w:hAnsi="Arial"/>
          <w:sz w:val="18"/>
          <w:szCs w:val="18"/>
          <w:b w:val="1"/>
          <w:bCs w:val="1"/>
          <w:color w:val="auto"/>
        </w:rPr>
        <w:t>Maximum Direct Funding Award Amount</w:t>
      </w:r>
      <w:r>
        <w:rPr>
          <w:rFonts w:ascii="Arial" w:cs="Arial" w:eastAsia="Arial" w:hAnsi="Arial"/>
          <w:sz w:val="18"/>
          <w:szCs w:val="18"/>
          <w:color w:val="auto"/>
        </w:rPr>
        <w:t>” and such Award, the “</w:t>
      </w:r>
      <w:r>
        <w:rPr>
          <w:rFonts w:ascii="Arial" w:cs="Arial" w:eastAsia="Arial" w:hAnsi="Arial"/>
          <w:sz w:val="18"/>
          <w:szCs w:val="18"/>
          <w:b w:val="1"/>
          <w:bCs w:val="1"/>
          <w:color w:val="auto"/>
        </w:rPr>
        <w:t>NY Fab 2 Direct Funding Award</w:t>
      </w:r>
      <w:r>
        <w:rPr>
          <w:rFonts w:ascii="Arial" w:cs="Arial" w:eastAsia="Arial" w:hAnsi="Arial"/>
          <w:sz w:val="18"/>
          <w:szCs w:val="18"/>
          <w:color w:val="auto"/>
        </w:rPr>
        <w:t>” and together with the NY Fab 1 Direct Funding Award,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Direct Funding Award</w:t>
      </w:r>
      <w:r>
        <w:rPr>
          <w:rFonts w:ascii="Arial" w:cs="Arial" w:eastAsia="Arial" w:hAnsi="Arial"/>
          <w:sz w:val="18"/>
          <w:szCs w:val="18"/>
          <w:color w:val="auto"/>
        </w:rPr>
        <w:t>”); and</w:t>
      </w:r>
    </w:p>
    <w:p>
      <w:pPr>
        <w:spacing w:after="0" w:line="118" w:lineRule="exact"/>
        <w:rPr>
          <w:rFonts w:ascii="Arial" w:cs="Arial" w:eastAsia="Arial" w:hAnsi="Arial"/>
          <w:sz w:val="18"/>
          <w:szCs w:val="18"/>
          <w:color w:val="auto"/>
        </w:rPr>
      </w:pPr>
    </w:p>
    <w:p>
      <w:pPr>
        <w:jc w:val="both"/>
        <w:ind w:left="580" w:right="140" w:firstLine="1155"/>
        <w:spacing w:after="0" w:line="273" w:lineRule="auto"/>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Workforce Disbursements is sixty-five million Dollars ($65,000,000.00) (the “</w:t>
      </w:r>
      <w:r>
        <w:rPr>
          <w:rFonts w:ascii="Arial" w:cs="Arial" w:eastAsia="Arial" w:hAnsi="Arial"/>
          <w:sz w:val="18"/>
          <w:szCs w:val="18"/>
          <w:b w:val="1"/>
          <w:bCs w:val="1"/>
          <w:color w:val="auto"/>
        </w:rPr>
        <w:t>Maximum Workforce</w:t>
      </w:r>
      <w:r>
        <w:rPr>
          <w:rFonts w:ascii="Arial" w:cs="Arial" w:eastAsia="Arial" w:hAnsi="Arial"/>
          <w:sz w:val="18"/>
          <w:szCs w:val="18"/>
          <w:color w:val="auto"/>
        </w:rPr>
        <w:t xml:space="preserve"> </w:t>
      </w:r>
      <w:r>
        <w:rPr>
          <w:rFonts w:ascii="Arial" w:cs="Arial" w:eastAsia="Arial" w:hAnsi="Arial"/>
          <w:sz w:val="18"/>
          <w:szCs w:val="18"/>
          <w:b w:val="1"/>
          <w:bCs w:val="1"/>
          <w:color w:val="auto"/>
        </w:rPr>
        <w:t>Award Amount</w:t>
      </w:r>
      <w:r>
        <w:rPr>
          <w:rFonts w:ascii="Arial" w:cs="Arial" w:eastAsia="Arial" w:hAnsi="Arial"/>
          <w:sz w:val="18"/>
          <w:szCs w:val="18"/>
          <w:color w:val="auto"/>
        </w:rPr>
        <w:t>” and together with the Maximum Direct Funding Award Amount, the “</w:t>
      </w:r>
      <w:r>
        <w:rPr>
          <w:rFonts w:ascii="Arial" w:cs="Arial" w:eastAsia="Arial" w:hAnsi="Arial"/>
          <w:sz w:val="18"/>
          <w:szCs w:val="18"/>
          <w:b w:val="1"/>
          <w:bCs w:val="1"/>
          <w:color w:val="auto"/>
        </w:rPr>
        <w:t>Maximum Award Amount</w:t>
      </w:r>
      <w:r>
        <w:rPr>
          <w:rFonts w:ascii="Arial" w:cs="Arial" w:eastAsia="Arial" w:hAnsi="Arial"/>
          <w:sz w:val="18"/>
          <w:szCs w:val="18"/>
          <w:color w:val="auto"/>
        </w:rPr>
        <w: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 the “</w:t>
      </w:r>
      <w:r>
        <w:rPr>
          <w:rFonts w:ascii="Arial" w:cs="Arial" w:eastAsia="Arial" w:hAnsi="Arial"/>
          <w:sz w:val="18"/>
          <w:szCs w:val="18"/>
          <w:b w:val="1"/>
          <w:bCs w:val="1"/>
          <w:color w:val="auto"/>
        </w:rPr>
        <w:t>Workforce Award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-1026795</wp:posOffset>
            </wp:positionV>
            <wp:extent cx="304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90" w:lineRule="exact"/>
        <w:rPr>
          <w:sz w:val="20"/>
          <w:szCs w:val="20"/>
          <w:color w:val="auto"/>
        </w:rPr>
      </w:pPr>
    </w:p>
    <w:p>
      <w:pPr>
        <w:ind w:left="580" w:right="220"/>
        <w:spacing w:after="0" w:line="328" w:lineRule="auto"/>
        <w:rPr>
          <w:sz w:val="20"/>
          <w:szCs w:val="20"/>
          <w:color w:val="auto"/>
        </w:rPr>
      </w:pPr>
      <w:r>
        <w:rPr>
          <w:rFonts w:ascii="Arial" w:cs="Arial" w:eastAsia="Arial" w:hAnsi="Arial"/>
          <w:sz w:val="17"/>
          <w:szCs w:val="17"/>
          <w:color w:val="auto"/>
        </w:rPr>
        <w:t>which, collectively, represent the total amount of funds that may be disbursed by the Department to the Recipient upon execution and delivery of one or more Funding Obligations in accordance with Schedule A (</w:t>
      </w:r>
      <w:r>
        <w:rPr>
          <w:rFonts w:ascii="Arial" w:cs="Arial" w:eastAsia="Arial" w:hAnsi="Arial"/>
          <w:sz w:val="17"/>
          <w:szCs w:val="17"/>
          <w:b w:val="1"/>
          <w:bCs w:val="1"/>
          <w:color w:val="auto"/>
        </w:rPr>
        <w:t>Fiscal Year Appropriations</w:t>
      </w:r>
      <w:r>
        <w:rPr>
          <w:rFonts w:ascii="Arial" w:cs="Arial" w:eastAsia="Arial" w:hAnsi="Arial"/>
          <w:sz w:val="17"/>
          <w:szCs w:val="17"/>
          <w:color w:val="auto"/>
        </w:rPr>
        <w:t>).”</w:t>
      </w:r>
    </w:p>
    <w:p>
      <w:pPr>
        <w:spacing w:after="0" w:line="90" w:lineRule="exact"/>
        <w:rPr>
          <w:sz w:val="20"/>
          <w:szCs w:val="20"/>
          <w:color w:val="auto"/>
        </w:rPr>
      </w:pPr>
    </w:p>
    <w:p>
      <w:pPr>
        <w:ind w:right="80" w:firstLine="576"/>
        <w:spacing w:after="0" w:line="273" w:lineRule="auto"/>
        <w:rPr>
          <w:sz w:val="20"/>
          <w:szCs w:val="20"/>
          <w:color w:val="auto"/>
        </w:rPr>
      </w:pPr>
      <w:r>
        <w:rPr>
          <w:rFonts w:ascii="Arial" w:cs="Arial" w:eastAsia="Arial" w:hAnsi="Arial"/>
          <w:sz w:val="18"/>
          <w:szCs w:val="18"/>
          <w:b w:val="1"/>
          <w:bCs w:val="1"/>
          <w:color w:val="auto"/>
        </w:rPr>
        <w:t>Section 2.2 Amendment to Section 9.4 (Specific Performance)</w:t>
      </w:r>
      <w:r>
        <w:rPr>
          <w:rFonts w:ascii="Arial" w:cs="Arial" w:eastAsia="Arial" w:hAnsi="Arial"/>
          <w:sz w:val="18"/>
          <w:szCs w:val="18"/>
          <w:color w:val="auto"/>
        </w:rPr>
        <w:t>. Section 9.4 (</w:t>
      </w:r>
      <w:r>
        <w:rPr>
          <w:rFonts w:ascii="Arial" w:cs="Arial" w:eastAsia="Arial" w:hAnsi="Arial"/>
          <w:sz w:val="18"/>
          <w:szCs w:val="18"/>
          <w:i w:val="1"/>
          <w:iCs w:val="1"/>
          <w:color w:val="auto"/>
        </w:rPr>
        <w:t>Specific Performance</w:t>
      </w:r>
      <w:r>
        <w:rPr>
          <w:rFonts w:ascii="Arial" w:cs="Arial" w:eastAsia="Arial" w:hAnsi="Arial"/>
          <w:sz w:val="18"/>
          <w:szCs w:val="18"/>
          <w:color w:val="auto"/>
        </w:rPr>
        <w:t>)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amended by replacing each reference to Section “3.5.4 (</w:t>
      </w:r>
      <w:r>
        <w:rPr>
          <w:rFonts w:ascii="Arial" w:cs="Arial" w:eastAsia="Arial" w:hAnsi="Arial"/>
          <w:sz w:val="18"/>
          <w:szCs w:val="18"/>
          <w:b w:val="1"/>
          <w:bCs w:val="1"/>
          <w:color w:val="auto"/>
        </w:rPr>
        <w:t>Community Investments</w:t>
      </w:r>
      <w:r>
        <w:rPr>
          <w:rFonts w:ascii="Arial" w:cs="Arial" w:eastAsia="Arial" w:hAnsi="Arial"/>
          <w:sz w:val="18"/>
          <w:szCs w:val="18"/>
          <w:color w:val="auto"/>
        </w:rPr>
        <w:t>) of Annex D (</w:t>
      </w:r>
      <w:r>
        <w:rPr>
          <w:rFonts w:ascii="Arial" w:cs="Arial" w:eastAsia="Arial" w:hAnsi="Arial"/>
          <w:sz w:val="18"/>
          <w:szCs w:val="18"/>
          <w:b w:val="1"/>
          <w:bCs w:val="1"/>
          <w:color w:val="auto"/>
        </w:rPr>
        <w:t>Program</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with reference to Section “3.6 (</w:t>
      </w:r>
      <w:r>
        <w:rPr>
          <w:rFonts w:ascii="Arial" w:cs="Arial" w:eastAsia="Arial" w:hAnsi="Arial"/>
          <w:sz w:val="18"/>
          <w:szCs w:val="18"/>
          <w:b w:val="1"/>
          <w:bCs w:val="1"/>
          <w:color w:val="auto"/>
        </w:rPr>
        <w:t>Community Investments</w:t>
      </w:r>
      <w:r>
        <w:rPr>
          <w:rFonts w:ascii="Arial" w:cs="Arial" w:eastAsia="Arial" w:hAnsi="Arial"/>
          <w:sz w:val="18"/>
          <w:szCs w:val="18"/>
          <w:color w:val="auto"/>
        </w:rPr>
        <w:t>) of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110" w:lineRule="exact"/>
        <w:rPr>
          <w:sz w:val="20"/>
          <w:szCs w:val="20"/>
          <w:color w:val="auto"/>
        </w:rPr>
      </w:pPr>
    </w:p>
    <w:p>
      <w:pPr>
        <w:ind w:right="260" w:firstLine="576"/>
        <w:spacing w:after="0" w:line="273" w:lineRule="auto"/>
        <w:rPr>
          <w:sz w:val="20"/>
          <w:szCs w:val="20"/>
          <w:color w:val="auto"/>
        </w:rPr>
      </w:pPr>
      <w:r>
        <w:rPr>
          <w:rFonts w:ascii="Arial" w:cs="Arial" w:eastAsia="Arial" w:hAnsi="Arial"/>
          <w:sz w:val="18"/>
          <w:szCs w:val="18"/>
          <w:b w:val="1"/>
          <w:bCs w:val="1"/>
          <w:color w:val="auto"/>
        </w:rPr>
        <w:t>Section 2.3 Amendment to Annex A (Definitions)</w:t>
      </w:r>
      <w:r>
        <w:rPr>
          <w:rFonts w:ascii="Arial" w:cs="Arial" w:eastAsia="Arial" w:hAnsi="Arial"/>
          <w:sz w:val="18"/>
          <w:szCs w:val="18"/>
          <w:color w:val="auto"/>
        </w:rPr>
        <w:t>. Annex A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“Abandonment”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60" w:firstLine="57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Abandonment</w:t>
      </w:r>
      <w:r>
        <w:rPr>
          <w:rFonts w:ascii="Arial" w:cs="Arial" w:eastAsia="Arial" w:hAnsi="Arial"/>
          <w:sz w:val="18"/>
          <w:szCs w:val="18"/>
          <w:color w:val="auto"/>
        </w:rPr>
        <w:t xml:space="preserve"> ” means, with respect to any Project, the relinquishment of possession and control of the relevant Project by the Recipient or the complete cessation of work or activity for </w:t>
      </w:r>
      <w:r>
        <w:rPr>
          <w:rFonts w:ascii="Arial" w:cs="Arial" w:eastAsia="Arial" w:hAnsi="Arial"/>
          <w:sz w:val="18"/>
          <w:szCs w:val="18"/>
          <w:b w:val="1"/>
          <w:bCs w:val="1"/>
          <w:color w:val="auto"/>
        </w:rPr>
        <w:t>[***]</w:t>
      </w:r>
      <w:r>
        <w:rPr>
          <w:rFonts w:ascii="Arial" w:cs="Arial" w:eastAsia="Arial" w:hAnsi="Arial"/>
          <w:sz w:val="18"/>
          <w:szCs w:val="18"/>
          <w:color w:val="auto"/>
        </w:rPr>
        <w:t xml:space="preserve"> consecutive days (or </w:t>
      </w:r>
      <w:r>
        <w:rPr>
          <w:rFonts w:ascii="Arial" w:cs="Arial" w:eastAsia="Arial" w:hAnsi="Arial"/>
          <w:sz w:val="18"/>
          <w:szCs w:val="18"/>
          <w:b w:val="1"/>
          <w:bCs w:val="1"/>
          <w:color w:val="auto"/>
        </w:rPr>
        <w:t>[***]</w:t>
      </w:r>
      <w:r>
        <w:rPr>
          <w:rFonts w:ascii="Arial" w:cs="Arial" w:eastAsia="Arial" w:hAnsi="Arial"/>
          <w:sz w:val="18"/>
          <w:szCs w:val="18"/>
          <w:color w:val="auto"/>
        </w:rPr>
        <w:t>non-consecutive days in any Fiscal Year) at the relevant Project, except as a result of the occurrence of an Event of Force Majeure, and the term “Abandon” shall have a correlative meaning.”</w:t>
      </w:r>
    </w:p>
    <w:p>
      <w:pPr>
        <w:spacing w:after="0" w:line="152" w:lineRule="exact"/>
        <w:rPr>
          <w:sz w:val="20"/>
          <w:szCs w:val="20"/>
          <w:color w:val="auto"/>
        </w:rPr>
      </w:pPr>
    </w:p>
    <w:p>
      <w:pPr>
        <w:ind w:right="40" w:firstLine="576"/>
        <w:spacing w:after="0" w:line="273" w:lineRule="auto"/>
        <w:rPr>
          <w:sz w:val="20"/>
          <w:szCs w:val="20"/>
          <w:color w:val="auto"/>
        </w:rPr>
      </w:pPr>
      <w:r>
        <w:rPr>
          <w:rFonts w:ascii="Arial" w:cs="Arial" w:eastAsia="Arial" w:hAnsi="Arial"/>
          <w:sz w:val="18"/>
          <w:szCs w:val="18"/>
          <w:b w:val="1"/>
          <w:bCs w:val="1"/>
          <w:color w:val="auto"/>
        </w:rPr>
        <w:t>Section 2.4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“Advanced Packaging Resiliency Objectives”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Advanced Packaging Resiliency Objectives</w:t>
      </w:r>
      <w:r>
        <w:rPr>
          <w:rFonts w:ascii="Arial" w:cs="Arial" w:eastAsia="Arial" w:hAnsi="Arial"/>
          <w:sz w:val="18"/>
          <w:szCs w:val="18"/>
          <w:color w:val="auto"/>
        </w:rPr>
        <w:t>” means the following advanced packaging resiliency objectives:</w:t>
      </w:r>
    </w:p>
    <w:p>
      <w:pPr>
        <w:spacing w:after="0" w:line="126" w:lineRule="exact"/>
        <w:rPr>
          <w:sz w:val="20"/>
          <w:szCs w:val="20"/>
          <w:color w:val="auto"/>
        </w:rPr>
      </w:pPr>
    </w:p>
    <w:p>
      <w:pPr>
        <w:ind w:left="580" w:right="20" w:firstLine="578"/>
        <w:spacing w:after="0" w:line="263" w:lineRule="auto"/>
        <w:tabs>
          <w:tab w:leader="none" w:pos="14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on or before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 xml:space="preserve">, the Sponsor Guarantor and its subsidiaries, on a Consolidated Basis, shall have the operational capability and installed equipment capacity to package HBM wafers in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 xml:space="preserve"> in an amount of not less than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 xml:space="preserve">of the total amount of HBM wafers that the Sponsor Guarantor and its subsidiaries have the operational capability and installed equipment capacity to produce on a global basis; </w:t>
      </w:r>
      <w:r>
        <w:rPr>
          <w:rFonts w:ascii="Arial" w:cs="Arial" w:eastAsia="Arial" w:hAnsi="Arial"/>
          <w:sz w:val="18"/>
          <w:szCs w:val="18"/>
          <w:color w:val="auto"/>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40" w:orient="portrait"/>
          <w:cols w:equalWidth="0" w:num="1">
            <w:col w:w="10520"/>
          </w:cols>
          <w:pgMar w:left="660" w:top="1440" w:right="72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20" w:hanging="262"/>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operational capability to package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 xml:space="preserve">of HBM wafers manufactured by the Recipient in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u w:val="single" w:color="auto"/>
          <w:color w:val="auto"/>
        </w:rPr>
        <w:t>; and</w:t>
      </w:r>
    </w:p>
    <w:p>
      <w:pPr>
        <w:spacing w:after="0" w:line="131" w:lineRule="exact"/>
        <w:rPr>
          <w:rFonts w:ascii="Arial" w:cs="Arial" w:eastAsia="Arial" w:hAnsi="Arial"/>
          <w:sz w:val="18"/>
          <w:szCs w:val="18"/>
          <w:color w:val="auto"/>
        </w:rPr>
      </w:pPr>
    </w:p>
    <w:p>
      <w:pPr>
        <w:ind w:left="580" w:right="180" w:firstLine="578"/>
        <w:spacing w:after="0" w:line="295" w:lineRule="auto"/>
        <w:tabs>
          <w:tab w:leader="none" w:pos="1426" w:val="left"/>
        </w:tabs>
        <w:numPr>
          <w:ilvl w:val="0"/>
          <w:numId w:val="6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Sponsor Guarantor and its subsidiaries, on a Consolidated Basis, shall use commercially reasonable efforts to package a minimum of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u w:val="single" w:color="auto"/>
          <w:color w:val="auto"/>
        </w:rPr>
        <w:t>HBM wafers per week within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w:t>
      </w:r>
      <w:r>
        <w:rPr>
          <w:rFonts w:ascii="Arial" w:cs="Arial" w:eastAsia="Arial" w:hAnsi="Arial"/>
          <w:sz w:val="18"/>
          <w:szCs w:val="18"/>
          <w:b w:val="1"/>
          <w:bCs w:val="1"/>
          <w:u w:val="single" w:color="auto"/>
          <w:color w:val="auto"/>
        </w:rPr>
        <w:t>by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p>
      <w:pPr>
        <w:spacing w:after="0" w:line="90" w:lineRule="exact"/>
        <w:rPr>
          <w:sz w:val="20"/>
          <w:szCs w:val="20"/>
          <w:color w:val="auto"/>
        </w:rPr>
      </w:pPr>
    </w:p>
    <w:p>
      <w:pPr>
        <w:ind w:right="280" w:firstLine="576"/>
        <w:spacing w:after="0" w:line="273" w:lineRule="auto"/>
        <w:rPr>
          <w:sz w:val="20"/>
          <w:szCs w:val="20"/>
          <w:color w:val="auto"/>
        </w:rPr>
      </w:pPr>
      <w:r>
        <w:rPr>
          <w:rFonts w:ascii="Arial" w:cs="Arial" w:eastAsia="Arial" w:hAnsi="Arial"/>
          <w:sz w:val="18"/>
          <w:szCs w:val="18"/>
          <w:b w:val="1"/>
          <w:bCs w:val="1"/>
          <w:color w:val="auto"/>
        </w:rPr>
        <w:t>Section 2.5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“Base Case Financial Model”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20" w:firstLine="57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Case Financial Model</w:t>
      </w:r>
      <w:r>
        <w:rPr>
          <w:rFonts w:ascii="Arial" w:cs="Arial" w:eastAsia="Arial" w:hAnsi="Arial"/>
          <w:sz w:val="17"/>
          <w:szCs w:val="17"/>
          <w:color w:val="auto"/>
        </w:rPr>
        <w:t>” means the base case financial model delivered by the Recipient, and approved by the Department, in connection with the Award Date, pursuant to Section 4.9 (</w:t>
      </w:r>
      <w:r>
        <w:rPr>
          <w:rFonts w:ascii="Arial" w:cs="Arial" w:eastAsia="Arial" w:hAnsi="Arial"/>
          <w:sz w:val="17"/>
          <w:szCs w:val="17"/>
          <w:b w:val="1"/>
          <w:bCs w:val="1"/>
          <w:color w:val="auto"/>
        </w:rPr>
        <w:t>Base Case Financial Model</w:t>
      </w:r>
      <w:r>
        <w:rPr>
          <w:rFonts w:ascii="Arial" w:cs="Arial" w:eastAsia="Arial" w:hAnsi="Arial"/>
          <w:sz w:val="17"/>
          <w:szCs w:val="17"/>
          <w:color w:val="auto"/>
        </w:rPr>
        <w:t>)</w:t>
      </w:r>
      <w:r>
        <w:rPr>
          <w:rFonts w:ascii="Arial" w:cs="Arial" w:eastAsia="Arial" w:hAnsi="Arial"/>
          <w:sz w:val="17"/>
          <w:szCs w:val="17"/>
          <w:b w:val="1"/>
          <w:bCs w:val="1"/>
          <w:u w:val="single" w:color="auto"/>
          <w:color w:val="auto"/>
        </w:rPr>
        <w:t>, as such Base Case</w:t>
      </w:r>
    </w:p>
    <w:p>
      <w:pPr>
        <w:spacing w:after="0" w:line="1"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b w:val="1"/>
          <w:bCs w:val="1"/>
          <w:u w:val="single" w:color="auto"/>
          <w:color w:val="auto"/>
        </w:rPr>
        <w:t>Financial Model may be updated by a revised base case financial model delivered by the Recipient and approved by the Department in connection with an amendment to the Agreement or as otherwise may be agreed in writing by the Recipient and the Department</w:t>
      </w:r>
      <w:r>
        <w:rPr>
          <w:rFonts w:ascii="Arial" w:cs="Arial" w:eastAsia="Arial" w:hAnsi="Arial"/>
          <w:sz w:val="18"/>
          <w:szCs w:val="18"/>
          <w:color w:val="auto"/>
        </w:rPr>
        <w:t>.”</w:t>
      </w:r>
    </w:p>
    <w:p>
      <w:pPr>
        <w:spacing w:after="0" w:line="118" w:lineRule="exact"/>
        <w:rPr>
          <w:sz w:val="20"/>
          <w:szCs w:val="20"/>
          <w:color w:val="auto"/>
        </w:rPr>
      </w:pPr>
    </w:p>
    <w:p>
      <w:pPr>
        <w:ind w:right="300" w:firstLine="576"/>
        <w:spacing w:after="0" w:line="273" w:lineRule="auto"/>
        <w:rPr>
          <w:sz w:val="20"/>
          <w:szCs w:val="20"/>
          <w:color w:val="auto"/>
        </w:rPr>
      </w:pPr>
      <w:r>
        <w:rPr>
          <w:rFonts w:ascii="Arial" w:cs="Arial" w:eastAsia="Arial" w:hAnsi="Arial"/>
          <w:sz w:val="18"/>
          <w:szCs w:val="18"/>
          <w:b w:val="1"/>
          <w:bCs w:val="1"/>
          <w:color w:val="auto"/>
        </w:rPr>
        <w:t>Section 2.6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“Project Commencement Clawback Date”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Commencement Clawback Date</w:t>
      </w:r>
      <w:r>
        <w:rPr>
          <w:rFonts w:ascii="Arial" w:cs="Arial" w:eastAsia="Arial" w:hAnsi="Arial"/>
          <w:sz w:val="18"/>
          <w:szCs w:val="18"/>
          <w:color w:val="auto"/>
        </w:rPr>
        <w:t>” means:</w:t>
      </w:r>
    </w:p>
    <w:p>
      <w:pPr>
        <w:spacing w:after="0" w:line="201" w:lineRule="exact"/>
        <w:rPr>
          <w:sz w:val="20"/>
          <w:szCs w:val="20"/>
          <w:color w:val="auto"/>
        </w:rPr>
      </w:pPr>
    </w:p>
    <w:p>
      <w:pPr>
        <w:ind w:left="580" w:firstLine="578"/>
        <w:spacing w:after="0" w:line="269" w:lineRule="auto"/>
        <w:tabs>
          <w:tab w:leader="none" w:pos="17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the NY Fab 1 Project, the later of (i</w:t>
      </w:r>
      <w:r>
        <w:rPr>
          <w:rFonts w:ascii="Arial" w:cs="Arial" w:eastAsia="Arial" w:hAnsi="Arial"/>
          <w:sz w:val="18"/>
          <w:szCs w:val="18"/>
          <w:b w:val="1"/>
          <w:bCs w:val="1"/>
          <w:color w:val="auto"/>
        </w:rPr>
        <w:t>[***]</w:t>
      </w:r>
      <w:r>
        <w:rPr>
          <w:rFonts w:ascii="Arial" w:cs="Arial" w:eastAsia="Arial" w:hAnsi="Arial"/>
          <w:sz w:val="18"/>
          <w:szCs w:val="18"/>
          <w:color w:val="auto"/>
        </w:rPr>
        <w:t>; and (ii) the date falling sixty (60) days after the date the Recipient is permitted to commence construction of the Project under: (A) the terms of the Department’s final decision under NEPA; and (B) all other Applicable Laws; and</w:t>
      </w:r>
    </w:p>
    <w:p>
      <w:pPr>
        <w:spacing w:after="0" w:line="120" w:lineRule="exact"/>
        <w:rPr>
          <w:rFonts w:ascii="Arial" w:cs="Arial" w:eastAsia="Arial" w:hAnsi="Arial"/>
          <w:sz w:val="18"/>
          <w:szCs w:val="18"/>
          <w:color w:val="auto"/>
        </w:rPr>
      </w:pPr>
    </w:p>
    <w:p>
      <w:pPr>
        <w:ind w:left="1740" w:hanging="582"/>
        <w:spacing w:after="0"/>
        <w:tabs>
          <w:tab w:leader="none" w:pos="1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with respect to the NY Fab 2 Project, </w:t>
      </w:r>
      <w:r>
        <w:rPr>
          <w:rFonts w:ascii="Arial" w:cs="Arial" w:eastAsia="Arial" w:hAnsi="Arial"/>
          <w:sz w:val="18"/>
          <w:szCs w:val="18"/>
          <w:b w:val="1"/>
          <w:bCs w:val="1"/>
          <w:color w:val="auto"/>
        </w:rPr>
        <w:t>[***]</w:t>
      </w:r>
    </w:p>
    <w:p>
      <w:pPr>
        <w:spacing w:after="0" w:line="177" w:lineRule="exact"/>
        <w:rPr>
          <w:sz w:val="20"/>
          <w:szCs w:val="20"/>
          <w:color w:val="auto"/>
        </w:rPr>
      </w:pPr>
    </w:p>
    <w:p>
      <w:pPr>
        <w:ind w:right="260" w:firstLine="576"/>
        <w:spacing w:after="0" w:line="273" w:lineRule="auto"/>
        <w:rPr>
          <w:sz w:val="20"/>
          <w:szCs w:val="20"/>
          <w:color w:val="auto"/>
        </w:rPr>
      </w:pPr>
      <w:r>
        <w:rPr>
          <w:rFonts w:ascii="Arial" w:cs="Arial" w:eastAsia="Arial" w:hAnsi="Arial"/>
          <w:sz w:val="18"/>
          <w:szCs w:val="18"/>
          <w:b w:val="1"/>
          <w:bCs w:val="1"/>
          <w:color w:val="auto"/>
        </w:rPr>
        <w:t>Section 2.7 Amendment to Annex A (Definitions)</w:t>
      </w:r>
      <w:r>
        <w:rPr>
          <w:rFonts w:ascii="Arial" w:cs="Arial" w:eastAsia="Arial" w:hAnsi="Arial"/>
          <w:sz w:val="18"/>
          <w:szCs w:val="18"/>
          <w:color w:val="auto"/>
        </w:rPr>
        <w:t>. Annex A (</w:t>
      </w:r>
      <w:r>
        <w:rPr>
          <w:rFonts w:ascii="Arial" w:cs="Arial" w:eastAsia="Arial" w:hAnsi="Arial"/>
          <w:sz w:val="18"/>
          <w:szCs w:val="18"/>
          <w:i w:val="1"/>
          <w:iCs w:val="1"/>
          <w:color w:val="auto"/>
        </w:rPr>
        <w:t>Definitions</w:t>
      </w:r>
      <w:r>
        <w:rPr>
          <w:rFonts w:ascii="Arial" w:cs="Arial" w:eastAsia="Arial" w:hAnsi="Arial"/>
          <w:sz w:val="18"/>
          <w:szCs w:val="18"/>
          <w:color w:val="auto"/>
        </w:rPr>
        <w:t>) of the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deleting the definition of “Upside Sharing Percentage”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160" w:firstLine="576"/>
        <w:spacing w:after="0" w:line="29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Upside Sharing Percentage</w:t>
      </w:r>
      <w:r>
        <w:rPr>
          <w:rFonts w:ascii="Arial" w:cs="Arial" w:eastAsia="Arial" w:hAnsi="Arial"/>
          <w:sz w:val="18"/>
          <w:szCs w:val="18"/>
          <w:color w:val="auto"/>
        </w:rPr>
        <w:t>” means, with respect to each Project for each Relevant Period, (a) with respect to the NY Fab 1 Project</w:t>
      </w:r>
      <w:r>
        <w:rPr>
          <w:rFonts w:ascii="Arial" w:cs="Arial" w:eastAsia="Arial" w:hAnsi="Arial"/>
          <w:sz w:val="18"/>
          <w:szCs w:val="18"/>
          <w:b w:val="1"/>
          <w:bCs w:val="1"/>
          <w:color w:val="auto"/>
        </w:rPr>
        <w:t>[***]</w:t>
      </w:r>
      <w:r>
        <w:rPr>
          <w:rFonts w:ascii="Arial" w:cs="Arial" w:eastAsia="Arial" w:hAnsi="Arial"/>
          <w:sz w:val="18"/>
          <w:szCs w:val="18"/>
          <w:color w:val="auto"/>
        </w:rPr>
        <w:t xml:space="preserve">; and (b) with respect to the NY Fab 2 Project </w:t>
      </w:r>
      <w:r>
        <w:rPr>
          <w:rFonts w:ascii="Arial" w:cs="Arial" w:eastAsia="Arial" w:hAnsi="Arial"/>
          <w:sz w:val="18"/>
          <w:szCs w:val="18"/>
          <w:b w:val="1"/>
          <w:bCs w:val="1"/>
          <w:color w:val="auto"/>
        </w:rPr>
        <w:t>[***]</w:t>
      </w:r>
    </w:p>
    <w:p>
      <w:pPr>
        <w:spacing w:after="0" w:line="90" w:lineRule="exact"/>
        <w:rPr>
          <w:sz w:val="20"/>
          <w:szCs w:val="20"/>
          <w:color w:val="auto"/>
        </w:rPr>
      </w:pPr>
    </w:p>
    <w:p>
      <w:pPr>
        <w:jc w:val="both"/>
        <w:ind w:right="500" w:firstLine="576"/>
        <w:spacing w:after="0" w:line="273" w:lineRule="auto"/>
        <w:rPr>
          <w:sz w:val="20"/>
          <w:szCs w:val="20"/>
          <w:color w:val="auto"/>
        </w:rPr>
      </w:pPr>
      <w:r>
        <w:rPr>
          <w:rFonts w:ascii="Arial" w:cs="Arial" w:eastAsia="Arial" w:hAnsi="Arial"/>
          <w:sz w:val="18"/>
          <w:szCs w:val="18"/>
          <w:b w:val="1"/>
          <w:bCs w:val="1"/>
          <w:color w:val="auto"/>
        </w:rPr>
        <w:t>Section 2.8 Amendment to Annex G Section 1 (Definitions)</w:t>
      </w:r>
      <w:r>
        <w:rPr>
          <w:rFonts w:ascii="Arial" w:cs="Arial" w:eastAsia="Arial" w:hAnsi="Arial"/>
          <w:sz w:val="18"/>
          <w:szCs w:val="18"/>
          <w:color w:val="auto"/>
        </w:rPr>
        <w:t>. Annex G Section 1 (</w:t>
      </w:r>
      <w:r>
        <w:rPr>
          <w:rFonts w:ascii="Arial" w:cs="Arial" w:eastAsia="Arial" w:hAnsi="Arial"/>
          <w:sz w:val="18"/>
          <w:szCs w:val="18"/>
          <w:i w:val="1"/>
          <w:iCs w:val="1"/>
          <w:color w:val="auto"/>
        </w:rPr>
        <w:t>Definitions</w:t>
      </w:r>
      <w:r>
        <w:rPr>
          <w:rFonts w:ascii="Arial" w:cs="Arial" w:eastAsia="Arial" w:hAnsi="Arial"/>
          <w:sz w:val="18"/>
          <w:szCs w:val="18"/>
          <w:color w:val="auto"/>
        </w:rPr>
        <w:t>)of the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amended by deleting the definition of “[***]” in its entirety and replacing it with the following (deleted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40" w:orient="portrait"/>
          <w:cols w:equalWidth="0" w:num="1">
            <w:col w:w="10520"/>
          </w:cols>
          <w:pgMar w:left="660" w:top="1440" w:right="720"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576"/>
        <w:spacing w:after="0" w:line="273" w:lineRule="auto"/>
        <w:rPr>
          <w:sz w:val="20"/>
          <w:szCs w:val="20"/>
          <w:color w:val="auto"/>
        </w:rPr>
      </w:pPr>
      <w:r>
        <w:rPr>
          <w:rFonts w:ascii="Arial" w:cs="Arial" w:eastAsia="Arial" w:hAnsi="Arial"/>
          <w:sz w:val="18"/>
          <w:szCs w:val="18"/>
          <w:b w:val="1"/>
          <w:bCs w:val="1"/>
          <w:color w:val="auto"/>
        </w:rPr>
        <w:t>Section 2.9 Amendment to Annex G Section 2.1(a)</w:t>
      </w:r>
      <w:r>
        <w:rPr>
          <w:rFonts w:ascii="Arial" w:cs="Arial" w:eastAsia="Arial" w:hAnsi="Arial"/>
          <w:sz w:val="18"/>
          <w:szCs w:val="18"/>
          <w:color w:val="auto"/>
        </w:rPr>
        <w:t>. Clause (a) in Section 2.1 ([***]) of Annex A (</w:t>
      </w:r>
      <w:r>
        <w:rPr>
          <w:rFonts w:ascii="Arial" w:cs="Arial" w:eastAsia="Arial" w:hAnsi="Arial"/>
          <w:sz w:val="18"/>
          <w:szCs w:val="18"/>
          <w:i w:val="1"/>
          <w:iCs w:val="1"/>
          <w:color w:val="auto"/>
        </w:rPr>
        <w:t>Direct Funding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Workforce Activities</w:t>
      </w:r>
      <w:r>
        <w:rPr>
          <w:rFonts w:ascii="Arial" w:cs="Arial" w:eastAsia="Arial" w:hAnsi="Arial"/>
          <w:sz w:val="18"/>
          <w:szCs w:val="18"/>
          <w:color w:val="auto"/>
        </w:rPr>
        <w:t>) of the Agreement is hereby amended and restated in its entirety and replaced with the following (deleted text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580" w:right="80" w:firstLine="578"/>
        <w:spacing w:after="0" w:line="286" w:lineRule="auto"/>
        <w:tabs>
          <w:tab w:leader="none" w:pos="1732"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Amount</w:t>
      </w:r>
      <w:r>
        <w:rPr>
          <w:rFonts w:ascii="Arial" w:cs="Arial" w:eastAsia="Arial" w:hAnsi="Arial"/>
          <w:sz w:val="18"/>
          <w:szCs w:val="18"/>
          <w:color w:val="auto"/>
        </w:rPr>
        <w:t>. The Maximum Workforce Award Amount used for Eligible Workforce Costs shall be sixty-five million Dollars ($65,000,000)[***].”</w:t>
      </w:r>
    </w:p>
    <w:p>
      <w:pPr>
        <w:spacing w:after="0" w:line="106" w:lineRule="exact"/>
        <w:rPr>
          <w:sz w:val="20"/>
          <w:szCs w:val="20"/>
          <w:color w:val="auto"/>
        </w:rPr>
      </w:pPr>
    </w:p>
    <w:p>
      <w:pPr>
        <w:ind w:right="360" w:firstLine="576"/>
        <w:spacing w:after="0" w:line="273" w:lineRule="auto"/>
        <w:rPr>
          <w:sz w:val="20"/>
          <w:szCs w:val="20"/>
          <w:color w:val="auto"/>
        </w:rPr>
      </w:pPr>
      <w:r>
        <w:rPr>
          <w:rFonts w:ascii="Arial" w:cs="Arial" w:eastAsia="Arial" w:hAnsi="Arial"/>
          <w:sz w:val="18"/>
          <w:szCs w:val="18"/>
          <w:b w:val="1"/>
          <w:bCs w:val="1"/>
          <w:color w:val="auto"/>
        </w:rPr>
        <w:t>Section 2.10 Amendment to Annex G Section 2.2(a)(a)</w:t>
      </w:r>
      <w:r>
        <w:rPr>
          <w:rFonts w:ascii="Arial" w:cs="Arial" w:eastAsia="Arial" w:hAnsi="Arial"/>
          <w:sz w:val="18"/>
          <w:szCs w:val="18"/>
          <w:color w:val="auto"/>
        </w:rPr>
        <w:t>. Sub-clause (a)(a) in Section 2.2 ([***]) of Annex A (</w:t>
      </w:r>
      <w:r>
        <w:rPr>
          <w:rFonts w:ascii="Arial" w:cs="Arial" w:eastAsia="Arial" w:hAnsi="Arial"/>
          <w:sz w:val="18"/>
          <w:szCs w:val="18"/>
          <w:i w:val="1"/>
          <w:iCs w:val="1"/>
          <w:color w:val="auto"/>
        </w:rPr>
        <w:t>Direct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Funding for Workforce Activities</w:t>
      </w:r>
      <w:r>
        <w:rPr>
          <w:rFonts w:ascii="Arial" w:cs="Arial" w:eastAsia="Arial" w:hAnsi="Arial"/>
          <w:sz w:val="18"/>
          <w:szCs w:val="18"/>
          <w:color w:val="auto"/>
        </w:rPr>
        <w:t>) of the Agreement is hereby amended and restated in its entirety and replaced with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(deleted text is marked with </w:t>
      </w:r>
      <w:r>
        <w:rPr>
          <w:rFonts w:ascii="Arial" w:cs="Arial" w:eastAsia="Arial" w:hAnsi="Arial"/>
          <w:sz w:val="18"/>
          <w:szCs w:val="18"/>
          <w:color w:val="auto"/>
          <w:strike w:val="1"/>
        </w:rPr>
        <w:t>strikethrough</w:t>
      </w:r>
      <w:r>
        <w:rPr>
          <w:rFonts w:ascii="Arial" w:cs="Arial" w:eastAsia="Arial" w:hAnsi="Arial"/>
          <w:sz w:val="18"/>
          <w:szCs w:val="18"/>
          <w:color w:val="auto"/>
        </w:rPr>
        <w:t xml:space="preserve"> and new text is marked in </w:t>
      </w:r>
      <w:r>
        <w:rPr>
          <w:rFonts w:ascii="Arial" w:cs="Arial" w:eastAsia="Arial" w:hAnsi="Arial"/>
          <w:sz w:val="18"/>
          <w:szCs w:val="18"/>
          <w:b w:val="1"/>
          <w:bCs w:val="1"/>
          <w:u w:val="single" w:color="auto"/>
          <w:color w:val="auto"/>
        </w:rPr>
        <w:t>bold underline</w:t>
      </w:r>
      <w:r>
        <w:rPr>
          <w:rFonts w:ascii="Arial" w:cs="Arial" w:eastAsia="Arial" w:hAnsi="Arial"/>
          <w:sz w:val="18"/>
          <w:szCs w:val="18"/>
          <w:color w:val="auto"/>
        </w:rPr>
        <w:t>):</w:t>
      </w:r>
    </w:p>
    <w:p>
      <w:pPr>
        <w:spacing w:after="0" w:line="110" w:lineRule="exact"/>
        <w:rPr>
          <w:sz w:val="20"/>
          <w:szCs w:val="20"/>
          <w:color w:val="auto"/>
        </w:rPr>
      </w:pPr>
    </w:p>
    <w:p>
      <w:pPr>
        <w:ind w:left="1760" w:hanging="602"/>
        <w:spacing w:after="0"/>
        <w:tabs>
          <w:tab w:leader="none" w:pos="1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177" w:lineRule="exact"/>
        <w:rPr>
          <w:sz w:val="20"/>
          <w:szCs w:val="20"/>
          <w:color w:val="auto"/>
        </w:rPr>
      </w:pPr>
    </w:p>
    <w:p>
      <w:pPr>
        <w:ind w:right="60" w:firstLine="576"/>
        <w:spacing w:after="0" w:line="287" w:lineRule="auto"/>
        <w:rPr>
          <w:sz w:val="20"/>
          <w:szCs w:val="20"/>
          <w:color w:val="auto"/>
        </w:rPr>
      </w:pPr>
      <w:r>
        <w:rPr>
          <w:rFonts w:ascii="Arial" w:cs="Arial" w:eastAsia="Arial" w:hAnsi="Arial"/>
          <w:sz w:val="18"/>
          <w:szCs w:val="18"/>
          <w:b w:val="1"/>
          <w:bCs w:val="1"/>
          <w:color w:val="auto"/>
        </w:rPr>
        <w:t>Section 2.11 Amendment to Annex D</w:t>
      </w:r>
      <w:r>
        <w:rPr>
          <w:rFonts w:ascii="Arial" w:cs="Arial" w:eastAsia="Arial" w:hAnsi="Arial"/>
          <w:sz w:val="18"/>
          <w:szCs w:val="18"/>
          <w:color w:val="auto"/>
        </w:rPr>
        <w:t>. Annex D (</w:t>
      </w:r>
      <w:r>
        <w:rPr>
          <w:rFonts w:ascii="Arial" w:cs="Arial" w:eastAsia="Arial" w:hAnsi="Arial"/>
          <w:sz w:val="18"/>
          <w:szCs w:val="18"/>
          <w:i w:val="1"/>
          <w:iCs w:val="1"/>
          <w:color w:val="auto"/>
        </w:rPr>
        <w:t>Program Requirements</w:t>
      </w:r>
      <w:r>
        <w:rPr>
          <w:rFonts w:ascii="Arial" w:cs="Arial" w:eastAsia="Arial" w:hAnsi="Arial"/>
          <w:sz w:val="18"/>
          <w:szCs w:val="18"/>
          <w:color w:val="auto"/>
        </w:rPr>
        <w:t>) of the Agreement shall be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Annex attached here to as Annex 1.</w:t>
      </w:r>
    </w:p>
    <w:p>
      <w:pPr>
        <w:spacing w:after="0" w:line="105" w:lineRule="exact"/>
        <w:rPr>
          <w:sz w:val="20"/>
          <w:szCs w:val="20"/>
          <w:color w:val="auto"/>
        </w:rPr>
      </w:pPr>
    </w:p>
    <w:p>
      <w:pPr>
        <w:ind w:firstLine="576"/>
        <w:spacing w:after="0" w:line="287" w:lineRule="auto"/>
        <w:rPr>
          <w:sz w:val="20"/>
          <w:szCs w:val="20"/>
          <w:color w:val="auto"/>
        </w:rPr>
      </w:pPr>
      <w:r>
        <w:rPr>
          <w:rFonts w:ascii="Arial" w:cs="Arial" w:eastAsia="Arial" w:hAnsi="Arial"/>
          <w:sz w:val="18"/>
          <w:szCs w:val="18"/>
          <w:b w:val="1"/>
          <w:bCs w:val="1"/>
          <w:color w:val="auto"/>
        </w:rPr>
        <w:t>Section 2.12 Amendment to Annex F</w:t>
      </w:r>
      <w:r>
        <w:rPr>
          <w:rFonts w:ascii="Arial" w:cs="Arial" w:eastAsia="Arial" w:hAnsi="Arial"/>
          <w:sz w:val="18"/>
          <w:szCs w:val="18"/>
          <w:color w:val="auto"/>
        </w:rPr>
        <w:t>. Annex F (</w:t>
      </w:r>
      <w:r>
        <w:rPr>
          <w:rFonts w:ascii="Arial" w:cs="Arial" w:eastAsia="Arial" w:hAnsi="Arial"/>
          <w:sz w:val="18"/>
          <w:szCs w:val="18"/>
          <w:i w:val="1"/>
          <w:iCs w:val="1"/>
          <w:color w:val="auto"/>
        </w:rPr>
        <w:t>Reporting Requirements</w:t>
      </w:r>
      <w:r>
        <w:rPr>
          <w:rFonts w:ascii="Arial" w:cs="Arial" w:eastAsia="Arial" w:hAnsi="Arial"/>
          <w:sz w:val="18"/>
          <w:szCs w:val="18"/>
          <w:color w:val="auto"/>
        </w:rPr>
        <w:t>) of the Agreement shall be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Annex attached here to as Annex 2.</w:t>
      </w:r>
    </w:p>
    <w:p>
      <w:pPr>
        <w:spacing w:after="0" w:line="105" w:lineRule="exact"/>
        <w:rPr>
          <w:sz w:val="20"/>
          <w:szCs w:val="20"/>
          <w:color w:val="auto"/>
        </w:rPr>
      </w:pPr>
    </w:p>
    <w:p>
      <w:pPr>
        <w:ind w:right="180" w:firstLine="576"/>
        <w:spacing w:after="0" w:line="287" w:lineRule="auto"/>
        <w:rPr>
          <w:sz w:val="20"/>
          <w:szCs w:val="20"/>
          <w:color w:val="auto"/>
        </w:rPr>
      </w:pPr>
      <w:r>
        <w:rPr>
          <w:rFonts w:ascii="Arial" w:cs="Arial" w:eastAsia="Arial" w:hAnsi="Arial"/>
          <w:sz w:val="18"/>
          <w:szCs w:val="18"/>
          <w:b w:val="1"/>
          <w:bCs w:val="1"/>
          <w:color w:val="auto"/>
        </w:rPr>
        <w:t>Section 2.13 Amendment to Schedule A</w:t>
      </w:r>
      <w:r>
        <w:rPr>
          <w:rFonts w:ascii="Arial" w:cs="Arial" w:eastAsia="Arial" w:hAnsi="Arial"/>
          <w:sz w:val="18"/>
          <w:szCs w:val="18"/>
          <w:color w:val="auto"/>
        </w:rPr>
        <w:t>. Schedule A (</w:t>
      </w:r>
      <w:r>
        <w:rPr>
          <w:rFonts w:ascii="Arial" w:cs="Arial" w:eastAsia="Arial" w:hAnsi="Arial"/>
          <w:sz w:val="18"/>
          <w:szCs w:val="18"/>
          <w:i w:val="1"/>
          <w:iCs w:val="1"/>
          <w:color w:val="auto"/>
        </w:rPr>
        <w:t>Fiscal Year Appropriations</w:t>
      </w:r>
      <w:r>
        <w:rPr>
          <w:rFonts w:ascii="Arial" w:cs="Arial" w:eastAsia="Arial" w:hAnsi="Arial"/>
          <w:sz w:val="18"/>
          <w:szCs w:val="18"/>
          <w:color w:val="auto"/>
        </w:rPr>
        <w:t>) of the Agreement shall be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replaced with the schedule attached here to as Annex 3.</w:t>
      </w:r>
    </w:p>
    <w:p>
      <w:pPr>
        <w:spacing w:after="0" w:line="105" w:lineRule="exact"/>
        <w:rPr>
          <w:sz w:val="20"/>
          <w:szCs w:val="20"/>
          <w:color w:val="auto"/>
        </w:rPr>
      </w:pPr>
    </w:p>
    <w:p>
      <w:pPr>
        <w:ind w:right="120" w:firstLine="576"/>
        <w:spacing w:after="0" w:line="287" w:lineRule="auto"/>
        <w:rPr>
          <w:sz w:val="20"/>
          <w:szCs w:val="20"/>
          <w:color w:val="auto"/>
        </w:rPr>
      </w:pPr>
      <w:r>
        <w:rPr>
          <w:rFonts w:ascii="Arial" w:cs="Arial" w:eastAsia="Arial" w:hAnsi="Arial"/>
          <w:sz w:val="18"/>
          <w:szCs w:val="18"/>
          <w:b w:val="1"/>
          <w:bCs w:val="1"/>
          <w:color w:val="auto"/>
        </w:rPr>
        <w:t>Section 2.14 Amendment to Schedule B</w:t>
      </w:r>
      <w:r>
        <w:rPr>
          <w:rFonts w:ascii="Arial" w:cs="Arial" w:eastAsia="Arial" w:hAnsi="Arial"/>
          <w:sz w:val="18"/>
          <w:szCs w:val="18"/>
          <w:color w:val="auto"/>
        </w:rPr>
        <w:t>. Schedule B (</w:t>
      </w:r>
      <w:r>
        <w:rPr>
          <w:rFonts w:ascii="Arial" w:cs="Arial" w:eastAsia="Arial" w:hAnsi="Arial"/>
          <w:sz w:val="18"/>
          <w:szCs w:val="18"/>
          <w:i w:val="1"/>
          <w:iCs w:val="1"/>
          <w:color w:val="auto"/>
        </w:rPr>
        <w:t>Project Milestone Schedule</w:t>
      </w:r>
      <w:r>
        <w:rPr>
          <w:rFonts w:ascii="Arial" w:cs="Arial" w:eastAsia="Arial" w:hAnsi="Arial"/>
          <w:sz w:val="18"/>
          <w:szCs w:val="18"/>
          <w:color w:val="auto"/>
        </w:rPr>
        <w:t>) of the Agreement shall be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replaced with the schedule attached here to as Annex 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EFFECTIVE DATE</w:t>
      </w:r>
    </w:p>
    <w:p>
      <w:pPr>
        <w:spacing w:after="0" w:line="201" w:lineRule="exact"/>
        <w:rPr>
          <w:sz w:val="20"/>
          <w:szCs w:val="20"/>
          <w:color w:val="auto"/>
        </w:rPr>
      </w:pPr>
    </w:p>
    <w:p>
      <w:pPr>
        <w:ind w:right="420" w:firstLine="576"/>
        <w:spacing w:after="0" w:line="269"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color w:val="auto"/>
        </w:rPr>
        <w:t>This Amendment shall become effective only upon the date on which each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have been satisfied or waived by the Department (the “</w:t>
      </w:r>
      <w:r>
        <w:rPr>
          <w:rFonts w:ascii="Arial" w:cs="Arial" w:eastAsia="Arial" w:hAnsi="Arial"/>
          <w:sz w:val="18"/>
          <w:szCs w:val="18"/>
          <w:b w:val="1"/>
          <w:bCs w:val="1"/>
          <w:color w:val="auto"/>
        </w:rPr>
        <w:t>Amendment No. 2 Effective Date</w:t>
      </w:r>
      <w:r>
        <w:rPr>
          <w:rFonts w:ascii="Arial" w:cs="Arial" w:eastAsia="Arial" w:hAnsi="Arial"/>
          <w:sz w:val="18"/>
          <w:szCs w:val="18"/>
          <w:color w:val="auto"/>
        </w:rPr>
        <w:t>”), each of which shall be in form and substance and otherwise satisfactory to The Department:</w:t>
      </w:r>
    </w:p>
    <w:p>
      <w:pPr>
        <w:spacing w:after="0" w:line="120"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The Department shall have received from the Recipient each of the following items in previously agreed upon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59" w:lineRule="exact"/>
        <w:rPr>
          <w:sz w:val="20"/>
          <w:szCs w:val="20"/>
          <w:color w:val="auto"/>
        </w:rPr>
      </w:pPr>
    </w:p>
    <w:p>
      <w:pPr>
        <w:ind w:left="1760" w:hanging="602"/>
        <w:spacing w:after="0"/>
        <w:tabs>
          <w:tab w:leader="none" w:pos="1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Sources and Uses Plan for the Projects;</w:t>
      </w:r>
    </w:p>
    <w:p>
      <w:pPr>
        <w:spacing w:after="0" w:line="177" w:lineRule="exact"/>
        <w:rPr>
          <w:rFonts w:ascii="Arial" w:cs="Arial" w:eastAsia="Arial" w:hAnsi="Arial"/>
          <w:sz w:val="18"/>
          <w:szCs w:val="18"/>
          <w:color w:val="auto"/>
        </w:rPr>
      </w:pPr>
    </w:p>
    <w:p>
      <w:pPr>
        <w:ind w:left="580" w:right="240" w:firstLine="578"/>
        <w:spacing w:after="0" w:line="287" w:lineRule="auto"/>
        <w:tabs>
          <w:tab w:leader="none" w:pos="17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legal opinions dated as of the Amendment Effective Date and addressed to the Department from Akin Gump Strauss Hauer &amp; Feld LLP, as New York and Delaware counsel to the Recipient Parties;</w:t>
      </w:r>
    </w:p>
    <w:p>
      <w:pPr>
        <w:spacing w:after="0" w:line="105" w:lineRule="exact"/>
        <w:rPr>
          <w:rFonts w:ascii="Arial" w:cs="Arial" w:eastAsia="Arial" w:hAnsi="Arial"/>
          <w:sz w:val="18"/>
          <w:szCs w:val="18"/>
          <w:color w:val="auto"/>
        </w:rPr>
      </w:pPr>
    </w:p>
    <w:p>
      <w:pPr>
        <w:ind w:left="1740" w:hanging="582"/>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Base Case Financial Model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40" w:orient="portrait"/>
          <w:cols w:equalWidth="0" w:num="1">
            <w:col w:w="10580"/>
          </w:cols>
          <w:pgMar w:left="660" w:top="1440" w:right="660"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right="100" w:firstLine="578"/>
        <w:spacing w:after="0" w:line="269" w:lineRule="auto"/>
        <w:tabs>
          <w:tab w:leader="none" w:pos="17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evidence that all Periodic Expenses due and payable to the Department and the Department’s Consultants in connection with this Amendment have been paid or reimbursed in full or, in the case of the Department’s Consultants, arrangements for payment have been made, in each case, in accordance with any applicable fee letters;</w:t>
      </w:r>
    </w:p>
    <w:p>
      <w:pPr>
        <w:spacing w:after="0" w:line="120" w:lineRule="exact"/>
        <w:rPr>
          <w:rFonts w:ascii="Arial" w:cs="Arial" w:eastAsia="Arial" w:hAnsi="Arial"/>
          <w:sz w:val="18"/>
          <w:szCs w:val="18"/>
          <w:color w:val="auto"/>
        </w:rPr>
      </w:pPr>
    </w:p>
    <w:p>
      <w:pPr>
        <w:ind w:left="580" w:right="120" w:firstLine="578"/>
        <w:spacing w:after="0" w:line="296" w:lineRule="auto"/>
        <w:tabs>
          <w:tab w:leader="none" w:pos="17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Officer’s Certificate of the Recipient substantially in the form of Exhibit A (</w:t>
      </w:r>
      <w:r>
        <w:rPr>
          <w:rFonts w:ascii="Arial" w:cs="Arial" w:eastAsia="Arial" w:hAnsi="Arial"/>
          <w:sz w:val="18"/>
          <w:szCs w:val="18"/>
          <w:b w:val="1"/>
          <w:bCs w:val="1"/>
          <w:color w:val="auto"/>
        </w:rPr>
        <w:t>Form of Recipient 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No. 2 Effective Date Certificate</w:t>
      </w:r>
      <w:r>
        <w:rPr>
          <w:rFonts w:ascii="Arial" w:cs="Arial" w:eastAsia="Arial" w:hAnsi="Arial"/>
          <w:sz w:val="18"/>
          <w:szCs w:val="18"/>
          <w:color w:val="auto"/>
        </w:rPr>
        <w:t>) attached hereto; and</w:t>
      </w:r>
    </w:p>
    <w:p>
      <w:pPr>
        <w:spacing w:after="0" w:line="89" w:lineRule="exact"/>
        <w:rPr>
          <w:rFonts w:ascii="Arial" w:cs="Arial" w:eastAsia="Arial" w:hAnsi="Arial"/>
          <w:sz w:val="18"/>
          <w:szCs w:val="18"/>
          <w:color w:val="auto"/>
        </w:rPr>
      </w:pPr>
    </w:p>
    <w:p>
      <w:pPr>
        <w:ind w:left="580" w:right="60" w:firstLine="578"/>
        <w:spacing w:after="0" w:line="287" w:lineRule="auto"/>
        <w:tabs>
          <w:tab w:leader="none" w:pos="17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copies of the Recipient’s duly adopted resolutions to authorize the execution, delivery and performance by the Recipient of this Amendment and all transactions contemplated hereunder.</w:t>
      </w:r>
    </w:p>
    <w:p>
      <w:pPr>
        <w:spacing w:after="0" w:line="105"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Each of the Department and MICRON IDAHO SEMICONDUCTOR MANUFACTURING (TRITON) LLC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ID Recipient</w:t>
      </w:r>
      <w:r>
        <w:rPr>
          <w:rFonts w:ascii="Arial" w:cs="Arial" w:eastAsia="Arial" w:hAnsi="Arial"/>
          <w:sz w:val="17"/>
          <w:szCs w:val="17"/>
          <w:color w:val="auto"/>
        </w:rPr>
        <w:t>”) shall have executed an amendment to that certain Direct Funding Agreement, dated December 9, 2024, entered into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and between the ID Recipient and the Department to amend, among other things, Schedule B (</w:t>
      </w:r>
      <w:r>
        <w:rPr>
          <w:rFonts w:ascii="Arial" w:cs="Arial" w:eastAsia="Arial" w:hAnsi="Arial"/>
          <w:sz w:val="18"/>
          <w:szCs w:val="18"/>
          <w:i w:val="1"/>
          <w:iCs w:val="1"/>
          <w:color w:val="auto"/>
        </w:rPr>
        <w:t>Project Milestone Schedule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59"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The Department shall have received a fully executed amendment and restatement of the Sponsor Guarantee.</w:t>
      </w:r>
    </w:p>
    <w:p>
      <w:pPr>
        <w:spacing w:after="0" w:line="177" w:lineRule="exact"/>
        <w:rPr>
          <w:sz w:val="20"/>
          <w:szCs w:val="20"/>
          <w:color w:val="auto"/>
        </w:rPr>
      </w:pPr>
    </w:p>
    <w:p>
      <w:pPr>
        <w:ind w:right="620" w:firstLine="1152"/>
        <w:spacing w:after="0" w:line="287" w:lineRule="auto"/>
        <w:rPr>
          <w:sz w:val="20"/>
          <w:szCs w:val="20"/>
          <w:color w:val="auto"/>
        </w:rPr>
      </w:pPr>
      <w:r>
        <w:rPr>
          <w:rFonts w:ascii="Arial" w:cs="Arial" w:eastAsia="Arial" w:hAnsi="Arial"/>
          <w:sz w:val="18"/>
          <w:szCs w:val="18"/>
          <w:color w:val="auto"/>
        </w:rPr>
        <w:t>3.1.4 Each of the Parties shall have executed this Amendment and delivered its executed counterpart to this Amendment to each other Party.</w:t>
      </w:r>
    </w:p>
    <w:p>
      <w:pPr>
        <w:spacing w:after="0" w:line="105"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The representations and warranties set forth in Article 4 (</w:t>
      </w: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hereto are true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159" w:lineRule="exact"/>
        <w:rPr>
          <w:sz w:val="20"/>
          <w:szCs w:val="20"/>
          <w:color w:val="auto"/>
        </w:rPr>
      </w:pPr>
    </w:p>
    <w:p>
      <w:pPr>
        <w:ind w:right="80" w:firstLine="1152"/>
        <w:spacing w:after="0" w:line="287" w:lineRule="auto"/>
        <w:rPr>
          <w:sz w:val="20"/>
          <w:szCs w:val="20"/>
          <w:color w:val="auto"/>
        </w:rPr>
      </w:pPr>
      <w:r>
        <w:rPr>
          <w:rFonts w:ascii="Arial" w:cs="Arial" w:eastAsia="Arial" w:hAnsi="Arial"/>
          <w:sz w:val="18"/>
          <w:szCs w:val="18"/>
          <w:color w:val="auto"/>
        </w:rPr>
        <w:t>3. 1.6 After giving effect to the amendments set forth in Article 2 (</w:t>
      </w:r>
      <w:r>
        <w:rPr>
          <w:rFonts w:ascii="Arial" w:cs="Arial" w:eastAsia="Arial" w:hAnsi="Arial"/>
          <w:sz w:val="18"/>
          <w:szCs w:val="18"/>
          <w:b w:val="1"/>
          <w:bCs w:val="1"/>
          <w:color w:val="auto"/>
        </w:rPr>
        <w:t>Amendments to Agreement</w:t>
      </w:r>
      <w:r>
        <w:rPr>
          <w:rFonts w:ascii="Arial" w:cs="Arial" w:eastAsia="Arial" w:hAnsi="Arial"/>
          <w:sz w:val="18"/>
          <w:szCs w:val="18"/>
          <w:color w:val="auto"/>
        </w:rPr>
        <w:t>) hereto, no Potential Event of Default or Event of Default shall have occurred and be continuing.</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201" w:lineRule="exact"/>
        <w:rPr>
          <w:sz w:val="20"/>
          <w:szCs w:val="20"/>
          <w:color w:val="auto"/>
        </w:rPr>
      </w:pPr>
    </w:p>
    <w:p>
      <w:pPr>
        <w:ind w:right="400" w:firstLine="576"/>
        <w:spacing w:after="0" w:line="296"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color w:val="auto"/>
        </w:rPr>
        <w:t>The Recipient hereby represents and warrants as of the date hereof and as of the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that</w:t>
      </w:r>
      <w:r>
        <w:rPr>
          <w:rFonts w:ascii="Arial" w:cs="Arial" w:eastAsia="Arial" w:hAnsi="Arial"/>
          <w:sz w:val="18"/>
          <w:szCs w:val="18"/>
          <w:b w:val="1"/>
          <w:bCs w:val="1"/>
          <w:color w:val="auto"/>
        </w:rPr>
        <w:t>:</w:t>
      </w:r>
    </w:p>
    <w:p>
      <w:pPr>
        <w:spacing w:after="0" w:line="90" w:lineRule="exact"/>
        <w:rPr>
          <w:sz w:val="20"/>
          <w:szCs w:val="20"/>
          <w:color w:val="auto"/>
        </w:rPr>
      </w:pPr>
    </w:p>
    <w:p>
      <w:pPr>
        <w:ind w:left="580" w:right="180" w:firstLine="578"/>
        <w:spacing w:after="0" w:line="262" w:lineRule="auto"/>
        <w:tabs>
          <w:tab w:leader="none" w:pos="17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Recipient (i) is a limited liability company, duly organized, validly existing and in good standing under the laws of the State of Delaware; (ii) is duly qualified to do business in the State of New York and in each other jurisdiction where the failure to so qualify could reasonably be expected to have a Material Adverse Effect; and (iii) has all requisite power and authority to execute, deliver, perform and observe the terms and conditions under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40" w:orient="portrait"/>
          <w:cols w:equalWidth="0" w:num="1">
            <w:col w:w="10520"/>
          </w:cols>
          <w:pgMar w:left="660" w:top="1440" w:right="72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right="20" w:firstLine="578"/>
        <w:spacing w:after="0" w:line="255" w:lineRule="auto"/>
        <w:tabs>
          <w:tab w:leader="none" w:pos="17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Recipient has duly authorized, executed and delivered this Amendment, and neither its execution and delivery thereof nor its consummation of the transactions contemplated hereby or thereby nor its compliance with the terms of this Amendment or thereof does or will (i) contravene its Organizational Documents or any Applicable Laws in any material respects; (ii) contravene or result in any breach or constitute any default under any material Governmental Judgment; (iii) contravene or result in any breach or constitute any default under, or result in or require the creation of any Lien upon any of its material Properties under any material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 and</w:t>
      </w:r>
    </w:p>
    <w:p>
      <w:pPr>
        <w:spacing w:after="0" w:line="137" w:lineRule="exact"/>
        <w:rPr>
          <w:rFonts w:ascii="Arial" w:cs="Arial" w:eastAsia="Arial" w:hAnsi="Arial"/>
          <w:sz w:val="18"/>
          <w:szCs w:val="18"/>
          <w:color w:val="auto"/>
        </w:rPr>
      </w:pPr>
    </w:p>
    <w:p>
      <w:pPr>
        <w:ind w:left="580" w:firstLine="578"/>
        <w:spacing w:after="0" w:line="257" w:lineRule="auto"/>
        <w:tabs>
          <w:tab w:leader="none" w:pos="17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representations and warranties of the Recipient provided in Article 6 (Representations and Warranties) of the Agreement are true and correct in all material respects (except to the extent any such representation and warranty itself is qualified by “materiality,” “Material Adverse Effect” or a similar qualifier, in which case it shall be true and correct in all respects) as of the date the representation and warranty is made (or deemed made), except to the extent such representation or warranty is made only as of a specific date or time (in which event such representation or warranty shall be true and correct as of such date or time).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1" w:lineRule="exact"/>
        <w:rPr>
          <w:sz w:val="20"/>
          <w:szCs w:val="20"/>
          <w:color w:val="auto"/>
        </w:rPr>
      </w:pPr>
    </w:p>
    <w:p>
      <w:pPr>
        <w:ind w:right="20" w:firstLine="576"/>
        <w:spacing w:after="0" w:line="262" w:lineRule="auto"/>
        <w:rPr>
          <w:sz w:val="20"/>
          <w:szCs w:val="20"/>
          <w:color w:val="auto"/>
        </w:rPr>
      </w:pPr>
      <w:r>
        <w:rPr>
          <w:rFonts w:ascii="Arial" w:cs="Arial" w:eastAsia="Arial" w:hAnsi="Arial"/>
          <w:sz w:val="18"/>
          <w:szCs w:val="18"/>
          <w:b w:val="1"/>
          <w:bCs w:val="1"/>
          <w:color w:val="auto"/>
        </w:rPr>
        <w:t>Section 5.1 Entire Agreement</w:t>
      </w:r>
      <w:r>
        <w:rPr>
          <w:rFonts w:ascii="Arial" w:cs="Arial" w:eastAsia="Arial" w:hAnsi="Arial"/>
          <w:sz w:val="18"/>
          <w:szCs w:val="18"/>
          <w:color w:val="auto"/>
        </w:rPr>
        <w:t>.This Amendment, including any agreement, document, or instrument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or referred to herein, integrates all the terms and conditions mentioned herein or incidental to this Amendment and supersedes all prior drafts, discussions, term sheets, commitments, negotiations, agreements, and understandings, oral or written, of the Parties in respect to the subject matter of this Amendment.</w:t>
      </w:r>
    </w:p>
    <w:p>
      <w:pPr>
        <w:spacing w:after="0" w:line="128"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7"/>
          <w:szCs w:val="17"/>
          <w:b w:val="1"/>
          <w:bCs w:val="1"/>
          <w:color w:val="auto"/>
        </w:rPr>
        <w:t xml:space="preserve">Incorporated Provisions. </w:t>
      </w:r>
      <w:r>
        <w:rPr>
          <w:rFonts w:ascii="Arial" w:cs="Arial" w:eastAsia="Arial" w:hAnsi="Arial"/>
          <w:sz w:val="17"/>
          <w:szCs w:val="17"/>
          <w:color w:val="auto"/>
        </w:rPr>
        <w:t>The provisions set forth in Sections 10.5 (</w:t>
      </w:r>
      <w:r>
        <w:rPr>
          <w:rFonts w:ascii="Arial" w:cs="Arial" w:eastAsia="Arial" w:hAnsi="Arial"/>
          <w:sz w:val="17"/>
          <w:szCs w:val="17"/>
          <w:i w:val="1"/>
          <w:iCs w:val="1"/>
          <w:color w:val="auto"/>
        </w:rPr>
        <w:t>Waiver and Amendment</w:t>
      </w:r>
      <w:r>
        <w:rPr>
          <w:rFonts w:ascii="Arial" w:cs="Arial" w:eastAsia="Arial" w:hAnsi="Arial"/>
          <w:sz w:val="17"/>
          <w:szCs w:val="17"/>
          <w:color w:val="auto"/>
        </w:rPr>
        <w:t>), 10.7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Governing Law</w:t>
      </w:r>
      <w:r>
        <w:rPr>
          <w:rFonts w:ascii="Arial" w:cs="Arial" w:eastAsia="Arial" w:hAnsi="Arial"/>
          <w:sz w:val="18"/>
          <w:szCs w:val="18"/>
          <w:color w:val="auto"/>
        </w:rPr>
        <w:t>), 10.8 (</w:t>
      </w:r>
      <w:r>
        <w:rPr>
          <w:rFonts w:ascii="Arial" w:cs="Arial" w:eastAsia="Arial" w:hAnsi="Arial"/>
          <w:sz w:val="18"/>
          <w:szCs w:val="18"/>
          <w:i w:val="1"/>
          <w:iCs w:val="1"/>
          <w:color w:val="auto"/>
        </w:rPr>
        <w:t>Severability</w:t>
      </w:r>
      <w:r>
        <w:rPr>
          <w:rFonts w:ascii="Arial" w:cs="Arial" w:eastAsia="Arial" w:hAnsi="Arial"/>
          <w:sz w:val="18"/>
          <w:szCs w:val="18"/>
          <w:color w:val="auto"/>
        </w:rPr>
        <w:t>), 10.10 (</w:t>
      </w:r>
      <w:r>
        <w:rPr>
          <w:rFonts w:ascii="Arial" w:cs="Arial" w:eastAsia="Arial" w:hAnsi="Arial"/>
          <w:sz w:val="18"/>
          <w:szCs w:val="18"/>
          <w:i w:val="1"/>
          <w:iCs w:val="1"/>
          <w:color w:val="auto"/>
        </w:rPr>
        <w:t>Waiver of Jury Trial</w:t>
      </w:r>
      <w:r>
        <w:rPr>
          <w:rFonts w:ascii="Arial" w:cs="Arial" w:eastAsia="Arial" w:hAnsi="Arial"/>
          <w:sz w:val="18"/>
          <w:szCs w:val="18"/>
          <w:color w:val="auto"/>
        </w:rPr>
        <w:t>), 10.11 (</w:t>
      </w:r>
      <w:r>
        <w:rPr>
          <w:rFonts w:ascii="Arial" w:cs="Arial" w:eastAsia="Arial" w:hAnsi="Arial"/>
          <w:sz w:val="18"/>
          <w:szCs w:val="18"/>
          <w:i w:val="1"/>
          <w:iCs w:val="1"/>
          <w:color w:val="auto"/>
        </w:rPr>
        <w:t>Consent to Jurisdiction</w:t>
      </w:r>
      <w:r>
        <w:rPr>
          <w:rFonts w:ascii="Arial" w:cs="Arial" w:eastAsia="Arial" w:hAnsi="Arial"/>
          <w:sz w:val="18"/>
          <w:szCs w:val="18"/>
          <w:color w:val="auto"/>
        </w:rPr>
        <w:t>), 10.12 (</w:t>
      </w:r>
      <w:r>
        <w:rPr>
          <w:rFonts w:ascii="Arial" w:cs="Arial" w:eastAsia="Arial" w:hAnsi="Arial"/>
          <w:sz w:val="18"/>
          <w:szCs w:val="18"/>
          <w:i w:val="1"/>
          <w:iCs w:val="1"/>
          <w:color w:val="auto"/>
        </w:rPr>
        <w:t>Dispute Resolution</w:t>
      </w:r>
      <w:r>
        <w:rPr>
          <w:rFonts w:ascii="Arial" w:cs="Arial" w:eastAsia="Arial" w:hAnsi="Arial"/>
          <w:sz w:val="18"/>
          <w:szCs w:val="18"/>
          <w:color w:val="auto"/>
        </w:rPr>
        <w:t>), 10.13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Successors and Assigns</w:t>
      </w:r>
      <w:r>
        <w:rPr>
          <w:rFonts w:ascii="Arial" w:cs="Arial" w:eastAsia="Arial" w:hAnsi="Arial"/>
          <w:sz w:val="18"/>
          <w:szCs w:val="18"/>
          <w:color w:val="auto"/>
        </w:rPr>
        <w:t>) and 10.18 (</w:t>
      </w:r>
      <w:r>
        <w:rPr>
          <w:rFonts w:ascii="Arial" w:cs="Arial" w:eastAsia="Arial" w:hAnsi="Arial"/>
          <w:sz w:val="18"/>
          <w:szCs w:val="18"/>
          <w:i w:val="1"/>
          <w:iCs w:val="1"/>
          <w:color w:val="auto"/>
        </w:rPr>
        <w:t>Counterparts; Electronic Signatures</w:t>
      </w:r>
      <w:r>
        <w:rPr>
          <w:rFonts w:ascii="Arial" w:cs="Arial" w:eastAsia="Arial" w:hAnsi="Arial"/>
          <w:sz w:val="18"/>
          <w:szCs w:val="18"/>
          <w:color w:val="auto"/>
        </w:rPr>
        <w:t>) of the Agreement are hereby incorporated by reference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into this Amendment, mutatis mutandis, as if set out in full herein.</w:t>
      </w:r>
    </w:p>
    <w:p>
      <w:pPr>
        <w:spacing w:after="0" w:line="159"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7"/>
          <w:szCs w:val="17"/>
          <w:b w:val="1"/>
          <w:bCs w:val="1"/>
          <w:color w:val="auto"/>
        </w:rPr>
        <w:t>Reference to and Effect on the Agreement</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This Amendment is hereby designated an Award Document for all purposes of the Agreement.</w:t>
      </w:r>
    </w:p>
    <w:p>
      <w:pPr>
        <w:spacing w:after="0" w:line="177" w:lineRule="exact"/>
        <w:rPr>
          <w:sz w:val="20"/>
          <w:szCs w:val="20"/>
          <w:color w:val="auto"/>
        </w:rPr>
      </w:pPr>
    </w:p>
    <w:p>
      <w:pPr>
        <w:ind w:right="140" w:firstLine="1152"/>
        <w:spacing w:after="0" w:line="262" w:lineRule="auto"/>
        <w:rPr>
          <w:sz w:val="20"/>
          <w:szCs w:val="20"/>
          <w:color w:val="auto"/>
        </w:rPr>
      </w:pPr>
      <w:r>
        <w:rPr>
          <w:rFonts w:ascii="Arial" w:cs="Arial" w:eastAsia="Arial" w:hAnsi="Arial"/>
          <w:sz w:val="18"/>
          <w:szCs w:val="18"/>
          <w:color w:val="auto"/>
        </w:rPr>
        <w:t>5.3.2 On and after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40" w:orient="portrait"/>
          <w:cols w:equalWidth="0" w:num="1">
            <w:col w:w="10560"/>
          </w:cols>
          <w:pgMar w:left="660" w:top="1440" w:right="680"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1152"/>
        <w:spacing w:after="0" w:line="262" w:lineRule="auto"/>
        <w:rPr>
          <w:sz w:val="20"/>
          <w:szCs w:val="20"/>
          <w:color w:val="auto"/>
        </w:rPr>
      </w:pPr>
      <w:r>
        <w:rPr>
          <w:rFonts w:ascii="Arial" w:cs="Arial" w:eastAsia="Arial" w:hAnsi="Arial"/>
          <w:sz w:val="18"/>
          <w:szCs w:val="18"/>
          <w:color w:val="auto"/>
        </w:rPr>
        <w:t>5.3.3 Except as specifically amended above, each of the Agreement and the other Financing Documents is and shall remain unchanged and in full force and effect and is hereby ratified and confirmed. Nothing contained in this Amendment shall abrogate, prejudice, diminish or otherwise affect any powers, right, remedies or obligations of any Person arising before the date of this Amendment.</w:t>
      </w:r>
    </w:p>
    <w:p>
      <w:pPr>
        <w:spacing w:after="0" w:line="128" w:lineRule="exact"/>
        <w:rPr>
          <w:sz w:val="20"/>
          <w:szCs w:val="20"/>
          <w:color w:val="auto"/>
        </w:rPr>
      </w:pPr>
    </w:p>
    <w:p>
      <w:pPr>
        <w:ind w:firstLine="1152"/>
        <w:spacing w:after="0" w:line="257" w:lineRule="auto"/>
        <w:rPr>
          <w:sz w:val="20"/>
          <w:szCs w:val="20"/>
          <w:color w:val="auto"/>
        </w:rPr>
      </w:pPr>
      <w:r>
        <w:rPr>
          <w:rFonts w:ascii="Arial" w:cs="Arial" w:eastAsia="Arial" w:hAnsi="Arial"/>
          <w:sz w:val="18"/>
          <w:szCs w:val="18"/>
          <w:color w:val="auto"/>
        </w:rPr>
        <w:t>5.3.4 The execution, delivery and effectiveness of this Amendment shall not, except as expressly provided herein, constitute an amendment of any action or transaction, operate as a waiver or modification of any right, power or remedy of any party to the Agreement or any other Financing Document, or constitute a waiver or modification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different provisions under the Agreement or any other Financing Document, as the case may be,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40" w:orient="portrait"/>
          <w:cols w:equalWidth="0" w:num="1">
            <w:col w:w="10500"/>
          </w:cols>
          <w:pgMar w:left="660" w:top="1440" w:right="740" w:bottom="1440" w:gutter="0" w:footer="0" w:header="0"/>
        </w:sectPr>
      </w:pPr>
    </w:p>
    <w:bookmarkStart w:id="139" w:name="page140"/>
    <w:bookmarkEnd w:id="139"/>
    <w:p>
      <w:pPr>
        <w:spacing w:after="0" w:line="269" w:lineRule="exact"/>
        <w:rPr>
          <w:sz w:val="20"/>
          <w:szCs w:val="20"/>
          <w:color w:val="auto"/>
        </w:rPr>
      </w:pPr>
    </w:p>
    <w:p>
      <w:pPr>
        <w:ind w:firstLine="576"/>
        <w:spacing w:after="0" w:line="287" w:lineRule="auto"/>
        <w:rPr>
          <w:sz w:val="20"/>
          <w:szCs w:val="20"/>
          <w:color w:val="auto"/>
        </w:rPr>
      </w:pPr>
      <w:r>
        <w:rPr>
          <w:rFonts w:ascii="Arial" w:cs="Arial" w:eastAsia="Arial" w:hAnsi="Arial"/>
          <w:sz w:val="18"/>
          <w:szCs w:val="18"/>
          <w:color w:val="auto"/>
        </w:rPr>
        <w:t>IN WITNESS WHEREOF, the Parties have caused this Amendment to be executed and delivered by their respective officers or representatives hereunto duly authorized as of the date first written above.</w:t>
      </w:r>
    </w:p>
    <w:p>
      <w:pPr>
        <w:spacing w:after="0" w:line="177" w:lineRule="exact"/>
        <w:rPr>
          <w:sz w:val="20"/>
          <w:szCs w:val="20"/>
          <w:color w:val="auto"/>
        </w:rPr>
      </w:pPr>
    </w:p>
    <w:p>
      <w:pPr>
        <w:ind w:left="4320" w:right="680"/>
        <w:spacing w:after="0" w:line="398" w:lineRule="auto"/>
        <w:rPr>
          <w:sz w:val="20"/>
          <w:szCs w:val="20"/>
          <w:color w:val="auto"/>
        </w:rPr>
      </w:pPr>
      <w:r>
        <w:rPr>
          <w:rFonts w:ascii="Arial" w:cs="Arial" w:eastAsia="Arial" w:hAnsi="Arial"/>
          <w:sz w:val="18"/>
          <w:szCs w:val="18"/>
          <w:b w:val="1"/>
          <w:bCs w:val="1"/>
          <w:color w:val="auto"/>
        </w:rPr>
        <w:t xml:space="preserve">MICRON NEW YORK SEMICONDUCTOR MANUFACTURING LLC, </w:t>
      </w:r>
      <w:r>
        <w:rPr>
          <w:rFonts w:ascii="Arial" w:cs="Arial" w:eastAsia="Arial" w:hAnsi="Arial"/>
          <w:sz w:val="18"/>
          <w:szCs w:val="18"/>
          <w:color w:val="auto"/>
        </w:rPr>
        <w:t>as Recipient</w:t>
      </w:r>
    </w:p>
    <w:p>
      <w:pPr>
        <w:spacing w:after="0" w:line="130"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/s/ Scott Gatzemeier___________________</w:t>
      </w:r>
    </w:p>
    <w:p>
      <w:pPr>
        <w:spacing w:after="0" w:line="237" w:lineRule="exact"/>
        <w:rPr>
          <w:sz w:val="20"/>
          <w:szCs w:val="20"/>
          <w:color w:val="auto"/>
        </w:rPr>
      </w:pPr>
    </w:p>
    <w:p>
      <w:pPr>
        <w:ind w:left="4300"/>
        <w:spacing w:after="0"/>
        <w:tabs>
          <w:tab w:leader="none" w:pos="5060" w:val="left"/>
        </w:tabs>
        <w:rPr>
          <w:sz w:val="20"/>
          <w:szCs w:val="20"/>
          <w:color w:val="auto"/>
        </w:rPr>
      </w:pPr>
      <w:r>
        <w:rPr>
          <w:rFonts w:ascii="Arial" w:cs="Arial" w:eastAsia="Arial" w:hAnsi="Arial"/>
          <w:sz w:val="18"/>
          <w:szCs w:val="18"/>
          <w:color w:val="auto"/>
        </w:rPr>
        <w:t>Name:</w:t>
        <w:tab/>
        <w:t>Scott Gatzemeier</w:t>
      </w:r>
    </w:p>
    <w:p>
      <w:pPr>
        <w:spacing w:after="0" w:line="32" w:lineRule="exact"/>
        <w:rPr>
          <w:sz w:val="20"/>
          <w:szCs w:val="20"/>
          <w:color w:val="auto"/>
        </w:rPr>
      </w:pPr>
    </w:p>
    <w:p>
      <w:pPr>
        <w:ind w:left="4300"/>
        <w:spacing w:after="0"/>
        <w:tabs>
          <w:tab w:leader="none" w:pos="492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NY Project - Signature Page to Amendment No.2 to Direct Funding Agreement</w:t>
      </w:r>
    </w:p>
    <w:p>
      <w:pPr>
        <w:sectPr>
          <w:pgSz w:w="11900" w:h="16840" w:orient="portrait"/>
          <w:cols w:equalWidth="0" w:num="1">
            <w:col w:w="10540"/>
          </w:cols>
          <w:pgMar w:left="660" w:top="1440" w:right="700"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60"/>
        <w:spacing w:after="0" w:line="287" w:lineRule="auto"/>
        <w:rPr>
          <w:sz w:val="20"/>
          <w:szCs w:val="20"/>
          <w:color w:val="auto"/>
        </w:rPr>
      </w:pPr>
      <w:r>
        <w:rPr>
          <w:rFonts w:ascii="Arial" w:cs="Arial" w:eastAsia="Arial" w:hAnsi="Arial"/>
          <w:sz w:val="18"/>
          <w:szCs w:val="18"/>
          <w:b w:val="1"/>
          <w:bCs w:val="1"/>
          <w:color w:val="auto"/>
        </w:rPr>
        <w:t xml:space="preserve">UNITED STATES DEPARTMENT OF COMMERCE </w:t>
      </w:r>
      <w:r>
        <w:rPr>
          <w:rFonts w:ascii="Arial" w:cs="Arial" w:eastAsia="Arial" w:hAnsi="Arial"/>
          <w:sz w:val="18"/>
          <w:szCs w:val="18"/>
          <w:color w:val="auto"/>
        </w:rPr>
        <w:t>, an agency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Government of the United States of America</w:t>
      </w:r>
    </w:p>
    <w:p>
      <w:pPr>
        <w:spacing w:after="0" w:line="200" w:lineRule="exact"/>
        <w:rPr>
          <w:sz w:val="20"/>
          <w:szCs w:val="20"/>
          <w:color w:val="auto"/>
        </w:rPr>
      </w:pPr>
    </w:p>
    <w:p>
      <w:pPr>
        <w:spacing w:after="0" w:line="217"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auto"/>
        </w:rPr>
        <w:t>/s/ Lynelle McKay____________________</w:t>
      </w:r>
    </w:p>
    <w:p>
      <w:pPr>
        <w:spacing w:after="0" w:line="249" w:lineRule="exact"/>
        <w:rPr>
          <w:sz w:val="20"/>
          <w:szCs w:val="20"/>
          <w:color w:val="auto"/>
        </w:rPr>
      </w:pPr>
    </w:p>
    <w:p>
      <w:pPr>
        <w:ind w:left="3660"/>
        <w:spacing w:after="0"/>
        <w:tabs>
          <w:tab w:leader="none" w:pos="4420" w:val="left"/>
        </w:tabs>
        <w:rPr>
          <w:sz w:val="20"/>
          <w:szCs w:val="20"/>
          <w:color w:val="auto"/>
        </w:rPr>
      </w:pPr>
      <w:r>
        <w:rPr>
          <w:rFonts w:ascii="Arial" w:cs="Arial" w:eastAsia="Arial" w:hAnsi="Arial"/>
          <w:sz w:val="18"/>
          <w:szCs w:val="18"/>
          <w:color w:val="auto"/>
        </w:rPr>
        <w:t>Name:</w:t>
        <w:tab/>
        <w:t>Lynelle McKay</w:t>
      </w:r>
    </w:p>
    <w:p>
      <w:pPr>
        <w:spacing w:after="0" w:line="237" w:lineRule="exact"/>
        <w:rPr>
          <w:sz w:val="20"/>
          <w:szCs w:val="20"/>
          <w:color w:val="auto"/>
        </w:rPr>
      </w:pPr>
    </w:p>
    <w:p>
      <w:pPr>
        <w:ind w:left="3640"/>
        <w:spacing w:after="0"/>
        <w:tabs>
          <w:tab w:leader="none" w:pos="4260" w:val="left"/>
        </w:tabs>
        <w:rPr>
          <w:sz w:val="20"/>
          <w:szCs w:val="20"/>
          <w:color w:val="auto"/>
        </w:rPr>
      </w:pPr>
      <w:r>
        <w:rPr>
          <w:rFonts w:ascii="Arial" w:cs="Arial" w:eastAsia="Arial" w:hAnsi="Arial"/>
          <w:sz w:val="18"/>
          <w:szCs w:val="18"/>
          <w:color w:val="auto"/>
        </w:rPr>
        <w:t>Title:</w:t>
        <w:tab/>
        <w:t>CPO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auto"/>
        </w:rPr>
        <w:t>NY Project - Signature Page to Amendment No.2 to Direct Funding Agreement</w:t>
      </w:r>
    </w:p>
    <w:p>
      <w:pPr>
        <w:sectPr>
          <w:pgSz w:w="11900" w:h="16840" w:orient="portrait"/>
          <w:cols w:equalWidth="0" w:num="1">
            <w:col w:w="9740"/>
          </w:cols>
          <w:pgMar w:left="1440" w:top="1440" w:right="720" w:bottom="1440" w:gutter="0" w:footer="0" w:header="0"/>
        </w:sectPr>
      </w:pPr>
    </w:p>
    <w:bookmarkStart w:id="141" w:name="page142"/>
    <w:bookmarkEnd w:id="141"/>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Annex 1</w:t>
      </w:r>
    </w:p>
    <w:p>
      <w:pPr>
        <w:spacing w:after="0" w:line="15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ANNEX D (PROGRAM REQUIREMENTS)</w:t>
      </w:r>
    </w:p>
    <w:p>
      <w:pPr>
        <w:spacing w:after="0" w:line="17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Program Requirements shall apply through the applicable Period of Performance, unless otherwise specified. The Program Requirements set forth in Section 2 (</w:t>
      </w:r>
      <w:r>
        <w:rPr>
          <w:rFonts w:ascii="Arial" w:cs="Arial" w:eastAsia="Arial" w:hAnsi="Arial"/>
          <w:sz w:val="17"/>
          <w:szCs w:val="17"/>
          <w:b w:val="1"/>
          <w:bCs w:val="1"/>
          <w:color w:val="auto"/>
        </w:rPr>
        <w:t>Program Requirements Not Subject to Cure Period</w:t>
      </w:r>
      <w:r>
        <w:rPr>
          <w:rFonts w:ascii="Arial" w:cs="Arial" w:eastAsia="Arial" w:hAnsi="Arial"/>
          <w:sz w:val="17"/>
          <w:szCs w:val="17"/>
          <w:color w:val="auto"/>
        </w:rPr>
        <w:t>) shall not be subject to a cure period. The Program Requirements set forth in Section 3 (</w:t>
      </w:r>
      <w:r>
        <w:rPr>
          <w:rFonts w:ascii="Arial" w:cs="Arial" w:eastAsia="Arial" w:hAnsi="Arial"/>
          <w:sz w:val="17"/>
          <w:szCs w:val="17"/>
          <w:b w:val="1"/>
          <w:bCs w:val="1"/>
          <w:color w:val="auto"/>
        </w:rPr>
        <w:t>Program Requirements Subject to Cure Period</w:t>
      </w:r>
      <w:r>
        <w:rPr>
          <w:rFonts w:ascii="Arial" w:cs="Arial" w:eastAsia="Arial" w:hAnsi="Arial"/>
          <w:sz w:val="17"/>
          <w:szCs w:val="17"/>
          <w:color w:val="auto"/>
        </w:rPr>
        <w:t>) shall be subject to a forty-five</w:t>
      </w:r>
    </w:p>
    <w:p>
      <w:pPr>
        <w:spacing w:after="0" w:line="2" w:lineRule="exact"/>
        <w:rPr>
          <w:sz w:val="20"/>
          <w:szCs w:val="20"/>
          <w:color w:val="auto"/>
        </w:rPr>
      </w:pPr>
    </w:p>
    <w:p>
      <w:pPr>
        <w:ind w:right="300" w:firstLine="6"/>
        <w:spacing w:after="0" w:line="258" w:lineRule="auto"/>
        <w:tabs>
          <w:tab w:leader="none" w:pos="3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day cure period. Any waiver of a breach of any such Program Requirement shall be subject to the prior written consent of the Department. The applicable Recipient may request such a waiver upon submission of a proposed corrective action plan to the Department.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DRAM Wafer Expansion Capital Expenditures</w:t>
      </w:r>
      <w:r>
        <w:rPr>
          <w:rFonts w:ascii="Arial" w:cs="Arial" w:eastAsia="Arial" w:hAnsi="Arial"/>
          <w:sz w:val="17"/>
          <w:szCs w:val="17"/>
          <w:color w:val="auto"/>
        </w:rPr>
        <w:t>” means the Sponsor Guarantor and its Consolidated Subsidiaries’ capital expenditures to build and equip new cleanroom space that is built or acquired after the Award Date (until such cleanroom space is fully ramped) to increase DRAM semiconductor manufacturing capacity in terms of wafer starts per year; provided, that DRAM Wafer Expansion Capital Expenditures shall exclude capital expenditures related to capacity expansion due to technology node transitions.</w:t>
      </w:r>
    </w:p>
    <w:p>
      <w:pPr>
        <w:spacing w:after="0" w:line="110"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for any Measurement Period, (a) Consolidated EBITDA minus (b) any direct government incentives provided by the U.S. federal government under the CHIPS Incentives Program and similar U.S. government programs commenced after the Award Date to the extent added to consolidated net income in Consolidated EBITDA.</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Economically Disadvantaged Individuals</w:t>
      </w:r>
      <w:r>
        <w:rPr>
          <w:rFonts w:ascii="Arial" w:cs="Arial" w:eastAsia="Arial" w:hAnsi="Arial"/>
          <w:sz w:val="18"/>
          <w:szCs w:val="18"/>
          <w:color w:val="auto"/>
        </w:rPr>
        <w:t xml:space="preserve"> ” means persons living in households (a) that have incomes that are at or below 185% of the poverty line then established by the U.S. Census Bureau or (b) with incomes lower than 85% of the median income of the county in which the Project is located.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“Emissions</w:t>
      </w:r>
      <w:r>
        <w:rPr>
          <w:rFonts w:ascii="Arial" w:cs="Arial" w:eastAsia="Arial" w:hAnsi="Arial"/>
          <w:sz w:val="18"/>
          <w:szCs w:val="18"/>
          <w:color w:val="auto"/>
        </w:rPr>
        <w:t>” has the meaning set forth in Section 3.5.6 (</w:t>
      </w:r>
      <w:r>
        <w:rPr>
          <w:rFonts w:ascii="Arial" w:cs="Arial" w:eastAsia="Arial" w:hAnsi="Arial"/>
          <w:sz w:val="18"/>
          <w:szCs w:val="18"/>
          <w:b w:val="1"/>
          <w:bCs w:val="1"/>
          <w:color w:val="auto"/>
        </w:rPr>
        <w:t>Emissions Abatement</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Staffing Targets</w:t>
      </w:r>
      <w:r>
        <w:rPr>
          <w:rFonts w:ascii="Arial" w:cs="Arial" w:eastAsia="Arial" w:hAnsi="Arial"/>
          <w:sz w:val="18"/>
          <w:szCs w:val="18"/>
          <w:color w:val="auto"/>
        </w:rPr>
        <w:t>” has the meaning set forth in Section 2.2 (</w:t>
      </w:r>
      <w:r>
        <w:rPr>
          <w:rFonts w:ascii="Arial" w:cs="Arial" w:eastAsia="Arial" w:hAnsi="Arial"/>
          <w:sz w:val="18"/>
          <w:szCs w:val="18"/>
          <w:b w:val="1"/>
          <w:bCs w:val="1"/>
          <w:color w:val="auto"/>
        </w:rPr>
        <w:t>Workforce</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1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“Facility Workforce</w:t>
      </w:r>
      <w:r>
        <w:rPr>
          <w:rFonts w:ascii="Arial" w:cs="Arial" w:eastAsia="Arial" w:hAnsi="Arial"/>
          <w:sz w:val="18"/>
          <w:szCs w:val="18"/>
          <w:color w:val="auto"/>
        </w:rPr>
        <w:t>” means all full -time and part-time staff employees that are directly employed by the applicable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work at an Eligible Facility, including (a) production workers and technicians who operate machines and other equipment to assemble goods or distribute energy (e.g., including operators and machinists), and (b) non-technicians who perform other roles at the Eligible Facility, including engineering, administrative, support (e.g., finance, procurement) and managerial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1-1</w:t>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Cash Flow</w:t>
      </w:r>
      <w:r>
        <w:rPr>
          <w:rFonts w:ascii="Arial" w:cs="Arial" w:eastAsia="Arial" w:hAnsi="Arial"/>
          <w:sz w:val="18"/>
          <w:szCs w:val="18"/>
          <w:color w:val="auto"/>
        </w:rPr>
        <w:t xml:space="preserve">” means, for any Measurement Period, the sum of (a) net cash provided by operating activities, minus (b) expenditures for property, plant and equipment and payments on equipment purchase contracts net of (i) without duplication of any amount otherwise deducted from expenditures in this clause (b) , proceeds from government incentives (except as provided below) and, net of (ii) proceeds from sales of property, plant, and equipment;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purpose of such calculation each of the amounts set forth in clause (a) and (b) above shall exclude any direct government incentives provided by the U.S. federal government under the CHIPS Incentives Program and similar programs commenced after the Award Date.</w:t>
      </w:r>
    </w:p>
    <w:p>
      <w:pPr>
        <w:spacing w:after="0" w:line="13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Project</w:t>
      </w:r>
      <w:r>
        <w:rPr>
          <w:rFonts w:ascii="Arial" w:cs="Arial" w:eastAsia="Arial" w:hAnsi="Arial"/>
          <w:sz w:val="18"/>
          <w:szCs w:val="18"/>
          <w:color w:val="auto"/>
        </w:rPr>
        <w:t>” means the “Project” as such term is defined in that certain Direct Funding Agreement, dated as of the Award Date, entered into by and between the ID Recipient and the Department.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Recipient</w:t>
      </w:r>
      <w:r>
        <w:rPr>
          <w:rFonts w:ascii="Arial" w:cs="Arial" w:eastAsia="Arial" w:hAnsi="Arial"/>
          <w:sz w:val="18"/>
          <w:szCs w:val="18"/>
          <w:color w:val="auto"/>
        </w:rPr>
        <w:t>” means MICRON IDAHO SEMICONDUCTOR MANUFACTURING (TRITON) LLC.</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 Ratio</w:t>
      </w:r>
      <w:r>
        <w:rPr>
          <w:rFonts w:ascii="Arial" w:cs="Arial" w:eastAsia="Arial" w:hAnsi="Arial"/>
          <w:sz w:val="18"/>
          <w:szCs w:val="18"/>
          <w:color w:val="auto"/>
        </w:rPr>
        <w:t>” means the ratio of (a) the sum of (i) Indebtedness for Borrowed Money (and similar obligations under debt like securities) minus (ii) the Unrestricted Cash, Cash Equivalent and Marketable Securities Amount and minus (iii) restricted cash, to (b) EBITDA.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NSTC</w:t>
      </w:r>
      <w:r>
        <w:rPr>
          <w:rFonts w:ascii="Arial" w:cs="Arial" w:eastAsia="Arial" w:hAnsi="Arial"/>
          <w:sz w:val="18"/>
          <w:szCs w:val="18"/>
          <w:color w:val="auto"/>
        </w:rPr>
        <w:t>” means the National Semiconductor Technology Center.</w:t>
      </w:r>
    </w:p>
    <w:p>
      <w:pPr>
        <w:spacing w:after="0" w:line="1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 xml:space="preserve">“NY Projects” </w:t>
      </w:r>
      <w:r>
        <w:rPr>
          <w:rFonts w:ascii="Arial" w:cs="Arial" w:eastAsia="Arial" w:hAnsi="Arial"/>
          <w:sz w:val="18"/>
          <w:szCs w:val="18"/>
          <w:color w:val="auto"/>
        </w:rPr>
        <w:t>means, collectively, each “Project” as such term is defined in that certain Direct Funding Agreement,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Date, entered into by and between the NY Recipient and the Department.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 Recipient” </w:t>
      </w:r>
      <w:r>
        <w:rPr>
          <w:rFonts w:ascii="Arial" w:cs="Arial" w:eastAsia="Arial" w:hAnsi="Arial"/>
          <w:sz w:val="18"/>
          <w:szCs w:val="18"/>
          <w:color w:val="auto"/>
        </w:rPr>
        <w:t>means MICRON NEW YORK SEMICONDUCTOR MANUFACTURING LLC.</w:t>
      </w:r>
    </w:p>
    <w:p>
      <w:pPr>
        <w:spacing w:after="0" w:line="17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Dividends</w:t>
      </w:r>
      <w:r>
        <w:rPr>
          <w:rFonts w:ascii="Arial" w:cs="Arial" w:eastAsia="Arial" w:hAnsi="Arial"/>
          <w:sz w:val="18"/>
          <w:szCs w:val="18"/>
          <w:color w:val="auto"/>
        </w:rPr>
        <w:t>” means customary and ordinary course recurring dividends (and reasonably ordinary course increases thereof) consistent with the Sponsor Guarantor’s past practice, but excluding any special or one-time dividends.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Stock Buybacks</w:t>
      </w:r>
      <w:r>
        <w:rPr>
          <w:rFonts w:ascii="Arial" w:cs="Arial" w:eastAsia="Arial" w:hAnsi="Arial"/>
          <w:sz w:val="18"/>
          <w:szCs w:val="18"/>
          <w:color w:val="auto"/>
        </w:rPr>
        <w:t>” means:</w:t>
      </w:r>
    </w:p>
    <w:p>
      <w:pPr>
        <w:spacing w:after="0" w:line="177" w:lineRule="exact"/>
        <w:rPr>
          <w:sz w:val="20"/>
          <w:szCs w:val="20"/>
          <w:color w:val="auto"/>
        </w:rPr>
      </w:pPr>
    </w:p>
    <w:p>
      <w:pPr>
        <w:ind w:left="580" w:hanging="286"/>
        <w:spacing w:after="0" w:line="291" w:lineRule="auto"/>
        <w:tabs>
          <w:tab w:leader="none" w:pos="604" w:val="left"/>
        </w:tabs>
        <w:numPr>
          <w:ilvl w:val="0"/>
          <w:numId w:val="78"/>
        </w:numPr>
        <w:rPr>
          <w:rFonts w:ascii="Arial" w:cs="Arial" w:eastAsia="Arial" w:hAnsi="Arial"/>
          <w:sz w:val="17"/>
          <w:szCs w:val="17"/>
          <w:color w:val="auto"/>
        </w:rPr>
      </w:pPr>
      <w:r>
        <w:rPr>
          <w:rFonts w:ascii="Arial" w:cs="Arial" w:eastAsia="Arial" w:hAnsi="Arial"/>
          <w:sz w:val="17"/>
          <w:szCs w:val="17"/>
          <w:color w:val="auto"/>
        </w:rPr>
        <w:t>shares of common stock of Sponsor Guarantor withheld as payment of withholding taxes and exercise prices in connection with the vesting or exercise of equity awards under Sponsor Guarantor’s existing equity plans in effect on the Award Date and any subsequent similar equity plans that are treated as repurchases of Sponsor Guarantor’s common stock under GAAP;</w:t>
      </w:r>
    </w:p>
    <w:p>
      <w:pPr>
        <w:spacing w:after="0" w:line="105" w:lineRule="exact"/>
        <w:rPr>
          <w:rFonts w:ascii="Arial" w:cs="Arial" w:eastAsia="Arial" w:hAnsi="Arial"/>
          <w:sz w:val="17"/>
          <w:szCs w:val="17"/>
          <w:color w:val="auto"/>
        </w:rPr>
      </w:pPr>
    </w:p>
    <w:p>
      <w:pPr>
        <w:ind w:left="580" w:right="100" w:hanging="286"/>
        <w:spacing w:after="0" w:line="248" w:lineRule="auto"/>
        <w:tabs>
          <w:tab w:leader="none" w:pos="592"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the period beginning on the Award Date and ending on the first (1</w:t>
      </w:r>
      <w:r>
        <w:rPr>
          <w:rFonts w:ascii="Arial" w:cs="Arial" w:eastAsia="Arial" w:hAnsi="Arial"/>
          <w:sz w:val="23"/>
          <w:szCs w:val="23"/>
          <w:color w:val="auto"/>
          <w:vertAlign w:val="superscript"/>
        </w:rPr>
        <w:t>st</w:t>
      </w:r>
      <w:r>
        <w:rPr>
          <w:rFonts w:ascii="Arial" w:cs="Arial" w:eastAsia="Arial" w:hAnsi="Arial"/>
          <w:sz w:val="17"/>
          <w:szCs w:val="17"/>
          <w:color w:val="auto"/>
        </w:rPr>
        <w:t>) anniversary of the Award Date, stock buybacks to offset the dilutive effect of Sponsor Guarantor’s existing equity plans in effect on the Award Date and any subsequent similar equity plans during the applicable Measurement Period, not to exceed [***]per year during such Measurement Period;</w:t>
      </w:r>
    </w:p>
    <w:p>
      <w:pPr>
        <w:spacing w:after="0" w:line="162" w:lineRule="exact"/>
        <w:rPr>
          <w:rFonts w:ascii="Arial" w:cs="Arial" w:eastAsia="Arial" w:hAnsi="Arial"/>
          <w:sz w:val="17"/>
          <w:szCs w:val="17"/>
          <w:color w:val="auto"/>
        </w:rPr>
      </w:pPr>
    </w:p>
    <w:p>
      <w:pPr>
        <w:ind w:left="580" w:right="120" w:hanging="286"/>
        <w:spacing w:after="0" w:line="237" w:lineRule="auto"/>
        <w:tabs>
          <w:tab w:leader="none" w:pos="5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period beginning on the first (1</w:t>
      </w:r>
      <w:r>
        <w:rPr>
          <w:rFonts w:ascii="Arial" w:cs="Arial" w:eastAsia="Arial" w:hAnsi="Arial"/>
          <w:sz w:val="24"/>
          <w:szCs w:val="24"/>
          <w:color w:val="auto"/>
          <w:vertAlign w:val="superscript"/>
        </w:rPr>
        <w:t>st</w:t>
      </w:r>
      <w:r>
        <w:rPr>
          <w:rFonts w:ascii="Arial" w:cs="Arial" w:eastAsia="Arial" w:hAnsi="Arial"/>
          <w:sz w:val="18"/>
          <w:szCs w:val="18"/>
          <w:color w:val="auto"/>
        </w:rPr>
        <w:t>) anniversary of the Award Date and ending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Award Date, stock buybacks to offset the dilutive effect of Sponsor Guarantor’s existing equity plans in effect on the Award Date and any subsequent similar equity plans during the applicable Measurement Period, not to exceed [***] per year during such Measurement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1-2</w:t>
      </w:r>
    </w:p>
    <w:p>
      <w:pPr>
        <w:sectPr>
          <w:pgSz w:w="11900" w:h="16840" w:orient="portrait"/>
          <w:cols w:equalWidth="0" w:num="1">
            <w:col w:w="10560"/>
          </w:cols>
          <w:pgMar w:left="660" w:top="1440" w:right="680" w:bottom="1440" w:gutter="0" w:footer="0" w:header="0"/>
        </w:sectPr>
      </w:pPr>
    </w:p>
    <w:bookmarkStart w:id="143" w:name="page144"/>
    <w:bookmarkEnd w:id="143"/>
    <w:p>
      <w:pPr>
        <w:spacing w:after="0" w:line="293" w:lineRule="exact"/>
        <w:rPr>
          <w:sz w:val="20"/>
          <w:szCs w:val="20"/>
          <w:color w:val="auto"/>
        </w:rPr>
      </w:pPr>
    </w:p>
    <w:p>
      <w:pPr>
        <w:ind w:left="580" w:right="20" w:hanging="286"/>
        <w:spacing w:after="0" w:line="239" w:lineRule="auto"/>
        <w:tabs>
          <w:tab w:leader="none" w:pos="5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each fiscal quarter of the Sponsor Guarantor during the period beginning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Award Date and ending on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Award Date, additional stock buybacks which, when taken together with all other Permitted Stock Buybacks and Permitted Dividends during the applicable Measurement Period, are not in excess of the Free Cash Flow of the Sponsor Guarantor and its Consolidated Subsidiaries during the most recent Measurement Period ended prior to such fiscal quarter so long as the following conditions are met: (i) after giving pro forma effect for such stock buyback as if made as of the end of the applicable Measurement Period, the Sponsor Guarantor and its Consolidated Subsidiaries would have a Net Debt Ratio not in excess of 1.75: 1.00 as of the end of such Measurement Period, (ii) as of the date of such stock buyback, the Sponsor Guarantor is Investment Grade, (iii) the Sponsor Guarantor and its Consolidated Subsidiaries research and development expenditures during the applicable Measurement Period are in excess of $3 billion, (iv) the amount of the Sponsor Guarantor and its Consolidated Subsidiaries' total capital expenditures determined in accordance with GAAP during such Measurement Period are greater than four times the amount of Direct Funding received by the Recipients during such Measurement Period.</w:t>
      </w:r>
    </w:p>
    <w:p>
      <w:pPr>
        <w:spacing w:after="0" w:line="150" w:lineRule="exact"/>
        <w:rPr>
          <w:sz w:val="20"/>
          <w:szCs w:val="20"/>
          <w:color w:val="auto"/>
        </w:rPr>
      </w:pPr>
    </w:p>
    <w:p>
      <w:pPr>
        <w:ind w:left="580" w:right="560"/>
        <w:spacing w:after="0" w:line="269" w:lineRule="auto"/>
        <w:rPr>
          <w:sz w:val="20"/>
          <w:szCs w:val="20"/>
          <w:color w:val="auto"/>
        </w:rPr>
      </w:pPr>
      <w:r>
        <w:rPr>
          <w:rFonts w:ascii="Arial" w:cs="Arial" w:eastAsia="Arial" w:hAnsi="Arial"/>
          <w:sz w:val="18"/>
          <w:szCs w:val="18"/>
          <w:color w:val="auto"/>
        </w:rPr>
        <w:t>It is understood that the Recipient shall be entitled to request an amendment or waiver under Section 10.12 (</w:t>
      </w:r>
      <w:r>
        <w:rPr>
          <w:rFonts w:ascii="Arial" w:cs="Arial" w:eastAsia="Arial" w:hAnsi="Arial"/>
          <w:sz w:val="18"/>
          <w:szCs w:val="18"/>
          <w:b w:val="1"/>
          <w:bCs w:val="1"/>
          <w:color w:val="auto"/>
        </w:rPr>
        <w:t>Dispute</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of the Agreement to allow the Sponsor Guarantor to engage in stock buybacks at higher amounts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by clauses (b) and (c)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“PFAS</w:t>
      </w:r>
      <w:r>
        <w:rPr>
          <w:rFonts w:ascii="Arial" w:cs="Arial" w:eastAsia="Arial" w:hAnsi="Arial"/>
          <w:sz w:val="18"/>
          <w:szCs w:val="18"/>
          <w:color w:val="auto"/>
        </w:rPr>
        <w:t>” has the meaning set forth in Section 3.5.7 (</w:t>
      </w:r>
      <w:r>
        <w:rPr>
          <w:rFonts w:ascii="Arial" w:cs="Arial" w:eastAsia="Arial" w:hAnsi="Arial"/>
          <w:sz w:val="18"/>
          <w:szCs w:val="18"/>
          <w:b w:val="1"/>
          <w:bCs w:val="1"/>
          <w:color w:val="auto"/>
        </w:rPr>
        <w:t>[***]</w:t>
      </w:r>
      <w:r>
        <w:rPr>
          <w:rFonts w:ascii="Arial" w:cs="Arial" w:eastAsia="Arial" w:hAnsi="Arial"/>
          <w:sz w:val="18"/>
          <w:szCs w:val="18"/>
          <w:color w:val="auto"/>
        </w:rPr>
        <w:t>) of this Annex D (</w:t>
      </w:r>
      <w:r>
        <w:rPr>
          <w:rFonts w:ascii="Arial" w:cs="Arial" w:eastAsia="Arial" w:hAnsi="Arial"/>
          <w:sz w:val="18"/>
          <w:szCs w:val="18"/>
          <w:b w:val="1"/>
          <w:bCs w:val="1"/>
          <w:color w:val="auto"/>
        </w:rPr>
        <w:t>Program Requirements</w:t>
      </w:r>
      <w:r>
        <w:rPr>
          <w:rFonts w:ascii="Arial" w:cs="Arial" w:eastAsia="Arial" w:hAnsi="Arial"/>
          <w:sz w:val="18"/>
          <w:szCs w:val="18"/>
          <w:color w:val="auto"/>
        </w:rPr>
        <w:t>).</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Prohibited Equipment</w:t>
      </w:r>
      <w:r>
        <w:rPr>
          <w:rFonts w:ascii="Arial" w:cs="Arial" w:eastAsia="Arial" w:hAnsi="Arial"/>
          <w:sz w:val="17"/>
          <w:szCs w:val="17"/>
          <w:color w:val="auto"/>
        </w:rPr>
        <w:t>” means any of the following types of equipment manufactured or assembled by any Foreign Entity of Concern that is used or installed by the Recipient for the fabrication, assembly, testing, advanced packaging, production, or research and development of semiconductors: (a) deposition equipment; (b) etching equipment; (c) lithography equipment; (d) inspection and measuring equipment; (e) wafer slicing equipment; (f) wafer dicing equipment; (g) wire bonders; (h) ion implantation equipment; and</w:t>
      </w:r>
    </w:p>
    <w:p>
      <w:pPr>
        <w:spacing w:after="0" w:line="3" w:lineRule="exact"/>
        <w:rPr>
          <w:sz w:val="20"/>
          <w:szCs w:val="20"/>
          <w:color w:val="auto"/>
        </w:rPr>
      </w:pPr>
    </w:p>
    <w:p>
      <w:pPr>
        <w:ind w:right="80" w:firstLine="6"/>
        <w:spacing w:after="0" w:line="273" w:lineRule="auto"/>
        <w:tabs>
          <w:tab w:leader="none" w:pos="21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diffusion/oxidation furnaces; but does not, in each case, include any subsystem or subcomponent that enables, or is incorporated into, any such equipment, except that “Prohibited Equipment” does not include any of the following: (x) certain equipment specified to the Department in writing that is used or installed exclusively for internal tool evaluation and (y) with respect to which a waiver is provided by the Department after consideration of whether there are no available market alternatives in reasonably available quantities or of a satisfactory quality to support a Project that present a reasonable substitute for such equipment.</w:t>
      </w:r>
    </w:p>
    <w:p>
      <w:pPr>
        <w:spacing w:after="0" w:line="11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Agreement</w:t>
      </w:r>
      <w:r>
        <w:rPr>
          <w:rFonts w:ascii="Arial" w:cs="Arial" w:eastAsia="Arial" w:hAnsi="Arial"/>
          <w:sz w:val="18"/>
          <w:szCs w:val="18"/>
          <w:color w:val="auto"/>
        </w:rPr>
        <w:t>” means that certain Credit Agreement, dated as of May 14, 2021, among the Sponsor Guarantor, HSBC Bank USA, National Association, as administrative agent, and certain financial institutions from time to time party thereto, as amended and in effect as of the Award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shall have the meaning set forth in the Revolving Credit Agreement (as in effect on the Award Date):</w:t>
      </w:r>
    </w:p>
    <w:p>
      <w:pPr>
        <w:spacing w:after="0" w:line="27" w:lineRule="exact"/>
        <w:rPr>
          <w:sz w:val="20"/>
          <w:szCs w:val="20"/>
          <w:color w:val="auto"/>
        </w:rPr>
      </w:pPr>
    </w:p>
    <w:p>
      <w:pPr>
        <w:ind w:right="500" w:firstLine="6"/>
        <w:spacing w:after="0" w:line="266"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Consolidated Subsidiaries; (b) Measurement Period; (c) the Unrestricted Cash, Cash Equivalent and Marketable Securities Amount and (d) Consolidated EBITDA.</w:t>
      </w:r>
    </w:p>
    <w:p>
      <w:pPr>
        <w:spacing w:after="0" w:line="183" w:lineRule="exact"/>
        <w:rPr>
          <w:sz w:val="20"/>
          <w:szCs w:val="20"/>
          <w:color w:val="auto"/>
        </w:rPr>
      </w:pPr>
    </w:p>
    <w:p>
      <w:pPr>
        <w:ind w:right="380"/>
        <w:spacing w:after="0" w:line="318" w:lineRule="auto"/>
        <w:rPr>
          <w:sz w:val="20"/>
          <w:szCs w:val="20"/>
          <w:color w:val="auto"/>
        </w:rPr>
      </w:pPr>
      <w:r>
        <w:rPr>
          <w:rFonts w:ascii="Arial" w:cs="Arial" w:eastAsia="Arial" w:hAnsi="Arial"/>
          <w:sz w:val="17"/>
          <w:szCs w:val="17"/>
          <w:color w:val="auto"/>
        </w:rPr>
        <w:t>For the purposes of this Annex D (</w:t>
      </w:r>
      <w:r>
        <w:rPr>
          <w:rFonts w:ascii="Arial" w:cs="Arial" w:eastAsia="Arial" w:hAnsi="Arial"/>
          <w:sz w:val="17"/>
          <w:szCs w:val="17"/>
          <w:b w:val="1"/>
          <w:bCs w:val="1"/>
          <w:color w:val="auto"/>
        </w:rPr>
        <w:t>Program Requirements</w:t>
      </w:r>
      <w:r>
        <w:rPr>
          <w:rFonts w:ascii="Arial" w:cs="Arial" w:eastAsia="Arial" w:hAnsi="Arial"/>
          <w:sz w:val="17"/>
          <w:szCs w:val="17"/>
          <w:color w:val="auto"/>
        </w:rPr>
        <w:t>), (i) Recipient shall refer to either or both of the ID Recipient and NY Recipient, as the context requires, and (ii) Project shall refer to any of the ID Projects and NY Projects,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1-3</w:t>
      </w:r>
    </w:p>
    <w:p>
      <w:pPr>
        <w:sectPr>
          <w:pgSz w:w="11900" w:h="16840" w:orient="portrait"/>
          <w:cols w:equalWidth="0" w:num="1">
            <w:col w:w="10540"/>
          </w:cols>
          <w:pgMar w:left="660" w:top="1440" w:right="700" w:bottom="1440" w:gutter="0" w:footer="0" w:header="0"/>
        </w:sectPr>
      </w:pPr>
    </w:p>
    <w:bookmarkStart w:id="144" w:name="page145"/>
    <w:bookmarkEnd w:id="144"/>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PROGRAM REQUIREMENTS NOT SUBJECT TO CURE PERIOD</w:t>
      </w:r>
    </w:p>
    <w:p>
      <w:pPr>
        <w:spacing w:after="0" w:line="201"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7"/>
          <w:szCs w:val="17"/>
          <w:b w:val="1"/>
          <w:bCs w:val="1"/>
          <w:color w:val="auto"/>
        </w:rPr>
        <w:t>Economic and National Security Objectives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b w:val="1"/>
          <w:bCs w:val="1"/>
          <w:color w:val="auto"/>
        </w:rPr>
        <w:t>Resilience</w:t>
      </w:r>
      <w:r>
        <w:rPr>
          <w:rFonts w:ascii="Arial" w:cs="Arial" w:eastAsia="Arial" w:hAnsi="Arial"/>
          <w:sz w:val="17"/>
          <w:szCs w:val="17"/>
          <w:color w:val="auto"/>
        </w:rPr>
        <w:t>.</w:t>
      </w:r>
    </w:p>
    <w:p>
      <w:pPr>
        <w:spacing w:after="0" w:line="177" w:lineRule="exact"/>
        <w:rPr>
          <w:sz w:val="20"/>
          <w:szCs w:val="20"/>
          <w:color w:val="auto"/>
        </w:rPr>
      </w:pPr>
    </w:p>
    <w:p>
      <w:pPr>
        <w:ind w:left="580" w:right="240" w:firstLine="578"/>
        <w:spacing w:after="0" w:line="269" w:lineRule="auto"/>
        <w:tabs>
          <w:tab w:leader="none" w:pos="17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Recipient will use commercially reasonable efforts to work with the Department, subject to compliance with U.S. and other relevant regulations, to accelerate supply chain resilience with domestic materials suppliers where practicable.</w:t>
      </w:r>
    </w:p>
    <w:p>
      <w:pPr>
        <w:spacing w:after="0" w:line="120" w:lineRule="exact"/>
        <w:rPr>
          <w:rFonts w:ascii="Arial" w:cs="Arial" w:eastAsia="Arial" w:hAnsi="Arial"/>
          <w:sz w:val="18"/>
          <w:szCs w:val="18"/>
          <w:color w:val="auto"/>
        </w:rPr>
      </w:pPr>
    </w:p>
    <w:p>
      <w:pPr>
        <w:ind w:left="580" w:firstLine="578"/>
        <w:spacing w:after="0" w:line="262" w:lineRule="auto"/>
        <w:tabs>
          <w:tab w:leader="none" w:pos="17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NY Recipient shall use commercially reasonable efforts to ensure that the agreements with the general contractor for the NY Projects contain terms relating to physical and non-physical security substantially similar to, or greater in scope than, those contained in the agreements with the general contractor for the ID Project, or are otherwise reasonably satisfactory to the Department.</w:t>
      </w:r>
    </w:p>
    <w:p>
      <w:pPr>
        <w:spacing w:after="0" w:line="128" w:lineRule="exact"/>
        <w:rPr>
          <w:sz w:val="20"/>
          <w:szCs w:val="20"/>
          <w:color w:val="auto"/>
        </w:rPr>
      </w:pPr>
    </w:p>
    <w:p>
      <w:pPr>
        <w:ind w:right="40" w:firstLine="1152"/>
        <w:spacing w:after="0" w:line="26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Prohibited Equipment</w:t>
      </w:r>
      <w:r>
        <w:rPr>
          <w:rFonts w:ascii="Arial" w:cs="Arial" w:eastAsia="Arial" w:hAnsi="Arial"/>
          <w:sz w:val="18"/>
          <w:szCs w:val="18"/>
          <w:color w:val="auto"/>
        </w:rPr>
        <w:t>. Absent a consent or waiver from the Department and subject to any exceptions set forth on Schedule I (</w:t>
      </w:r>
      <w:r>
        <w:rPr>
          <w:rFonts w:ascii="Arial" w:cs="Arial" w:eastAsia="Arial" w:hAnsi="Arial"/>
          <w:sz w:val="18"/>
          <w:szCs w:val="18"/>
          <w:b w:val="1"/>
          <w:bCs w:val="1"/>
          <w:color w:val="auto"/>
        </w:rPr>
        <w:t>Excepted Equipment</w:t>
      </w:r>
      <w:r>
        <w:rPr>
          <w:rFonts w:ascii="Arial" w:cs="Arial" w:eastAsia="Arial" w:hAnsi="Arial"/>
          <w:sz w:val="18"/>
          <w:szCs w:val="18"/>
          <w:color w:val="auto"/>
        </w:rPr>
        <w:t>) of this Agreement (as it may be amended from time to time in accordance with the terms hereof), each Recipient shall not knowingly use or install in any Project completed, fully assembled Prohibited Equipment.</w:t>
      </w:r>
    </w:p>
    <w:p>
      <w:pPr>
        <w:spacing w:after="0" w:line="120" w:lineRule="exact"/>
        <w:rPr>
          <w:sz w:val="20"/>
          <w:szCs w:val="20"/>
          <w:color w:val="auto"/>
        </w:rPr>
      </w:pPr>
    </w:p>
    <w:p>
      <w:pPr>
        <w:ind w:right="100" w:firstLine="1152"/>
        <w:spacing w:after="0" w:line="25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Due Diligence Mitigation</w:t>
      </w:r>
      <w:r>
        <w:rPr>
          <w:rFonts w:ascii="Arial" w:cs="Arial" w:eastAsia="Arial" w:hAnsi="Arial"/>
          <w:sz w:val="18"/>
          <w:szCs w:val="18"/>
          <w:color w:val="auto"/>
        </w:rPr>
        <w:t>. Each Recipient shall use commercially reasonable efforts to ensure that its suppliers will notify such Recipient with respect to any change of control and/or ownership, and that its supplier agreements entered into, renegotiated or subject to a material amendment or amendment and restatement after the date of Award contain notification provisions with respect to any change of control and/or ownership. It is acknowledged and agreed that commercially reasonable efforts with respect to the foregoing (a) shall require that each Recipient request that its suppliers notify it in writing with respect to any change of control and/or ownership in a manner consistent with its form supplier agreement, and (b) shall not require amendments or amendment and restatements of all of the Recipients supplier agreements.</w:t>
      </w:r>
    </w:p>
    <w:p>
      <w:pPr>
        <w:spacing w:after="0" w:line="135"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7"/>
          <w:szCs w:val="17"/>
          <w:b w:val="1"/>
          <w:bCs w:val="1"/>
          <w:color w:val="auto"/>
        </w:rPr>
        <w:t>Workforce</w:t>
      </w:r>
      <w:r>
        <w:rPr>
          <w:rFonts w:ascii="Arial" w:cs="Arial" w:eastAsia="Arial" w:hAnsi="Arial"/>
          <w:sz w:val="17"/>
          <w:szCs w:val="17"/>
          <w:color w:val="auto"/>
        </w:rPr>
        <w:t>.</w:t>
      </w:r>
    </w:p>
    <w:p>
      <w:pPr>
        <w:spacing w:after="0" w:line="177" w:lineRule="exact"/>
        <w:rPr>
          <w:sz w:val="20"/>
          <w:szCs w:val="20"/>
          <w:color w:val="auto"/>
        </w:rPr>
      </w:pPr>
    </w:p>
    <w:p>
      <w:pPr>
        <w:ind w:left="580" w:right="380" w:firstLine="578"/>
        <w:spacing w:after="0" w:line="287" w:lineRule="auto"/>
        <w:tabs>
          <w:tab w:leader="none" w:pos="18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Recipients shall achieve the following facility staffing targets (“</w:t>
      </w:r>
      <w:r>
        <w:rPr>
          <w:rFonts w:ascii="Arial" w:cs="Arial" w:eastAsia="Arial" w:hAnsi="Arial"/>
          <w:sz w:val="18"/>
          <w:szCs w:val="18"/>
          <w:b w:val="1"/>
          <w:bCs w:val="1"/>
          <w:color w:val="auto"/>
        </w:rPr>
        <w:t>Facility Staffing Targets</w:t>
      </w:r>
      <w:r>
        <w:rPr>
          <w:rFonts w:ascii="Arial" w:cs="Arial" w:eastAsia="Arial" w:hAnsi="Arial"/>
          <w:sz w:val="18"/>
          <w:szCs w:val="18"/>
          <w:color w:val="auto"/>
        </w:rPr>
        <w:t>”) by the date specified below:</w:t>
      </w:r>
    </w:p>
    <w:p>
      <w:pPr>
        <w:spacing w:after="0" w:line="105" w:lineRule="exact"/>
        <w:rPr>
          <w:rFonts w:ascii="Arial" w:cs="Arial" w:eastAsia="Arial" w:hAnsi="Arial"/>
          <w:sz w:val="18"/>
          <w:szCs w:val="18"/>
          <w:color w:val="auto"/>
        </w:rPr>
      </w:pPr>
    </w:p>
    <w:p>
      <w:pPr>
        <w:ind w:left="580" w:right="80" w:firstLine="1155"/>
        <w:spacing w:after="0" w:line="255" w:lineRule="auto"/>
        <w:tabs>
          <w:tab w:leader="none" w:pos="23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for the NY Projects, (A) by the Project Completion Longstop Date for NY Fab 1 Project (as such date may be extended in accordance with a waiver granted pursuant to the Award Document),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xml:space="preserve"> people; or (2) subject to the Department’s review and approval, a lesser amount based on the projected staffing needs of the NY Projects which projected staffing needs are expected to be shared annually with the Department, and (B) by the Project Completion Longstop Date for NY Fab 2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xml:space="preserve"> people; or (2) subject to the Department’s review and approval, a lesser amount based on the projected staffing needs of the NY Projects which projected staffing needs are expected to be shared annually with the Department;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1-4</w:t>
      </w:r>
    </w:p>
    <w:p>
      <w:pPr>
        <w:sectPr>
          <w:pgSz w:w="11900" w:h="16840" w:orient="portrait"/>
          <w:cols w:equalWidth="0" w:num="1">
            <w:col w:w="10560"/>
          </w:cols>
          <w:pgMar w:left="660" w:top="1440" w:right="680" w:bottom="1440" w:gutter="0" w:footer="0" w:header="0"/>
        </w:sectPr>
      </w:pPr>
    </w:p>
    <w:bookmarkStart w:id="145" w:name="page146"/>
    <w:bookmarkEnd w:id="145"/>
    <w:p>
      <w:pPr>
        <w:spacing w:after="0" w:line="293" w:lineRule="exact"/>
        <w:rPr>
          <w:sz w:val="20"/>
          <w:szCs w:val="20"/>
          <w:color w:val="auto"/>
        </w:rPr>
      </w:pPr>
    </w:p>
    <w:p>
      <w:pPr>
        <w:ind w:left="580" w:firstLine="1155"/>
        <w:spacing w:after="0" w:line="255" w:lineRule="auto"/>
        <w:tabs>
          <w:tab w:leader="none" w:pos="2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for the ID Projects, (A) by the Project Completion Longstop Date for the ID Fab 1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people; or (2) subject to the Department’s review and approval, a lesser amount based on the projected staffing needs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ID Projects which projected staffing needs are expected to be shared annually with the Department, and (B) by the Project Completion Longstop Date for the ID Fab 2 Project (as such date may be extended in accordance with a waiver granted pursuant to the Award Documents), a Facility Workforce of (1) </w:t>
      </w:r>
      <w:r>
        <w:rPr>
          <w:rFonts w:ascii="Arial" w:cs="Arial" w:eastAsia="Arial" w:hAnsi="Arial"/>
          <w:sz w:val="18"/>
          <w:szCs w:val="18"/>
          <w:b w:val="1"/>
          <w:bCs w:val="1"/>
          <w:color w:val="auto"/>
        </w:rPr>
        <w:t>[***]</w:t>
      </w:r>
      <w:r>
        <w:rPr>
          <w:rFonts w:ascii="Arial" w:cs="Arial" w:eastAsia="Arial" w:hAnsi="Arial"/>
          <w:sz w:val="18"/>
          <w:szCs w:val="18"/>
          <w:color w:val="auto"/>
        </w:rPr>
        <w:t>; or (2) subject to the Department’s review and approval, a lesser amount based on the projected staffing needs of the ID Projects which projected staffing needs are expected to be shared annually with the Department.</w:t>
      </w:r>
    </w:p>
    <w:p>
      <w:pPr>
        <w:spacing w:after="0" w:line="137" w:lineRule="exact"/>
        <w:rPr>
          <w:sz w:val="20"/>
          <w:szCs w:val="20"/>
          <w:color w:val="auto"/>
        </w:rPr>
      </w:pPr>
    </w:p>
    <w:p>
      <w:pPr>
        <w:ind w:right="120" w:firstLine="576"/>
        <w:spacing w:after="0" w:line="269" w:lineRule="auto"/>
        <w:rPr>
          <w:sz w:val="20"/>
          <w:szCs w:val="20"/>
          <w:color w:val="auto"/>
        </w:rPr>
      </w:pPr>
      <w:r>
        <w:rPr>
          <w:rFonts w:ascii="Arial" w:cs="Arial" w:eastAsia="Arial" w:hAnsi="Arial"/>
          <w:sz w:val="18"/>
          <w:szCs w:val="18"/>
          <w:b w:val="1"/>
          <w:bCs w:val="1"/>
          <w:color w:val="auto"/>
        </w:rPr>
        <w:t xml:space="preserve">Section 2.3 Stock Buybacks and Dividends. </w:t>
      </w:r>
      <w:r>
        <w:rPr>
          <w:rFonts w:ascii="Arial" w:cs="Arial" w:eastAsia="Arial" w:hAnsi="Arial"/>
          <w:sz w:val="18"/>
          <w:szCs w:val="18"/>
          <w:color w:val="auto"/>
        </w:rPr>
        <w:t>For the period beginning on the Award Date and ending on the fifth (5th)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Award Date, each Recipient and each Recipient Entity shall not (a) engage in any stock buybacks, except for Permitted Stock Buybacks and (b) make any dividends to Sponsor Guarantor’s shareholders, except for Permitted Dividends.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PROGRAM REQUIREMENTS SUBJECT TO CURE PERIOD</w:t>
      </w:r>
    </w:p>
    <w:p>
      <w:pPr>
        <w:spacing w:after="0" w:line="201"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7"/>
          <w:szCs w:val="17"/>
          <w:b w:val="1"/>
          <w:bCs w:val="1"/>
          <w:color w:val="auto"/>
        </w:rPr>
        <w:t>Economic and National Security Objectives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b w:val="1"/>
          <w:bCs w:val="1"/>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b w:val="1"/>
          <w:bCs w:val="1"/>
          <w:color w:val="auto"/>
        </w:rPr>
        <w:t>Supply Chain Security</w:t>
      </w:r>
      <w:r>
        <w:rPr>
          <w:rFonts w:ascii="Arial" w:cs="Arial" w:eastAsia="Arial" w:hAnsi="Arial"/>
          <w:sz w:val="17"/>
          <w:szCs w:val="17"/>
          <w:color w:val="auto"/>
        </w:rPr>
        <w:t>.</w:t>
      </w:r>
    </w:p>
    <w:p>
      <w:pPr>
        <w:spacing w:after="0" w:line="177" w:lineRule="exact"/>
        <w:rPr>
          <w:sz w:val="20"/>
          <w:szCs w:val="20"/>
          <w:color w:val="auto"/>
        </w:rPr>
      </w:pPr>
    </w:p>
    <w:p>
      <w:pPr>
        <w:jc w:val="both"/>
        <w:ind w:left="580" w:right="160" w:firstLine="578"/>
        <w:spacing w:after="0" w:line="269" w:lineRule="auto"/>
        <w:tabs>
          <w:tab w:leader="none" w:pos="17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Recipient shall implement and comply with (including through the provision of adequate resources and staffing) supply chain risk management plans, policies and procedures for each Project, which shall include, at a minimum, the following elements:</w:t>
      </w:r>
    </w:p>
    <w:p>
      <w:pPr>
        <w:spacing w:after="0" w:line="120" w:lineRule="exact"/>
        <w:rPr>
          <w:rFonts w:ascii="Arial" w:cs="Arial" w:eastAsia="Arial" w:hAnsi="Arial"/>
          <w:sz w:val="18"/>
          <w:szCs w:val="18"/>
          <w:color w:val="auto"/>
        </w:rPr>
      </w:pPr>
    </w:p>
    <w:p>
      <w:pPr>
        <w:ind w:left="2320" w:hanging="585"/>
        <w:spacing w:after="0"/>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requirements to identify geographic concentration risks;</w:t>
      </w:r>
    </w:p>
    <w:p>
      <w:pPr>
        <w:spacing w:after="0" w:line="177" w:lineRule="exact"/>
        <w:rPr>
          <w:rFonts w:ascii="Arial" w:cs="Arial" w:eastAsia="Arial" w:hAnsi="Arial"/>
          <w:sz w:val="18"/>
          <w:szCs w:val="18"/>
          <w:color w:val="auto"/>
        </w:rPr>
      </w:pPr>
    </w:p>
    <w:p>
      <w:pPr>
        <w:ind w:left="580" w:right="140" w:firstLine="1155"/>
        <w:spacing w:after="0" w:line="269" w:lineRule="auto"/>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requirements to identify the name, location, and ownership, to the extent reasonably available, for (A) all first-tier suppliers and service providers, and (B) original sources of critical suppliers of front end raw materials and equipment supporting the identification of supply chain risks; and</w:t>
      </w:r>
    </w:p>
    <w:p>
      <w:pPr>
        <w:spacing w:after="0" w:line="120" w:lineRule="exact"/>
        <w:rPr>
          <w:rFonts w:ascii="Arial" w:cs="Arial" w:eastAsia="Arial" w:hAnsi="Arial"/>
          <w:sz w:val="18"/>
          <w:szCs w:val="18"/>
          <w:color w:val="auto"/>
        </w:rPr>
      </w:pPr>
    </w:p>
    <w:p>
      <w:pPr>
        <w:ind w:left="580" w:right="1160" w:firstLine="1155"/>
        <w:spacing w:after="0" w:line="287" w:lineRule="auto"/>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requirements for supplier and distributor qualification and monitoring for quality, integrity, ownership/control, access, and availability risks.</w:t>
      </w:r>
    </w:p>
    <w:p>
      <w:pPr>
        <w:spacing w:after="0" w:line="105" w:lineRule="exact"/>
        <w:rPr>
          <w:rFonts w:ascii="Arial" w:cs="Arial" w:eastAsia="Arial" w:hAnsi="Arial"/>
          <w:sz w:val="18"/>
          <w:szCs w:val="18"/>
          <w:color w:val="auto"/>
        </w:rPr>
      </w:pPr>
    </w:p>
    <w:p>
      <w:pPr>
        <w:ind w:left="1740" w:hanging="582"/>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Recipient shall use commercially reasonable efforts to:</w:t>
      </w:r>
    </w:p>
    <w:p>
      <w:pPr>
        <w:spacing w:after="0" w:line="177" w:lineRule="exact"/>
        <w:rPr>
          <w:rFonts w:ascii="Arial" w:cs="Arial" w:eastAsia="Arial" w:hAnsi="Arial"/>
          <w:sz w:val="18"/>
          <w:szCs w:val="18"/>
          <w:color w:val="auto"/>
        </w:rPr>
      </w:pPr>
    </w:p>
    <w:p>
      <w:pPr>
        <w:ind w:left="580" w:right="580" w:firstLine="1155"/>
        <w:spacing w:after="0" w:line="287" w:lineRule="auto"/>
        <w:tabs>
          <w:tab w:leader="none" w:pos="23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implement bill-of-material requirements in any new or renegotiated agreements with suppliers of equipment for the fabrication and production of semiconductors;</w:t>
      </w:r>
    </w:p>
    <w:p>
      <w:pPr>
        <w:spacing w:after="0" w:line="105" w:lineRule="exact"/>
        <w:rPr>
          <w:rFonts w:ascii="Arial" w:cs="Arial" w:eastAsia="Arial" w:hAnsi="Arial"/>
          <w:sz w:val="18"/>
          <w:szCs w:val="18"/>
          <w:color w:val="auto"/>
        </w:rPr>
      </w:pPr>
    </w:p>
    <w:p>
      <w:pPr>
        <w:ind w:left="580" w:right="340" w:firstLine="1155"/>
        <w:spacing w:after="0" w:line="287" w:lineRule="auto"/>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conduct security audits or receive security attestations of 20% of first-tier suppliers of front end raw materials and equipment (in each case for Semiconductor Manufacturing) per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Annex 1-5</w:t>
      </w:r>
    </w:p>
    <w:p>
      <w:pPr>
        <w:sectPr>
          <w:pgSz w:w="11900" w:h="16840" w:orient="portrait"/>
          <w:cols w:equalWidth="0" w:num="1">
            <w:col w:w="10500"/>
          </w:cols>
          <w:pgMar w:left="660" w:top="1440" w:right="740" w:bottom="1440" w:gutter="0" w:footer="0" w:header="0"/>
        </w:sectPr>
      </w:pPr>
    </w:p>
    <w:bookmarkStart w:id="146" w:name="page147"/>
    <w:bookmarkEnd w:id="146"/>
    <w:p>
      <w:pPr>
        <w:spacing w:after="0" w:line="293" w:lineRule="exact"/>
        <w:rPr>
          <w:sz w:val="20"/>
          <w:szCs w:val="20"/>
          <w:color w:val="auto"/>
        </w:rPr>
      </w:pPr>
    </w:p>
    <w:p>
      <w:pPr>
        <w:ind w:right="80" w:firstLine="1155"/>
        <w:spacing w:after="0" w:line="287" w:lineRule="auto"/>
        <w:tabs>
          <w:tab w:leader="none" w:pos="1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participate in industry and government efforts towards achieving viable PFAS (per- and polyfluoroalkyl substances) substitutions and emissions controls.</w:t>
      </w:r>
    </w:p>
    <w:p>
      <w:pPr>
        <w:spacing w:after="0" w:line="105" w:lineRule="exact"/>
        <w:rPr>
          <w:rFonts w:ascii="Arial" w:cs="Arial" w:eastAsia="Arial" w:hAnsi="Arial"/>
          <w:sz w:val="18"/>
          <w:szCs w:val="18"/>
          <w:color w:val="auto"/>
        </w:rPr>
      </w:pPr>
    </w:p>
    <w:p>
      <w:pPr>
        <w:ind w:firstLine="578"/>
        <w:spacing w:after="0" w:line="269" w:lineRule="auto"/>
        <w:tabs>
          <w:tab w:leader="none" w:pos="11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Recipient shall use commercially reasonable efforts to mitigate supply chain resilience risks related to importing into the United States qualified specialty chemicals, including photoresist materials and materials containing PFAS, which efforts may include:</w:t>
      </w:r>
    </w:p>
    <w:p>
      <w:pPr>
        <w:spacing w:after="0" w:line="120" w:lineRule="exact"/>
        <w:rPr>
          <w:rFonts w:ascii="Arial" w:cs="Arial" w:eastAsia="Arial" w:hAnsi="Arial"/>
          <w:sz w:val="18"/>
          <w:szCs w:val="18"/>
          <w:color w:val="auto"/>
        </w:rPr>
      </w:pPr>
    </w:p>
    <w:p>
      <w:pPr>
        <w:ind w:left="1740" w:hanging="585"/>
        <w:spacing w:after="0"/>
        <w:tabs>
          <w:tab w:leader="none" w:pos="1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decreasing use of PFAS in such Recipient’s facilities, material handling, and production, as well as in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consortia programs;</w:t>
      </w:r>
    </w:p>
    <w:p>
      <w:pPr>
        <w:spacing w:after="0" w:line="159" w:lineRule="exact"/>
        <w:rPr>
          <w:sz w:val="20"/>
          <w:szCs w:val="20"/>
          <w:color w:val="auto"/>
        </w:rPr>
      </w:pPr>
    </w:p>
    <w:p>
      <w:pPr>
        <w:ind w:left="1740" w:hanging="585"/>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qualifying redundant suppliers and distributors;</w:t>
      </w:r>
    </w:p>
    <w:p>
      <w:pPr>
        <w:spacing w:after="0" w:line="177" w:lineRule="exact"/>
        <w:rPr>
          <w:rFonts w:ascii="Arial" w:cs="Arial" w:eastAsia="Arial" w:hAnsi="Arial"/>
          <w:sz w:val="18"/>
          <w:szCs w:val="18"/>
          <w:color w:val="auto"/>
        </w:rPr>
      </w:pPr>
    </w:p>
    <w:p>
      <w:pPr>
        <w:ind w:right="120" w:firstLine="1155"/>
        <w:spacing w:after="0" w:line="287" w:lineRule="auto"/>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encouraging suppliers to participate in government programs to address supply chain resilience risks, including programs identified by the Department; and</w:t>
      </w:r>
    </w:p>
    <w:p>
      <w:pPr>
        <w:spacing w:after="0" w:line="105" w:lineRule="exact"/>
        <w:rPr>
          <w:rFonts w:ascii="Arial" w:cs="Arial" w:eastAsia="Arial" w:hAnsi="Arial"/>
          <w:sz w:val="18"/>
          <w:szCs w:val="18"/>
          <w:color w:val="auto"/>
        </w:rPr>
      </w:pPr>
    </w:p>
    <w:p>
      <w:pPr>
        <w:ind w:left="1760" w:hanging="605"/>
        <w:spacing w:after="0"/>
        <w:tabs>
          <w:tab w:leader="none" w:pos="17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7"/>
          <w:szCs w:val="17"/>
          <w:b w:val="1"/>
          <w:bCs w:val="1"/>
          <w:color w:val="auto"/>
        </w:rPr>
        <w:t>National Security Objectives</w:t>
      </w:r>
    </w:p>
    <w:p>
      <w:pPr>
        <w:spacing w:after="0" w:line="177"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b w:val="1"/>
          <w:bCs w:val="1"/>
          <w:color w:val="auto"/>
        </w:rPr>
        <w:t>Cybersecurity</w:t>
      </w:r>
      <w:r>
        <w:rPr>
          <w:rFonts w:ascii="Arial" w:cs="Arial" w:eastAsia="Arial" w:hAnsi="Arial"/>
          <w:sz w:val="17"/>
          <w:szCs w:val="17"/>
          <w:color w:val="auto"/>
        </w:rPr>
        <w:t>.</w:t>
      </w:r>
    </w:p>
    <w:p>
      <w:pPr>
        <w:spacing w:after="0" w:line="177" w:lineRule="exact"/>
        <w:rPr>
          <w:sz w:val="20"/>
          <w:szCs w:val="20"/>
          <w:color w:val="auto"/>
        </w:rPr>
      </w:pPr>
    </w:p>
    <w:p>
      <w:pPr>
        <w:ind w:right="160" w:firstLine="578"/>
        <w:spacing w:after="0" w:line="269" w:lineRule="auto"/>
        <w:tabs>
          <w:tab w:leader="none" w:pos="117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Recipient shall implement and comply with (including through the provision of adequate resources and staffing) cybersecurity plans, policies and procedures for each Project which shall include, at a minimum, the following elements:</w:t>
      </w:r>
    </w:p>
    <w:p>
      <w:pPr>
        <w:spacing w:after="0" w:line="120" w:lineRule="exact"/>
        <w:rPr>
          <w:rFonts w:ascii="Arial" w:cs="Arial" w:eastAsia="Arial" w:hAnsi="Arial"/>
          <w:sz w:val="18"/>
          <w:szCs w:val="18"/>
          <w:color w:val="auto"/>
        </w:rPr>
      </w:pPr>
    </w:p>
    <w:p>
      <w:pPr>
        <w:ind w:left="1740" w:hanging="585"/>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controls to identify information and technology assets, threats, and risks;</w:t>
      </w:r>
    </w:p>
    <w:p>
      <w:pPr>
        <w:spacing w:after="0" w:line="177" w:lineRule="exact"/>
        <w:rPr>
          <w:rFonts w:ascii="Arial" w:cs="Arial" w:eastAsia="Arial" w:hAnsi="Arial"/>
          <w:sz w:val="18"/>
          <w:szCs w:val="18"/>
          <w:color w:val="auto"/>
        </w:rPr>
      </w:pPr>
    </w:p>
    <w:p>
      <w:pPr>
        <w:ind w:right="300" w:firstLine="1155"/>
        <w:spacing w:after="0" w:line="287" w:lineRule="auto"/>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controls to protect data, information technology and operational technology systems consistent with industry best practices; and</w:t>
      </w:r>
    </w:p>
    <w:p>
      <w:pPr>
        <w:spacing w:after="0" w:line="105" w:lineRule="exact"/>
        <w:rPr>
          <w:rFonts w:ascii="Arial" w:cs="Arial" w:eastAsia="Arial" w:hAnsi="Arial"/>
          <w:sz w:val="18"/>
          <w:szCs w:val="18"/>
          <w:color w:val="auto"/>
        </w:rPr>
      </w:pPr>
    </w:p>
    <w:p>
      <w:pPr>
        <w:ind w:left="1740" w:hanging="585"/>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controls to detect, investigate, respond to, recover from, report, and mitigate security incidents.</w:t>
      </w:r>
    </w:p>
    <w:p>
      <w:pPr>
        <w:spacing w:after="0" w:line="177" w:lineRule="exact"/>
        <w:rPr>
          <w:rFonts w:ascii="Arial" w:cs="Arial" w:eastAsia="Arial" w:hAnsi="Arial"/>
          <w:sz w:val="18"/>
          <w:szCs w:val="18"/>
          <w:color w:val="auto"/>
        </w:rPr>
      </w:pPr>
    </w:p>
    <w:p>
      <w:pPr>
        <w:ind w:right="80" w:firstLine="578"/>
        <w:spacing w:after="0" w:line="262" w:lineRule="auto"/>
        <w:tabs>
          <w:tab w:leader="none" w:pos="11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Recipient shall make commercially reasonable efforts to update such plans, policies, and procedures to ensure the capabilities of vendor systems are validated to avoid unauthorized access and exfiltration, through internal or external connections, prior to authorization for access to any of such Recipients’ facilities or systems, and scanned for unauthorized transfer or exfiltration, physical and non-physical, prior to removal from such facilities or systems.</w:t>
      </w:r>
    </w:p>
    <w:p>
      <w:pPr>
        <w:spacing w:after="0" w:line="12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b w:val="1"/>
          <w:bCs w:val="1"/>
          <w:color w:val="auto"/>
        </w:rPr>
        <w:t>Operational Security</w:t>
      </w:r>
      <w:r>
        <w:rPr>
          <w:rFonts w:ascii="Arial" w:cs="Arial" w:eastAsia="Arial" w:hAnsi="Arial"/>
          <w:sz w:val="17"/>
          <w:szCs w:val="17"/>
          <w:color w:val="auto"/>
        </w:rPr>
        <w:t>.</w:t>
      </w:r>
    </w:p>
    <w:p>
      <w:pPr>
        <w:spacing w:after="0" w:line="177" w:lineRule="exact"/>
        <w:rPr>
          <w:sz w:val="20"/>
          <w:szCs w:val="20"/>
          <w:color w:val="auto"/>
        </w:rPr>
      </w:pPr>
    </w:p>
    <w:p>
      <w:pPr>
        <w:ind w:right="120" w:firstLine="578"/>
        <w:spacing w:after="0" w:line="269" w:lineRule="auto"/>
        <w:tabs>
          <w:tab w:leader="none" w:pos="11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Recipient shall have implemented as of the Award Date and thereafter comply with (including through the provision of adequate resources and staffing) operational security plans, policies and procedures for each Project which shall include, at a minimum, the following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Annex 1-6</w:t>
      </w:r>
    </w:p>
    <w:p>
      <w:pPr>
        <w:sectPr>
          <w:pgSz w:w="11900" w:h="16840" w:orient="portrait"/>
          <w:cols w:equalWidth="0" w:num="1">
            <w:col w:w="9920"/>
          </w:cols>
          <w:pgMar w:left="1240" w:top="1440" w:right="740" w:bottom="1440" w:gutter="0" w:footer="0" w:header="0"/>
        </w:sectPr>
      </w:pPr>
    </w:p>
    <w:bookmarkStart w:id="147" w:name="page148"/>
    <w:bookmarkEnd w:id="147"/>
    <w:p>
      <w:pPr>
        <w:spacing w:after="0" w:line="293" w:lineRule="exact"/>
        <w:rPr>
          <w:sz w:val="20"/>
          <w:szCs w:val="20"/>
          <w:color w:val="auto"/>
        </w:rPr>
      </w:pPr>
    </w:p>
    <w:p>
      <w:pPr>
        <w:ind w:left="580" w:right="260" w:firstLine="1155"/>
        <w:spacing w:after="0" w:line="269" w:lineRule="auto"/>
        <w:tabs>
          <w:tab w:leader="none" w:pos="23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controls to protect physical security through defined perimeters and restricted areas; visitor control processes including visit requests, identification, vetting, and escort procedures; and processes to identify individuals and control accesses; and</w:t>
      </w:r>
    </w:p>
    <w:p>
      <w:pPr>
        <w:spacing w:after="0" w:line="120" w:lineRule="exact"/>
        <w:rPr>
          <w:rFonts w:ascii="Arial" w:cs="Arial" w:eastAsia="Arial" w:hAnsi="Arial"/>
          <w:sz w:val="18"/>
          <w:szCs w:val="18"/>
          <w:color w:val="auto"/>
        </w:rPr>
      </w:pPr>
    </w:p>
    <w:p>
      <w:pPr>
        <w:ind w:left="580" w:right="180" w:firstLine="1155"/>
        <w:spacing w:after="0" w:line="269" w:lineRule="auto"/>
        <w:tabs>
          <w:tab w:leader="none" w:pos="23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controls to mitigate insider threats by vetting employees and contractors in the US, identifying and monitoring for threat indicators, establishing reporting thresholds, and training employees and contractors on insider threat indicators and reporting procedures.</w:t>
      </w:r>
    </w:p>
    <w:p>
      <w:pPr>
        <w:spacing w:after="0" w:line="120" w:lineRule="exact"/>
        <w:rPr>
          <w:rFonts w:ascii="Arial" w:cs="Arial" w:eastAsia="Arial" w:hAnsi="Arial"/>
          <w:sz w:val="18"/>
          <w:szCs w:val="18"/>
          <w:color w:val="auto"/>
        </w:rPr>
      </w:pPr>
    </w:p>
    <w:p>
      <w:pPr>
        <w:ind w:left="1740" w:hanging="582"/>
        <w:spacing w:after="0"/>
        <w:tabs>
          <w:tab w:leader="none" w:pos="17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p>
    <w:p>
      <w:pPr>
        <w:spacing w:after="0" w:line="177" w:lineRule="exact"/>
        <w:rPr>
          <w:sz w:val="20"/>
          <w:szCs w:val="20"/>
          <w:color w:val="auto"/>
        </w:rPr>
      </w:pPr>
    </w:p>
    <w:p>
      <w:pPr>
        <w:ind w:firstLine="1152"/>
        <w:spacing w:after="0" w:line="26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color w:val="auto"/>
        </w:rPr>
        <w:t>Counterfeit Prevention</w:t>
      </w:r>
      <w:r>
        <w:rPr>
          <w:rFonts w:ascii="Arial" w:cs="Arial" w:eastAsia="Arial" w:hAnsi="Arial"/>
          <w:sz w:val="18"/>
          <w:szCs w:val="18"/>
          <w:color w:val="auto"/>
        </w:rPr>
        <w:t>. Each Recipient shall have implemented as of the Award Date and thereafter comply with (including through the provision of adequate resources and staffing) counterfeit prevention plans, policies and procedures for each Project which shall include, at a minimum, the following elements:</w:t>
      </w:r>
    </w:p>
    <w:p>
      <w:pPr>
        <w:spacing w:after="0" w:line="120" w:lineRule="exact"/>
        <w:rPr>
          <w:sz w:val="20"/>
          <w:szCs w:val="20"/>
          <w:color w:val="auto"/>
        </w:rPr>
      </w:pPr>
    </w:p>
    <w:p>
      <w:pPr>
        <w:ind w:left="1760" w:hanging="602"/>
        <w:spacing w:after="0"/>
        <w:tabs>
          <w:tab w:leader="none" w:pos="1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measures to mitigate against the upstream procurement of counterfeit parts, equipment and materials;</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measures to integrate security features into products during design and production processes;</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measures to limit opportunities for downstream cloning, counterfeiting, or relabeling of products; and</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measures for identifying counterfeit products and responding to reports of counterfeit products.</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b w:val="1"/>
          <w:bCs w:val="1"/>
          <w:color w:val="auto"/>
        </w:rPr>
        <w:t>Information Sharing</w:t>
      </w:r>
      <w:r>
        <w:rPr>
          <w:rFonts w:ascii="Arial" w:cs="Arial" w:eastAsia="Arial" w:hAnsi="Arial"/>
          <w:sz w:val="17"/>
          <w:szCs w:val="17"/>
          <w:color w:val="auto"/>
        </w:rPr>
        <w:t>. Each Recipient is encouraged to apply to one or more of the following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Government-led programs, as appropriate, and to engage with their local FBI field office to establish a relationship:</w:t>
      </w:r>
    </w:p>
    <w:p>
      <w:pPr>
        <w:spacing w:after="0" w:line="159" w:lineRule="exact"/>
        <w:rPr>
          <w:sz w:val="20"/>
          <w:szCs w:val="20"/>
          <w:color w:val="auto"/>
        </w:rPr>
      </w:pPr>
    </w:p>
    <w:p>
      <w:pPr>
        <w:ind w:left="1760" w:hanging="602"/>
        <w:spacing w:after="0"/>
        <w:tabs>
          <w:tab w:leader="none" w:pos="1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Domestic Security Alliance Council; and</w:t>
      </w:r>
    </w:p>
    <w:p>
      <w:pPr>
        <w:spacing w:after="0" w:line="177" w:lineRule="exact"/>
        <w:rPr>
          <w:rFonts w:ascii="Arial" w:cs="Arial" w:eastAsia="Arial" w:hAnsi="Arial"/>
          <w:sz w:val="18"/>
          <w:szCs w:val="18"/>
          <w:color w:val="auto"/>
        </w:rPr>
      </w:pPr>
    </w:p>
    <w:p>
      <w:pPr>
        <w:ind w:left="1740" w:hanging="582"/>
        <w:spacing w:after="0"/>
        <w:tabs>
          <w:tab w:leader="none" w:pos="1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InfraGard.</w:t>
      </w:r>
    </w:p>
    <w:p>
      <w:pPr>
        <w:spacing w:after="0" w:line="17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7"/>
          <w:szCs w:val="17"/>
          <w:b w:val="1"/>
          <w:bCs w:val="1"/>
          <w:color w:val="auto"/>
        </w:rPr>
        <w:t>Workforce</w:t>
      </w:r>
      <w:r>
        <w:rPr>
          <w:rFonts w:ascii="Arial" w:cs="Arial" w:eastAsia="Arial" w:hAnsi="Arial"/>
          <w:sz w:val="17"/>
          <w:szCs w:val="17"/>
          <w:color w:val="auto"/>
        </w:rPr>
        <w:t>.</w:t>
      </w:r>
    </w:p>
    <w:p>
      <w:pPr>
        <w:spacing w:after="0" w:line="177" w:lineRule="exact"/>
        <w:rPr>
          <w:sz w:val="20"/>
          <w:szCs w:val="20"/>
          <w:color w:val="auto"/>
        </w:rPr>
      </w:pPr>
    </w:p>
    <w:p>
      <w:pPr>
        <w:ind w:right="20" w:firstLine="1152"/>
        <w:spacing w:after="0" w:line="259"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b w:val="1"/>
          <w:bCs w:val="1"/>
          <w:color w:val="auto"/>
        </w:rPr>
        <w:t>Workforce Strategy</w:t>
      </w:r>
      <w:r>
        <w:rPr>
          <w:rFonts w:ascii="Arial" w:cs="Arial" w:eastAsia="Arial" w:hAnsi="Arial"/>
          <w:sz w:val="18"/>
          <w:szCs w:val="18"/>
          <w:color w:val="auto"/>
        </w:rPr>
        <w:t>. Each Recipient shall have implemented as of the Award Date a workforce strategy with respect to each of its Projects to recruit, train and retain the workforce required to meet the Facility Staffing Targets and Disbursement Milestones, which shall include, at a minimum, the following elements (it being understood that these elements may also count toward the applicable community investment commitments in Section 3.6 of this Annex when satisfying such community investment commitments to the extent not financed with the proceeds of the Workforce Award):</w:t>
      </w:r>
    </w:p>
    <w:p>
      <w:pPr>
        <w:spacing w:after="0" w:line="131" w:lineRule="exact"/>
        <w:rPr>
          <w:sz w:val="20"/>
          <w:szCs w:val="20"/>
          <w:color w:val="auto"/>
        </w:rPr>
      </w:pPr>
    </w:p>
    <w:p>
      <w:pPr>
        <w:ind w:left="580" w:right="340" w:firstLine="578"/>
        <w:spacing w:after="0" w:line="287" w:lineRule="auto"/>
        <w:tabs>
          <w:tab w:leader="none" w:pos="17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sponsoring training and education benefits paid for by the Recipients, programs to expand opportunity for Economically Disadvantaged Individuals, and other worker investments,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1-7</w:t>
      </w:r>
    </w:p>
    <w:p>
      <w:pPr>
        <w:sectPr>
          <w:pgSz w:w="11900" w:h="16840" w:orient="portrait"/>
          <w:cols w:equalWidth="0" w:num="1">
            <w:col w:w="10460"/>
          </w:cols>
          <w:pgMar w:left="660" w:top="1440" w:right="780" w:bottom="1440" w:gutter="0" w:footer="0" w:header="0"/>
        </w:sectPr>
      </w:pPr>
    </w:p>
    <w:bookmarkStart w:id="148" w:name="page149"/>
    <w:bookmarkEnd w:id="148"/>
    <w:p>
      <w:pPr>
        <w:spacing w:after="0" w:line="293" w:lineRule="exact"/>
        <w:rPr>
          <w:sz w:val="20"/>
          <w:szCs w:val="20"/>
          <w:color w:val="auto"/>
        </w:rPr>
      </w:pPr>
    </w:p>
    <w:p>
      <w:pPr>
        <w:ind w:left="580" w:right="140" w:firstLine="1155"/>
        <w:spacing w:after="0" w:line="259" w:lineRule="auto"/>
        <w:tabs>
          <w:tab w:leader="none" w:pos="23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for the NY Projects, consistent with the NY Recipient’s commitments in its Application (A) through one or more registered apprenticeship program hire up to </w:t>
      </w:r>
      <w:r>
        <w:rPr>
          <w:rFonts w:ascii="Arial" w:cs="Arial" w:eastAsia="Arial" w:hAnsi="Arial"/>
          <w:sz w:val="18"/>
          <w:szCs w:val="18"/>
          <w:b w:val="1"/>
          <w:bCs w:val="1"/>
          <w:color w:val="auto"/>
        </w:rPr>
        <w:t>[***]</w:t>
      </w:r>
      <w:r>
        <w:rPr>
          <w:rFonts w:ascii="Arial" w:cs="Arial" w:eastAsia="Arial" w:hAnsi="Arial"/>
          <w:sz w:val="18"/>
          <w:szCs w:val="18"/>
          <w:color w:val="auto"/>
        </w:rPr>
        <w:t xml:space="preserve">apprentices per year after reaching the First Wafer Out Milestone for the NY Fab 1 Project who are hired as full-time employees receiving all of the benefits of any other employee, including tuition assistance up to $10,000 per year to cover tuition, books, and fees; and (B) partner with the Syracuse University’s D’Aniello Institute for Veterans and Military Families in the creation of the Semiconductor Hub and Onward to Opportunity program in a total amount over a three year period of not less than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580" w:right="160" w:firstLine="1155"/>
        <w:spacing w:after="0" w:line="262" w:lineRule="auto"/>
        <w:tabs>
          <w:tab w:leader="none" w:pos="2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for the ID Project, consistent with the ID Recipient’s commitments in its Application, through one or more registered apprenticeship program hire up to </w:t>
      </w:r>
      <w:r>
        <w:rPr>
          <w:rFonts w:ascii="Arial" w:cs="Arial" w:eastAsia="Arial" w:hAnsi="Arial"/>
          <w:sz w:val="18"/>
          <w:szCs w:val="18"/>
          <w:b w:val="1"/>
          <w:bCs w:val="1"/>
          <w:color w:val="auto"/>
        </w:rPr>
        <w:t>[***]</w:t>
      </w:r>
      <w:r>
        <w:rPr>
          <w:rFonts w:ascii="Arial" w:cs="Arial" w:eastAsia="Arial" w:hAnsi="Arial"/>
          <w:sz w:val="18"/>
          <w:szCs w:val="18"/>
          <w:color w:val="auto"/>
        </w:rPr>
        <w:t>apprentices per year after reaching the First Wafer Out Milestone for the ID Project who are hired as full-time employees receiving all of the benefits of any other employee, including tuition assistance up to $10,000 per year to cover tuition, books, and fees;</w:t>
      </w:r>
    </w:p>
    <w:p>
      <w:pPr>
        <w:spacing w:after="0" w:line="128" w:lineRule="exact"/>
        <w:rPr>
          <w:rFonts w:ascii="Arial" w:cs="Arial" w:eastAsia="Arial" w:hAnsi="Arial"/>
          <w:sz w:val="18"/>
          <w:szCs w:val="18"/>
          <w:color w:val="auto"/>
        </w:rPr>
      </w:pPr>
    </w:p>
    <w:p>
      <w:pPr>
        <w:ind w:left="580" w:right="220" w:firstLine="1155"/>
        <w:spacing w:after="0" w:line="287" w:lineRule="auto"/>
        <w:tabs>
          <w:tab w:leader="none" w:pos="2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continuing their funding commitments, as identified in the applications, for: (A) the construction of the Onondaga Community College cleanroom ($5,000,000 commitment); and (B) the Micron internship program;</w:t>
      </w:r>
    </w:p>
    <w:p>
      <w:pPr>
        <w:spacing w:after="0" w:line="105" w:lineRule="exact"/>
        <w:rPr>
          <w:sz w:val="20"/>
          <w:szCs w:val="20"/>
          <w:color w:val="auto"/>
        </w:rPr>
      </w:pPr>
    </w:p>
    <w:p>
      <w:pPr>
        <w:jc w:val="both"/>
        <w:ind w:firstLine="576"/>
        <w:spacing w:after="0" w:line="269" w:lineRule="auto"/>
        <w:rPr>
          <w:sz w:val="20"/>
          <w:szCs w:val="20"/>
          <w:color w:val="auto"/>
        </w:rPr>
      </w:pPr>
      <w:r>
        <w:rPr>
          <w:rFonts w:ascii="Arial" w:cs="Arial" w:eastAsia="Arial" w:hAnsi="Arial"/>
          <w:sz w:val="18"/>
          <w:szCs w:val="18"/>
          <w:color w:val="auto"/>
        </w:rPr>
        <w:t>provided that, in each case, the applicable Recipient may replace or modify the foregoing with other similar programs that are at least comparable in quality and utility and are made available to at least the same categories of employees or programs to expand employment opportunity for Economically Disadvantaged Individuals that are at least comparable in effectiveness;</w:t>
      </w:r>
    </w:p>
    <w:p>
      <w:pPr>
        <w:spacing w:after="0" w:line="24" w:lineRule="exact"/>
        <w:rPr>
          <w:sz w:val="20"/>
          <w:szCs w:val="20"/>
          <w:color w:val="auto"/>
        </w:rPr>
      </w:pPr>
    </w:p>
    <w:p>
      <w:pPr>
        <w:ind w:left="580" w:right="360" w:firstLine="578"/>
        <w:spacing w:after="0" w:line="287" w:lineRule="auto"/>
        <w:tabs>
          <w:tab w:leader="none" w:pos="17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NY Projects, encourage construction contractors and subcontractors take commercially reasonable efforts to consider candidates for hire from Central New York (CNY) Build; and</w:t>
      </w:r>
    </w:p>
    <w:p>
      <w:pPr>
        <w:spacing w:after="0" w:line="105" w:lineRule="exact"/>
        <w:rPr>
          <w:rFonts w:ascii="Arial" w:cs="Arial" w:eastAsia="Arial" w:hAnsi="Arial"/>
          <w:sz w:val="18"/>
          <w:szCs w:val="18"/>
          <w:color w:val="auto"/>
        </w:rPr>
      </w:pPr>
    </w:p>
    <w:p>
      <w:pPr>
        <w:ind w:left="580" w:right="480" w:firstLine="578"/>
        <w:spacing w:after="0" w:line="287" w:lineRule="auto"/>
        <w:tabs>
          <w:tab w:leader="none" w:pos="17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implement a skills-based hiring approach by expanding the minimum qualifications that provide entry into semiconductor careers with no degree required.</w:t>
      </w:r>
    </w:p>
    <w:p>
      <w:pPr>
        <w:spacing w:after="0" w:line="105" w:lineRule="exact"/>
        <w:rPr>
          <w:sz w:val="20"/>
          <w:szCs w:val="20"/>
          <w:color w:val="auto"/>
        </w:rPr>
      </w:pPr>
    </w:p>
    <w:p>
      <w:pPr>
        <w:ind w:right="80" w:firstLine="1152"/>
        <w:spacing w:after="0" w:line="262"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b w:val="1"/>
          <w:bCs w:val="1"/>
          <w:color w:val="auto"/>
        </w:rPr>
        <w:t>Training Entity Commitments</w:t>
      </w:r>
      <w:r>
        <w:rPr>
          <w:rFonts w:ascii="Arial" w:cs="Arial" w:eastAsia="Arial" w:hAnsi="Arial"/>
          <w:sz w:val="18"/>
          <w:szCs w:val="18"/>
          <w:color w:val="auto"/>
        </w:rPr>
        <w:t>. Each Recipient shall obtain commitments (which, for the avoidance of doubt, may be evidenced pursuant to memoranda of understanding, written agreements or other writings acknowledging a commitment) from regional educational and training entities, institutions of higher education and/or other workforce or training organizations identified in the Application, or similar organizations, to provide, participate in, or support the workforce strategy, including the activities list in Section 3.3.1 (</w:t>
      </w:r>
      <w:r>
        <w:rPr>
          <w:rFonts w:ascii="Arial" w:cs="Arial" w:eastAsia="Arial" w:hAnsi="Arial"/>
          <w:sz w:val="18"/>
          <w:szCs w:val="18"/>
          <w:b w:val="1"/>
          <w:bCs w:val="1"/>
          <w:color w:val="auto"/>
        </w:rPr>
        <w:t>Workforce Strategy</w:t>
      </w:r>
      <w:r>
        <w:rPr>
          <w:rFonts w:ascii="Arial" w:cs="Arial" w:eastAsia="Arial" w:hAnsi="Arial"/>
          <w:sz w:val="18"/>
          <w:szCs w:val="18"/>
          <w:color w:val="auto"/>
        </w:rPr>
        <w:t>), where applicable.</w:t>
      </w:r>
    </w:p>
    <w:p>
      <w:pPr>
        <w:spacing w:after="0" w:line="119"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7"/>
          <w:szCs w:val="17"/>
          <w:b w:val="1"/>
          <w:bCs w:val="1"/>
          <w:color w:val="auto"/>
        </w:rPr>
        <w:t>Broader Impacts</w:t>
      </w:r>
      <w:r>
        <w:rPr>
          <w:rFonts w:ascii="Arial" w:cs="Arial" w:eastAsia="Arial" w:hAnsi="Arial"/>
          <w:sz w:val="17"/>
          <w:szCs w:val="17"/>
          <w:color w:val="auto"/>
        </w:rPr>
        <w:t>.</w:t>
      </w:r>
    </w:p>
    <w:p>
      <w:pPr>
        <w:spacing w:after="0" w:line="177" w:lineRule="exact"/>
        <w:rPr>
          <w:sz w:val="20"/>
          <w:szCs w:val="20"/>
          <w:color w:val="auto"/>
        </w:rPr>
      </w:pPr>
    </w:p>
    <w:p>
      <w:pPr>
        <w:ind w:left="1160"/>
        <w:spacing w:after="0"/>
        <w:tabs>
          <w:tab w:leader="none" w:pos="17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b w:val="1"/>
          <w:bCs w:val="1"/>
          <w:color w:val="auto"/>
        </w:rPr>
        <w:t>Support for CHIPS Research and Development Programs</w:t>
      </w:r>
      <w:r>
        <w:rPr>
          <w:rFonts w:ascii="Arial" w:cs="Arial" w:eastAsia="Arial" w:hAnsi="Arial"/>
          <w:sz w:val="17"/>
          <w:szCs w:val="17"/>
          <w:color w:val="auto"/>
        </w:rPr>
        <w:t>.</w:t>
      </w:r>
    </w:p>
    <w:p>
      <w:pPr>
        <w:spacing w:after="0" w:line="177" w:lineRule="exact"/>
        <w:rPr>
          <w:sz w:val="20"/>
          <w:szCs w:val="20"/>
          <w:color w:val="auto"/>
        </w:rPr>
      </w:pPr>
    </w:p>
    <w:p>
      <w:pPr>
        <w:ind w:left="580" w:right="120" w:firstLine="578"/>
        <w:spacing w:after="0" w:line="257" w:lineRule="auto"/>
        <w:tabs>
          <w:tab w:leader="none" w:pos="17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Recipient (or the Sponsor Guarantor on their behalf) shall use commercially reasonable efforts to be a member of the NSTC for a minimum of five (5) years, starting from, subject to negotiation and execution of a membership agreement between the Recipients (or the Sponsor Guarantor on their behalf) and the National Center for the Advancement of Semiconductor Technology (Natcast) with mutually agreeable terms, the date that is three (3) months after the date on which NSTC is capable of accepting new members, the effective date of such membership agreement or three (3) months from the date of this Agreement,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1-8</w:t>
      </w:r>
    </w:p>
    <w:p>
      <w:pPr>
        <w:sectPr>
          <w:pgSz w:w="11900" w:h="16840" w:orient="portrait"/>
          <w:cols w:equalWidth="0" w:num="1">
            <w:col w:w="10540"/>
          </w:cols>
          <w:pgMar w:left="660" w:top="1440" w:right="700" w:bottom="1440" w:gutter="0" w:footer="0" w:header="0"/>
        </w:sectPr>
      </w:pPr>
    </w:p>
    <w:bookmarkStart w:id="149" w:name="page150"/>
    <w:bookmarkEnd w:id="149"/>
    <w:p>
      <w:pPr>
        <w:spacing w:after="0" w:line="293" w:lineRule="exact"/>
        <w:rPr>
          <w:sz w:val="20"/>
          <w:szCs w:val="20"/>
          <w:color w:val="auto"/>
        </w:rPr>
      </w:pPr>
    </w:p>
    <w:p>
      <w:pPr>
        <w:ind w:left="1160" w:hanging="582"/>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Recipient (or the Sponsor Guarantor on their behalf) shall do the following:</w:t>
      </w:r>
    </w:p>
    <w:p>
      <w:pPr>
        <w:spacing w:after="0" w:line="177" w:lineRule="exact"/>
        <w:rPr>
          <w:rFonts w:ascii="Arial" w:cs="Arial" w:eastAsia="Arial" w:hAnsi="Arial"/>
          <w:sz w:val="18"/>
          <w:szCs w:val="18"/>
          <w:color w:val="auto"/>
        </w:rPr>
      </w:pPr>
    </w:p>
    <w:p>
      <w:pPr>
        <w:ind w:right="20" w:firstLine="1155"/>
        <w:spacing w:after="0" w:line="269" w:lineRule="auto"/>
        <w:tabs>
          <w:tab w:leader="none" w:pos="17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designate a senior official of the Recipients (or the Sponsor Guarantor on their behalf) who will serve as the lead point of contact for activities related to the NSTC and, if requested by the NSTC, serve as a member of the NSTC’s Technical Advisory Committee and relevant working groups;</w:t>
      </w:r>
    </w:p>
    <w:p>
      <w:pPr>
        <w:spacing w:after="0" w:line="120" w:lineRule="exact"/>
        <w:rPr>
          <w:rFonts w:ascii="Arial" w:cs="Arial" w:eastAsia="Arial" w:hAnsi="Arial"/>
          <w:sz w:val="18"/>
          <w:szCs w:val="18"/>
          <w:color w:val="auto"/>
        </w:rPr>
      </w:pPr>
    </w:p>
    <w:p>
      <w:pPr>
        <w:ind w:right="620" w:firstLine="1155"/>
        <w:spacing w:after="0" w:line="287" w:lineRule="auto"/>
        <w:tabs>
          <w:tab w:leader="none" w:pos="17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use commercially reasonable efforts to participate in the NSTC Workforce Center of Excellence, including sharing the Recipient’s best practices; and</w:t>
      </w:r>
    </w:p>
    <w:p>
      <w:pPr>
        <w:spacing w:after="0" w:line="105" w:lineRule="exact"/>
        <w:rPr>
          <w:rFonts w:ascii="Arial" w:cs="Arial" w:eastAsia="Arial" w:hAnsi="Arial"/>
          <w:sz w:val="18"/>
          <w:szCs w:val="18"/>
          <w:color w:val="auto"/>
        </w:rPr>
      </w:pPr>
    </w:p>
    <w:p>
      <w:pPr>
        <w:ind w:right="20" w:firstLine="1155"/>
        <w:spacing w:after="0" w:line="262" w:lineRule="auto"/>
        <w:tabs>
          <w:tab w:leader="none" w:pos="17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use commercially reasonable efforts to support R&amp;D and other technology advancement efforts through active participation in the NSTC and/or other CHIPS R&amp;D programs, subject to negotiation and execution of agreements between the Recipients (or the Sponsor Guarantor on their behalf), the National Center for the Advancement of Semiconductor Technology (Natcast) and the Department’s CHIPS R&amp;D Office.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56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384"/>
        </w:trPr>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Section 3.5</w:t>
            </w:r>
          </w:p>
        </w:tc>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Climate and Environmental Responsibility</w:t>
            </w:r>
            <w:r>
              <w:rPr>
                <w:rFonts w:ascii="Arial" w:cs="Arial" w:eastAsia="Arial" w:hAnsi="Arial"/>
                <w:sz w:val="18"/>
                <w:szCs w:val="18"/>
                <w:color w:val="auto"/>
              </w:rPr>
              <w:t>.</w:t>
            </w:r>
          </w:p>
        </w:tc>
      </w:tr>
      <w:tr>
        <w:trPr>
          <w:trHeight w:val="37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566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392"/>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566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37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566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38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566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38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566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392"/>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56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384"/>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56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384"/>
        </w:trPr>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Section 3.6</w:t>
            </w:r>
          </w:p>
        </w:tc>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9"/>
              </w:rPr>
              <w:t>Community Investment</w:t>
            </w:r>
            <w:r>
              <w:rPr>
                <w:rFonts w:ascii="Arial" w:cs="Arial" w:eastAsia="Arial" w:hAnsi="Arial"/>
                <w:sz w:val="18"/>
                <w:szCs w:val="18"/>
                <w:color w:val="auto"/>
                <w:w w:val="99"/>
              </w:rPr>
              <w:t>. The Recipients, as applicable, shall make:</w:t>
            </w:r>
          </w:p>
        </w:tc>
      </w:tr>
    </w:tbl>
    <w:p>
      <w:pPr>
        <w:spacing w:after="0" w:line="137" w:lineRule="exact"/>
        <w:rPr>
          <w:sz w:val="20"/>
          <w:szCs w:val="20"/>
          <w:color w:val="auto"/>
        </w:rPr>
      </w:pPr>
    </w:p>
    <w:p>
      <w:pPr>
        <w:ind w:firstLine="578"/>
        <w:spacing w:after="0" w:line="259" w:lineRule="auto"/>
        <w:tabs>
          <w:tab w:leader="none" w:pos="11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with respect to the NY Projects, investments of no less than </w:t>
      </w:r>
      <w:r>
        <w:rPr>
          <w:rFonts w:ascii="Arial" w:cs="Arial" w:eastAsia="Arial" w:hAnsi="Arial"/>
          <w:sz w:val="18"/>
          <w:szCs w:val="18"/>
          <w:b w:val="1"/>
          <w:bCs w:val="1"/>
          <w:color w:val="auto"/>
        </w:rPr>
        <w:t>[***]</w:t>
      </w:r>
      <w:r>
        <w:rPr>
          <w:rFonts w:ascii="Arial" w:cs="Arial" w:eastAsia="Arial" w:hAnsi="Arial"/>
          <w:sz w:val="18"/>
          <w:szCs w:val="18"/>
          <w:color w:val="auto"/>
        </w:rPr>
        <w:t>to the Green CHIPS Community Investment Fund, to be invested during Green Chips Phase 1 (between 2023 and 2035 and associated with the NY Fab 1 Project and the NY Fab 2 Project), and additional investments consistent with the NY Recipient’s obligations under Green Chips Phase 2 to be invested during Green Chips Phase 2, provided NY Recipient constructs two (2) subsequent fabrication facilities to be co-located with the NY Fab 1 Project and the NY Fab 2 Project; and</w:t>
      </w:r>
    </w:p>
    <w:p>
      <w:pPr>
        <w:spacing w:after="0" w:line="131" w:lineRule="exact"/>
        <w:rPr>
          <w:rFonts w:ascii="Arial" w:cs="Arial" w:eastAsia="Arial" w:hAnsi="Arial"/>
          <w:sz w:val="18"/>
          <w:szCs w:val="18"/>
          <w:color w:val="auto"/>
        </w:rPr>
      </w:pPr>
    </w:p>
    <w:p>
      <w:pPr>
        <w:ind w:right="80" w:firstLine="578"/>
        <w:spacing w:after="0" w:line="262" w:lineRule="auto"/>
        <w:tabs>
          <w:tab w:leader="none" w:pos="11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with respect to the ID Project, within ten (10) years from the public announcement of the ID Project, investments no less than </w:t>
      </w:r>
      <w:r>
        <w:rPr>
          <w:rFonts w:ascii="Arial" w:cs="Arial" w:eastAsia="Arial" w:hAnsi="Arial"/>
          <w:sz w:val="18"/>
          <w:szCs w:val="18"/>
          <w:b w:val="1"/>
          <w:bCs w:val="1"/>
          <w:color w:val="auto"/>
        </w:rPr>
        <w:t>[***]</w:t>
      </w:r>
      <w:r>
        <w:rPr>
          <w:rFonts w:ascii="Arial" w:cs="Arial" w:eastAsia="Arial" w:hAnsi="Arial"/>
          <w:sz w:val="18"/>
          <w:szCs w:val="18"/>
          <w:color w:val="auto"/>
        </w:rPr>
        <w:t>in Idaho for purposes including, but not limited to: of infrastructure, transportation and mobility access, housing affordability and access, and entry-level relocation expenses, including, but not limited to, student loans and retirement grants, and/or internship/apprenticeship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Annex 1-9</w:t>
      </w:r>
    </w:p>
    <w:p>
      <w:pPr>
        <w:sectPr>
          <w:pgSz w:w="11900" w:h="16840" w:orient="portrait"/>
          <w:cols w:equalWidth="0" w:num="1">
            <w:col w:w="9980"/>
          </w:cols>
          <w:pgMar w:left="1240" w:top="1440" w:right="680" w:bottom="1440" w:gutter="0" w:footer="0" w:header="0"/>
        </w:sectPr>
      </w:pPr>
    </w:p>
    <w:bookmarkStart w:id="150" w:name="page151"/>
    <w:bookmarkEnd w:id="150"/>
    <w:p>
      <w:pPr>
        <w:spacing w:after="0" w:line="293" w:lineRule="exact"/>
        <w:rPr>
          <w:sz w:val="20"/>
          <w:szCs w:val="20"/>
          <w:color w:val="auto"/>
        </w:rPr>
      </w:pPr>
    </w:p>
    <w:p>
      <w:pPr>
        <w:ind w:firstLine="576"/>
        <w:spacing w:after="0" w:line="269" w:lineRule="auto"/>
        <w:rPr>
          <w:sz w:val="20"/>
          <w:szCs w:val="20"/>
          <w:color w:val="auto"/>
        </w:rPr>
      </w:pPr>
      <w:r>
        <w:rPr>
          <w:rFonts w:ascii="Arial" w:cs="Arial" w:eastAsia="Arial" w:hAnsi="Arial"/>
          <w:sz w:val="18"/>
          <w:szCs w:val="18"/>
          <w:b w:val="1"/>
          <w:bCs w:val="1"/>
          <w:color w:val="auto"/>
        </w:rPr>
        <w:t xml:space="preserve">Section 3.7 Signage. </w:t>
      </w:r>
      <w:r>
        <w:rPr>
          <w:rFonts w:ascii="Arial" w:cs="Arial" w:eastAsia="Arial" w:hAnsi="Arial"/>
          <w:sz w:val="18"/>
          <w:szCs w:val="18"/>
          <w:color w:val="auto"/>
        </w:rPr>
        <w:t>Each Recipient is encouraged to post project signage and include public acknowledgments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and other collateral materials (e.g., press releases, marketing materials, website, etc.) in form and substance satisfactory to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Annex 1-10</w:t>
      </w:r>
    </w:p>
    <w:p>
      <w:pPr>
        <w:sectPr>
          <w:pgSz w:w="11900" w:h="16840" w:orient="portrait"/>
          <w:cols w:equalWidth="0" w:num="1">
            <w:col w:w="10420"/>
          </w:cols>
          <w:pgMar w:left="660" w:top="1440" w:right="82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AMENDED AND RESTATED GUARANTEE AND EQUITY CONTRIBUTION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Dated as of June 11, 2025</w:t>
      </w:r>
    </w:p>
    <w:p>
      <w:pPr>
        <w:spacing w:after="0" w:line="201"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as Sponsor Guarantor</w:t>
      </w:r>
    </w:p>
    <w:p>
      <w:pPr>
        <w:spacing w:after="0" w:line="18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and</w:t>
      </w:r>
    </w:p>
    <w:p>
      <w:pPr>
        <w:spacing w:after="0" w:line="20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U.S. DEPARTMENT OF COMMERCE,</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as the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ID PROJECT – AWARD ID NO. AP-2024-0022</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NY PROJECT – AWARD ID NO. AP-2024-0023</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VA PROJECT – AWARD ID NO. AP-2025-0036</w:t>
      </w:r>
    </w:p>
    <w:p>
      <w:pPr>
        <w:sectPr>
          <w:pgSz w:w="11900" w:h="16840" w:orient="portrait"/>
          <w:cols w:equalWidth="0" w:num="1">
            <w:col w:w="9800"/>
          </w:cols>
          <w:pgMar w:left="1440" w:top="557" w:right="660" w:bottom="1440" w:gutter="0" w:footer="0" w:header="0"/>
        </w:sectPr>
      </w:pPr>
    </w:p>
    <w:bookmarkStart w:id="152" w:name="page153"/>
    <w:bookmarkEnd w:id="152"/>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Page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Article 1 Definitions 4</w:t>
      </w:r>
    </w:p>
    <w:p>
      <w:pPr>
        <w:spacing w:after="0" w:line="117" w:lineRule="exact"/>
        <w:rPr>
          <w:sz w:val="20"/>
          <w:szCs w:val="20"/>
          <w:color w:val="auto"/>
        </w:rPr>
      </w:pPr>
    </w:p>
    <w:p>
      <w:pPr>
        <w:ind w:left="640"/>
        <w:spacing w:after="0"/>
        <w:tabs>
          <w:tab w:leader="none" w:pos="1780" w:val="left"/>
          <w:tab w:leader="none" w:pos="4280" w:val="left"/>
        </w:tabs>
        <w:rPr>
          <w:rFonts w:ascii="Arial" w:cs="Arial" w:eastAsia="Arial" w:hAnsi="Arial"/>
          <w:sz w:val="17"/>
          <w:szCs w:val="17"/>
          <w:color w:val="auto"/>
        </w:rPr>
      </w:pPr>
      <w:r>
        <w:rPr>
          <w:rFonts w:ascii="Arial" w:cs="Arial" w:eastAsia="Arial" w:hAnsi="Arial"/>
          <w:sz w:val="18"/>
          <w:szCs w:val="18"/>
          <w:color w:val="auto"/>
        </w:rPr>
        <w:t>Section 1.1.</w:t>
        <w:tab/>
        <w:t>Definitions and Interpretation</w:t>
      </w:r>
      <w:r>
        <w:rPr>
          <w:sz w:val="20"/>
          <w:szCs w:val="20"/>
          <w:color w:val="auto"/>
        </w:rPr>
        <w:tab/>
      </w:r>
      <w:hyperlink w:anchor="page152">
        <w:r>
          <w:rPr>
            <w:rFonts w:ascii="Arial" w:cs="Arial" w:eastAsia="Arial" w:hAnsi="Arial"/>
            <w:sz w:val="17"/>
            <w:szCs w:val="17"/>
            <w:color w:val="auto"/>
          </w:rPr>
          <w:t>4</w:t>
        </w:r>
      </w:hyperlink>
    </w:p>
    <w:p>
      <w:pPr>
        <w:spacing w:after="0" w:line="117" w:lineRule="exact"/>
        <w:rPr>
          <w:sz w:val="20"/>
          <w:szCs w:val="20"/>
          <w:color w:val="auto"/>
        </w:rPr>
      </w:pPr>
    </w:p>
    <w:p>
      <w:pPr>
        <w:ind w:left="640"/>
        <w:spacing w:after="0"/>
        <w:tabs>
          <w:tab w:leader="none" w:pos="1780" w:val="left"/>
          <w:tab w:leader="none" w:pos="3480" w:val="left"/>
        </w:tabs>
        <w:rPr>
          <w:rFonts w:ascii="Arial" w:cs="Arial" w:eastAsia="Arial" w:hAnsi="Arial"/>
          <w:sz w:val="17"/>
          <w:szCs w:val="17"/>
          <w:color w:val="auto"/>
        </w:rPr>
      </w:pPr>
      <w:r>
        <w:rPr>
          <w:rFonts w:ascii="Arial" w:cs="Arial" w:eastAsia="Arial" w:hAnsi="Arial"/>
          <w:sz w:val="18"/>
          <w:szCs w:val="18"/>
          <w:color w:val="auto"/>
        </w:rPr>
        <w:t>Section 1.2.</w:t>
        <w:tab/>
        <w:t>Department Rights</w:t>
      </w:r>
      <w:r>
        <w:rPr>
          <w:sz w:val="20"/>
          <w:szCs w:val="20"/>
          <w:color w:val="auto"/>
        </w:rPr>
        <w:tab/>
      </w:r>
      <w:hyperlink w:anchor="page152">
        <w:r>
          <w:rPr>
            <w:rFonts w:ascii="Arial" w:cs="Arial" w:eastAsia="Arial" w:hAnsi="Arial"/>
            <w:sz w:val="17"/>
            <w:szCs w:val="17"/>
            <w:color w:val="auto"/>
          </w:rPr>
          <w:t>5</w:t>
        </w:r>
      </w:hyperlink>
    </w:p>
    <w:p>
      <w:pPr>
        <w:spacing w:after="0" w:line="105" w:lineRule="exact"/>
        <w:rPr>
          <w:sz w:val="20"/>
          <w:szCs w:val="20"/>
          <w:color w:val="auto"/>
        </w:rPr>
      </w:pPr>
    </w:p>
    <w:p>
      <w:pPr>
        <w:spacing w:after="0"/>
        <w:tabs>
          <w:tab w:leader="none" w:pos="1720" w:val="left"/>
        </w:tabs>
        <w:rPr>
          <w:rFonts w:ascii="Arial" w:cs="Arial" w:eastAsia="Arial" w:hAnsi="Arial"/>
          <w:sz w:val="17"/>
          <w:szCs w:val="17"/>
          <w:color w:val="auto"/>
        </w:rPr>
      </w:pPr>
      <w:r>
        <w:rPr>
          <w:rFonts w:ascii="Arial" w:cs="Arial" w:eastAsia="Arial" w:hAnsi="Arial"/>
          <w:sz w:val="18"/>
          <w:szCs w:val="18"/>
          <w:color w:val="auto"/>
        </w:rPr>
        <w:t>Article 2 Guarantee</w:t>
      </w:r>
      <w:r>
        <w:rPr>
          <w:sz w:val="20"/>
          <w:szCs w:val="20"/>
          <w:color w:val="auto"/>
        </w:rPr>
        <w:tab/>
      </w:r>
      <w:hyperlink w:anchor="page152">
        <w:r>
          <w:rPr>
            <w:rFonts w:ascii="Arial" w:cs="Arial" w:eastAsia="Arial" w:hAnsi="Arial"/>
            <w:sz w:val="17"/>
            <w:szCs w:val="17"/>
            <w:color w:val="auto"/>
          </w:rPr>
          <w:t>5</w:t>
        </w:r>
      </w:hyperlink>
    </w:p>
    <w:p>
      <w:pPr>
        <w:spacing w:after="0" w:line="105" w:lineRule="exact"/>
        <w:rPr>
          <w:sz w:val="20"/>
          <w:szCs w:val="20"/>
          <w:color w:val="auto"/>
        </w:rPr>
      </w:pPr>
    </w:p>
    <w:p>
      <w:pPr>
        <w:spacing w:after="0"/>
        <w:tabs>
          <w:tab w:leader="none" w:pos="3760" w:val="left"/>
        </w:tabs>
        <w:rPr>
          <w:rFonts w:ascii="Arial" w:cs="Arial" w:eastAsia="Arial" w:hAnsi="Arial"/>
          <w:sz w:val="17"/>
          <w:szCs w:val="17"/>
          <w:color w:val="auto"/>
        </w:rPr>
      </w:pPr>
      <w:r>
        <w:rPr>
          <w:rFonts w:ascii="Arial" w:cs="Arial" w:eastAsia="Arial" w:hAnsi="Arial"/>
          <w:sz w:val="18"/>
          <w:szCs w:val="18"/>
          <w:color w:val="auto"/>
        </w:rPr>
        <w:t>Article 3 Guaranteed Obligations Not Waived</w:t>
      </w:r>
      <w:r>
        <w:rPr>
          <w:sz w:val="20"/>
          <w:szCs w:val="20"/>
          <w:color w:val="auto"/>
        </w:rPr>
        <w:tab/>
      </w:r>
      <w:hyperlink w:anchor="page152">
        <w:r>
          <w:rPr>
            <w:rFonts w:ascii="Arial" w:cs="Arial" w:eastAsia="Arial" w:hAnsi="Arial"/>
            <w:sz w:val="17"/>
            <w:szCs w:val="17"/>
            <w:color w:val="auto"/>
          </w:rPr>
          <w:t>5</w:t>
        </w:r>
      </w:hyperlink>
    </w:p>
    <w:p>
      <w:pPr>
        <w:spacing w:after="0" w:line="105" w:lineRule="exact"/>
        <w:rPr>
          <w:sz w:val="20"/>
          <w:szCs w:val="20"/>
          <w:color w:val="auto"/>
        </w:rPr>
      </w:pPr>
    </w:p>
    <w:p>
      <w:pPr>
        <w:spacing w:after="0"/>
        <w:tabs>
          <w:tab w:leader="none" w:pos="2680" w:val="left"/>
        </w:tabs>
        <w:rPr>
          <w:rFonts w:ascii="Arial" w:cs="Arial" w:eastAsia="Arial" w:hAnsi="Arial"/>
          <w:sz w:val="17"/>
          <w:szCs w:val="17"/>
          <w:color w:val="auto"/>
        </w:rPr>
      </w:pPr>
      <w:r>
        <w:rPr>
          <w:rFonts w:ascii="Arial" w:cs="Arial" w:eastAsia="Arial" w:hAnsi="Arial"/>
          <w:sz w:val="18"/>
          <w:szCs w:val="18"/>
          <w:color w:val="auto"/>
        </w:rPr>
        <w:t>Article 4 Guarantee of Payment</w:t>
      </w:r>
      <w:r>
        <w:rPr>
          <w:sz w:val="20"/>
          <w:szCs w:val="20"/>
          <w:color w:val="auto"/>
        </w:rPr>
        <w:tab/>
      </w:r>
      <w:hyperlink w:anchor="page152">
        <w:r>
          <w:rPr>
            <w:rFonts w:ascii="Arial" w:cs="Arial" w:eastAsia="Arial" w:hAnsi="Arial"/>
            <w:sz w:val="17"/>
            <w:szCs w:val="17"/>
            <w:color w:val="auto"/>
          </w:rPr>
          <w:t>6</w:t>
        </w:r>
      </w:hyperlink>
    </w:p>
    <w:p>
      <w:pPr>
        <w:spacing w:after="0" w:line="105" w:lineRule="exact"/>
        <w:rPr>
          <w:sz w:val="20"/>
          <w:szCs w:val="20"/>
          <w:color w:val="auto"/>
        </w:rPr>
      </w:pPr>
    </w:p>
    <w:p>
      <w:pPr>
        <w:spacing w:after="0"/>
        <w:tabs>
          <w:tab w:leader="none" w:pos="4400" w:val="left"/>
        </w:tabs>
        <w:rPr>
          <w:rFonts w:ascii="Arial" w:cs="Arial" w:eastAsia="Arial" w:hAnsi="Arial"/>
          <w:sz w:val="17"/>
          <w:szCs w:val="17"/>
          <w:color w:val="auto"/>
        </w:rPr>
      </w:pPr>
      <w:r>
        <w:rPr>
          <w:rFonts w:ascii="Arial" w:cs="Arial" w:eastAsia="Arial" w:hAnsi="Arial"/>
          <w:sz w:val="18"/>
          <w:szCs w:val="18"/>
          <w:color w:val="auto"/>
        </w:rPr>
        <w:t>Article 5 No Discharge or Diminishment of Guarantee</w:t>
      </w:r>
      <w:r>
        <w:rPr>
          <w:sz w:val="20"/>
          <w:szCs w:val="20"/>
          <w:color w:val="auto"/>
        </w:rPr>
        <w:tab/>
      </w:r>
      <w:hyperlink w:anchor="page152">
        <w:r>
          <w:rPr>
            <w:rFonts w:ascii="Arial" w:cs="Arial" w:eastAsia="Arial" w:hAnsi="Arial"/>
            <w:sz w:val="17"/>
            <w:szCs w:val="17"/>
            <w:color w:val="auto"/>
          </w:rPr>
          <w:t>6</w:t>
        </w:r>
      </w:hyperlink>
    </w:p>
    <w:p>
      <w:pPr>
        <w:spacing w:after="0" w:line="105" w:lineRule="exact"/>
        <w:rPr>
          <w:sz w:val="20"/>
          <w:szCs w:val="20"/>
          <w:color w:val="auto"/>
        </w:rPr>
      </w:pPr>
    </w:p>
    <w:p>
      <w:pPr>
        <w:spacing w:after="0"/>
        <w:tabs>
          <w:tab w:leader="none" w:pos="2300" w:val="left"/>
        </w:tabs>
        <w:rPr>
          <w:rFonts w:ascii="Arial" w:cs="Arial" w:eastAsia="Arial" w:hAnsi="Arial"/>
          <w:sz w:val="17"/>
          <w:szCs w:val="17"/>
          <w:color w:val="auto"/>
        </w:rPr>
      </w:pPr>
      <w:r>
        <w:rPr>
          <w:rFonts w:ascii="Arial" w:cs="Arial" w:eastAsia="Arial" w:hAnsi="Arial"/>
          <w:sz w:val="18"/>
          <w:szCs w:val="18"/>
          <w:color w:val="auto"/>
        </w:rPr>
        <w:t>Article 6 Defenses Waived</w:t>
      </w:r>
      <w:r>
        <w:rPr>
          <w:sz w:val="20"/>
          <w:szCs w:val="20"/>
          <w:color w:val="auto"/>
        </w:rPr>
        <w:tab/>
      </w:r>
      <w:hyperlink w:anchor="page152">
        <w:r>
          <w:rPr>
            <w:rFonts w:ascii="Arial" w:cs="Arial" w:eastAsia="Arial" w:hAnsi="Arial"/>
            <w:sz w:val="17"/>
            <w:szCs w:val="17"/>
            <w:color w:val="auto"/>
          </w:rPr>
          <w:t>7</w:t>
        </w:r>
      </w:hyperlink>
    </w:p>
    <w:p>
      <w:pPr>
        <w:spacing w:after="0" w:line="105" w:lineRule="exact"/>
        <w:rPr>
          <w:sz w:val="20"/>
          <w:szCs w:val="20"/>
          <w:color w:val="auto"/>
        </w:rPr>
      </w:pPr>
    </w:p>
    <w:p>
      <w:pPr>
        <w:spacing w:after="0"/>
        <w:tabs>
          <w:tab w:leader="none" w:pos="4500" w:val="left"/>
        </w:tabs>
        <w:rPr>
          <w:rFonts w:ascii="Arial" w:cs="Arial" w:eastAsia="Arial" w:hAnsi="Arial"/>
          <w:sz w:val="17"/>
          <w:szCs w:val="17"/>
          <w:color w:val="auto"/>
        </w:rPr>
      </w:pPr>
      <w:r>
        <w:rPr>
          <w:rFonts w:ascii="Arial" w:cs="Arial" w:eastAsia="Arial" w:hAnsi="Arial"/>
          <w:sz w:val="18"/>
          <w:szCs w:val="18"/>
          <w:color w:val="auto"/>
        </w:rPr>
        <w:t>Article 7 Agreement To Pay; Contribution; Subrogation</w:t>
      </w:r>
      <w:r>
        <w:rPr>
          <w:sz w:val="20"/>
          <w:szCs w:val="20"/>
          <w:color w:val="auto"/>
        </w:rPr>
        <w:tab/>
      </w:r>
      <w:hyperlink w:anchor="page152">
        <w:r>
          <w:rPr>
            <w:rFonts w:ascii="Arial" w:cs="Arial" w:eastAsia="Arial" w:hAnsi="Arial"/>
            <w:sz w:val="17"/>
            <w:szCs w:val="17"/>
            <w:color w:val="auto"/>
          </w:rPr>
          <w:t>7</w:t>
        </w:r>
      </w:hyperlink>
    </w:p>
    <w:p>
      <w:pPr>
        <w:spacing w:after="0" w:line="105" w:lineRule="exact"/>
        <w:rPr>
          <w:sz w:val="20"/>
          <w:szCs w:val="20"/>
          <w:color w:val="auto"/>
        </w:rPr>
      </w:pPr>
    </w:p>
    <w:p>
      <w:pPr>
        <w:spacing w:after="0"/>
        <w:tabs>
          <w:tab w:leader="none" w:pos="1780" w:val="left"/>
        </w:tabs>
        <w:rPr>
          <w:rFonts w:ascii="Arial" w:cs="Arial" w:eastAsia="Arial" w:hAnsi="Arial"/>
          <w:sz w:val="17"/>
          <w:szCs w:val="17"/>
          <w:color w:val="auto"/>
        </w:rPr>
      </w:pPr>
      <w:r>
        <w:rPr>
          <w:rFonts w:ascii="Arial" w:cs="Arial" w:eastAsia="Arial" w:hAnsi="Arial"/>
          <w:sz w:val="18"/>
          <w:szCs w:val="18"/>
          <w:color w:val="auto"/>
        </w:rPr>
        <w:t>Article 8 Information</w:t>
      </w:r>
      <w:r>
        <w:rPr>
          <w:sz w:val="20"/>
          <w:szCs w:val="20"/>
          <w:color w:val="auto"/>
        </w:rPr>
        <w:tab/>
      </w:r>
      <w:hyperlink w:anchor="page152">
        <w:r>
          <w:rPr>
            <w:rFonts w:ascii="Arial" w:cs="Arial" w:eastAsia="Arial" w:hAnsi="Arial"/>
            <w:sz w:val="17"/>
            <w:szCs w:val="17"/>
            <w:color w:val="auto"/>
          </w:rPr>
          <w:t>8</w:t>
        </w:r>
      </w:hyperlink>
    </w:p>
    <w:p>
      <w:pPr>
        <w:spacing w:after="0" w:line="105" w:lineRule="exact"/>
        <w:rPr>
          <w:sz w:val="20"/>
          <w:szCs w:val="20"/>
          <w:color w:val="auto"/>
        </w:rPr>
      </w:pPr>
    </w:p>
    <w:p>
      <w:pPr>
        <w:spacing w:after="0"/>
        <w:tabs>
          <w:tab w:leader="none" w:pos="2400" w:val="left"/>
        </w:tabs>
        <w:rPr>
          <w:rFonts w:ascii="Arial" w:cs="Arial" w:eastAsia="Arial" w:hAnsi="Arial"/>
          <w:sz w:val="17"/>
          <w:szCs w:val="17"/>
          <w:color w:val="auto"/>
        </w:rPr>
      </w:pPr>
      <w:r>
        <w:rPr>
          <w:rFonts w:ascii="Arial" w:cs="Arial" w:eastAsia="Arial" w:hAnsi="Arial"/>
          <w:sz w:val="18"/>
          <w:szCs w:val="18"/>
          <w:color w:val="auto"/>
        </w:rPr>
        <w:t>Article 9 Equity Contribution</w:t>
      </w:r>
      <w:r>
        <w:rPr>
          <w:sz w:val="20"/>
          <w:szCs w:val="20"/>
          <w:color w:val="auto"/>
        </w:rPr>
        <w:tab/>
      </w:r>
      <w:hyperlink w:anchor="page152">
        <w:r>
          <w:rPr>
            <w:rFonts w:ascii="Arial" w:cs="Arial" w:eastAsia="Arial" w:hAnsi="Arial"/>
            <w:sz w:val="17"/>
            <w:szCs w:val="17"/>
            <w:color w:val="auto"/>
          </w:rPr>
          <w:t>8</w:t>
        </w:r>
      </w:hyperlink>
    </w:p>
    <w:p>
      <w:pPr>
        <w:spacing w:after="0" w:line="117" w:lineRule="exact"/>
        <w:rPr>
          <w:sz w:val="20"/>
          <w:szCs w:val="20"/>
          <w:color w:val="auto"/>
        </w:rPr>
      </w:pPr>
    </w:p>
    <w:p>
      <w:pPr>
        <w:ind w:left="640"/>
        <w:spacing w:after="0"/>
        <w:tabs>
          <w:tab w:leader="none" w:pos="1780" w:val="left"/>
          <w:tab w:leader="none" w:pos="3600" w:val="left"/>
        </w:tabs>
        <w:rPr>
          <w:rFonts w:ascii="Arial" w:cs="Arial" w:eastAsia="Arial" w:hAnsi="Arial"/>
          <w:sz w:val="17"/>
          <w:szCs w:val="17"/>
          <w:color w:val="auto"/>
        </w:rPr>
      </w:pPr>
      <w:r>
        <w:rPr>
          <w:rFonts w:ascii="Arial" w:cs="Arial" w:eastAsia="Arial" w:hAnsi="Arial"/>
          <w:sz w:val="18"/>
          <w:szCs w:val="18"/>
          <w:color w:val="auto"/>
        </w:rPr>
        <w:t>Section 9.1.</w:t>
        <w:tab/>
        <w:t>Equity Contributions</w:t>
      </w:r>
      <w:r>
        <w:rPr>
          <w:sz w:val="20"/>
          <w:szCs w:val="20"/>
          <w:color w:val="auto"/>
        </w:rPr>
        <w:tab/>
      </w:r>
      <w:hyperlink w:anchor="page152">
        <w:r>
          <w:rPr>
            <w:rFonts w:ascii="Arial" w:cs="Arial" w:eastAsia="Arial" w:hAnsi="Arial"/>
            <w:sz w:val="17"/>
            <w:szCs w:val="17"/>
            <w:color w:val="auto"/>
          </w:rPr>
          <w:t>8</w:t>
        </w:r>
      </w:hyperlink>
    </w:p>
    <w:p>
      <w:pPr>
        <w:spacing w:after="0" w:line="117" w:lineRule="exact"/>
        <w:rPr>
          <w:sz w:val="20"/>
          <w:szCs w:val="20"/>
          <w:color w:val="auto"/>
        </w:rPr>
      </w:pPr>
    </w:p>
    <w:p>
      <w:pPr>
        <w:ind w:left="640"/>
        <w:spacing w:after="0"/>
        <w:tabs>
          <w:tab w:leader="none" w:pos="1780" w:val="left"/>
          <w:tab w:leader="none" w:pos="5460" w:val="left"/>
        </w:tabs>
        <w:rPr>
          <w:rFonts w:ascii="Arial" w:cs="Arial" w:eastAsia="Arial" w:hAnsi="Arial"/>
          <w:sz w:val="17"/>
          <w:szCs w:val="17"/>
          <w:color w:val="auto"/>
        </w:rPr>
      </w:pPr>
      <w:r>
        <w:rPr>
          <w:rFonts w:ascii="Arial" w:cs="Arial" w:eastAsia="Arial" w:hAnsi="Arial"/>
          <w:sz w:val="18"/>
          <w:szCs w:val="18"/>
          <w:color w:val="auto"/>
        </w:rPr>
        <w:t>Section 9.2.</w:t>
        <w:tab/>
        <w:t>Mechanics for Funding Equity Contributions</w:t>
      </w:r>
      <w:r>
        <w:rPr>
          <w:sz w:val="20"/>
          <w:szCs w:val="20"/>
          <w:color w:val="auto"/>
        </w:rPr>
        <w:tab/>
      </w:r>
      <w:hyperlink w:anchor="page152">
        <w:r>
          <w:rPr>
            <w:rFonts w:ascii="Arial" w:cs="Arial" w:eastAsia="Arial" w:hAnsi="Arial"/>
            <w:sz w:val="17"/>
            <w:szCs w:val="17"/>
            <w:color w:val="auto"/>
          </w:rPr>
          <w:t>9</w:t>
        </w:r>
      </w:hyperlink>
    </w:p>
    <w:p>
      <w:pPr>
        <w:spacing w:after="0" w:line="105"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Article 10 Representations and Warranties</w:t>
      </w:r>
      <w:r>
        <w:rPr>
          <w:sz w:val="20"/>
          <w:szCs w:val="20"/>
          <w:color w:val="auto"/>
        </w:rPr>
        <w:tab/>
      </w:r>
      <w:r>
        <w:rPr>
          <w:rFonts w:ascii="Arial" w:cs="Arial" w:eastAsia="Arial" w:hAnsi="Arial"/>
          <w:sz w:val="17"/>
          <w:szCs w:val="17"/>
          <w:color w:val="auto"/>
        </w:rPr>
        <w:t>8</w:t>
      </w:r>
    </w:p>
    <w:p>
      <w:pPr>
        <w:spacing w:after="0" w:line="117" w:lineRule="exact"/>
        <w:rPr>
          <w:sz w:val="20"/>
          <w:szCs w:val="20"/>
          <w:color w:val="auto"/>
        </w:rPr>
      </w:pPr>
    </w:p>
    <w:p>
      <w:pPr>
        <w:ind w:left="640"/>
        <w:spacing w:after="0"/>
        <w:tabs>
          <w:tab w:leader="none" w:pos="1880" w:val="left"/>
          <w:tab w:leader="none" w:pos="3100" w:val="left"/>
        </w:tabs>
        <w:rPr>
          <w:sz w:val="20"/>
          <w:szCs w:val="20"/>
          <w:color w:val="auto"/>
        </w:rPr>
      </w:pPr>
      <w:r>
        <w:rPr>
          <w:rFonts w:ascii="Arial" w:cs="Arial" w:eastAsia="Arial" w:hAnsi="Arial"/>
          <w:sz w:val="18"/>
          <w:szCs w:val="18"/>
          <w:color w:val="auto"/>
        </w:rPr>
        <w:t>Section 10.1.</w:t>
        <w:tab/>
        <w:t>Organization</w:t>
      </w:r>
      <w:r>
        <w:rPr>
          <w:sz w:val="20"/>
          <w:szCs w:val="20"/>
          <w:color w:val="auto"/>
        </w:rPr>
        <w:tab/>
      </w:r>
      <w:r>
        <w:rPr>
          <w:rFonts w:ascii="Arial" w:cs="Arial" w:eastAsia="Arial" w:hAnsi="Arial"/>
          <w:sz w:val="17"/>
          <w:szCs w:val="17"/>
          <w:color w:val="auto"/>
        </w:rPr>
        <w:t>8</w:t>
      </w:r>
    </w:p>
    <w:p>
      <w:pPr>
        <w:spacing w:after="0" w:line="117" w:lineRule="exact"/>
        <w:rPr>
          <w:sz w:val="20"/>
          <w:szCs w:val="20"/>
          <w:color w:val="auto"/>
        </w:rPr>
      </w:pPr>
    </w:p>
    <w:p>
      <w:pPr>
        <w:ind w:left="640"/>
        <w:spacing w:after="0"/>
        <w:tabs>
          <w:tab w:leader="none" w:pos="1880" w:val="left"/>
          <w:tab w:leader="none" w:pos="4120" w:val="left"/>
        </w:tabs>
        <w:rPr>
          <w:rFonts w:ascii="Arial" w:cs="Arial" w:eastAsia="Arial" w:hAnsi="Arial"/>
          <w:sz w:val="17"/>
          <w:szCs w:val="17"/>
          <w:color w:val="auto"/>
        </w:rPr>
      </w:pPr>
      <w:r>
        <w:rPr>
          <w:rFonts w:ascii="Arial" w:cs="Arial" w:eastAsia="Arial" w:hAnsi="Arial"/>
          <w:sz w:val="18"/>
          <w:szCs w:val="18"/>
          <w:color w:val="auto"/>
        </w:rPr>
        <w:t>Section 10.2.</w:t>
        <w:tab/>
        <w:t>Authorization; No Conflict</w:t>
      </w:r>
      <w:r>
        <w:rPr>
          <w:sz w:val="20"/>
          <w:szCs w:val="20"/>
          <w:color w:val="auto"/>
        </w:rPr>
        <w:tab/>
      </w:r>
      <w:hyperlink w:anchor="page152">
        <w:r>
          <w:rPr>
            <w:rFonts w:ascii="Arial" w:cs="Arial" w:eastAsia="Arial" w:hAnsi="Arial"/>
            <w:sz w:val="17"/>
            <w:szCs w:val="17"/>
            <w:color w:val="auto"/>
          </w:rPr>
          <w:t>9</w:t>
        </w:r>
      </w:hyperlink>
    </w:p>
    <w:p>
      <w:pPr>
        <w:spacing w:after="0" w:line="117" w:lineRule="exact"/>
        <w:rPr>
          <w:sz w:val="20"/>
          <w:szCs w:val="20"/>
          <w:color w:val="auto"/>
        </w:rPr>
      </w:pPr>
    </w:p>
    <w:p>
      <w:pPr>
        <w:ind w:left="640"/>
        <w:spacing w:after="0"/>
        <w:tabs>
          <w:tab w:leader="none" w:pos="1880" w:val="left"/>
          <w:tab w:leader="none" w:pos="3880" w:val="left"/>
        </w:tabs>
        <w:rPr>
          <w:sz w:val="20"/>
          <w:szCs w:val="20"/>
          <w:color w:val="auto"/>
        </w:rPr>
      </w:pPr>
      <w:r>
        <w:rPr>
          <w:rFonts w:ascii="Arial" w:cs="Arial" w:eastAsia="Arial" w:hAnsi="Arial"/>
          <w:sz w:val="18"/>
          <w:szCs w:val="18"/>
          <w:color w:val="auto"/>
        </w:rPr>
        <w:t>Section 10.3.</w:t>
        <w:tab/>
        <w:t>Compliance with Laws</w:t>
      </w:r>
      <w:r>
        <w:rPr>
          <w:sz w:val="20"/>
          <w:szCs w:val="20"/>
          <w:color w:val="auto"/>
        </w:rPr>
        <w:tab/>
      </w:r>
      <w:r>
        <w:rPr>
          <w:rFonts w:ascii="Arial" w:cs="Arial" w:eastAsia="Arial" w:hAnsi="Arial"/>
          <w:sz w:val="17"/>
          <w:szCs w:val="17"/>
          <w:color w:val="auto"/>
        </w:rPr>
        <w:t>9</w:t>
      </w:r>
    </w:p>
    <w:p>
      <w:pPr>
        <w:spacing w:after="0" w:line="117" w:lineRule="exact"/>
        <w:rPr>
          <w:sz w:val="20"/>
          <w:szCs w:val="20"/>
          <w:color w:val="auto"/>
        </w:rPr>
      </w:pPr>
    </w:p>
    <w:p>
      <w:pPr>
        <w:ind w:left="640"/>
        <w:spacing w:after="0"/>
        <w:tabs>
          <w:tab w:leader="none" w:pos="1880" w:val="left"/>
          <w:tab w:leader="none" w:pos="4560" w:val="left"/>
        </w:tabs>
        <w:rPr>
          <w:sz w:val="20"/>
          <w:szCs w:val="20"/>
          <w:color w:val="auto"/>
        </w:rPr>
      </w:pPr>
      <w:r>
        <w:rPr>
          <w:rFonts w:ascii="Arial" w:cs="Arial" w:eastAsia="Arial" w:hAnsi="Arial"/>
          <w:sz w:val="18"/>
          <w:szCs w:val="18"/>
          <w:color w:val="auto"/>
        </w:rPr>
        <w:t>Section 10.4.</w:t>
        <w:tab/>
        <w:t>Legality; Validity; Enforceability</w:t>
      </w:r>
      <w:r>
        <w:rPr>
          <w:sz w:val="20"/>
          <w:szCs w:val="20"/>
          <w:color w:val="auto"/>
        </w:rPr>
        <w:tab/>
      </w:r>
      <w:r>
        <w:rPr>
          <w:rFonts w:ascii="Arial" w:cs="Arial" w:eastAsia="Arial" w:hAnsi="Arial"/>
          <w:sz w:val="17"/>
          <w:szCs w:val="17"/>
          <w:color w:val="auto"/>
        </w:rPr>
        <w:t>10</w:t>
      </w:r>
    </w:p>
    <w:p>
      <w:pPr>
        <w:spacing w:after="0" w:line="117" w:lineRule="exact"/>
        <w:rPr>
          <w:sz w:val="20"/>
          <w:szCs w:val="20"/>
          <w:color w:val="auto"/>
        </w:rPr>
      </w:pPr>
    </w:p>
    <w:p>
      <w:pPr>
        <w:ind w:left="640"/>
        <w:spacing w:after="0"/>
        <w:tabs>
          <w:tab w:leader="none" w:pos="1880" w:val="left"/>
          <w:tab w:leader="none" w:pos="3180" w:val="left"/>
        </w:tabs>
        <w:rPr>
          <w:rFonts w:ascii="Arial" w:cs="Arial" w:eastAsia="Arial" w:hAnsi="Arial"/>
          <w:sz w:val="17"/>
          <w:szCs w:val="17"/>
          <w:color w:val="auto"/>
        </w:rPr>
      </w:pPr>
      <w:r>
        <w:rPr>
          <w:rFonts w:ascii="Arial" w:cs="Arial" w:eastAsia="Arial" w:hAnsi="Arial"/>
          <w:sz w:val="18"/>
          <w:szCs w:val="18"/>
          <w:color w:val="auto"/>
        </w:rPr>
        <w:t>Section 10.5.</w:t>
        <w:tab/>
        <w:t>Real Property</w:t>
      </w:r>
      <w:r>
        <w:rPr>
          <w:sz w:val="20"/>
          <w:szCs w:val="20"/>
          <w:color w:val="auto"/>
        </w:rPr>
        <w:tab/>
      </w:r>
      <w:hyperlink w:anchor="page152">
        <w:r>
          <w:rPr>
            <w:rFonts w:ascii="Arial" w:cs="Arial" w:eastAsia="Arial" w:hAnsi="Arial"/>
            <w:sz w:val="17"/>
            <w:szCs w:val="17"/>
            <w:color w:val="auto"/>
          </w:rPr>
          <w:t>10</w:t>
        </w:r>
      </w:hyperlink>
    </w:p>
    <w:p>
      <w:pPr>
        <w:spacing w:after="0" w:line="117" w:lineRule="exact"/>
        <w:rPr>
          <w:sz w:val="20"/>
          <w:szCs w:val="20"/>
          <w:color w:val="auto"/>
        </w:rPr>
      </w:pPr>
    </w:p>
    <w:p>
      <w:pPr>
        <w:ind w:left="640"/>
        <w:spacing w:after="0"/>
        <w:tabs>
          <w:tab w:leader="none" w:pos="1880" w:val="left"/>
          <w:tab w:leader="none" w:pos="3760" w:val="left"/>
        </w:tabs>
        <w:rPr>
          <w:rFonts w:ascii="Arial" w:cs="Arial" w:eastAsia="Arial" w:hAnsi="Arial"/>
          <w:sz w:val="17"/>
          <w:szCs w:val="17"/>
          <w:color w:val="auto"/>
        </w:rPr>
      </w:pPr>
      <w:r>
        <w:rPr>
          <w:rFonts w:ascii="Arial" w:cs="Arial" w:eastAsia="Arial" w:hAnsi="Arial"/>
          <w:sz w:val="18"/>
          <w:szCs w:val="18"/>
          <w:color w:val="auto"/>
        </w:rPr>
        <w:t>Section 10.6.</w:t>
        <w:tab/>
        <w:t>Financial Statements</w:t>
      </w:r>
      <w:r>
        <w:rPr>
          <w:sz w:val="20"/>
          <w:szCs w:val="20"/>
          <w:color w:val="auto"/>
        </w:rPr>
        <w:tab/>
      </w:r>
      <w:hyperlink w:anchor="page152">
        <w:r>
          <w:rPr>
            <w:rFonts w:ascii="Arial" w:cs="Arial" w:eastAsia="Arial" w:hAnsi="Arial"/>
            <w:sz w:val="17"/>
            <w:szCs w:val="17"/>
            <w:color w:val="auto"/>
          </w:rPr>
          <w:t>11</w:t>
        </w:r>
      </w:hyperlink>
    </w:p>
    <w:p>
      <w:pPr>
        <w:spacing w:after="0" w:line="117" w:lineRule="exact"/>
        <w:rPr>
          <w:sz w:val="20"/>
          <w:szCs w:val="20"/>
          <w:color w:val="auto"/>
        </w:rPr>
      </w:pPr>
    </w:p>
    <w:p>
      <w:pPr>
        <w:ind w:left="640"/>
        <w:spacing w:after="0"/>
        <w:tabs>
          <w:tab w:leader="none" w:pos="1880" w:val="left"/>
          <w:tab w:leader="none" w:pos="4160" w:val="left"/>
        </w:tabs>
        <w:rPr>
          <w:rFonts w:ascii="Arial" w:cs="Arial" w:eastAsia="Arial" w:hAnsi="Arial"/>
          <w:sz w:val="17"/>
          <w:szCs w:val="17"/>
          <w:color w:val="auto"/>
        </w:rPr>
      </w:pPr>
      <w:r>
        <w:rPr>
          <w:rFonts w:ascii="Arial" w:cs="Arial" w:eastAsia="Arial" w:hAnsi="Arial"/>
          <w:sz w:val="18"/>
          <w:szCs w:val="18"/>
          <w:color w:val="auto"/>
        </w:rPr>
        <w:t>Section 10.7.</w:t>
        <w:tab/>
        <w:t>Adequate Project Funding</w:t>
      </w:r>
      <w:r>
        <w:rPr>
          <w:sz w:val="20"/>
          <w:szCs w:val="20"/>
          <w:color w:val="auto"/>
        </w:rPr>
        <w:tab/>
      </w:r>
      <w:hyperlink w:anchor="page152">
        <w:r>
          <w:rPr>
            <w:rFonts w:ascii="Arial" w:cs="Arial" w:eastAsia="Arial" w:hAnsi="Arial"/>
            <w:sz w:val="17"/>
            <w:szCs w:val="17"/>
            <w:color w:val="auto"/>
          </w:rPr>
          <w:t>11</w:t>
        </w:r>
      </w:hyperlink>
    </w:p>
    <w:p>
      <w:pPr>
        <w:spacing w:after="0" w:line="117" w:lineRule="exact"/>
        <w:rPr>
          <w:sz w:val="20"/>
          <w:szCs w:val="20"/>
          <w:color w:val="auto"/>
        </w:rPr>
      </w:pPr>
    </w:p>
    <w:p>
      <w:pPr>
        <w:ind w:left="640"/>
        <w:spacing w:after="0"/>
        <w:tabs>
          <w:tab w:leader="none" w:pos="1880" w:val="left"/>
          <w:tab w:leader="none" w:pos="3860" w:val="left"/>
        </w:tabs>
        <w:rPr>
          <w:sz w:val="20"/>
          <w:szCs w:val="20"/>
          <w:color w:val="auto"/>
        </w:rPr>
      </w:pPr>
      <w:r>
        <w:rPr>
          <w:rFonts w:ascii="Arial" w:cs="Arial" w:eastAsia="Arial" w:hAnsi="Arial"/>
          <w:sz w:val="18"/>
          <w:szCs w:val="18"/>
          <w:color w:val="auto"/>
        </w:rPr>
        <w:t>Section 10.8.</w:t>
        <w:tab/>
        <w:t>Federal Requirements</w:t>
      </w:r>
      <w:r>
        <w:rPr>
          <w:sz w:val="20"/>
          <w:szCs w:val="20"/>
          <w:color w:val="auto"/>
        </w:rPr>
        <w:tab/>
      </w:r>
      <w:r>
        <w:rPr>
          <w:rFonts w:ascii="Arial" w:cs="Arial" w:eastAsia="Arial" w:hAnsi="Arial"/>
          <w:sz w:val="17"/>
          <w:szCs w:val="17"/>
          <w:color w:val="auto"/>
        </w:rPr>
        <w:t>11</w:t>
      </w:r>
    </w:p>
    <w:p>
      <w:pPr>
        <w:spacing w:after="0" w:line="11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7"/>
          <w:szCs w:val="17"/>
          <w:color w:val="auto"/>
        </w:rPr>
        <w:t>Foreign Entity of Concern; Prohibited Persons; Sanctions; Export Controls; Anti-Corruption; Anti-Money</w:t>
      </w:r>
    </w:p>
    <w:p>
      <w:pPr>
        <w:spacing w:after="0" w:line="27" w:lineRule="exact"/>
        <w:rPr>
          <w:sz w:val="20"/>
          <w:szCs w:val="20"/>
          <w:color w:val="auto"/>
        </w:rPr>
      </w:pPr>
    </w:p>
    <w:p>
      <w:pPr>
        <w:ind w:left="1740"/>
        <w:spacing w:after="0"/>
        <w:tabs>
          <w:tab w:leader="none" w:pos="3280" w:val="left"/>
        </w:tabs>
        <w:rPr>
          <w:rFonts w:ascii="Arial" w:cs="Arial" w:eastAsia="Arial" w:hAnsi="Arial"/>
          <w:sz w:val="17"/>
          <w:szCs w:val="17"/>
          <w:color w:val="auto"/>
        </w:rPr>
      </w:pPr>
      <w:r>
        <w:rPr>
          <w:rFonts w:ascii="Arial" w:cs="Arial" w:eastAsia="Arial" w:hAnsi="Arial"/>
          <w:sz w:val="18"/>
          <w:szCs w:val="18"/>
          <w:color w:val="auto"/>
        </w:rPr>
        <w:t>Laundering Laws</w:t>
      </w:r>
      <w:r>
        <w:rPr>
          <w:sz w:val="20"/>
          <w:szCs w:val="20"/>
          <w:color w:val="auto"/>
        </w:rPr>
        <w:tab/>
      </w:r>
      <w:hyperlink w:anchor="page152">
        <w:r>
          <w:rPr>
            <w:rFonts w:ascii="Arial" w:cs="Arial" w:eastAsia="Arial" w:hAnsi="Arial"/>
            <w:sz w:val="17"/>
            <w:szCs w:val="17"/>
            <w:color w:val="auto"/>
          </w:rPr>
          <w:t>12</w:t>
        </w:r>
      </w:hyperlink>
    </w:p>
    <w:p>
      <w:pPr>
        <w:spacing w:after="0" w:line="99" w:lineRule="exact"/>
        <w:rPr>
          <w:sz w:val="20"/>
          <w:szCs w:val="20"/>
          <w:color w:val="auto"/>
        </w:rPr>
      </w:pPr>
    </w:p>
    <w:p>
      <w:pPr>
        <w:ind w:left="640"/>
        <w:spacing w:after="0"/>
        <w:tabs>
          <w:tab w:leader="none" w:pos="2000" w:val="left"/>
          <w:tab w:leader="none" w:pos="4100" w:val="left"/>
        </w:tabs>
        <w:rPr>
          <w:rFonts w:ascii="Arial" w:cs="Arial" w:eastAsia="Arial" w:hAnsi="Arial"/>
          <w:sz w:val="17"/>
          <w:szCs w:val="17"/>
          <w:color w:val="auto"/>
        </w:rPr>
      </w:pPr>
      <w:r>
        <w:rPr>
          <w:rFonts w:ascii="Arial" w:cs="Arial" w:eastAsia="Arial" w:hAnsi="Arial"/>
          <w:sz w:val="18"/>
          <w:szCs w:val="18"/>
          <w:color w:val="auto"/>
        </w:rPr>
        <w:t>Section 10.10.</w:t>
        <w:tab/>
        <w:t>Insolvency Proceedings</w:t>
      </w:r>
      <w:r>
        <w:rPr>
          <w:sz w:val="20"/>
          <w:szCs w:val="20"/>
          <w:color w:val="auto"/>
        </w:rPr>
        <w:tab/>
      </w:r>
      <w:hyperlink w:anchor="page152">
        <w:r>
          <w:rPr>
            <w:rFonts w:ascii="Arial" w:cs="Arial" w:eastAsia="Arial" w:hAnsi="Arial"/>
            <w:sz w:val="17"/>
            <w:szCs w:val="17"/>
            <w:color w:val="auto"/>
          </w:rPr>
          <w:t>13</w:t>
        </w:r>
      </w:hyperlink>
    </w:p>
    <w:p>
      <w:pPr>
        <w:spacing w:after="0" w:line="117" w:lineRule="exact"/>
        <w:rPr>
          <w:sz w:val="20"/>
          <w:szCs w:val="20"/>
          <w:color w:val="auto"/>
        </w:rPr>
      </w:pPr>
    </w:p>
    <w:p>
      <w:pPr>
        <w:ind w:left="640"/>
        <w:spacing w:after="0"/>
        <w:tabs>
          <w:tab w:leader="none" w:pos="2000" w:val="left"/>
          <w:tab w:leader="none" w:pos="3380" w:val="left"/>
        </w:tabs>
        <w:rPr>
          <w:rFonts w:ascii="Arial" w:cs="Arial" w:eastAsia="Arial" w:hAnsi="Arial"/>
          <w:sz w:val="16"/>
          <w:szCs w:val="16"/>
          <w:color w:val="auto"/>
        </w:rPr>
      </w:pPr>
      <w:r>
        <w:rPr>
          <w:rFonts w:ascii="Arial" w:cs="Arial" w:eastAsia="Arial" w:hAnsi="Arial"/>
          <w:sz w:val="18"/>
          <w:szCs w:val="18"/>
          <w:color w:val="auto"/>
        </w:rPr>
        <w:t>Section 10.11.</w:t>
        <w:tab/>
        <w:t>Full Disclosure</w:t>
      </w:r>
      <w:r>
        <w:rPr>
          <w:sz w:val="20"/>
          <w:szCs w:val="20"/>
          <w:color w:val="auto"/>
        </w:rPr>
        <w:tab/>
      </w:r>
      <w:hyperlink w:anchor="page152">
        <w:r>
          <w:rPr>
            <w:rFonts w:ascii="Arial" w:cs="Arial" w:eastAsia="Arial" w:hAnsi="Arial"/>
            <w:sz w:val="16"/>
            <w:szCs w:val="16"/>
            <w:color w:val="auto"/>
          </w:rPr>
          <w:t>13</w:t>
        </w:r>
      </w:hyperlink>
    </w:p>
    <w:p>
      <w:pPr>
        <w:spacing w:after="0" w:line="117" w:lineRule="exact"/>
        <w:rPr>
          <w:sz w:val="20"/>
          <w:szCs w:val="20"/>
          <w:color w:val="auto"/>
        </w:rPr>
      </w:pPr>
    </w:p>
    <w:p>
      <w:pPr>
        <w:ind w:left="640"/>
        <w:spacing w:after="0"/>
        <w:tabs>
          <w:tab w:leader="none" w:pos="2000" w:val="left"/>
          <w:tab w:leader="none" w:pos="3200" w:val="left"/>
        </w:tabs>
        <w:rPr>
          <w:rFonts w:ascii="Arial" w:cs="Arial" w:eastAsia="Arial" w:hAnsi="Arial"/>
          <w:sz w:val="16"/>
          <w:szCs w:val="16"/>
          <w:color w:val="auto"/>
        </w:rPr>
      </w:pPr>
      <w:r>
        <w:rPr>
          <w:rFonts w:ascii="Arial" w:cs="Arial" w:eastAsia="Arial" w:hAnsi="Arial"/>
          <w:sz w:val="18"/>
          <w:szCs w:val="18"/>
          <w:color w:val="auto"/>
        </w:rPr>
        <w:t>Section 10.12.</w:t>
        <w:tab/>
        <w:t>No Immunity</w:t>
      </w:r>
      <w:r>
        <w:rPr>
          <w:sz w:val="20"/>
          <w:szCs w:val="20"/>
          <w:color w:val="auto"/>
        </w:rPr>
        <w:tab/>
      </w:r>
      <w:hyperlink w:anchor="page152">
        <w:r>
          <w:rPr>
            <w:rFonts w:ascii="Arial" w:cs="Arial" w:eastAsia="Arial" w:hAnsi="Arial"/>
            <w:sz w:val="16"/>
            <w:szCs w:val="16"/>
            <w:color w:val="auto"/>
          </w:rPr>
          <w:t>13</w:t>
        </w:r>
      </w:hyperlink>
    </w:p>
    <w:p>
      <w:pPr>
        <w:spacing w:after="0" w:line="117" w:lineRule="exact"/>
        <w:rPr>
          <w:sz w:val="20"/>
          <w:szCs w:val="20"/>
          <w:color w:val="auto"/>
        </w:rPr>
      </w:pPr>
    </w:p>
    <w:p>
      <w:pPr>
        <w:ind w:left="640"/>
        <w:spacing w:after="0"/>
        <w:tabs>
          <w:tab w:leader="none" w:pos="2000" w:val="left"/>
          <w:tab w:leader="none" w:pos="4540" w:val="left"/>
        </w:tabs>
        <w:rPr>
          <w:rFonts w:ascii="Arial" w:cs="Arial" w:eastAsia="Arial" w:hAnsi="Arial"/>
          <w:sz w:val="17"/>
          <w:szCs w:val="17"/>
          <w:color w:val="auto"/>
        </w:rPr>
      </w:pPr>
      <w:r>
        <w:rPr>
          <w:rFonts w:ascii="Arial" w:cs="Arial" w:eastAsia="Arial" w:hAnsi="Arial"/>
          <w:sz w:val="18"/>
          <w:szCs w:val="18"/>
          <w:color w:val="auto"/>
        </w:rPr>
        <w:t>Section 10.13.</w:t>
        <w:tab/>
        <w:t>No Federal Debt Delinquency</w:t>
      </w:r>
      <w:r>
        <w:rPr>
          <w:sz w:val="20"/>
          <w:szCs w:val="20"/>
          <w:color w:val="auto"/>
        </w:rPr>
        <w:tab/>
      </w:r>
      <w:hyperlink w:anchor="page152">
        <w:r>
          <w:rPr>
            <w:rFonts w:ascii="Arial" w:cs="Arial" w:eastAsia="Arial" w:hAnsi="Arial"/>
            <w:sz w:val="17"/>
            <w:szCs w:val="17"/>
            <w:color w:val="auto"/>
          </w:rPr>
          <w:t>13</w:t>
        </w:r>
      </w:hyperlink>
    </w:p>
    <w:p>
      <w:pPr>
        <w:spacing w:after="0" w:line="117" w:lineRule="exact"/>
        <w:rPr>
          <w:sz w:val="20"/>
          <w:szCs w:val="20"/>
          <w:color w:val="auto"/>
        </w:rPr>
      </w:pPr>
    </w:p>
    <w:p>
      <w:pPr>
        <w:ind w:left="640"/>
        <w:spacing w:after="0"/>
        <w:tabs>
          <w:tab w:leader="none" w:pos="2000" w:val="left"/>
          <w:tab w:leader="none" w:pos="3360" w:val="left"/>
        </w:tabs>
        <w:rPr>
          <w:rFonts w:ascii="Arial" w:cs="Arial" w:eastAsia="Arial" w:hAnsi="Arial"/>
          <w:sz w:val="17"/>
          <w:szCs w:val="17"/>
          <w:color w:val="auto"/>
        </w:rPr>
      </w:pPr>
      <w:r>
        <w:rPr>
          <w:rFonts w:ascii="Arial" w:cs="Arial" w:eastAsia="Arial" w:hAnsi="Arial"/>
          <w:sz w:val="18"/>
          <w:szCs w:val="18"/>
          <w:color w:val="auto"/>
        </w:rPr>
        <w:t>Section 10.14.</w:t>
        <w:tab/>
        <w:t>No Debarment</w:t>
      </w:r>
      <w:r>
        <w:rPr>
          <w:sz w:val="20"/>
          <w:szCs w:val="20"/>
          <w:color w:val="auto"/>
        </w:rPr>
        <w:tab/>
      </w:r>
      <w:hyperlink w:anchor="page152">
        <w:r>
          <w:rPr>
            <w:rFonts w:ascii="Arial" w:cs="Arial" w:eastAsia="Arial" w:hAnsi="Arial"/>
            <w:sz w:val="17"/>
            <w:szCs w:val="17"/>
            <w:color w:val="auto"/>
          </w:rPr>
          <w:t>13</w:t>
        </w:r>
      </w:hyperlink>
    </w:p>
    <w:p>
      <w:pPr>
        <w:spacing w:after="0" w:line="117" w:lineRule="exact"/>
        <w:rPr>
          <w:sz w:val="20"/>
          <w:szCs w:val="20"/>
          <w:color w:val="auto"/>
        </w:rPr>
      </w:pPr>
    </w:p>
    <w:p>
      <w:pPr>
        <w:ind w:left="640"/>
        <w:spacing w:after="0"/>
        <w:tabs>
          <w:tab w:leader="none" w:pos="2000" w:val="left"/>
          <w:tab w:leader="none" w:pos="5360" w:val="left"/>
        </w:tabs>
        <w:rPr>
          <w:rFonts w:ascii="Arial" w:cs="Arial" w:eastAsia="Arial" w:hAnsi="Arial"/>
          <w:sz w:val="16"/>
          <w:szCs w:val="16"/>
          <w:color w:val="auto"/>
        </w:rPr>
      </w:pPr>
      <w:r>
        <w:rPr>
          <w:rFonts w:ascii="Arial" w:cs="Arial" w:eastAsia="Arial" w:hAnsi="Arial"/>
          <w:sz w:val="18"/>
          <w:szCs w:val="18"/>
          <w:color w:val="auto"/>
        </w:rPr>
        <w:t>Section 10.15.</w:t>
        <w:tab/>
        <w:t>Information Technology; Cyber Security</w:t>
      </w:r>
      <w:r>
        <w:rPr>
          <w:sz w:val="20"/>
          <w:szCs w:val="20"/>
          <w:color w:val="auto"/>
        </w:rPr>
        <w:tab/>
      </w:r>
      <w:hyperlink w:anchor="page152">
        <w:r>
          <w:rPr>
            <w:rFonts w:ascii="Arial" w:cs="Arial" w:eastAsia="Arial" w:hAnsi="Arial"/>
            <w:sz w:val="16"/>
            <w:szCs w:val="16"/>
            <w:color w:val="auto"/>
          </w:rPr>
          <w:t>13</w:t>
        </w:r>
      </w:hyperlink>
    </w:p>
    <w:p>
      <w:pPr>
        <w:spacing w:after="0" w:line="117" w:lineRule="exact"/>
        <w:rPr>
          <w:sz w:val="20"/>
          <w:szCs w:val="20"/>
          <w:color w:val="auto"/>
        </w:rPr>
      </w:pPr>
    </w:p>
    <w:p>
      <w:pPr>
        <w:ind w:left="640"/>
        <w:spacing w:after="0"/>
        <w:tabs>
          <w:tab w:leader="none" w:pos="2000" w:val="left"/>
          <w:tab w:leader="none" w:pos="5520" w:val="left"/>
        </w:tabs>
        <w:rPr>
          <w:rFonts w:ascii="Arial" w:cs="Arial" w:eastAsia="Arial" w:hAnsi="Arial"/>
          <w:sz w:val="17"/>
          <w:szCs w:val="17"/>
          <w:color w:val="auto"/>
        </w:rPr>
      </w:pPr>
      <w:r>
        <w:rPr>
          <w:rFonts w:ascii="Arial" w:cs="Arial" w:eastAsia="Arial" w:hAnsi="Arial"/>
          <w:sz w:val="18"/>
          <w:szCs w:val="18"/>
          <w:color w:val="auto"/>
        </w:rPr>
        <w:t>Section 10.16.</w:t>
        <w:tab/>
        <w:t>Acknowledgement Regarding Use of Data</w:t>
      </w:r>
      <w:r>
        <w:rPr>
          <w:sz w:val="20"/>
          <w:szCs w:val="20"/>
          <w:color w:val="auto"/>
        </w:rPr>
        <w:tab/>
      </w:r>
      <w:hyperlink w:anchor="page152">
        <w:r>
          <w:rPr>
            <w:rFonts w:ascii="Arial" w:cs="Arial" w:eastAsia="Arial" w:hAnsi="Arial"/>
            <w:sz w:val="17"/>
            <w:szCs w:val="17"/>
            <w:color w:val="auto"/>
          </w:rPr>
          <w:t>14</w:t>
        </w:r>
      </w:hyperlink>
    </w:p>
    <w:p>
      <w:pPr>
        <w:spacing w:after="0" w:line="117" w:lineRule="exact"/>
        <w:rPr>
          <w:sz w:val="20"/>
          <w:szCs w:val="20"/>
          <w:color w:val="auto"/>
        </w:rPr>
      </w:pPr>
    </w:p>
    <w:p>
      <w:pPr>
        <w:ind w:left="640"/>
        <w:spacing w:after="0"/>
        <w:tabs>
          <w:tab w:leader="none" w:pos="2000" w:val="left"/>
          <w:tab w:leader="none" w:pos="3920" w:val="left"/>
        </w:tabs>
        <w:rPr>
          <w:sz w:val="20"/>
          <w:szCs w:val="20"/>
          <w:color w:val="auto"/>
        </w:rPr>
      </w:pPr>
      <w:r>
        <w:rPr>
          <w:rFonts w:ascii="Arial" w:cs="Arial" w:eastAsia="Arial" w:hAnsi="Arial"/>
          <w:sz w:val="18"/>
          <w:szCs w:val="18"/>
          <w:color w:val="auto"/>
        </w:rPr>
        <w:t>Section 10.17.</w:t>
        <w:tab/>
        <w:t>Financing Documents</w:t>
      </w:r>
      <w:r>
        <w:rPr>
          <w:sz w:val="20"/>
          <w:szCs w:val="20"/>
          <w:color w:val="auto"/>
        </w:rPr>
        <w:tab/>
      </w:r>
      <w:r>
        <w:rPr>
          <w:rFonts w:ascii="Arial" w:cs="Arial" w:eastAsia="Arial" w:hAnsi="Arial"/>
          <w:sz w:val="17"/>
          <w:szCs w:val="17"/>
          <w:color w:val="auto"/>
        </w:rPr>
        <w:t>14</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w:t>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20" w:type="dxa"/>
            <w:vAlign w:val="bottom"/>
          </w:tcPr>
          <w:p>
            <w:pPr>
              <w:ind w:left="640"/>
              <w:spacing w:after="0"/>
              <w:rPr>
                <w:sz w:val="20"/>
                <w:szCs w:val="20"/>
                <w:color w:val="auto"/>
              </w:rPr>
            </w:pPr>
            <w:r>
              <w:rPr>
                <w:rFonts w:ascii="Arial" w:cs="Arial" w:eastAsia="Arial" w:hAnsi="Arial"/>
                <w:sz w:val="18"/>
                <w:szCs w:val="18"/>
                <w:color w:val="auto"/>
              </w:rPr>
              <w:t>Section 10.18.</w:t>
            </w:r>
          </w:p>
        </w:tc>
        <w:tc>
          <w:tcPr>
            <w:tcW w:w="140" w:type="dxa"/>
            <w:vAlign w:val="bottom"/>
          </w:tcPr>
          <w:p>
            <w:pPr>
              <w:spacing w:after="0"/>
              <w:rPr>
                <w:sz w:val="20"/>
                <w:szCs w:val="20"/>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rPr>
              <w:t>Required Approvals</w:t>
            </w:r>
          </w:p>
        </w:tc>
        <w:tc>
          <w:tcPr>
            <w:tcW w:w="2100" w:type="dxa"/>
            <w:vAlign w:val="bottom"/>
            <w:gridSpan w:val="2"/>
          </w:tcPr>
          <w:p>
            <w:pPr>
              <w:jc w:val="right"/>
              <w:ind w:right="1730"/>
              <w:spacing w:after="0"/>
              <w:rPr>
                <w:rFonts w:ascii="Arial" w:cs="Arial" w:eastAsia="Arial" w:hAnsi="Arial"/>
                <w:sz w:val="18"/>
                <w:szCs w:val="18"/>
                <w:color w:val="auto"/>
              </w:rPr>
            </w:pPr>
            <w:hyperlink w:anchor="page152">
              <w:r>
                <w:rPr>
                  <w:rFonts w:ascii="Arial" w:cs="Arial" w:eastAsia="Arial" w:hAnsi="Arial"/>
                  <w:sz w:val="18"/>
                  <w:szCs w:val="18"/>
                  <w:color w:val="auto"/>
                </w:rPr>
                <w:t>14</w:t>
              </w:r>
            </w:hyperlink>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10.19.</w:t>
            </w:r>
          </w:p>
        </w:tc>
        <w:tc>
          <w:tcPr>
            <w:tcW w:w="14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Litigation</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14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2"/>
        </w:trPr>
        <w:tc>
          <w:tcPr>
            <w:tcW w:w="2600" w:type="dxa"/>
            <w:vAlign w:val="bottom"/>
            <w:gridSpan w:val="3"/>
          </w:tcPr>
          <w:p>
            <w:pPr>
              <w:spacing w:after="0"/>
              <w:rPr>
                <w:sz w:val="20"/>
                <w:szCs w:val="20"/>
                <w:color w:val="auto"/>
              </w:rPr>
            </w:pPr>
            <w:r>
              <w:rPr>
                <w:rFonts w:ascii="Arial" w:cs="Arial" w:eastAsia="Arial" w:hAnsi="Arial"/>
                <w:sz w:val="18"/>
                <w:szCs w:val="18"/>
                <w:color w:val="auto"/>
              </w:rPr>
              <w:t>Article 11 Reporting Covenants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2"/>
        </w:trPr>
        <w:tc>
          <w:tcPr>
            <w:tcW w:w="2600" w:type="dxa"/>
            <w:vAlign w:val="bottom"/>
            <w:gridSpan w:val="3"/>
          </w:tcPr>
          <w:p>
            <w:pPr>
              <w:spacing w:after="0"/>
              <w:rPr>
                <w:sz w:val="20"/>
                <w:szCs w:val="20"/>
                <w:color w:val="auto"/>
              </w:rPr>
            </w:pPr>
            <w:r>
              <w:rPr>
                <w:rFonts w:ascii="Arial" w:cs="Arial" w:eastAsia="Arial" w:hAnsi="Arial"/>
                <w:sz w:val="18"/>
                <w:szCs w:val="18"/>
                <w:color w:val="auto"/>
              </w:rPr>
              <w:t>Article 12 Affirmative Covenants</w:t>
            </w:r>
          </w:p>
        </w:tc>
        <w:tc>
          <w:tcPr>
            <w:tcW w:w="720" w:type="dxa"/>
            <w:vAlign w:val="bottom"/>
            <w:gridSpan w:val="2"/>
          </w:tcPr>
          <w:p>
            <w:pPr>
              <w:jc w:val="right"/>
              <w:ind w:right="270"/>
              <w:spacing w:after="0"/>
              <w:rPr>
                <w:rFonts w:ascii="Arial" w:cs="Arial" w:eastAsia="Arial" w:hAnsi="Arial"/>
                <w:sz w:val="18"/>
                <w:szCs w:val="18"/>
                <w:color w:val="auto"/>
              </w:rPr>
            </w:pPr>
            <w:hyperlink w:anchor="page152">
              <w:r>
                <w:rPr>
                  <w:rFonts w:ascii="Arial" w:cs="Arial" w:eastAsia="Arial" w:hAnsi="Arial"/>
                  <w:sz w:val="18"/>
                  <w:szCs w:val="18"/>
                  <w:color w:val="auto"/>
                </w:rPr>
                <w:t>15</w:t>
              </w:r>
            </w:hyperlink>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12.1.</w:t>
            </w:r>
          </w:p>
        </w:tc>
        <w:tc>
          <w:tcPr>
            <w:tcW w:w="4600" w:type="dxa"/>
            <w:vAlign w:val="bottom"/>
            <w:gridSpan w:val="8"/>
          </w:tcPr>
          <w:p>
            <w:pPr>
              <w:ind w:left="80"/>
              <w:spacing w:after="0"/>
              <w:rPr>
                <w:sz w:val="20"/>
                <w:szCs w:val="20"/>
                <w:color w:val="auto"/>
              </w:rPr>
            </w:pPr>
            <w:r>
              <w:rPr>
                <w:rFonts w:ascii="Arial" w:cs="Arial" w:eastAsia="Arial" w:hAnsi="Arial"/>
                <w:sz w:val="18"/>
                <w:szCs w:val="18"/>
                <w:color w:val="auto"/>
              </w:rPr>
              <w:t>Affirmative Covenants during the Period of Performance</w:t>
            </w:r>
          </w:p>
        </w:tc>
        <w:tc>
          <w:tcPr>
            <w:tcW w:w="320" w:type="dxa"/>
            <w:vAlign w:val="bottom"/>
          </w:tcPr>
          <w:p>
            <w:pPr>
              <w:jc w:val="right"/>
              <w:spacing w:after="0"/>
              <w:rPr>
                <w:rFonts w:ascii="Arial" w:cs="Arial" w:eastAsia="Arial" w:hAnsi="Arial"/>
                <w:sz w:val="18"/>
                <w:szCs w:val="18"/>
                <w:color w:val="auto"/>
              </w:rPr>
            </w:pPr>
            <w:hyperlink w:anchor="page152">
              <w:r>
                <w:rPr>
                  <w:rFonts w:ascii="Arial" w:cs="Arial" w:eastAsia="Arial" w:hAnsi="Arial"/>
                  <w:sz w:val="18"/>
                  <w:szCs w:val="18"/>
                  <w:color w:val="auto"/>
                </w:rPr>
                <w:t>15</w:t>
              </w:r>
            </w:hyperlink>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12.2.</w:t>
            </w:r>
          </w:p>
        </w:tc>
        <w:tc>
          <w:tcPr>
            <w:tcW w:w="4600" w:type="dxa"/>
            <w:vAlign w:val="bottom"/>
            <w:gridSpan w:val="8"/>
          </w:tcPr>
          <w:p>
            <w:pPr>
              <w:ind w:left="80"/>
              <w:spacing w:after="0"/>
              <w:rPr>
                <w:sz w:val="20"/>
                <w:szCs w:val="20"/>
                <w:color w:val="auto"/>
              </w:rPr>
            </w:pPr>
            <w:r>
              <w:rPr>
                <w:rFonts w:ascii="Arial" w:cs="Arial" w:eastAsia="Arial" w:hAnsi="Arial"/>
                <w:sz w:val="18"/>
                <w:szCs w:val="18"/>
                <w:color w:val="auto"/>
              </w:rPr>
              <w:t>Affirmative Covenants during the Upside Sharing Term</w:t>
            </w:r>
          </w:p>
        </w:tc>
        <w:tc>
          <w:tcPr>
            <w:tcW w:w="320" w:type="dxa"/>
            <w:vAlign w:val="bottom"/>
          </w:tcPr>
          <w:p>
            <w:pPr>
              <w:jc w:val="right"/>
              <w:spacing w:after="0"/>
              <w:rPr>
                <w:rFonts w:ascii="Arial" w:cs="Arial" w:eastAsia="Arial" w:hAnsi="Arial"/>
                <w:sz w:val="18"/>
                <w:szCs w:val="18"/>
                <w:color w:val="auto"/>
              </w:rPr>
            </w:pPr>
            <w:hyperlink w:anchor="page152">
              <w:r>
                <w:rPr>
                  <w:rFonts w:ascii="Arial" w:cs="Arial" w:eastAsia="Arial" w:hAnsi="Arial"/>
                  <w:sz w:val="18"/>
                  <w:szCs w:val="18"/>
                  <w:color w:val="auto"/>
                </w:rPr>
                <w:t>19</w:t>
              </w:r>
            </w:hyperlink>
          </w:p>
        </w:tc>
      </w:tr>
      <w:tr>
        <w:trPr>
          <w:trHeight w:val="312"/>
        </w:trPr>
        <w:tc>
          <w:tcPr>
            <w:tcW w:w="2600" w:type="dxa"/>
            <w:vAlign w:val="bottom"/>
            <w:gridSpan w:val="3"/>
          </w:tcPr>
          <w:p>
            <w:pPr>
              <w:spacing w:after="0"/>
              <w:rPr>
                <w:sz w:val="20"/>
                <w:szCs w:val="20"/>
                <w:color w:val="auto"/>
              </w:rPr>
            </w:pPr>
            <w:r>
              <w:rPr>
                <w:rFonts w:ascii="Arial" w:cs="Arial" w:eastAsia="Arial" w:hAnsi="Arial"/>
                <w:sz w:val="18"/>
                <w:szCs w:val="18"/>
                <w:color w:val="auto"/>
              </w:rPr>
              <w:t>Article 13 Negative Covenants</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13.1.</w:t>
            </w:r>
          </w:p>
        </w:tc>
        <w:tc>
          <w:tcPr>
            <w:tcW w:w="3980" w:type="dxa"/>
            <w:vAlign w:val="bottom"/>
            <w:gridSpan w:val="7"/>
          </w:tcPr>
          <w:p>
            <w:pPr>
              <w:ind w:left="80"/>
              <w:spacing w:after="0"/>
              <w:rPr>
                <w:sz w:val="20"/>
                <w:szCs w:val="20"/>
                <w:color w:val="auto"/>
              </w:rPr>
            </w:pPr>
            <w:r>
              <w:rPr>
                <w:rFonts w:ascii="Arial" w:cs="Arial" w:eastAsia="Arial" w:hAnsi="Arial"/>
                <w:sz w:val="18"/>
                <w:szCs w:val="18"/>
                <w:color w:val="auto"/>
              </w:rPr>
              <w:t>Prohibited Persons; Foreign Entities of Concern</w:t>
            </w:r>
          </w:p>
        </w:tc>
        <w:tc>
          <w:tcPr>
            <w:tcW w:w="620" w:type="dxa"/>
            <w:vAlign w:val="bottom"/>
          </w:tcPr>
          <w:p>
            <w:pPr>
              <w:jc w:val="right"/>
              <w:ind w:right="250"/>
              <w:spacing w:after="0"/>
              <w:rPr>
                <w:rFonts w:ascii="Arial" w:cs="Arial" w:eastAsia="Arial" w:hAnsi="Arial"/>
                <w:sz w:val="18"/>
                <w:szCs w:val="18"/>
                <w:color w:val="auto"/>
              </w:rPr>
            </w:pPr>
            <w:hyperlink w:anchor="page152">
              <w:r>
                <w:rPr>
                  <w:rFonts w:ascii="Arial" w:cs="Arial" w:eastAsia="Arial" w:hAnsi="Arial"/>
                  <w:sz w:val="18"/>
                  <w:szCs w:val="18"/>
                  <w:color w:val="auto"/>
                </w:rPr>
                <w:t>19</w:t>
              </w:r>
            </w:hyperlink>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13.2.</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[Reserved].</w:t>
            </w:r>
          </w:p>
        </w:tc>
        <w:tc>
          <w:tcPr>
            <w:tcW w:w="400" w:type="dxa"/>
            <w:vAlign w:val="bottom"/>
          </w:tcPr>
          <w:p>
            <w:pPr>
              <w:jc w:val="right"/>
              <w:ind w:right="10"/>
              <w:spacing w:after="0"/>
              <w:rPr>
                <w:rFonts w:ascii="Arial" w:cs="Arial" w:eastAsia="Arial" w:hAnsi="Arial"/>
                <w:sz w:val="18"/>
                <w:szCs w:val="18"/>
                <w:color w:val="auto"/>
              </w:rPr>
            </w:pPr>
            <w:hyperlink w:anchor="page152">
              <w:r>
                <w:rPr>
                  <w:rFonts w:ascii="Arial" w:cs="Arial" w:eastAsia="Arial" w:hAnsi="Arial"/>
                  <w:sz w:val="18"/>
                  <w:szCs w:val="18"/>
                  <w:color w:val="auto"/>
                </w:rPr>
                <w:t>19</w:t>
              </w:r>
            </w:hyperlink>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13.3.</w:t>
            </w:r>
          </w:p>
        </w:tc>
        <w:tc>
          <w:tcPr>
            <w:tcW w:w="2060" w:type="dxa"/>
            <w:vAlign w:val="bottom"/>
            <w:gridSpan w:val="6"/>
          </w:tcPr>
          <w:p>
            <w:pPr>
              <w:ind w:left="80"/>
              <w:spacing w:after="0"/>
              <w:rPr>
                <w:sz w:val="20"/>
                <w:szCs w:val="20"/>
                <w:color w:val="auto"/>
              </w:rPr>
            </w:pPr>
            <w:r>
              <w:rPr>
                <w:rFonts w:ascii="Arial" w:cs="Arial" w:eastAsia="Arial" w:hAnsi="Arial"/>
                <w:sz w:val="18"/>
                <w:szCs w:val="18"/>
                <w:color w:val="auto"/>
              </w:rPr>
              <w:t>Debarment Regulations</w:t>
            </w:r>
          </w:p>
        </w:tc>
        <w:tc>
          <w:tcPr>
            <w:tcW w:w="1920" w:type="dxa"/>
            <w:vAlign w:val="bottom"/>
          </w:tcPr>
          <w:p>
            <w:pPr>
              <w:jc w:val="right"/>
              <w:ind w:right="1510"/>
              <w:spacing w:after="0"/>
              <w:rPr>
                <w:rFonts w:ascii="Arial" w:cs="Arial" w:eastAsia="Arial" w:hAnsi="Arial"/>
                <w:sz w:val="18"/>
                <w:szCs w:val="18"/>
                <w:color w:val="auto"/>
              </w:rPr>
            </w:pPr>
            <w:hyperlink w:anchor="page152">
              <w:r>
                <w:rPr>
                  <w:rFonts w:ascii="Arial" w:cs="Arial" w:eastAsia="Arial" w:hAnsi="Arial"/>
                  <w:sz w:val="18"/>
                  <w:szCs w:val="18"/>
                  <w:color w:val="auto"/>
                </w:rPr>
                <w:t>19</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13.4.</w:t>
            </w:r>
          </w:p>
        </w:tc>
        <w:tc>
          <w:tcPr>
            <w:tcW w:w="3980" w:type="dxa"/>
            <w:vAlign w:val="bottom"/>
            <w:gridSpan w:val="7"/>
          </w:tcPr>
          <w:p>
            <w:pPr>
              <w:ind w:left="80"/>
              <w:spacing w:after="0"/>
              <w:rPr>
                <w:sz w:val="20"/>
                <w:szCs w:val="20"/>
                <w:color w:val="auto"/>
              </w:rPr>
            </w:pPr>
            <w:r>
              <w:rPr>
                <w:rFonts w:ascii="Arial" w:cs="Arial" w:eastAsia="Arial" w:hAnsi="Arial"/>
                <w:sz w:val="18"/>
                <w:szCs w:val="18"/>
                <w:color w:val="auto"/>
              </w:rPr>
              <w:t>Merger; Disposition; Sharing of Assets; Transfer</w:t>
            </w:r>
          </w:p>
        </w:tc>
        <w:tc>
          <w:tcPr>
            <w:tcW w:w="620" w:type="dxa"/>
            <w:vAlign w:val="bottom"/>
          </w:tcPr>
          <w:p>
            <w:pPr>
              <w:jc w:val="right"/>
              <w:ind w:right="210"/>
              <w:spacing w:after="0"/>
              <w:rPr>
                <w:rFonts w:ascii="Arial" w:cs="Arial" w:eastAsia="Arial" w:hAnsi="Arial"/>
                <w:sz w:val="18"/>
                <w:szCs w:val="18"/>
                <w:color w:val="auto"/>
              </w:rPr>
            </w:pPr>
            <w:hyperlink w:anchor="page152">
              <w:r>
                <w:rPr>
                  <w:rFonts w:ascii="Arial" w:cs="Arial" w:eastAsia="Arial" w:hAnsi="Arial"/>
                  <w:sz w:val="18"/>
                  <w:szCs w:val="18"/>
                  <w:color w:val="auto"/>
                </w:rPr>
                <w:t>20</w:t>
              </w:r>
            </w:hyperlink>
          </w:p>
        </w:tc>
        <w:tc>
          <w:tcPr>
            <w:tcW w:w="320" w:type="dxa"/>
            <w:vAlign w:val="bottom"/>
          </w:tcPr>
          <w:p>
            <w:pPr>
              <w:spacing w:after="0"/>
              <w:rPr>
                <w:sz w:val="24"/>
                <w:szCs w:val="24"/>
                <w:color w:val="auto"/>
              </w:rPr>
            </w:pPr>
          </w:p>
        </w:tc>
      </w:tr>
      <w:tr>
        <w:trPr>
          <w:trHeight w:val="312"/>
        </w:trPr>
        <w:tc>
          <w:tcPr>
            <w:tcW w:w="1820" w:type="dxa"/>
            <w:vAlign w:val="bottom"/>
          </w:tcPr>
          <w:p>
            <w:pPr>
              <w:spacing w:after="0"/>
              <w:rPr>
                <w:sz w:val="20"/>
                <w:szCs w:val="20"/>
                <w:color w:val="auto"/>
              </w:rPr>
            </w:pPr>
            <w:r>
              <w:rPr>
                <w:rFonts w:ascii="Arial" w:cs="Arial" w:eastAsia="Arial" w:hAnsi="Arial"/>
                <w:sz w:val="18"/>
                <w:szCs w:val="18"/>
                <w:color w:val="auto"/>
              </w:rPr>
              <w:t>Article 14 Net of Tax</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2"/>
        </w:trPr>
        <w:tc>
          <w:tcPr>
            <w:tcW w:w="1960" w:type="dxa"/>
            <w:vAlign w:val="bottom"/>
            <w:gridSpan w:val="2"/>
          </w:tcPr>
          <w:p>
            <w:pPr>
              <w:spacing w:after="0"/>
              <w:rPr>
                <w:sz w:val="20"/>
                <w:szCs w:val="20"/>
                <w:color w:val="auto"/>
              </w:rPr>
            </w:pPr>
            <w:r>
              <w:rPr>
                <w:rFonts w:ascii="Arial" w:cs="Arial" w:eastAsia="Arial" w:hAnsi="Arial"/>
                <w:sz w:val="18"/>
                <w:szCs w:val="18"/>
                <w:color w:val="auto"/>
                <w:w w:val="98"/>
              </w:rPr>
              <w:t>Article 15 Reinstatement</w:t>
            </w:r>
          </w:p>
        </w:tc>
        <w:tc>
          <w:tcPr>
            <w:tcW w:w="640" w:type="dxa"/>
            <w:vAlign w:val="bottom"/>
          </w:tcPr>
          <w:p>
            <w:pPr>
              <w:ind w:left="2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2"/>
        </w:trPr>
        <w:tc>
          <w:tcPr>
            <w:tcW w:w="1820" w:type="dxa"/>
            <w:vAlign w:val="bottom"/>
          </w:tcPr>
          <w:p>
            <w:pPr>
              <w:spacing w:after="0"/>
              <w:rPr>
                <w:sz w:val="20"/>
                <w:szCs w:val="20"/>
                <w:color w:val="auto"/>
              </w:rPr>
            </w:pPr>
            <w:r>
              <w:rPr>
                <w:rFonts w:ascii="Arial" w:cs="Arial" w:eastAsia="Arial" w:hAnsi="Arial"/>
                <w:sz w:val="18"/>
                <w:szCs w:val="18"/>
                <w:color w:val="auto"/>
              </w:rPr>
              <w:t>Article 16 Termination</w:t>
            </w:r>
          </w:p>
        </w:tc>
        <w:tc>
          <w:tcPr>
            <w:tcW w:w="1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2"/>
        </w:trPr>
        <w:tc>
          <w:tcPr>
            <w:tcW w:w="1960" w:type="dxa"/>
            <w:vAlign w:val="bottom"/>
            <w:gridSpan w:val="2"/>
          </w:tcPr>
          <w:p>
            <w:pPr>
              <w:spacing w:after="0"/>
              <w:rPr>
                <w:sz w:val="20"/>
                <w:szCs w:val="20"/>
                <w:color w:val="auto"/>
              </w:rPr>
            </w:pPr>
            <w:r>
              <w:rPr>
                <w:rFonts w:ascii="Arial" w:cs="Arial" w:eastAsia="Arial" w:hAnsi="Arial"/>
                <w:sz w:val="18"/>
                <w:szCs w:val="18"/>
                <w:color w:val="auto"/>
                <w:w w:val="99"/>
              </w:rPr>
              <w:t>Article 17 Miscellaneous</w:t>
            </w:r>
          </w:p>
        </w:tc>
        <w:tc>
          <w:tcPr>
            <w:tcW w:w="640" w:type="dxa"/>
            <w:vAlign w:val="bottom"/>
          </w:tcPr>
          <w:p>
            <w:pPr>
              <w:ind w:left="2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Addresses</w:t>
            </w:r>
          </w:p>
        </w:tc>
        <w:tc>
          <w:tcPr>
            <w:tcW w:w="400" w:type="dxa"/>
            <w:vAlign w:val="bottom"/>
          </w:tcPr>
          <w:p>
            <w:pPr>
              <w:jc w:val="right"/>
              <w:ind w:right="90"/>
              <w:spacing w:after="0"/>
              <w:rPr>
                <w:rFonts w:ascii="Arial" w:cs="Arial" w:eastAsia="Arial" w:hAnsi="Arial"/>
                <w:sz w:val="18"/>
                <w:szCs w:val="18"/>
                <w:color w:val="auto"/>
                <w:w w:val="99"/>
              </w:rPr>
            </w:pPr>
            <w:hyperlink w:anchor="page152">
              <w:r>
                <w:rPr>
                  <w:rFonts w:ascii="Arial" w:cs="Arial" w:eastAsia="Arial" w:hAnsi="Arial"/>
                  <w:sz w:val="18"/>
                  <w:szCs w:val="18"/>
                  <w:color w:val="auto"/>
                  <w:w w:val="99"/>
                </w:rPr>
                <w:t>20</w:t>
              </w:r>
            </w:hyperlink>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17.2.</w:t>
            </w:r>
          </w:p>
        </w:tc>
        <w:tc>
          <w:tcPr>
            <w:tcW w:w="1500" w:type="dxa"/>
            <w:vAlign w:val="bottom"/>
            <w:gridSpan w:val="4"/>
          </w:tcPr>
          <w:p>
            <w:pPr>
              <w:ind w:left="80"/>
              <w:spacing w:after="0"/>
              <w:rPr>
                <w:sz w:val="20"/>
                <w:szCs w:val="20"/>
                <w:color w:val="auto"/>
              </w:rPr>
            </w:pPr>
            <w:r>
              <w:rPr>
                <w:rFonts w:ascii="Arial" w:cs="Arial" w:eastAsia="Arial" w:hAnsi="Arial"/>
                <w:sz w:val="18"/>
                <w:szCs w:val="18"/>
                <w:color w:val="auto"/>
              </w:rPr>
              <w:t>Use of Websites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17.3.</w:t>
            </w:r>
          </w:p>
        </w:tc>
        <w:tc>
          <w:tcPr>
            <w:tcW w:w="3980" w:type="dxa"/>
            <w:vAlign w:val="bottom"/>
            <w:gridSpan w:val="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Counterparts; Electronic Signatures  </w:t>
            </w:r>
            <w:hyperlink w:anchor="page152">
              <w:r>
                <w:rPr>
                  <w:rFonts w:ascii="Arial" w:cs="Arial" w:eastAsia="Arial" w:hAnsi="Arial"/>
                  <w:sz w:val="18"/>
                  <w:szCs w:val="18"/>
                  <w:color w:val="auto"/>
                </w:rPr>
                <w:t>22</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17.4.</w:t>
            </w:r>
          </w:p>
        </w:tc>
        <w:tc>
          <w:tcPr>
            <w:tcW w:w="1880" w:type="dxa"/>
            <w:vAlign w:val="bottom"/>
            <w:gridSpan w:val="5"/>
          </w:tcPr>
          <w:p>
            <w:pPr>
              <w:ind w:left="80"/>
              <w:spacing w:after="0"/>
              <w:rPr>
                <w:sz w:val="20"/>
                <w:szCs w:val="20"/>
                <w:color w:val="auto"/>
              </w:rPr>
            </w:pPr>
            <w:r>
              <w:rPr>
                <w:rFonts w:ascii="Arial" w:cs="Arial" w:eastAsia="Arial" w:hAnsi="Arial"/>
                <w:sz w:val="18"/>
                <w:szCs w:val="18"/>
                <w:color w:val="auto"/>
              </w:rPr>
              <w:t>No Strict Construction</w:t>
            </w:r>
          </w:p>
        </w:tc>
        <w:tc>
          <w:tcPr>
            <w:tcW w:w="2100" w:type="dxa"/>
            <w:vAlign w:val="bottom"/>
            <w:gridSpan w:val="2"/>
          </w:tcPr>
          <w:p>
            <w:pPr>
              <w:jc w:val="right"/>
              <w:ind w:right="1670"/>
              <w:spacing w:after="0"/>
              <w:rPr>
                <w:rFonts w:ascii="Arial" w:cs="Arial" w:eastAsia="Arial" w:hAnsi="Arial"/>
                <w:sz w:val="18"/>
                <w:szCs w:val="18"/>
                <w:color w:val="auto"/>
              </w:rPr>
            </w:pPr>
            <w:hyperlink w:anchor="page152">
              <w:r>
                <w:rPr>
                  <w:rFonts w:ascii="Arial" w:cs="Arial" w:eastAsia="Arial" w:hAnsi="Arial"/>
                  <w:sz w:val="18"/>
                  <w:szCs w:val="18"/>
                  <w:color w:val="auto"/>
                </w:rPr>
                <w:t>22</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17.5.</w:t>
            </w: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400" w:type="dxa"/>
            <w:vAlign w:val="bottom"/>
          </w:tcPr>
          <w:p>
            <w:pPr>
              <w:jc w:val="right"/>
              <w:ind w:right="10"/>
              <w:spacing w:after="0"/>
              <w:rPr>
                <w:rFonts w:ascii="Arial" w:cs="Arial" w:eastAsia="Arial" w:hAnsi="Arial"/>
                <w:sz w:val="18"/>
                <w:szCs w:val="18"/>
                <w:color w:val="auto"/>
              </w:rPr>
            </w:pPr>
            <w:hyperlink w:anchor="page152">
              <w:r>
                <w:rPr>
                  <w:rFonts w:ascii="Arial" w:cs="Arial" w:eastAsia="Arial" w:hAnsi="Arial"/>
                  <w:sz w:val="18"/>
                  <w:szCs w:val="18"/>
                  <w:color w:val="auto"/>
                </w:rPr>
                <w:t>22</w:t>
              </w:r>
            </w:hyperlink>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17.6.</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Survival</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17.7.</w:t>
            </w:r>
          </w:p>
        </w:tc>
        <w:tc>
          <w:tcPr>
            <w:tcW w:w="2060" w:type="dxa"/>
            <w:vAlign w:val="bottom"/>
            <w:gridSpan w:val="6"/>
          </w:tcPr>
          <w:p>
            <w:pPr>
              <w:ind w:left="80"/>
              <w:spacing w:after="0"/>
              <w:rPr>
                <w:sz w:val="20"/>
                <w:szCs w:val="20"/>
                <w:color w:val="auto"/>
              </w:rPr>
            </w:pPr>
            <w:r>
              <w:rPr>
                <w:rFonts w:ascii="Arial" w:cs="Arial" w:eastAsia="Arial" w:hAnsi="Arial"/>
                <w:sz w:val="18"/>
                <w:szCs w:val="18"/>
                <w:color w:val="auto"/>
                <w:w w:val="99"/>
              </w:rPr>
              <w:t>Successors and Assigns</w:t>
            </w:r>
          </w:p>
        </w:tc>
        <w:tc>
          <w:tcPr>
            <w:tcW w:w="1920" w:type="dxa"/>
            <w:vAlign w:val="bottom"/>
          </w:tcPr>
          <w:p>
            <w:pPr>
              <w:jc w:val="right"/>
              <w:ind w:right="1470"/>
              <w:spacing w:after="0"/>
              <w:rPr>
                <w:rFonts w:ascii="Arial" w:cs="Arial" w:eastAsia="Arial" w:hAnsi="Arial"/>
                <w:sz w:val="18"/>
                <w:szCs w:val="18"/>
                <w:color w:val="auto"/>
              </w:rPr>
            </w:pPr>
            <w:hyperlink w:anchor="page152">
              <w:r>
                <w:rPr>
                  <w:rFonts w:ascii="Arial" w:cs="Arial" w:eastAsia="Arial" w:hAnsi="Arial"/>
                  <w:sz w:val="18"/>
                  <w:szCs w:val="18"/>
                  <w:color w:val="auto"/>
                </w:rPr>
                <w:t>23</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17.8.</w:t>
            </w:r>
          </w:p>
        </w:tc>
        <w:tc>
          <w:tcPr>
            <w:tcW w:w="2060" w:type="dxa"/>
            <w:vAlign w:val="bottom"/>
            <w:gridSpan w:val="6"/>
          </w:tcPr>
          <w:p>
            <w:pPr>
              <w:ind w:left="80"/>
              <w:spacing w:after="0"/>
              <w:rPr>
                <w:sz w:val="20"/>
                <w:szCs w:val="20"/>
                <w:color w:val="auto"/>
              </w:rPr>
            </w:pPr>
            <w:r>
              <w:rPr>
                <w:rFonts w:ascii="Arial" w:cs="Arial" w:eastAsia="Arial" w:hAnsi="Arial"/>
                <w:sz w:val="18"/>
                <w:szCs w:val="18"/>
                <w:color w:val="auto"/>
              </w:rPr>
              <w:t>Waiver and Amendment</w:t>
            </w:r>
          </w:p>
        </w:tc>
        <w:tc>
          <w:tcPr>
            <w:tcW w:w="1920" w:type="dxa"/>
            <w:vAlign w:val="bottom"/>
          </w:tcPr>
          <w:p>
            <w:pPr>
              <w:jc w:val="right"/>
              <w:ind w:right="1490"/>
              <w:spacing w:after="0"/>
              <w:rPr>
                <w:rFonts w:ascii="Arial" w:cs="Arial" w:eastAsia="Arial" w:hAnsi="Arial"/>
                <w:sz w:val="18"/>
                <w:szCs w:val="18"/>
                <w:color w:val="auto"/>
              </w:rPr>
            </w:pPr>
            <w:hyperlink w:anchor="page152">
              <w:r>
                <w:rPr>
                  <w:rFonts w:ascii="Arial" w:cs="Arial" w:eastAsia="Arial" w:hAnsi="Arial"/>
                  <w:sz w:val="18"/>
                  <w:szCs w:val="18"/>
                  <w:color w:val="auto"/>
                </w:rPr>
                <w:t>23</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17.9.</w:t>
            </w:r>
          </w:p>
        </w:tc>
        <w:tc>
          <w:tcPr>
            <w:tcW w:w="1880" w:type="dxa"/>
            <w:vAlign w:val="bottom"/>
            <w:gridSpan w:val="5"/>
          </w:tcPr>
          <w:p>
            <w:pPr>
              <w:ind w:left="80"/>
              <w:spacing w:after="0"/>
              <w:rPr>
                <w:sz w:val="20"/>
                <w:szCs w:val="20"/>
                <w:color w:val="auto"/>
              </w:rPr>
            </w:pPr>
            <w:r>
              <w:rPr>
                <w:rFonts w:ascii="Arial" w:cs="Arial" w:eastAsia="Arial" w:hAnsi="Arial"/>
                <w:sz w:val="18"/>
                <w:szCs w:val="18"/>
                <w:color w:val="auto"/>
              </w:rPr>
              <w:t>Costs and Expenses</w:t>
            </w:r>
          </w:p>
        </w:tc>
        <w:tc>
          <w:tcPr>
            <w:tcW w:w="2100" w:type="dxa"/>
            <w:vAlign w:val="bottom"/>
            <w:gridSpan w:val="2"/>
          </w:tcPr>
          <w:p>
            <w:pPr>
              <w:jc w:val="right"/>
              <w:ind w:right="1770"/>
              <w:spacing w:after="0"/>
              <w:rPr>
                <w:rFonts w:ascii="Arial" w:cs="Arial" w:eastAsia="Arial" w:hAnsi="Arial"/>
                <w:sz w:val="18"/>
                <w:szCs w:val="18"/>
                <w:color w:val="auto"/>
              </w:rPr>
            </w:pPr>
            <w:hyperlink w:anchor="page152">
              <w:r>
                <w:rPr>
                  <w:rFonts w:ascii="Arial" w:cs="Arial" w:eastAsia="Arial" w:hAnsi="Arial"/>
                  <w:sz w:val="18"/>
                  <w:szCs w:val="18"/>
                  <w:color w:val="auto"/>
                </w:rPr>
                <w:t>24</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17.10.</w:t>
            </w:r>
          </w:p>
        </w:tc>
        <w:tc>
          <w:tcPr>
            <w:tcW w:w="14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Indemnification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17.11.</w:t>
            </w:r>
          </w:p>
        </w:tc>
        <w:tc>
          <w:tcPr>
            <w:tcW w:w="14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Governing Law</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17.12.</w:t>
            </w:r>
          </w:p>
        </w:tc>
        <w:tc>
          <w:tcPr>
            <w:tcW w:w="14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rPr>
              <w:t>Waiver of Jury Trial</w:t>
            </w:r>
          </w:p>
        </w:tc>
        <w:tc>
          <w:tcPr>
            <w:tcW w:w="2100" w:type="dxa"/>
            <w:vAlign w:val="bottom"/>
            <w:gridSpan w:val="2"/>
          </w:tcPr>
          <w:p>
            <w:pPr>
              <w:jc w:val="right"/>
              <w:ind w:right="1770"/>
              <w:spacing w:after="0"/>
              <w:rPr>
                <w:rFonts w:ascii="Arial" w:cs="Arial" w:eastAsia="Arial" w:hAnsi="Arial"/>
                <w:sz w:val="18"/>
                <w:szCs w:val="18"/>
                <w:color w:val="auto"/>
              </w:rPr>
            </w:pPr>
            <w:hyperlink w:anchor="page152">
              <w:r>
                <w:rPr>
                  <w:rFonts w:ascii="Arial" w:cs="Arial" w:eastAsia="Arial" w:hAnsi="Arial"/>
                  <w:sz w:val="18"/>
                  <w:szCs w:val="18"/>
                  <w:color w:val="auto"/>
                </w:rPr>
                <w:t>24</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17.13.</w:t>
            </w:r>
          </w:p>
        </w:tc>
        <w:tc>
          <w:tcPr>
            <w:tcW w:w="140" w:type="dxa"/>
            <w:vAlign w:val="bottom"/>
          </w:tcPr>
          <w:p>
            <w:pPr>
              <w:spacing w:after="0"/>
              <w:rPr>
                <w:sz w:val="24"/>
                <w:szCs w:val="24"/>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Consent to Jurisdiction</w:t>
            </w:r>
          </w:p>
        </w:tc>
        <w:tc>
          <w:tcPr>
            <w:tcW w:w="1920" w:type="dxa"/>
            <w:vAlign w:val="bottom"/>
          </w:tcPr>
          <w:p>
            <w:pPr>
              <w:jc w:val="right"/>
              <w:ind w:right="1490"/>
              <w:spacing w:after="0"/>
              <w:rPr>
                <w:rFonts w:ascii="Arial" w:cs="Arial" w:eastAsia="Arial" w:hAnsi="Arial"/>
                <w:sz w:val="18"/>
                <w:szCs w:val="18"/>
                <w:color w:val="auto"/>
              </w:rPr>
            </w:pPr>
            <w:hyperlink w:anchor="page152">
              <w:r>
                <w:rPr>
                  <w:rFonts w:ascii="Arial" w:cs="Arial" w:eastAsia="Arial" w:hAnsi="Arial"/>
                  <w:sz w:val="18"/>
                  <w:szCs w:val="18"/>
                  <w:color w:val="auto"/>
                </w:rPr>
                <w:t>25</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17.14.</w:t>
            </w:r>
          </w:p>
        </w:tc>
        <w:tc>
          <w:tcPr>
            <w:tcW w:w="140" w:type="dxa"/>
            <w:vAlign w:val="bottom"/>
          </w:tcPr>
          <w:p>
            <w:pPr>
              <w:spacing w:after="0"/>
              <w:rPr>
                <w:sz w:val="24"/>
                <w:szCs w:val="24"/>
                <w:color w:val="auto"/>
              </w:rPr>
            </w:pPr>
          </w:p>
        </w:tc>
        <w:tc>
          <w:tcPr>
            <w:tcW w:w="3840" w:type="dxa"/>
            <w:vAlign w:val="bottom"/>
            <w:gridSpan w:val="6"/>
          </w:tcPr>
          <w:p>
            <w:pPr>
              <w:ind w:left="60"/>
              <w:spacing w:after="0"/>
              <w:rPr>
                <w:sz w:val="20"/>
                <w:szCs w:val="20"/>
                <w:color w:val="auto"/>
              </w:rPr>
            </w:pPr>
            <w:r>
              <w:rPr>
                <w:rFonts w:ascii="Arial" w:cs="Arial" w:eastAsia="Arial" w:hAnsi="Arial"/>
                <w:sz w:val="18"/>
                <w:szCs w:val="18"/>
                <w:color w:val="auto"/>
              </w:rPr>
              <w:t>Dispute Resolution Section  25</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17.15.</w:t>
            </w:r>
          </w:p>
        </w:tc>
        <w:tc>
          <w:tcPr>
            <w:tcW w:w="140" w:type="dxa"/>
            <w:vAlign w:val="bottom"/>
          </w:tcPr>
          <w:p>
            <w:pPr>
              <w:spacing w:after="0"/>
              <w:rPr>
                <w:sz w:val="24"/>
                <w:szCs w:val="24"/>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Benefits of Agreement</w:t>
            </w:r>
          </w:p>
        </w:tc>
        <w:tc>
          <w:tcPr>
            <w:tcW w:w="1920" w:type="dxa"/>
            <w:vAlign w:val="bottom"/>
          </w:tcPr>
          <w:p>
            <w:pPr>
              <w:jc w:val="right"/>
              <w:ind w:right="1530"/>
              <w:spacing w:after="0"/>
              <w:rPr>
                <w:rFonts w:ascii="Arial" w:cs="Arial" w:eastAsia="Arial" w:hAnsi="Arial"/>
                <w:sz w:val="18"/>
                <w:szCs w:val="18"/>
                <w:color w:val="auto"/>
              </w:rPr>
            </w:pPr>
            <w:hyperlink w:anchor="page152">
              <w:r>
                <w:rPr>
                  <w:rFonts w:ascii="Arial" w:cs="Arial" w:eastAsia="Arial" w:hAnsi="Arial"/>
                  <w:sz w:val="18"/>
                  <w:szCs w:val="18"/>
                  <w:color w:val="auto"/>
                </w:rPr>
                <w:t>25</w:t>
              </w:r>
            </w:hyperlink>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17.16.</w:t>
            </w:r>
          </w:p>
        </w:tc>
        <w:tc>
          <w:tcPr>
            <w:tcW w:w="14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color w:val="auto"/>
                <w:w w:val="99"/>
              </w:rPr>
              <w:t>Limitation on Liability</w:t>
            </w:r>
          </w:p>
        </w:tc>
        <w:tc>
          <w:tcPr>
            <w:tcW w:w="180" w:type="dxa"/>
            <w:vAlign w:val="bottom"/>
          </w:tcPr>
          <w:p>
            <w:pPr>
              <w:spacing w:after="0"/>
              <w:rPr>
                <w:sz w:val="24"/>
                <w:szCs w:val="24"/>
                <w:color w:val="auto"/>
              </w:rPr>
            </w:pPr>
          </w:p>
        </w:tc>
        <w:tc>
          <w:tcPr>
            <w:tcW w:w="1920" w:type="dxa"/>
            <w:vAlign w:val="bottom"/>
          </w:tcPr>
          <w:p>
            <w:pPr>
              <w:jc w:val="right"/>
              <w:ind w:right="1630"/>
              <w:spacing w:after="0"/>
              <w:rPr>
                <w:sz w:val="20"/>
                <w:szCs w:val="20"/>
                <w:color w:val="auto"/>
              </w:rPr>
            </w:pPr>
            <w:r>
              <w:rPr>
                <w:rFonts w:ascii="Arial" w:cs="Arial" w:eastAsia="Arial" w:hAnsi="Arial"/>
                <w:sz w:val="18"/>
                <w:szCs w:val="18"/>
                <w:color w:val="auto"/>
                <w:w w:val="89"/>
              </w:rPr>
              <w:t>25</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4"/>
        </w:trPr>
        <w:tc>
          <w:tcPr>
            <w:tcW w:w="1820" w:type="dxa"/>
            <w:vAlign w:val="bottom"/>
          </w:tcPr>
          <w:p>
            <w:pPr>
              <w:ind w:left="640"/>
              <w:spacing w:after="0"/>
              <w:rPr>
                <w:sz w:val="20"/>
                <w:szCs w:val="20"/>
                <w:color w:val="auto"/>
              </w:rPr>
            </w:pPr>
            <w:r>
              <w:rPr>
                <w:rFonts w:ascii="Arial" w:cs="Arial" w:eastAsia="Arial" w:hAnsi="Arial"/>
                <w:sz w:val="18"/>
                <w:szCs w:val="18"/>
                <w:color w:val="auto"/>
              </w:rPr>
              <w:t>Section 17.17.</w:t>
            </w:r>
          </w:p>
        </w:tc>
        <w:tc>
          <w:tcPr>
            <w:tcW w:w="140" w:type="dxa"/>
            <w:vAlign w:val="bottom"/>
          </w:tcPr>
          <w:p>
            <w:pPr>
              <w:spacing w:after="0"/>
              <w:rPr>
                <w:sz w:val="24"/>
                <w:szCs w:val="24"/>
                <w:color w:val="auto"/>
              </w:rPr>
            </w:pPr>
          </w:p>
        </w:tc>
        <w:tc>
          <w:tcPr>
            <w:tcW w:w="1920" w:type="dxa"/>
            <w:vAlign w:val="bottom"/>
            <w:gridSpan w:val="5"/>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Entire Agreement  </w:t>
            </w:r>
            <w:hyperlink w:anchor="page152">
              <w:r>
                <w:rPr>
                  <w:rFonts w:ascii="Arial" w:cs="Arial" w:eastAsia="Arial" w:hAnsi="Arial"/>
                  <w:sz w:val="18"/>
                  <w:szCs w:val="18"/>
                  <w:color w:val="auto"/>
                </w:rPr>
                <w:t>26</w:t>
              </w:r>
            </w:hyperlink>
          </w:p>
        </w:tc>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40" w:orient="portrait"/>
          <w:cols w:equalWidth="0" w:num="1">
            <w:col w:w="9800"/>
          </w:cols>
          <w:pgMar w:left="660" w:top="1440" w:right="1440" w:bottom="1440" w:gutter="0" w:footer="0" w:header="0"/>
        </w:sectPr>
      </w:pPr>
    </w:p>
    <w:bookmarkStart w:id="154" w:name="page155"/>
    <w:bookmarkEnd w:id="154"/>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GUARANTEE AND EQUITY CONTRIBUTION AGREEMENT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GUARANTEE AND EQUITY CONTRIBUTION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entered into as of June 11, 2025, by and between Micron Technology, Inc., a corporation organized and existing under the 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as the guarantor (the “</w:t>
      </w:r>
      <w:r>
        <w:rPr>
          <w:rFonts w:ascii="Arial" w:cs="Arial" w:eastAsia="Arial" w:hAnsi="Arial"/>
          <w:sz w:val="18"/>
          <w:szCs w:val="18"/>
          <w:b w:val="1"/>
          <w:bCs w:val="1"/>
          <w:color w:val="auto"/>
        </w:rPr>
        <w:t>Sponsor Guarantor</w:t>
      </w:r>
      <w:r>
        <w:rPr>
          <w:rFonts w:ascii="Arial" w:cs="Arial" w:eastAsia="Arial" w:hAnsi="Arial"/>
          <w:sz w:val="18"/>
          <w:szCs w:val="18"/>
          <w:color w:val="auto"/>
        </w:rPr>
        <w:t>”), and the UNITED STATES DEPARTMENT OF COMMERCE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Department</w:t>
      </w:r>
      <w:r>
        <w:rPr>
          <w:rFonts w:ascii="Arial" w:cs="Arial" w:eastAsia="Arial" w:hAnsi="Arial"/>
          <w:sz w:val="18"/>
          <w:szCs w:val="18"/>
          <w:color w:val="auto"/>
        </w:rPr>
        <w:t>” and together with the Sponsor Guarantor, the “</w:t>
      </w:r>
      <w:r>
        <w:rPr>
          <w:rFonts w:ascii="Arial" w:cs="Arial" w:eastAsia="Arial" w:hAnsi="Arial"/>
          <w:sz w:val="18"/>
          <w:szCs w:val="18"/>
          <w:b w:val="1"/>
          <w:b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color w:val="auto"/>
        </w:rPr>
        <w:t>Party</w:t>
      </w:r>
      <w:r>
        <w:rPr>
          <w:rFonts w:ascii="Arial" w:cs="Arial" w:eastAsia="Arial" w:hAnsi="Arial"/>
          <w:sz w:val="18"/>
          <w:szCs w:val="18"/>
          <w:color w:val="auto"/>
        </w:rPr>
        <w:t>”), an agency of the United States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 acting by and through the Secretary of Commerce (or appropriate authorized representative thereof).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Department has entered into (a) that certain direct funding agreement with Micron New York Semiconductor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LLC, a Delaware limited liability company (the “</w:t>
      </w:r>
      <w:r>
        <w:rPr>
          <w:rFonts w:ascii="Arial" w:cs="Arial" w:eastAsia="Arial" w:hAnsi="Arial"/>
          <w:sz w:val="18"/>
          <w:szCs w:val="18"/>
          <w:b w:val="1"/>
          <w:bCs w:val="1"/>
          <w:color w:val="auto"/>
        </w:rPr>
        <w:t>NY Recipient</w:t>
      </w:r>
      <w:r>
        <w:rPr>
          <w:rFonts w:ascii="Arial" w:cs="Arial" w:eastAsia="Arial" w:hAnsi="Arial"/>
          <w:sz w:val="18"/>
          <w:szCs w:val="18"/>
          <w:color w:val="auto"/>
        </w:rPr>
        <w:t>”), dated as of December 9, 2024 (as amended by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Amendment No. 1 to Direct Funding Agreement, dated as of January 17, 2025, that certain Amendment No. 2 to Direct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Funding Agreement, dated as of June 11, 2025, and as further amended, restated, supplemented or modified and in effect from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time, the “</w:t>
      </w:r>
      <w:r>
        <w:rPr>
          <w:rFonts w:ascii="Arial" w:cs="Arial" w:eastAsia="Arial" w:hAnsi="Arial"/>
          <w:sz w:val="18"/>
          <w:szCs w:val="18"/>
          <w:b w:val="1"/>
          <w:bCs w:val="1"/>
          <w:color w:val="auto"/>
        </w:rPr>
        <w:t>NY DFA</w:t>
      </w:r>
      <w:r>
        <w:rPr>
          <w:rFonts w:ascii="Arial" w:cs="Arial" w:eastAsia="Arial" w:hAnsi="Arial"/>
          <w:sz w:val="18"/>
          <w:szCs w:val="18"/>
          <w:color w:val="auto"/>
        </w:rPr>
        <w:t>”); and (b) that certain direct funding agreement with Micron Idaho Semiconductor Manufacturing (Triton)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(the “</w:t>
      </w:r>
      <w:r>
        <w:rPr>
          <w:rFonts w:ascii="Arial" w:cs="Arial" w:eastAsia="Arial" w:hAnsi="Arial"/>
          <w:sz w:val="18"/>
          <w:szCs w:val="18"/>
          <w:b w:val="1"/>
          <w:bCs w:val="1"/>
          <w:color w:val="auto"/>
        </w:rPr>
        <w:t>ID Recipient</w:t>
      </w:r>
      <w:r>
        <w:rPr>
          <w:rFonts w:ascii="Arial" w:cs="Arial" w:eastAsia="Arial" w:hAnsi="Arial"/>
          <w:sz w:val="18"/>
          <w:szCs w:val="18"/>
          <w:color w:val="auto"/>
        </w:rPr>
        <w:t xml:space="preserve">”, and together with the NY Recipient, the “ </w:t>
      </w:r>
      <w:r>
        <w:rPr>
          <w:rFonts w:ascii="Arial" w:cs="Arial" w:eastAsia="Arial" w:hAnsi="Arial"/>
          <w:sz w:val="18"/>
          <w:szCs w:val="18"/>
          <w:b w:val="1"/>
          <w:bCs w:val="1"/>
          <w:color w:val="auto"/>
        </w:rPr>
        <w:t>Original Recipients</w:t>
      </w:r>
      <w:r>
        <w:rPr>
          <w:rFonts w:ascii="Arial" w:cs="Arial" w:eastAsia="Arial" w:hAnsi="Arial"/>
          <w:sz w:val="18"/>
          <w:szCs w:val="18"/>
          <w:color w:val="auto"/>
        </w:rPr>
        <w:t>” and each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Recipient</w:t>
      </w:r>
      <w:r>
        <w:rPr>
          <w:rFonts w:ascii="Arial" w:cs="Arial" w:eastAsia="Arial" w:hAnsi="Arial"/>
          <w:sz w:val="18"/>
          <w:szCs w:val="18"/>
          <w:color w:val="auto"/>
        </w:rPr>
        <w:t>”), dated as of December 9, 2024 (amended by that certain Amendment No. 1 to Direct Funding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dated as of January 17, 2025, that certain Amendment No. 2 to Direct Funding Agreement, dated as of June 11, 2025, and as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amended, restated, supplemented or modified and in effect from time to time, the “</w:t>
      </w:r>
      <w:r>
        <w:rPr>
          <w:rFonts w:ascii="Arial" w:cs="Arial" w:eastAsia="Arial" w:hAnsi="Arial"/>
          <w:sz w:val="18"/>
          <w:szCs w:val="18"/>
          <w:b w:val="1"/>
          <w:bCs w:val="1"/>
          <w:color w:val="auto"/>
        </w:rPr>
        <w:t>ID DFA</w:t>
      </w:r>
      <w:r>
        <w:rPr>
          <w:rFonts w:ascii="Arial" w:cs="Arial" w:eastAsia="Arial" w:hAnsi="Arial"/>
          <w:sz w:val="18"/>
          <w:szCs w:val="18"/>
          <w:color w:val="auto"/>
        </w:rPr>
        <w:t>”, and together with the NY DFA,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DFAs</w:t>
      </w:r>
      <w:r>
        <w:rPr>
          <w:rFonts w:ascii="Arial" w:cs="Arial" w:eastAsia="Arial" w:hAnsi="Arial"/>
          <w:sz w:val="18"/>
          <w:szCs w:val="18"/>
          <w:color w:val="auto"/>
        </w:rPr>
        <w:t>” and each an “</w:t>
      </w:r>
      <w:r>
        <w:rPr>
          <w:rFonts w:ascii="Arial" w:cs="Arial" w:eastAsia="Arial" w:hAnsi="Arial"/>
          <w:sz w:val="18"/>
          <w:szCs w:val="18"/>
          <w:b w:val="1"/>
          <w:bCs w:val="1"/>
          <w:color w:val="auto"/>
        </w:rPr>
        <w:t>Original DFA</w:t>
      </w:r>
      <w:r>
        <w:rPr>
          <w:rFonts w:ascii="Arial" w:cs="Arial" w:eastAsia="Arial" w:hAnsi="Arial"/>
          <w:sz w:val="18"/>
          <w:szCs w:val="18"/>
          <w:color w:val="auto"/>
        </w:rPr>
        <w:t>”), pursuant to which the Department has agreed to issue an Award to each Original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Recipient subject to, and in accordance with, the terms and conditions set out in the applicable Original DFA;</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Recipient is a direct wholly-owned Subsidiary of the Sponsor Guarantor;</w:t>
      </w:r>
    </w:p>
    <w:p>
      <w:pPr>
        <w:spacing w:after="0" w:line="201" w:lineRule="exact"/>
        <w:rPr>
          <w:sz w:val="20"/>
          <w:szCs w:val="20"/>
          <w:color w:val="auto"/>
        </w:rPr>
      </w:pPr>
    </w:p>
    <w:p>
      <w:pPr>
        <w:jc w:val="both"/>
        <w:ind w:right="200" w:firstLine="576"/>
        <w:spacing w:after="0" w:line="27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precedent to the execution and delivery of the Awards under the Original DFAs, the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that certain Guarantee and Equity Contribution Agreement with the Sponsor Guarantor dated as of December 9, 2024 (the “</w:t>
      </w:r>
      <w:r>
        <w:rPr>
          <w:rFonts w:ascii="Arial" w:cs="Arial" w:eastAsia="Arial" w:hAnsi="Arial"/>
          <w:sz w:val="18"/>
          <w:szCs w:val="18"/>
          <w:b w:val="1"/>
          <w:bCs w:val="1"/>
          <w:color w:val="auto"/>
        </w:rPr>
        <w:t>Original Sponsor Guarantee</w:t>
      </w:r>
      <w:r>
        <w:rPr>
          <w:rFonts w:ascii="Arial" w:cs="Arial" w:eastAsia="Arial" w:hAnsi="Arial"/>
          <w:sz w:val="18"/>
          <w:szCs w:val="18"/>
          <w:color w:val="auto"/>
        </w:rPr>
        <w: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Department has entered into that certain direct funding agreement with Micron Virginia Semiconductor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LLC, a Delaware limited liability company (the “</w:t>
      </w:r>
      <w:r>
        <w:rPr>
          <w:rFonts w:ascii="Arial" w:cs="Arial" w:eastAsia="Arial" w:hAnsi="Arial"/>
          <w:sz w:val="18"/>
          <w:szCs w:val="18"/>
          <w:b w:val="1"/>
          <w:bCs w:val="1"/>
          <w:color w:val="auto"/>
        </w:rPr>
        <w:t>VA Recipient</w:t>
      </w:r>
      <w:r>
        <w:rPr>
          <w:rFonts w:ascii="Arial" w:cs="Arial" w:eastAsia="Arial" w:hAnsi="Arial"/>
          <w:sz w:val="18"/>
          <w:szCs w:val="18"/>
          <w:color w:val="auto"/>
        </w:rPr>
        <w:t>”, and together with the Original Recipients,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Recipients</w:t>
      </w:r>
      <w:r>
        <w:rPr>
          <w:rFonts w:ascii="Arial" w:cs="Arial" w:eastAsia="Arial" w:hAnsi="Arial"/>
          <w:sz w:val="18"/>
          <w:szCs w:val="18"/>
          <w:color w:val="auto"/>
        </w:rPr>
        <w:t>” and each a “</w:t>
      </w:r>
      <w:r>
        <w:rPr>
          <w:rFonts w:ascii="Arial" w:cs="Arial" w:eastAsia="Arial" w:hAnsi="Arial"/>
          <w:sz w:val="18"/>
          <w:szCs w:val="18"/>
          <w:b w:val="1"/>
          <w:bCs w:val="1"/>
          <w:color w:val="auto"/>
        </w:rPr>
        <w:t>Recipient</w:t>
      </w:r>
      <w:r>
        <w:rPr>
          <w:rFonts w:ascii="Arial" w:cs="Arial" w:eastAsia="Arial" w:hAnsi="Arial"/>
          <w:sz w:val="18"/>
          <w:szCs w:val="18"/>
          <w:color w:val="auto"/>
        </w:rPr>
        <w:t>”), dated as of June 11, 2025 (the “</w:t>
      </w:r>
      <w:r>
        <w:rPr>
          <w:rFonts w:ascii="Arial" w:cs="Arial" w:eastAsia="Arial" w:hAnsi="Arial"/>
          <w:sz w:val="18"/>
          <w:szCs w:val="18"/>
          <w:b w:val="1"/>
          <w:bCs w:val="1"/>
          <w:color w:val="auto"/>
        </w:rPr>
        <w:t>VA DFA</w:t>
      </w:r>
      <w:r>
        <w:rPr>
          <w:rFonts w:ascii="Arial" w:cs="Arial" w:eastAsia="Arial" w:hAnsi="Arial"/>
          <w:sz w:val="18"/>
          <w:szCs w:val="18"/>
          <w:color w:val="auto"/>
        </w:rPr>
        <w:t>”, and together with the Original DFAs, the “</w:t>
      </w:r>
      <w:r>
        <w:rPr>
          <w:rFonts w:ascii="Arial" w:cs="Arial" w:eastAsia="Arial" w:hAnsi="Arial"/>
          <w:sz w:val="18"/>
          <w:szCs w:val="18"/>
          <w:b w:val="1"/>
          <w:bCs w:val="1"/>
          <w:color w:val="auto"/>
        </w:rPr>
        <w:t>DFAs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each a “</w:t>
      </w:r>
      <w:r>
        <w:rPr>
          <w:rFonts w:ascii="Arial" w:cs="Arial" w:eastAsia="Arial" w:hAnsi="Arial"/>
          <w:sz w:val="18"/>
          <w:szCs w:val="18"/>
          <w:b w:val="1"/>
          <w:bCs w:val="1"/>
          <w:color w:val="auto"/>
        </w:rPr>
        <w:t>DFA</w:t>
      </w:r>
      <w:r>
        <w:rPr>
          <w:rFonts w:ascii="Arial" w:cs="Arial" w:eastAsia="Arial" w:hAnsi="Arial"/>
          <w:sz w:val="18"/>
          <w:szCs w:val="18"/>
          <w:color w:val="auto"/>
        </w:rPr>
        <w:t>”);</w:t>
      </w:r>
    </w:p>
    <w:p>
      <w:pPr>
        <w:spacing w:after="0" w:line="183" w:lineRule="exact"/>
        <w:rPr>
          <w:sz w:val="20"/>
          <w:szCs w:val="20"/>
          <w:color w:val="auto"/>
        </w:rPr>
      </w:pPr>
    </w:p>
    <w:p>
      <w:pPr>
        <w:ind w:right="200" w:firstLine="576"/>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precedent to the execution and delivery of the Award under the VA DFA that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this Agreement;</w:t>
      </w:r>
    </w:p>
    <w:p>
      <w:pPr>
        <w:spacing w:after="0" w:line="129" w:lineRule="exact"/>
        <w:rPr>
          <w:sz w:val="20"/>
          <w:szCs w:val="20"/>
          <w:color w:val="auto"/>
        </w:rPr>
      </w:pPr>
    </w:p>
    <w:p>
      <w:pPr>
        <w:ind w:right="160" w:firstLine="576"/>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amend and restate the Original Sponsor Guarantee in its entirety to extend its applicability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VA DFA; and</w:t>
      </w:r>
    </w:p>
    <w:p>
      <w:pPr>
        <w:spacing w:after="0" w:line="129" w:lineRule="exact"/>
        <w:rPr>
          <w:sz w:val="20"/>
          <w:szCs w:val="20"/>
          <w:color w:val="auto"/>
        </w:rPr>
      </w:pPr>
    </w:p>
    <w:p>
      <w:pPr>
        <w:ind w:right="40" w:firstLine="57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agreements herein and in the other Financing Documents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valid consideration, the receipt and adequacy of which are hereby expressly acknowledged, and in reliance upon the representations and warranties set forth herein and therein, the Parties agree to amend and restate the Original Sponsor Guarantee in its entirety such that as amended and restated it reads as follows:</w:t>
      </w: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40" w:orient="portrait"/>
          <w:cols w:equalWidth="0" w:num="1">
            <w:col w:w="10560"/>
          </w:cols>
          <w:pgMar w:left="660" w:top="1440" w:right="680" w:bottom="1440" w:gutter="0" w:footer="0" w:header="0"/>
        </w:sectPr>
      </w:pPr>
    </w:p>
    <w:bookmarkStart w:id="155" w:name="page156"/>
    <w:bookmarkEnd w:id="155"/>
    <w:p>
      <w:pPr>
        <w:spacing w:after="0" w:line="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1" w:lineRule="exact"/>
        <w:rPr>
          <w:sz w:val="20"/>
          <w:szCs w:val="20"/>
          <w:color w:val="auto"/>
        </w:rPr>
      </w:pPr>
    </w:p>
    <w:p>
      <w:pPr>
        <w:ind w:firstLine="576"/>
        <w:spacing w:after="0" w:line="26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color w:val="auto"/>
        </w:rPr>
        <w:t>Definitions and Interpretation</w:t>
      </w:r>
      <w:r>
        <w:rPr>
          <w:rFonts w:ascii="Arial" w:cs="Arial" w:eastAsia="Arial" w:hAnsi="Arial"/>
          <w:sz w:val="18"/>
          <w:szCs w:val="18"/>
          <w:color w:val="auto"/>
        </w:rPr>
        <w:t>. Except as otherwise expressly provided herein, capitalized terms used in this Agreement shall have the respective meanings assigned to such terms in Annex A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of each DFA, as applicable, and the rules of interpretation set forth in Annex B ( </w:t>
      </w:r>
      <w:r>
        <w:rPr>
          <w:rFonts w:ascii="Arial" w:cs="Arial" w:eastAsia="Arial" w:hAnsi="Arial"/>
          <w:sz w:val="18"/>
          <w:szCs w:val="18"/>
          <w:i w:val="1"/>
          <w:iCs w:val="1"/>
          <w:color w:val="auto"/>
        </w:rPr>
        <w:t>Rules of Interpretation</w:t>
      </w:r>
      <w:r>
        <w:rPr>
          <w:rFonts w:ascii="Arial" w:cs="Arial" w:eastAsia="Arial" w:hAnsi="Arial"/>
          <w:sz w:val="18"/>
          <w:szCs w:val="18"/>
          <w:color w:val="auto"/>
        </w:rPr>
        <w:t xml:space="preserve">) of each DFA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As used herein, the following terms shall have the following meanings: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given to that term in the preamble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has the meaning given to that term in Section 17.2(a) (</w:t>
      </w:r>
      <w:r>
        <w:rPr>
          <w:rFonts w:ascii="Arial" w:cs="Arial" w:eastAsia="Arial" w:hAnsi="Arial"/>
          <w:sz w:val="18"/>
          <w:szCs w:val="18"/>
          <w:b w:val="1"/>
          <w:bCs w:val="1"/>
          <w:color w:val="auto"/>
        </w:rPr>
        <w:t>Use of Websites</w:t>
      </w:r>
      <w:r>
        <w:rPr>
          <w:rFonts w:ascii="Arial" w:cs="Arial" w:eastAsia="Arial" w:hAnsi="Arial"/>
          <w:sz w:val="18"/>
          <w:szCs w:val="18"/>
          <w:color w:val="auto"/>
        </w:rPr>
        <w: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Department</w:t>
      </w:r>
      <w:r>
        <w:rPr>
          <w:rFonts w:ascii="Arial" w:cs="Arial" w:eastAsia="Arial" w:hAnsi="Arial"/>
          <w:sz w:val="18"/>
          <w:szCs w:val="18"/>
          <w:color w:val="auto"/>
        </w:rPr>
        <w:t>” has the meaning given to that term in the preamble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DFA</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means all Department Obligations of each Recipient.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DFA</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Project</w:t>
      </w:r>
      <w:r>
        <w:rPr>
          <w:rFonts w:ascii="Arial" w:cs="Arial" w:eastAsia="Arial" w:hAnsi="Arial"/>
          <w:sz w:val="18"/>
          <w:szCs w:val="18"/>
          <w:color w:val="auto"/>
        </w:rPr>
        <w:t>” has the meaning given to the term “Projects” under the ID DFA.</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 Recipient</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Systems</w:t>
      </w:r>
      <w:r>
        <w:rPr>
          <w:rFonts w:ascii="Arial" w:cs="Arial" w:eastAsia="Arial" w:hAnsi="Arial"/>
          <w:sz w:val="18"/>
          <w:szCs w:val="18"/>
          <w:color w:val="auto"/>
        </w:rPr>
        <w:t>” has the meaning given to that term in Section 10.15(a) (</w:t>
      </w:r>
      <w:r>
        <w:rPr>
          <w:rFonts w:ascii="Arial" w:cs="Arial" w:eastAsia="Arial" w:hAnsi="Arial"/>
          <w:sz w:val="18"/>
          <w:szCs w:val="18"/>
          <w:b w:val="1"/>
          <w:bCs w:val="1"/>
          <w:color w:val="auto"/>
        </w:rPr>
        <w:t>Information Technology; Cyber Security</w:t>
      </w:r>
      <w:r>
        <w:rPr>
          <w:rFonts w:ascii="Arial" w:cs="Arial" w:eastAsia="Arial" w:hAnsi="Arial"/>
          <w:sz w:val="18"/>
          <w:szCs w:val="18"/>
          <w:color w:val="auto"/>
        </w:rPr>
        <w: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Liability</w:t>
      </w:r>
      <w:r>
        <w:rPr>
          <w:rFonts w:ascii="Arial" w:cs="Arial" w:eastAsia="Arial" w:hAnsi="Arial"/>
          <w:sz w:val="18"/>
          <w:szCs w:val="18"/>
          <w:color w:val="auto"/>
        </w:rPr>
        <w:t>” has the meaning given to that term in Section 17.10(a) (</w:t>
      </w: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given to that term in Section 17.10(a) (</w:t>
      </w: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 DFA</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 Recipient</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DFAs</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Recipients</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Sponsor Guarantee</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has the meaning given to that term in the preamble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has the meaning given to that term in Section 17.2(a) (</w:t>
      </w:r>
      <w:r>
        <w:rPr>
          <w:rFonts w:ascii="Arial" w:cs="Arial" w:eastAsia="Arial" w:hAnsi="Arial"/>
          <w:sz w:val="18"/>
          <w:szCs w:val="18"/>
          <w:b w:val="1"/>
          <w:bCs w:val="1"/>
          <w:color w:val="auto"/>
        </w:rPr>
        <w:t>Use of Websites</w:t>
      </w:r>
      <w:r>
        <w:rPr>
          <w:rFonts w:ascii="Arial" w:cs="Arial" w:eastAsia="Arial" w:hAnsi="Arial"/>
          <w:sz w:val="18"/>
          <w:szCs w:val="18"/>
          <w:color w:val="auto"/>
        </w:rPr>
        <w:t>).</w:t>
      </w:r>
    </w:p>
    <w:p>
      <w:pPr>
        <w:spacing w:after="0" w:line="201" w:lineRule="exact"/>
        <w:rPr>
          <w:sz w:val="20"/>
          <w:szCs w:val="20"/>
          <w:color w:val="auto"/>
        </w:rPr>
      </w:pPr>
    </w:p>
    <w:p>
      <w:pPr>
        <w:ind w:right="620" w:firstLine="57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 Party</w:t>
      </w:r>
      <w:r>
        <w:rPr>
          <w:rFonts w:ascii="Arial" w:cs="Arial" w:eastAsia="Arial" w:hAnsi="Arial"/>
          <w:sz w:val="18"/>
          <w:szCs w:val="18"/>
          <w:color w:val="auto"/>
        </w:rPr>
        <w:t>” means each of (a) the NY Recipient; (b) the ID Recipient; (c) the VA Recipient; and (d) the Sponsor Guarantor.</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Recipients</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Guarantor</w:t>
      </w:r>
      <w:r>
        <w:rPr>
          <w:rFonts w:ascii="Arial" w:cs="Arial" w:eastAsia="Arial" w:hAnsi="Arial"/>
          <w:sz w:val="18"/>
          <w:szCs w:val="18"/>
          <w:color w:val="auto"/>
        </w:rPr>
        <w:t>” has the meaning given to that term in the preamble hereto.</w:t>
      </w:r>
    </w:p>
    <w:p>
      <w:pPr>
        <w:spacing w:after="0" w:line="200" w:lineRule="exact"/>
        <w:rPr>
          <w:sz w:val="20"/>
          <w:szCs w:val="20"/>
          <w:color w:val="auto"/>
        </w:rPr>
      </w:pPr>
    </w:p>
    <w:p>
      <w:pPr>
        <w:spacing w:after="0" w:line="37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40" w:orient="portrait"/>
          <w:cols w:equalWidth="0" w:num="1">
            <w:col w:w="10560"/>
          </w:cols>
          <w:pgMar w:left="660" w:top="1440" w:right="680" w:bottom="1440" w:gutter="0" w:footer="0" w:header="0"/>
        </w:sectPr>
      </w:pPr>
    </w:p>
    <w:bookmarkStart w:id="156" w:name="page157"/>
    <w:bookmarkEnd w:id="156"/>
    <w:p>
      <w:pPr>
        <w:spacing w:after="0" w:line="29" w:lineRule="exact"/>
        <w:rPr>
          <w:sz w:val="20"/>
          <w:szCs w:val="20"/>
          <w:color w:val="auto"/>
        </w:rPr>
      </w:pPr>
    </w:p>
    <w:p>
      <w:pPr>
        <w:ind w:right="520" w:firstLine="576"/>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has the meaning given to that term in Section 13.4 (</w:t>
      </w:r>
      <w:r>
        <w:rPr>
          <w:rFonts w:ascii="Arial" w:cs="Arial" w:eastAsia="Arial" w:hAnsi="Arial"/>
          <w:sz w:val="18"/>
          <w:szCs w:val="18"/>
          <w:b w:val="1"/>
          <w:bCs w:val="1"/>
          <w:color w:val="auto"/>
        </w:rPr>
        <w:t>Merger; Disposition; Sharing of Assets;</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 DFA</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 Project</w:t>
      </w:r>
      <w:r>
        <w:rPr>
          <w:rFonts w:ascii="Arial" w:cs="Arial" w:eastAsia="Arial" w:hAnsi="Arial"/>
          <w:sz w:val="18"/>
          <w:szCs w:val="18"/>
          <w:color w:val="auto"/>
        </w:rPr>
        <w:t>” has the meaning given to the term “Project” under the VA DFA.</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 Recipient</w:t>
      </w:r>
      <w:r>
        <w:rPr>
          <w:rFonts w:ascii="Arial" w:cs="Arial" w:eastAsia="Arial" w:hAnsi="Arial"/>
          <w:sz w:val="18"/>
          <w:szCs w:val="18"/>
          <w:color w:val="auto"/>
        </w:rPr>
        <w:t>” has the meaning given to that term in the recitals hereto.</w:t>
      </w:r>
    </w:p>
    <w:p>
      <w:pPr>
        <w:spacing w:after="0" w:line="201" w:lineRule="exact"/>
        <w:rPr>
          <w:sz w:val="20"/>
          <w:szCs w:val="20"/>
          <w:color w:val="auto"/>
        </w:rPr>
      </w:pPr>
    </w:p>
    <w:p>
      <w:pPr>
        <w:ind w:right="80" w:firstLine="576"/>
        <w:spacing w:after="0" w:line="28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color w:val="auto"/>
        </w:rPr>
        <w:t>Department Rights</w:t>
      </w:r>
      <w:r>
        <w:rPr>
          <w:rFonts w:ascii="Arial" w:cs="Arial" w:eastAsia="Arial" w:hAnsi="Arial"/>
          <w:sz w:val="18"/>
          <w:szCs w:val="18"/>
          <w:color w:val="auto"/>
        </w:rPr>
        <w:t xml:space="preserve"> . The Parties to this Agreement agree that each determination by the Department of any amount or fees payable hereunder shall be conclusive and binding for all purposes, absent manifest error.</w:t>
      </w:r>
    </w:p>
    <w:p>
      <w:pPr>
        <w:spacing w:after="0" w:line="1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w:t>
      </w:r>
    </w:p>
    <w:p>
      <w:pPr>
        <w:spacing w:after="0" w:line="201" w:lineRule="exact"/>
        <w:rPr>
          <w:sz w:val="20"/>
          <w:szCs w:val="20"/>
          <w:color w:val="auto"/>
        </w:rPr>
      </w:pPr>
    </w:p>
    <w:p>
      <w:pPr>
        <w:ind w:firstLine="1735"/>
        <w:spacing w:after="0" w:line="259" w:lineRule="auto"/>
        <w:tabs>
          <w:tab w:leader="none" w:pos="232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Sponsor Guarantor irrevocably, absolutely and unconditionally guarantees to the Department, as a primary obligor and not merely as a surety, the due and punctual payment of the Guaranteed Obligations. The Sponsor Guarantor further agrees that the Guaranteed Obligations may be extended or renewed, in whole or in part, without notice to or further assent from it, and that the Sponsor Guarantor will remain bound upon its guarantee notwithstanding any extension or renewal of any Guaranteed Obligation.</w:t>
      </w:r>
    </w:p>
    <w:p>
      <w:pPr>
        <w:spacing w:after="0" w:line="155" w:lineRule="exact"/>
        <w:rPr>
          <w:rFonts w:ascii="Arial" w:cs="Arial" w:eastAsia="Arial" w:hAnsi="Arial"/>
          <w:sz w:val="18"/>
          <w:szCs w:val="18"/>
          <w:color w:val="auto"/>
        </w:rPr>
      </w:pPr>
    </w:p>
    <w:p>
      <w:pPr>
        <w:ind w:right="20" w:firstLine="1735"/>
        <w:spacing w:after="0" w:line="259" w:lineRule="auto"/>
        <w:tabs>
          <w:tab w:leader="none" w:pos="23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Financing Document, the maximum liability of the Sponsor Guarantor under this Agreement shall not exceed an amount equal to the largest amount that would not render the Sponsor Guarantor’s obligations hereunder subject to avoidance under Section 548 of the Bankruptcy Code of the United States or any equivalent provision of any other bankruptcy, insolvency, reorganization, receivership, moratorium or other Applicable Laws affecting creditors’ rights generally.</w:t>
      </w:r>
    </w:p>
    <w:p>
      <w:pPr>
        <w:spacing w:after="0" w:line="15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GUARANTEED OBLIGATIONS NOT WAIVED</w:t>
      </w:r>
    </w:p>
    <w:p>
      <w:pPr>
        <w:spacing w:after="0" w:line="201" w:lineRule="exact"/>
        <w:rPr>
          <w:sz w:val="20"/>
          <w:szCs w:val="20"/>
          <w:color w:val="auto"/>
        </w:rPr>
      </w:pPr>
    </w:p>
    <w:p>
      <w:pPr>
        <w:ind w:right="720" w:firstLine="576"/>
        <w:spacing w:after="0" w:line="287" w:lineRule="auto"/>
        <w:rPr>
          <w:sz w:val="20"/>
          <w:szCs w:val="20"/>
          <w:color w:val="auto"/>
        </w:rPr>
      </w:pPr>
      <w:r>
        <w:rPr>
          <w:rFonts w:ascii="Arial" w:cs="Arial" w:eastAsia="Arial" w:hAnsi="Arial"/>
          <w:sz w:val="18"/>
          <w:szCs w:val="18"/>
          <w:color w:val="auto"/>
        </w:rPr>
        <w:t>The Sponsor Guarantor waives presentment to, demand of, payment from and protest to any Recipient of any of the Guaranteed Obligations, and also waives notice of acceptance of its guarantee and notice of protest for nonpayment.</w:t>
      </w:r>
    </w:p>
    <w:p>
      <w:pPr>
        <w:spacing w:after="0" w:line="12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 OF PAYMENT</w:t>
      </w:r>
    </w:p>
    <w:p>
      <w:pPr>
        <w:spacing w:after="0" w:line="201" w:lineRule="exact"/>
        <w:rPr>
          <w:sz w:val="20"/>
          <w:szCs w:val="20"/>
          <w:color w:val="auto"/>
        </w:rPr>
      </w:pPr>
    </w:p>
    <w:p>
      <w:pPr>
        <w:ind w:right="40" w:firstLine="576"/>
        <w:spacing w:after="0" w:line="257" w:lineRule="auto"/>
        <w:rPr>
          <w:sz w:val="20"/>
          <w:szCs w:val="20"/>
          <w:color w:val="auto"/>
        </w:rPr>
      </w:pPr>
      <w:r>
        <w:rPr>
          <w:rFonts w:ascii="Arial" w:cs="Arial" w:eastAsia="Arial" w:hAnsi="Arial"/>
          <w:sz w:val="18"/>
          <w:szCs w:val="18"/>
          <w:color w:val="auto"/>
        </w:rPr>
        <w:t>The Sponsor Guarantor further agrees that its guarantee hereunder constitutes a guarantee of payment when due (whether at the stated maturity, by acceleration or otherwise) and not a guarantee of collection, and waives any right to require that any resort be had by the Department to any collateral security held for the payment of the Guaranteed Obligations or to any balance of any deposit account or credit on the books of the Department in favor of any Recipient or any other Person. Each failure by the Sponsor Guarantor to make a payment as required during the effectiveness of this Guarantee will give rise to a separate cause of action hereunder and separate suits may be brought hereunder as each cause of action arises.</w:t>
      </w:r>
    </w:p>
    <w:p>
      <w:pPr>
        <w:spacing w:after="0" w:line="200" w:lineRule="exact"/>
        <w:rPr>
          <w:sz w:val="20"/>
          <w:szCs w:val="20"/>
          <w:color w:val="auto"/>
        </w:rPr>
      </w:pPr>
    </w:p>
    <w:p>
      <w:pPr>
        <w:spacing w:after="0" w:line="33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40" w:orient="portrait"/>
          <w:cols w:equalWidth="0" w:num="1">
            <w:col w:w="10520"/>
          </w:cols>
          <w:pgMar w:left="660" w:top="1440" w:right="720" w:bottom="1440" w:gutter="0" w:footer="0" w:header="0"/>
        </w:sectPr>
      </w:pPr>
    </w:p>
    <w:bookmarkStart w:id="157" w:name="page158"/>
    <w:bookmarkEnd w:id="157"/>
    <w:p>
      <w:pPr>
        <w:spacing w:after="0" w:line="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DISCHARGE OR DIMINISHMENT OF GUARANTEE</w:t>
      </w:r>
    </w:p>
    <w:p>
      <w:pPr>
        <w:spacing w:after="0" w:line="201" w:lineRule="exact"/>
        <w:rPr>
          <w:sz w:val="20"/>
          <w:szCs w:val="20"/>
          <w:color w:val="auto"/>
        </w:rPr>
      </w:pPr>
    </w:p>
    <w:p>
      <w:pPr>
        <w:ind w:right="100" w:firstLine="1735"/>
        <w:spacing w:after="0" w:line="255" w:lineRule="auto"/>
        <w:tabs>
          <w:tab w:leader="none" w:pos="232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for termination of the obligations of the Sponsor Guarantor hereunder as expressly provided for in Article 16 (</w:t>
      </w:r>
      <w:r>
        <w:rPr>
          <w:rFonts w:ascii="Arial" w:cs="Arial" w:eastAsia="Arial" w:hAnsi="Arial"/>
          <w:sz w:val="18"/>
          <w:szCs w:val="18"/>
          <w:b w:val="1"/>
          <w:bCs w:val="1"/>
          <w:color w:val="auto"/>
        </w:rPr>
        <w:t>Termination</w:t>
      </w:r>
      <w:r>
        <w:rPr>
          <w:rFonts w:ascii="Arial" w:cs="Arial" w:eastAsia="Arial" w:hAnsi="Arial"/>
          <w:sz w:val="18"/>
          <w:szCs w:val="18"/>
          <w:color w:val="auto"/>
        </w:rPr>
        <w:t>), the obligations of the Sponsor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or otherwise (other than defense of payment). Without limiting the generality of the foregoing, the obligations of the Sponsor Guarantor hereunder, to the fullest extent permitted by Applicable Law, shall not be discharged or impaired or otherwise affected by, and the Sponsor Guarantor hereby waives any defense to the enforcement hereof by reason of:</w:t>
      </w:r>
    </w:p>
    <w:p>
      <w:pPr>
        <w:spacing w:after="0" w:line="161" w:lineRule="exact"/>
        <w:rPr>
          <w:rFonts w:ascii="Arial" w:cs="Arial" w:eastAsia="Arial" w:hAnsi="Arial"/>
          <w:sz w:val="18"/>
          <w:szCs w:val="18"/>
          <w:color w:val="auto"/>
        </w:rPr>
      </w:pPr>
    </w:p>
    <w:p>
      <w:pPr>
        <w:ind w:right="20" w:firstLine="2311"/>
        <w:spacing w:after="0" w:line="287" w:lineRule="auto"/>
        <w:tabs>
          <w:tab w:leader="none" w:pos="288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failure of the Department to assert any claim or demand or to exercise or enforce any right or remedy under the provisions of any Financing Document or otherwise;</w:t>
      </w:r>
    </w:p>
    <w:p>
      <w:pPr>
        <w:spacing w:after="0" w:line="129" w:lineRule="exact"/>
        <w:rPr>
          <w:rFonts w:ascii="Arial" w:cs="Arial" w:eastAsia="Arial" w:hAnsi="Arial"/>
          <w:sz w:val="18"/>
          <w:szCs w:val="18"/>
          <w:color w:val="auto"/>
        </w:rPr>
      </w:pPr>
    </w:p>
    <w:p>
      <w:pPr>
        <w:ind w:right="260" w:firstLine="2311"/>
        <w:spacing w:after="0" w:line="287" w:lineRule="auto"/>
        <w:tabs>
          <w:tab w:leader="none" w:pos="28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rescission, waiver, amendment or modification of, or any release from any of the terms or provisions of, any Financing Document or any other agreement, including with respect to any Recipient under any DFA;</w:t>
      </w:r>
    </w:p>
    <w:p>
      <w:pPr>
        <w:spacing w:after="0" w:line="129" w:lineRule="exact"/>
        <w:rPr>
          <w:rFonts w:ascii="Arial" w:cs="Arial" w:eastAsia="Arial" w:hAnsi="Arial"/>
          <w:sz w:val="18"/>
          <w:szCs w:val="18"/>
          <w:color w:val="auto"/>
        </w:rPr>
      </w:pPr>
    </w:p>
    <w:p>
      <w:pPr>
        <w:ind w:right="620" w:firstLine="2311"/>
        <w:spacing w:after="0" w:line="287" w:lineRule="auto"/>
        <w:tabs>
          <w:tab w:leader="none" w:pos="28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failure to perfect any security interest in, or the exchange, substitution, release or any impairment of, any security held by the Department for the Guaranteed Obligations;</w:t>
      </w:r>
    </w:p>
    <w:p>
      <w:pPr>
        <w:spacing w:after="0" w:line="129" w:lineRule="exact"/>
        <w:rPr>
          <w:rFonts w:ascii="Arial" w:cs="Arial" w:eastAsia="Arial" w:hAnsi="Arial"/>
          <w:sz w:val="18"/>
          <w:szCs w:val="18"/>
          <w:color w:val="auto"/>
        </w:rPr>
      </w:pPr>
    </w:p>
    <w:p>
      <w:pPr>
        <w:ind w:left="2920" w:hanging="609"/>
        <w:spacing w:after="0"/>
        <w:tabs>
          <w:tab w:leader="none" w:pos="2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default, failure or delay, willful or otherwise, in the performance of the Guaranteed</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Obligations;</w:t>
      </w:r>
    </w:p>
    <w:p>
      <w:pPr>
        <w:spacing w:after="0" w:line="183" w:lineRule="exact"/>
        <w:rPr>
          <w:rFonts w:ascii="Arial" w:cs="Arial" w:eastAsia="Arial" w:hAnsi="Arial"/>
          <w:sz w:val="18"/>
          <w:szCs w:val="18"/>
          <w:color w:val="auto"/>
        </w:rPr>
      </w:pPr>
    </w:p>
    <w:p>
      <w:pPr>
        <w:ind w:right="240" w:firstLine="2311"/>
        <w:spacing w:after="0" w:line="269" w:lineRule="auto"/>
        <w:tabs>
          <w:tab w:leader="none" w:pos="28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other act or omission that may or might in any manner or to any extent vary the risk of the Sponsor Guarantor or otherwise operate as a discharge of the Sponsor Guarantor as a matter of law or equity (other than the payment in full in cash or immediately available funds of all the Guaranteed Obligations);</w:t>
      </w:r>
    </w:p>
    <w:p>
      <w:pPr>
        <w:spacing w:after="0" w:line="144" w:lineRule="exact"/>
        <w:rPr>
          <w:rFonts w:ascii="Arial" w:cs="Arial" w:eastAsia="Arial" w:hAnsi="Arial"/>
          <w:sz w:val="18"/>
          <w:szCs w:val="18"/>
          <w:color w:val="auto"/>
        </w:rPr>
      </w:pPr>
    </w:p>
    <w:p>
      <w:pPr>
        <w:ind w:left="2920" w:hanging="609"/>
        <w:spacing w:after="0"/>
        <w:tabs>
          <w:tab w:leader="none" w:pos="2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illegality, lack of validity or enforceability of any Guaranteed Obligations;</w:t>
      </w:r>
    </w:p>
    <w:p>
      <w:pPr>
        <w:spacing w:after="0" w:line="201" w:lineRule="exact"/>
        <w:rPr>
          <w:rFonts w:ascii="Arial" w:cs="Arial" w:eastAsia="Arial" w:hAnsi="Arial"/>
          <w:sz w:val="18"/>
          <w:szCs w:val="18"/>
          <w:color w:val="auto"/>
        </w:rPr>
      </w:pPr>
    </w:p>
    <w:p>
      <w:pPr>
        <w:ind w:right="380" w:firstLine="2311"/>
        <w:spacing w:after="0" w:line="269" w:lineRule="auto"/>
        <w:tabs>
          <w:tab w:leader="none" w:pos="28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any Recipient, or any insolvency, bankruptcy, reorganization or other similar proceeding affecting any Recipient or any assets of such Recipient or any resulting release or discharge of any Guaranteed Obligations;</w:t>
      </w:r>
    </w:p>
    <w:p>
      <w:pPr>
        <w:spacing w:after="0" w:line="144" w:lineRule="exact"/>
        <w:rPr>
          <w:rFonts w:ascii="Arial" w:cs="Arial" w:eastAsia="Arial" w:hAnsi="Arial"/>
          <w:sz w:val="18"/>
          <w:szCs w:val="18"/>
          <w:color w:val="auto"/>
        </w:rPr>
      </w:pPr>
    </w:p>
    <w:p>
      <w:pPr>
        <w:ind w:right="260" w:firstLine="2311"/>
        <w:spacing w:after="0" w:line="318" w:lineRule="auto"/>
        <w:tabs>
          <w:tab w:leader="none" w:pos="289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existence of any claim, set-off or other rights that the Sponsor Guarantor may have at any time against any Recipient, the Department, or any other Person, whether in connection herewith or any unrelated transactions;</w:t>
      </w:r>
    </w:p>
    <w:p>
      <w:pPr>
        <w:spacing w:after="0" w:line="106" w:lineRule="exact"/>
        <w:rPr>
          <w:rFonts w:ascii="Arial" w:cs="Arial" w:eastAsia="Arial" w:hAnsi="Arial"/>
          <w:sz w:val="17"/>
          <w:szCs w:val="17"/>
          <w:color w:val="auto"/>
        </w:rPr>
      </w:pPr>
    </w:p>
    <w:p>
      <w:pPr>
        <w:ind w:left="2920" w:hanging="609"/>
        <w:spacing w:after="0"/>
        <w:tabs>
          <w:tab w:leader="none" w:pos="2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action permitted or authorized hereunder; or</w:t>
      </w:r>
    </w:p>
    <w:p>
      <w:pPr>
        <w:spacing w:after="0" w:line="201" w:lineRule="exact"/>
        <w:rPr>
          <w:rFonts w:ascii="Arial" w:cs="Arial" w:eastAsia="Arial" w:hAnsi="Arial"/>
          <w:sz w:val="18"/>
          <w:szCs w:val="18"/>
          <w:color w:val="auto"/>
        </w:rPr>
      </w:pPr>
    </w:p>
    <w:p>
      <w:pPr>
        <w:ind w:firstLine="2311"/>
        <w:spacing w:after="0" w:line="269" w:lineRule="auto"/>
        <w:tabs>
          <w:tab w:leader="none" w:pos="28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other circumstance (including any statute of limitations) or any existence of or reliance on any representation by the Department that might otherwise constitute a defense to, or a legal or equitable discharge of, any Recipient Party or surety.</w:t>
      </w:r>
    </w:p>
    <w:p>
      <w:pPr>
        <w:spacing w:after="0" w:line="144" w:lineRule="exact"/>
        <w:rPr>
          <w:rFonts w:ascii="Arial" w:cs="Arial" w:eastAsia="Arial" w:hAnsi="Arial"/>
          <w:sz w:val="18"/>
          <w:szCs w:val="18"/>
          <w:color w:val="auto"/>
        </w:rPr>
      </w:pPr>
    </w:p>
    <w:p>
      <w:pPr>
        <w:ind w:right="100" w:firstLine="1735"/>
        <w:spacing w:after="0" w:line="287" w:lineRule="auto"/>
        <w:tabs>
          <w:tab w:leader="none" w:pos="231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Sponsor Guarantor expressly authorizes the Department to take and hold security for the payment and performance of the Guaranteed Obligations, to exchange, waive or release any or</w:t>
      </w: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40" w:orient="portrait"/>
          <w:cols w:equalWidth="0" w:num="1">
            <w:col w:w="10580"/>
          </w:cols>
          <w:pgMar w:left="660" w:top="1440" w:right="660" w:bottom="1440" w:gutter="0" w:footer="0" w:header="0"/>
        </w:sectPr>
      </w:pPr>
    </w:p>
    <w:bookmarkStart w:id="158" w:name="page159"/>
    <w:bookmarkEnd w:id="158"/>
    <w:p>
      <w:pPr>
        <w:spacing w:after="0" w:line="2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all such security (with or without consideration), to enforce or apply such security and direct the order and manner of any sale thereof in their sole discretion or to release or substitute any one or more other guarantors or obligors upon or in respect of the Guaranteed Obligations, all without affecting the obligations of the Sponsor Guarantor hereunder.</w:t>
      </w:r>
    </w:p>
    <w:p>
      <w:pPr>
        <w:spacing w:after="0" w:line="1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DEFENSES WAIVED</w:t>
      </w:r>
    </w:p>
    <w:p>
      <w:pPr>
        <w:spacing w:after="0" w:line="201" w:lineRule="exact"/>
        <w:rPr>
          <w:sz w:val="20"/>
          <w:szCs w:val="20"/>
          <w:color w:val="auto"/>
        </w:rPr>
      </w:pPr>
    </w:p>
    <w:p>
      <w:pPr>
        <w:ind w:right="160" w:firstLine="576"/>
        <w:spacing w:after="0" w:line="254" w:lineRule="auto"/>
        <w:rPr>
          <w:sz w:val="20"/>
          <w:szCs w:val="20"/>
          <w:color w:val="auto"/>
        </w:rPr>
      </w:pPr>
      <w:r>
        <w:rPr>
          <w:rFonts w:ascii="Arial" w:cs="Arial" w:eastAsia="Arial" w:hAnsi="Arial"/>
          <w:sz w:val="18"/>
          <w:szCs w:val="18"/>
          <w:color w:val="auto"/>
        </w:rPr>
        <w:t>To the fullest extent permitted by Applicable Law, the Sponsor Guarantor waives any defense based on or arising out of any defense of any Recipient or the unenforceability of the Guaranteed Obligations or any part thereof from any cause, or the cessation from any cause of the liability of any Recipient, other than the payment in full in cash or immediately available funds of all the Guaranteed Obligations (other than contingent indemnity or expense reimbursement obligations as to which no claim has been made). The Department may, at its election: (a) foreclose on any security held by it by one or more judicial or nonjudicial sales; (b) accept an assignment of any such security in lieu of foreclosure; (c) compromise or adjust any part of the Guaranteed Obligations;</w:t>
      </w:r>
    </w:p>
    <w:p>
      <w:pPr>
        <w:ind w:firstLine="6"/>
        <w:spacing w:after="0" w:line="253" w:lineRule="auto"/>
        <w:tabs>
          <w:tab w:leader="none" w:pos="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other accommodation with any Recipient; or (e) exercise any other right or remedy available to them against any Recipient, without affecting or impairing in any way the liability of the Sponsor Guarantor hereunder, except to the extent that the Guaranteed Obligations (other than contingent indemnity or expense reimbursement obligations as to which no claim has been made) have been paid in full in cash or in immediately available funds. To the fullest extent permitted by Applicable Law, the Sponsor Guarantor waives any defense arising out of any such election even though such election operates, pursuant to Applicable Law, to impair or to extinguish any right of reimbursement or subrogation or other right or remedy of the Sponsor Guarantor against any Recipient, as the case may be, or any security.</w:t>
      </w:r>
    </w:p>
    <w:p>
      <w:pPr>
        <w:spacing w:after="0" w:line="15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PAY; CONTRIBUTION; SUBROGATION</w:t>
      </w:r>
    </w:p>
    <w:p>
      <w:pPr>
        <w:spacing w:after="0" w:line="201" w:lineRule="exact"/>
        <w:rPr>
          <w:sz w:val="20"/>
          <w:szCs w:val="20"/>
          <w:color w:val="auto"/>
        </w:rPr>
      </w:pPr>
    </w:p>
    <w:p>
      <w:pPr>
        <w:ind w:right="60" w:firstLine="1735"/>
        <w:spacing w:after="0" w:line="257" w:lineRule="auto"/>
        <w:tabs>
          <w:tab w:leader="none" w:pos="23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furtherance of the foregoing provisions of this Agreement and not in limitation of any other right that the Department has at law or in equity against the Sponsor Guarantor by virtue hereof, upon the failure of any Recipient Party to pay any Guaranteed Obligation when and as the same shall become due, whether at maturity, by acceleration, after notice of prepayment or otherwise, the Sponsor Guarantor hereby promises to and will forthwith pay in cash, or cause to be paid in cash, to the Department such unpaid Guaranteed Obligations upon demand. The Sponsor Guarantor hereby agrees to make any such payment of unpaid Guaranteed Obligations in Dollars.</w:t>
      </w:r>
    </w:p>
    <w:p>
      <w:pPr>
        <w:spacing w:after="0" w:line="158" w:lineRule="exact"/>
        <w:rPr>
          <w:rFonts w:ascii="Arial" w:cs="Arial" w:eastAsia="Arial" w:hAnsi="Arial"/>
          <w:sz w:val="18"/>
          <w:szCs w:val="18"/>
          <w:color w:val="auto"/>
        </w:rPr>
      </w:pPr>
    </w:p>
    <w:p>
      <w:pPr>
        <w:ind w:right="120" w:firstLine="1735"/>
        <w:spacing w:after="0" w:line="255" w:lineRule="auto"/>
        <w:tabs>
          <w:tab w:leader="none" w:pos="23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payment by the Sponsor Guarantor of any sums to the Department, all rights of the Sponsor Guarantor against any Recipient arising as a result thereof by way of right of subrogation, contribution, reimbursement, indemnity or otherwise shall in all respects be subordinate and junior in right of payment to the prior indefeasible payment in full in cash of all the Department Obligations. In addition, any indebtedness of any Recipient now or hereafter held by the Sponsor Guarantor is hereby subordinated in right of payment to the prior payment in full of the Department Obligations during the existence of an Event of Default. If any amount shall erroneously be paid to the Sponsor Guarantor on account of (i) such subrogation, contribution, reimbursement, indemnity or similar right or (ii) any such indebtedness of any Recipient, such amount shall be held in trust for the benefit of the Department and shall forthwith be paid to the Department to be credited against the payment of the Department Obligations, whether matured or unmatured, in accordance with the terms of this Agreement and the other Financing Documents.</w:t>
      </w:r>
    </w:p>
    <w:p>
      <w:pPr>
        <w:spacing w:after="0" w:line="157" w:lineRule="exact"/>
        <w:rPr>
          <w:rFonts w:ascii="Arial" w:cs="Arial" w:eastAsia="Arial" w:hAnsi="Arial"/>
          <w:sz w:val="18"/>
          <w:szCs w:val="18"/>
          <w:color w:val="auto"/>
        </w:rPr>
      </w:pPr>
    </w:p>
    <w:p>
      <w:pPr>
        <w:ind w:right="140" w:firstLine="1735"/>
        <w:spacing w:after="0" w:line="287" w:lineRule="auto"/>
        <w:tabs>
          <w:tab w:leader="none" w:pos="23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Sponsor Guarantor at any time pays to the Department an amount less than the full amount then due and payable to the Department under this Agreement, without waiving any</w:t>
      </w:r>
    </w:p>
    <w:p>
      <w:pPr>
        <w:spacing w:after="0" w:line="200" w:lineRule="exact"/>
        <w:rPr>
          <w:sz w:val="20"/>
          <w:szCs w:val="20"/>
          <w:color w:val="auto"/>
        </w:rPr>
      </w:pPr>
    </w:p>
    <w:p>
      <w:pPr>
        <w:spacing w:after="0" w:line="3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ectPr>
          <w:pgSz w:w="11900" w:h="16840" w:orient="portrait"/>
          <w:cols w:equalWidth="0" w:num="1">
            <w:col w:w="10580"/>
          </w:cols>
          <w:pgMar w:left="660" w:top="1440" w:right="660" w:bottom="1440" w:gutter="0" w:footer="0" w:header="0"/>
        </w:sectPr>
      </w:pPr>
    </w:p>
    <w:bookmarkStart w:id="159" w:name="page160"/>
    <w:bookmarkEnd w:id="159"/>
    <w:p>
      <w:pPr>
        <w:spacing w:after="0" w:line="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other rights in connection therewith, the Department may allocate and apply such payment in any way or manner and for such purpose or purposes as the Department in its sole discretion determines, notwithstanding any instruction that the Sponsor Guarantor, the Recipient or any other Person may give to the contrary.</w:t>
      </w:r>
    </w:p>
    <w:p>
      <w:pPr>
        <w:spacing w:after="0" w:line="1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w:t>
      </w:r>
    </w:p>
    <w:p>
      <w:pPr>
        <w:spacing w:after="0" w:line="201" w:lineRule="exact"/>
        <w:rPr>
          <w:sz w:val="20"/>
          <w:szCs w:val="20"/>
          <w:color w:val="auto"/>
        </w:rPr>
      </w:pPr>
    </w:p>
    <w:p>
      <w:pPr>
        <w:ind w:right="40" w:firstLine="576"/>
        <w:spacing w:after="0" w:line="262" w:lineRule="auto"/>
        <w:rPr>
          <w:sz w:val="20"/>
          <w:szCs w:val="20"/>
          <w:color w:val="auto"/>
        </w:rPr>
      </w:pPr>
      <w:r>
        <w:rPr>
          <w:rFonts w:ascii="Arial" w:cs="Arial" w:eastAsia="Arial" w:hAnsi="Arial"/>
          <w:sz w:val="18"/>
          <w:szCs w:val="18"/>
          <w:color w:val="auto"/>
        </w:rPr>
        <w:t>The Sponsor Guarantor assumes all responsibility for being and keeping itself informed of the financial condition and assets of each Recipient, and of all other circumstances bearing upon the risk of nonpayment of the Department Obligations and the nature, scope and extent of the risks that the Sponsor Guarantor assumes and incurs hereunder, and agrees that the Department will have no duty to advise the Sponsor Guarantor of information known to it or any of them regarding such circumstances or risks.</w:t>
      </w:r>
    </w:p>
    <w:p>
      <w:pPr>
        <w:spacing w:after="0" w:line="15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CONTRIBUTION</w:t>
      </w:r>
    </w:p>
    <w:p>
      <w:pPr>
        <w:spacing w:after="0" w:line="201" w:lineRule="exact"/>
        <w:rPr>
          <w:sz w:val="20"/>
          <w:szCs w:val="20"/>
          <w:color w:val="auto"/>
        </w:rPr>
      </w:pPr>
    </w:p>
    <w:p>
      <w:pPr>
        <w:ind w:firstLine="576"/>
        <w:spacing w:after="0" w:line="25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b w:val="1"/>
          <w:bCs w:val="1"/>
          <w:color w:val="auto"/>
        </w:rPr>
        <w:t>Equity Contributions</w:t>
      </w:r>
      <w:r>
        <w:rPr>
          <w:rFonts w:ascii="Arial" w:cs="Arial" w:eastAsia="Arial" w:hAnsi="Arial"/>
          <w:sz w:val="18"/>
          <w:szCs w:val="18"/>
          <w:color w:val="auto"/>
        </w:rPr>
        <w:t>. The Sponsor Guarantor covenants and agrees that, with respect to each Project, it shall make one or more Equity Contributions to the relevant Recipient (a) to ensure that the Total Funding Available for such Project will be sufficient to pay all remaining Project Costs for such Project and to achieve the Project Completion Date for such Project by no later than the final Milestone Completion Longstop Date for such Project; (b) as and when required to enable the relevant Recipient to fund Project Costs incurred by such Recipient in connection with such Project, as and when such Project Costs are due and payable, in each case, in accordance with the terms of the relevant DFA, the Construction and Tool Installation Budget, the Task Based Schedule, and the Sources and Uses Plan; (c) to ensure that each Recipient will be able to pay its debts as they become due and maintain sufficient capital as is reasonably necessary to satisfy such Recipient’s current and anticipated obligations; and (d) in order to satisfy each Recipient’s obligations pursuant to Section 12.10 (</w:t>
      </w:r>
      <w:r>
        <w:rPr>
          <w:rFonts w:ascii="Arial" w:cs="Arial" w:eastAsia="Arial" w:hAnsi="Arial"/>
          <w:sz w:val="18"/>
          <w:szCs w:val="18"/>
          <w:i w:val="1"/>
          <w:iCs w:val="1"/>
          <w:color w:val="auto"/>
        </w:rPr>
        <w:t>Diligent Execution of Project</w:t>
      </w:r>
      <w:r>
        <w:rPr>
          <w:rFonts w:ascii="Arial" w:cs="Arial" w:eastAsia="Arial" w:hAnsi="Arial"/>
          <w:sz w:val="18"/>
          <w:szCs w:val="18"/>
          <w:color w:val="auto"/>
        </w:rPr>
        <w:t>) of each of the Original DFAs and Section 7.2.7 (</w:t>
      </w:r>
      <w:r>
        <w:rPr>
          <w:rFonts w:ascii="Arial" w:cs="Arial" w:eastAsia="Arial" w:hAnsi="Arial"/>
          <w:sz w:val="18"/>
          <w:szCs w:val="18"/>
          <w:i w:val="1"/>
          <w:iCs w:val="1"/>
          <w:color w:val="auto"/>
        </w:rPr>
        <w:t>Diligent Execution of Project</w:t>
      </w:r>
      <w:r>
        <w:rPr>
          <w:rFonts w:ascii="Arial" w:cs="Arial" w:eastAsia="Arial" w:hAnsi="Arial"/>
          <w:sz w:val="18"/>
          <w:szCs w:val="18"/>
          <w:color w:val="auto"/>
        </w:rPr>
        <w:t>) of the VA DFA, as applicable.</w:t>
      </w:r>
    </w:p>
    <w:p>
      <w:pPr>
        <w:spacing w:after="0" w:line="162" w:lineRule="exact"/>
        <w:rPr>
          <w:sz w:val="20"/>
          <w:szCs w:val="20"/>
          <w:color w:val="auto"/>
        </w:rPr>
      </w:pPr>
    </w:p>
    <w:p>
      <w:pPr>
        <w:ind w:right="20" w:firstLine="576"/>
        <w:spacing w:after="0" w:line="26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b w:val="1"/>
          <w:bCs w:val="1"/>
          <w:color w:val="auto"/>
        </w:rPr>
        <w:t>Mechanics for Funding Equity Contributions</w:t>
      </w:r>
      <w:r>
        <w:rPr>
          <w:rFonts w:ascii="Arial" w:cs="Arial" w:eastAsia="Arial" w:hAnsi="Arial"/>
          <w:sz w:val="18"/>
          <w:szCs w:val="18"/>
          <w:color w:val="auto"/>
        </w:rPr>
        <w:t>. The Sponsor Guarantor shall be entitled to make or effect, or cause to be made or effected, any Equity Contribution required pursuant to Section 9.1 (</w:t>
      </w:r>
      <w:r>
        <w:rPr>
          <w:rFonts w:ascii="Arial" w:cs="Arial" w:eastAsia="Arial" w:hAnsi="Arial"/>
          <w:sz w:val="18"/>
          <w:szCs w:val="18"/>
          <w:b w:val="1"/>
          <w:bCs w:val="1"/>
          <w:color w:val="auto"/>
        </w:rPr>
        <w:t>Equity Contributions</w:t>
      </w:r>
      <w:r>
        <w:rPr>
          <w:rFonts w:ascii="Arial" w:cs="Arial" w:eastAsia="Arial" w:hAnsi="Arial"/>
          <w:sz w:val="18"/>
          <w:szCs w:val="18"/>
          <w:color w:val="auto"/>
        </w:rPr>
        <w:t>), through cash contributions or cash advances of Permitted Shareholder Loans to each Recipient.</w:t>
      </w:r>
    </w:p>
    <w:p>
      <w:pPr>
        <w:spacing w:after="0" w:line="144"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Sponsor Guarantor makes each of the following representations and warranties to and in favor of the Department as of</w:t>
      </w:r>
    </w:p>
    <w:p>
      <w:pPr>
        <w:spacing w:after="0" w:line="27" w:lineRule="exact"/>
        <w:rPr>
          <w:sz w:val="20"/>
          <w:szCs w:val="20"/>
          <w:color w:val="auto"/>
        </w:rPr>
      </w:pPr>
    </w:p>
    <w:p>
      <w:pPr>
        <w:ind w:right="40" w:firstLine="6"/>
        <w:spacing w:after="0" w:line="255" w:lineRule="auto"/>
        <w:tabs>
          <w:tab w:leader="none" w:pos="2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applicable Award Date under each DFA; (b) each Disbursement Date under each DFA; and (c) each Project Completion Date under each DFA, as applicable (in all cases, both immediately before and immediately after giving effect to the Disbursements, if any, being made on such date), except as such representations and warranties are expressly made as to an earlier date, in which case such representations and warranties will be true as of such earlier date:</w:t>
      </w:r>
    </w:p>
    <w:p>
      <w:pPr>
        <w:spacing w:after="0" w:line="15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b w:val="1"/>
          <w:bCs w:val="1"/>
          <w:color w:val="auto"/>
        </w:rPr>
        <w:t>Organization</w:t>
      </w:r>
      <w:r>
        <w:rPr>
          <w:rFonts w:ascii="Arial" w:cs="Arial" w:eastAsia="Arial" w:hAnsi="Arial"/>
          <w:sz w:val="17"/>
          <w:szCs w:val="17"/>
          <w:color w:val="auto"/>
        </w:rPr>
        <w:t>. The Sponsor Guarantor:</w:t>
      </w:r>
    </w:p>
    <w:p>
      <w:pPr>
        <w:spacing w:after="0" w:line="201" w:lineRule="exact"/>
        <w:rPr>
          <w:sz w:val="20"/>
          <w:szCs w:val="20"/>
          <w:color w:val="auto"/>
        </w:rPr>
      </w:pPr>
    </w:p>
    <w:p>
      <w:pPr>
        <w:ind w:left="2340" w:hanging="605"/>
        <w:spacing w:after="0"/>
        <w:tabs>
          <w:tab w:leader="none" w:pos="2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a corporation, duly organized, validly existing and in good standing under the laws of the State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pacing w:after="0" w:line="35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40" w:orient="portrait"/>
          <w:cols w:equalWidth="0" w:num="1">
            <w:col w:w="10580"/>
          </w:cols>
          <w:pgMar w:left="660" w:top="1440" w:right="660" w:bottom="1440" w:gutter="0" w:footer="0" w:header="0"/>
        </w:sectPr>
      </w:pPr>
    </w:p>
    <w:bookmarkStart w:id="160" w:name="page161"/>
    <w:bookmarkEnd w:id="160"/>
    <w:p>
      <w:pPr>
        <w:spacing w:after="0" w:line="29" w:lineRule="exact"/>
        <w:rPr>
          <w:sz w:val="20"/>
          <w:szCs w:val="20"/>
          <w:color w:val="auto"/>
        </w:rPr>
      </w:pPr>
    </w:p>
    <w:p>
      <w:pPr>
        <w:ind w:right="380" w:firstLine="1735"/>
        <w:spacing w:after="0" w:line="287" w:lineRule="auto"/>
        <w:tabs>
          <w:tab w:leader="none" w:pos="23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duly qualified to do business in the States of New York, Idaho, Virginia and Delaware and in each other jurisdiction where the failure to so qualify would reasonably be expected to have a Material Adverse Effect; and</w:t>
      </w:r>
    </w:p>
    <w:p>
      <w:pPr>
        <w:spacing w:after="0" w:line="129" w:lineRule="exact"/>
        <w:rPr>
          <w:rFonts w:ascii="Arial" w:cs="Arial" w:eastAsia="Arial" w:hAnsi="Arial"/>
          <w:sz w:val="18"/>
          <w:szCs w:val="18"/>
          <w:color w:val="auto"/>
        </w:rPr>
      </w:pPr>
    </w:p>
    <w:p>
      <w:pPr>
        <w:ind w:right="180" w:firstLine="1735"/>
        <w:spacing w:after="0" w:line="269" w:lineRule="auto"/>
        <w:tabs>
          <w:tab w:leader="none" w:pos="23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all requisite company power and authority to (i) carry on its business as now being conducted and as proposed to be conducted in respect of each Project; and (ii) execute, deliver, perform and observe the terms and conditions of this Agreement.</w:t>
      </w:r>
    </w:p>
    <w:p>
      <w:pPr>
        <w:spacing w:after="0" w:line="144" w:lineRule="exact"/>
        <w:rPr>
          <w:sz w:val="20"/>
          <w:szCs w:val="20"/>
          <w:color w:val="auto"/>
        </w:rPr>
      </w:pPr>
    </w:p>
    <w:p>
      <w:pPr>
        <w:ind w:right="500" w:firstLine="576"/>
        <w:spacing w:after="0" w:line="26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color w:val="auto"/>
        </w:rPr>
        <w:t>Authorization; No Conflict</w:t>
      </w:r>
      <w:r>
        <w:rPr>
          <w:rFonts w:ascii="Arial" w:cs="Arial" w:eastAsia="Arial" w:hAnsi="Arial"/>
          <w:sz w:val="18"/>
          <w:szCs w:val="18"/>
          <w:color w:val="auto"/>
        </w:rPr>
        <w:t>. The Sponsor Guarantor has duly authorized, executed and delivered this Agreement, and neither its execution and delivery thereof nor its consummation of the transactions contemplated hereby nor its compliance with the terms of this Agreement does or will:</w:t>
      </w:r>
    </w:p>
    <w:p>
      <w:pPr>
        <w:spacing w:after="0" w:line="144" w:lineRule="exact"/>
        <w:rPr>
          <w:sz w:val="20"/>
          <w:szCs w:val="20"/>
          <w:color w:val="auto"/>
        </w:rPr>
      </w:pPr>
    </w:p>
    <w:p>
      <w:pPr>
        <w:ind w:left="2340" w:hanging="605"/>
        <w:spacing w:after="0"/>
        <w:tabs>
          <w:tab w:leader="none" w:pos="2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contravene its Organizational Documents or any Applicable Laws in any material respect;</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contravene or result in any breach or constitute any default under any material Governmental Judgment;</w:t>
      </w:r>
    </w:p>
    <w:p>
      <w:pPr>
        <w:spacing w:after="0" w:line="212" w:lineRule="exact"/>
        <w:rPr>
          <w:rFonts w:ascii="Arial" w:cs="Arial" w:eastAsia="Arial" w:hAnsi="Arial"/>
          <w:sz w:val="17"/>
          <w:szCs w:val="17"/>
          <w:color w:val="auto"/>
        </w:rPr>
      </w:pPr>
    </w:p>
    <w:p>
      <w:pPr>
        <w:ind w:right="60" w:firstLine="1735"/>
        <w:spacing w:after="0" w:line="287" w:lineRule="auto"/>
        <w:tabs>
          <w:tab w:leader="none" w:pos="23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contravene or result in any breach or constitute any default under any material agreement or instrument to which it is a party or by which it or any of its material Properties related to any Project may be bound; or</w:t>
      </w:r>
    </w:p>
    <w:p>
      <w:pPr>
        <w:spacing w:after="0" w:line="129" w:lineRule="exact"/>
        <w:rPr>
          <w:rFonts w:ascii="Arial" w:cs="Arial" w:eastAsia="Arial" w:hAnsi="Arial"/>
          <w:sz w:val="18"/>
          <w:szCs w:val="18"/>
          <w:color w:val="auto"/>
        </w:rPr>
      </w:pPr>
    </w:p>
    <w:p>
      <w:pPr>
        <w:ind w:right="420" w:firstLine="1735"/>
        <w:spacing w:after="0" w:line="287" w:lineRule="auto"/>
        <w:tabs>
          <w:tab w:leader="none" w:pos="23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 any material consent or approval of any Person other than the Required Approvals and any other consents or approvals that have been obtained and are in full force and effect.</w:t>
      </w:r>
    </w:p>
    <w:p>
      <w:pPr>
        <w:spacing w:after="0" w:line="129" w:lineRule="exact"/>
        <w:rPr>
          <w:sz w:val="20"/>
          <w:szCs w:val="20"/>
          <w:color w:val="auto"/>
        </w:rPr>
      </w:pPr>
    </w:p>
    <w:p>
      <w:pPr>
        <w:ind w:right="1000" w:firstLine="576"/>
        <w:spacing w:after="0" w:line="28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b w:val="1"/>
          <w:bCs w:val="1"/>
          <w:color w:val="auto"/>
        </w:rPr>
        <w:t>Compliance with Laws</w:t>
      </w:r>
      <w:r>
        <w:rPr>
          <w:rFonts w:ascii="Arial" w:cs="Arial" w:eastAsia="Arial" w:hAnsi="Arial"/>
          <w:sz w:val="18"/>
          <w:szCs w:val="18"/>
          <w:color w:val="auto"/>
        </w:rPr>
        <w:t>. The Sponsor Guarantor has conducted and is conducting its business in compliance with:</w:t>
      </w:r>
    </w:p>
    <w:p>
      <w:pPr>
        <w:spacing w:after="0" w:line="129" w:lineRule="exact"/>
        <w:rPr>
          <w:sz w:val="20"/>
          <w:szCs w:val="20"/>
          <w:color w:val="auto"/>
        </w:rPr>
      </w:pPr>
    </w:p>
    <w:p>
      <w:pPr>
        <w:ind w:left="2340" w:hanging="605"/>
        <w:spacing w:after="0"/>
        <w:tabs>
          <w:tab w:leader="none" w:pos="2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CHIPS Act;</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Program Fraud Civil Remedies Act (31 U.S.C. § 3801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False Claims Amendments Act of 1986 (18 U.S.C. § 287);</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False Statements Accountability Act of 1996 (18 U.S.C. § 1001);</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Civil False Claims Act (31 U.S.C. §§ 3729 - 3733);</w:t>
      </w:r>
    </w:p>
    <w:p>
      <w:pPr>
        <w:spacing w:after="0" w:line="201" w:lineRule="exact"/>
        <w:rPr>
          <w:rFonts w:ascii="Arial" w:cs="Arial" w:eastAsia="Arial" w:hAnsi="Arial"/>
          <w:sz w:val="18"/>
          <w:szCs w:val="18"/>
          <w:color w:val="auto"/>
        </w:rPr>
      </w:pPr>
    </w:p>
    <w:p>
      <w:pPr>
        <w:ind w:right="460" w:firstLine="1735"/>
        <w:spacing w:after="0" w:line="287" w:lineRule="auto"/>
        <w:tabs>
          <w:tab w:leader="none" w:pos="23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Uniform Relocation Assistance and Real Property Acquisition Policies Act of 1970 (42 U.S.C. § 4601 </w:t>
      </w:r>
      <w:r>
        <w:rPr>
          <w:rFonts w:ascii="Arial" w:cs="Arial" w:eastAsia="Arial" w:hAnsi="Arial"/>
          <w:sz w:val="18"/>
          <w:szCs w:val="18"/>
          <w:i w:val="1"/>
          <w:iCs w:val="1"/>
          <w:color w:val="auto"/>
        </w:rPr>
        <w:t>et seq</w:t>
      </w:r>
      <w:r>
        <w:rPr>
          <w:rFonts w:ascii="Arial" w:cs="Arial" w:eastAsia="Arial" w:hAnsi="Arial"/>
          <w:sz w:val="18"/>
          <w:szCs w:val="18"/>
          <w:color w:val="auto"/>
        </w:rPr>
        <w:t>.) in all material respects;</w:t>
      </w:r>
    </w:p>
    <w:p>
      <w:pPr>
        <w:spacing w:after="0" w:line="129" w:lineRule="exact"/>
        <w:rPr>
          <w:rFonts w:ascii="Arial" w:cs="Arial" w:eastAsia="Arial" w:hAnsi="Arial"/>
          <w:sz w:val="18"/>
          <w:szCs w:val="18"/>
          <w:color w:val="auto"/>
        </w:rPr>
      </w:pPr>
    </w:p>
    <w:p>
      <w:pPr>
        <w:jc w:val="both"/>
        <w:ind w:right="180" w:firstLine="1735"/>
        <w:spacing w:after="0" w:line="269" w:lineRule="auto"/>
        <w:tabs>
          <w:tab w:leader="none" w:pos="23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all applicable federal labor and employment laws, including Title VII of the Civil Rights Act of 1964 (42 U.S.C. § 2000e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Fair Labor Standards Act (29 U.S.C. § 203), the Occupational Safety and Health Act (29 U.S.C. § 653) and the National Labor Relations Act (29 U.S.C. § 151 </w:t>
      </w:r>
      <w:r>
        <w:rPr>
          <w:rFonts w:ascii="Arial" w:cs="Arial" w:eastAsia="Arial" w:hAnsi="Arial"/>
          <w:sz w:val="18"/>
          <w:szCs w:val="18"/>
          <w:i w:val="1"/>
          <w:iCs w:val="1"/>
          <w:color w:val="auto"/>
        </w:rPr>
        <w:t>et seq</w:t>
      </w:r>
      <w:r>
        <w:rPr>
          <w:rFonts w:ascii="Arial" w:cs="Arial" w:eastAsia="Arial" w:hAnsi="Arial"/>
          <w:sz w:val="18"/>
          <w:szCs w:val="18"/>
          <w:color w:val="auto"/>
        </w:rPr>
        <w:t>.) in all material respects;</w:t>
      </w:r>
    </w:p>
    <w:p>
      <w:pPr>
        <w:spacing w:after="0" w:line="144" w:lineRule="exact"/>
        <w:rPr>
          <w:rFonts w:ascii="Arial" w:cs="Arial" w:eastAsia="Arial" w:hAnsi="Arial"/>
          <w:sz w:val="18"/>
          <w:szCs w:val="18"/>
          <w:color w:val="auto"/>
        </w:rPr>
      </w:pPr>
    </w:p>
    <w:p>
      <w:pPr>
        <w:ind w:right="100" w:firstLine="1735"/>
        <w:spacing w:after="0" w:line="262" w:lineRule="auto"/>
        <w:tabs>
          <w:tab w:leader="none" w:pos="231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applicable Export Control Laws in all respects, except for any actual or potential violations that involve only unintentional minor, technical infractions, which either (i) were voluntarily self-disclosed to BIS within sixty (60) days of a Recipient Party or Qualified Transferee becoming aware of the violation, and, within sixty (60) days of disclosure resulted in the issuance of a warning or no</w:t>
      </w: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40" w:orient="portrait"/>
          <w:cols w:equalWidth="0" w:num="1">
            <w:col w:w="10600"/>
          </w:cols>
          <w:pgMar w:left="660" w:top="1440" w:right="640" w:bottom="1440" w:gutter="0" w:footer="0" w:header="0"/>
        </w:sectPr>
      </w:pPr>
    </w:p>
    <w:bookmarkStart w:id="161" w:name="page162"/>
    <w:bookmarkEnd w:id="161"/>
    <w:p>
      <w:pPr>
        <w:spacing w:after="0" w:line="2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action letter by BIS; or (ii) otherwise could not reasonably be expected to give rise to an enforcement action, or the imposition of any fine or penalty by any Governmental Authority; and</w:t>
      </w:r>
    </w:p>
    <w:p>
      <w:pPr>
        <w:spacing w:after="0" w:line="129" w:lineRule="exact"/>
        <w:rPr>
          <w:sz w:val="20"/>
          <w:szCs w:val="20"/>
          <w:color w:val="auto"/>
        </w:rPr>
      </w:pPr>
    </w:p>
    <w:p>
      <w:pPr>
        <w:ind w:right="80" w:firstLine="1735"/>
        <w:spacing w:after="0" w:line="262" w:lineRule="auto"/>
        <w:tabs>
          <w:tab w:leader="none" w:pos="23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prejudice to Section 10.2 (</w:t>
      </w:r>
      <w:r>
        <w:rPr>
          <w:rFonts w:ascii="Arial" w:cs="Arial" w:eastAsia="Arial" w:hAnsi="Arial"/>
          <w:sz w:val="18"/>
          <w:szCs w:val="18"/>
          <w:b w:val="1"/>
          <w:bCs w:val="1"/>
          <w:color w:val="auto"/>
        </w:rPr>
        <w:t>Authorization; No Conflict</w:t>
      </w:r>
      <w:r>
        <w:rPr>
          <w:rFonts w:ascii="Arial" w:cs="Arial" w:eastAsia="Arial" w:hAnsi="Arial"/>
          <w:sz w:val="18"/>
          <w:szCs w:val="18"/>
          <w:color w:val="auto"/>
        </w:rPr>
        <w:t>), this Section 10.3 (</w:t>
      </w:r>
      <w:r>
        <w:rPr>
          <w:rFonts w:ascii="Arial" w:cs="Arial" w:eastAsia="Arial" w:hAnsi="Arial"/>
          <w:sz w:val="18"/>
          <w:szCs w:val="18"/>
          <w:b w:val="1"/>
          <w:bCs w:val="1"/>
          <w:color w:val="auto"/>
        </w:rPr>
        <w:t>Compliance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 Section 10.8 (</w:t>
      </w:r>
      <w:r>
        <w:rPr>
          <w:rFonts w:ascii="Arial" w:cs="Arial" w:eastAsia="Arial" w:hAnsi="Arial"/>
          <w:sz w:val="18"/>
          <w:szCs w:val="18"/>
          <w:b w:val="1"/>
          <w:bCs w:val="1"/>
          <w:color w:val="auto"/>
        </w:rPr>
        <w:t>Federal Requirements</w:t>
      </w:r>
      <w:r>
        <w:rPr>
          <w:rFonts w:ascii="Arial" w:cs="Arial" w:eastAsia="Arial" w:hAnsi="Arial"/>
          <w:sz w:val="18"/>
          <w:szCs w:val="18"/>
          <w:color w:val="auto"/>
        </w:rPr>
        <w:t>), Section 10.9 (</w:t>
      </w:r>
      <w:r>
        <w:rPr>
          <w:rFonts w:ascii="Arial" w:cs="Arial" w:eastAsia="Arial" w:hAnsi="Arial"/>
          <w:sz w:val="18"/>
          <w:szCs w:val="18"/>
          <w:b w:val="1"/>
          <w:bCs w:val="1"/>
          <w:color w:val="auto"/>
        </w:rPr>
        <w:t>Foreign Entity of Concern; Prohibited Persons; Sanctions; Export Controls; Anti-Corruption; Anti-Money Laundering Laws</w:t>
      </w:r>
      <w:r>
        <w:rPr>
          <w:rFonts w:ascii="Arial" w:cs="Arial" w:eastAsia="Arial" w:hAnsi="Arial"/>
          <w:sz w:val="18"/>
          <w:szCs w:val="18"/>
          <w:color w:val="auto"/>
        </w:rPr>
        <w:t>), and Section 10.17 (</w:t>
      </w:r>
      <w:r>
        <w:rPr>
          <w:rFonts w:ascii="Arial" w:cs="Arial" w:eastAsia="Arial" w:hAnsi="Arial"/>
          <w:sz w:val="18"/>
          <w:szCs w:val="18"/>
          <w:b w:val="1"/>
          <w:bCs w:val="1"/>
          <w:color w:val="auto"/>
        </w:rPr>
        <w:t>Required Approvals</w:t>
      </w:r>
      <w:r>
        <w:rPr>
          <w:rFonts w:ascii="Arial" w:cs="Arial" w:eastAsia="Arial" w:hAnsi="Arial"/>
          <w:sz w:val="18"/>
          <w:szCs w:val="18"/>
          <w:color w:val="auto"/>
        </w:rPr>
        <w:t>) with all other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Required Approvals and its Organizational Documents in all material respects.</w:t>
      </w:r>
    </w:p>
    <w:p>
      <w:pPr>
        <w:spacing w:after="0" w:line="152" w:lineRule="exact"/>
        <w:rPr>
          <w:sz w:val="20"/>
          <w:szCs w:val="20"/>
          <w:color w:val="auto"/>
        </w:rPr>
      </w:pPr>
    </w:p>
    <w:p>
      <w:pPr>
        <w:ind w:right="140" w:firstLine="576"/>
        <w:spacing w:after="0" w:line="262"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b w:val="1"/>
          <w:bCs w:val="1"/>
          <w:color w:val="auto"/>
        </w:rPr>
        <w:t>Legality; Validity; Enforceability</w:t>
      </w:r>
      <w:r>
        <w:rPr>
          <w:rFonts w:ascii="Arial" w:cs="Arial" w:eastAsia="Arial" w:hAnsi="Arial"/>
          <w:sz w:val="18"/>
          <w:szCs w:val="18"/>
          <w:color w:val="auto"/>
        </w:rPr>
        <w:t>. This Agreement constitutes a legal, valid and binding obligation of the Sponsor Guarantor, enforceable against the Sponsor Guarantor in accordance with its terms, except as such enforceability may be limited by bankruptcy, insolvency, reorganization, receivership, moratorium or other Applicable Laws affecting creditors’ rights generally and by general principles of equity (whether enforcement is sought by proceedings in equity or at law).</w:t>
      </w:r>
    </w:p>
    <w:p>
      <w:pPr>
        <w:spacing w:after="0" w:line="152"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7"/>
          <w:szCs w:val="17"/>
          <w:b w:val="1"/>
          <w:bCs w:val="1"/>
          <w:color w:val="auto"/>
        </w:rPr>
        <w:t>Real Property</w:t>
      </w:r>
      <w:r>
        <w:rPr>
          <w:rFonts w:ascii="Arial" w:cs="Arial" w:eastAsia="Arial" w:hAnsi="Arial"/>
          <w:sz w:val="17"/>
          <w:szCs w:val="17"/>
          <w:color w:val="auto"/>
        </w:rPr>
        <w:t>. Solely with respect to the ID Project and VA Project:</w:t>
      </w:r>
    </w:p>
    <w:p>
      <w:pPr>
        <w:spacing w:after="0" w:line="201" w:lineRule="exact"/>
        <w:rPr>
          <w:sz w:val="20"/>
          <w:szCs w:val="20"/>
          <w:color w:val="auto"/>
        </w:rPr>
      </w:pPr>
    </w:p>
    <w:p>
      <w:pPr>
        <w:ind w:left="2340" w:hanging="605"/>
        <w:spacing w:after="0"/>
        <w:tabs>
          <w:tab w:leader="none" w:pos="2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Sponsor Guarantor owns and has valid legal and beneficial title to all real property interests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Project Site.</w:t>
      </w:r>
    </w:p>
    <w:p>
      <w:pPr>
        <w:spacing w:after="0" w:line="183" w:lineRule="exact"/>
        <w:rPr>
          <w:sz w:val="20"/>
          <w:szCs w:val="20"/>
          <w:color w:val="auto"/>
        </w:rPr>
      </w:pPr>
    </w:p>
    <w:p>
      <w:pPr>
        <w:ind w:right="20" w:firstLine="1735"/>
        <w:spacing w:after="0" w:line="262" w:lineRule="auto"/>
        <w:tabs>
          <w:tab w:leader="none" w:pos="2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material easements, leasehold and other property interests and utility and other services, means of transportation, facilities, other materials and rights held that are reasonably necessary for the construction, completion and operation of the Project have been obtained or are commercially available to the Project at the Project Site as and when required to have been obtained for the Project.</w:t>
      </w:r>
    </w:p>
    <w:p>
      <w:pPr>
        <w:spacing w:after="0" w:line="152" w:lineRule="exact"/>
        <w:rPr>
          <w:rFonts w:ascii="Arial" w:cs="Arial" w:eastAsia="Arial" w:hAnsi="Arial"/>
          <w:sz w:val="18"/>
          <w:szCs w:val="18"/>
          <w:color w:val="auto"/>
        </w:rPr>
      </w:pPr>
    </w:p>
    <w:p>
      <w:pPr>
        <w:ind w:right="20" w:firstLine="1735"/>
        <w:spacing w:after="0" w:line="269" w:lineRule="auto"/>
        <w:tabs>
          <w:tab w:leader="none" w:pos="2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Sponsor Guarantor’s Knowledge, the Project Site is sufficient and appropriate in all material respects for the development, siting, design, engineering, construction, ownership, operation, maintenance and use of the Project as contemplated by the Award Documents.</w:t>
      </w:r>
    </w:p>
    <w:p>
      <w:pPr>
        <w:spacing w:after="0" w:line="144" w:lineRule="exact"/>
        <w:rPr>
          <w:rFonts w:ascii="Arial" w:cs="Arial" w:eastAsia="Arial" w:hAnsi="Arial"/>
          <w:sz w:val="18"/>
          <w:szCs w:val="18"/>
          <w:color w:val="auto"/>
        </w:rPr>
      </w:pPr>
    </w:p>
    <w:p>
      <w:pPr>
        <w:ind w:right="40" w:firstLine="1735"/>
        <w:spacing w:after="0" w:line="262" w:lineRule="auto"/>
        <w:tabs>
          <w:tab w:leader="none" w:pos="2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improvements on the Project Site lie wholly within the boundaries and building restriction lines of the Project Site, and no improvements on adjoining properties encroach upon the Project Site, and no improvements on the Project Site encroach upon or violate any easements or other encumbrances upon the Project Site, in each case, so as to materially impair the development, construction, operation, or use by (or for the benefit of) the Recipient of the Project Site for the Project.</w:t>
      </w:r>
    </w:p>
    <w:p>
      <w:pPr>
        <w:spacing w:after="0" w:line="152" w:lineRule="exact"/>
        <w:rPr>
          <w:rFonts w:ascii="Arial" w:cs="Arial" w:eastAsia="Arial" w:hAnsi="Arial"/>
          <w:sz w:val="18"/>
          <w:szCs w:val="18"/>
          <w:color w:val="auto"/>
        </w:rPr>
      </w:pPr>
    </w:p>
    <w:p>
      <w:pPr>
        <w:ind w:firstLine="1735"/>
        <w:spacing w:after="0" w:line="269" w:lineRule="auto"/>
        <w:tabs>
          <w:tab w:leader="none" w:pos="23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condemnation or adverse zoning or usage change proceeding has occurred or has been threatened against any of the Real Property that would reasonably be expected to materially impair the development, construction, operation, access to or use by (or for the benefit of) the Recipient of the Project Site for the Project.</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ectPr>
          <w:pgSz w:w="11900" w:h="16840" w:orient="portrait"/>
          <w:cols w:equalWidth="0" w:num="1">
            <w:col w:w="10540"/>
          </w:cols>
          <w:pgMar w:left="660" w:top="1440" w:right="700" w:bottom="1440" w:gutter="0" w:footer="0" w:header="0"/>
        </w:sectPr>
      </w:pPr>
    </w:p>
    <w:bookmarkStart w:id="162" w:name="page163"/>
    <w:bookmarkEnd w:id="162"/>
    <w:p>
      <w:pPr>
        <w:spacing w:after="0" w:line="2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b w:val="1"/>
          <w:bCs w:val="1"/>
          <w:color w:val="auto"/>
        </w:rPr>
        <w:t>Financial Statements</w:t>
      </w:r>
      <w:r>
        <w:rPr>
          <w:rFonts w:ascii="Arial" w:cs="Arial" w:eastAsia="Arial" w:hAnsi="Arial"/>
          <w:sz w:val="17"/>
          <w:szCs w:val="17"/>
          <w:color w:val="auto"/>
        </w:rPr>
        <w:t>.</w:t>
      </w:r>
    </w:p>
    <w:p>
      <w:pPr>
        <w:spacing w:after="0" w:line="201" w:lineRule="exact"/>
        <w:rPr>
          <w:sz w:val="20"/>
          <w:szCs w:val="20"/>
          <w:color w:val="auto"/>
        </w:rPr>
      </w:pPr>
    </w:p>
    <w:p>
      <w:pPr>
        <w:ind w:right="40" w:firstLine="1735"/>
        <w:spacing w:after="0" w:line="257" w:lineRule="auto"/>
        <w:tabs>
          <w:tab w:leader="none" w:pos="23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the Financial Statements of the Sponsor Guarantor delivered to the Department pursuant to Annex F (</w:t>
      </w:r>
      <w:r>
        <w:rPr>
          <w:rFonts w:ascii="Arial" w:cs="Arial" w:eastAsia="Arial" w:hAnsi="Arial"/>
          <w:sz w:val="18"/>
          <w:szCs w:val="18"/>
          <w:i w:val="1"/>
          <w:iCs w:val="1"/>
          <w:color w:val="auto"/>
        </w:rPr>
        <w:t>Reporting Covenants</w:t>
      </w:r>
      <w:r>
        <w:rPr>
          <w:rFonts w:ascii="Arial" w:cs="Arial" w:eastAsia="Arial" w:hAnsi="Arial"/>
          <w:sz w:val="18"/>
          <w:szCs w:val="18"/>
          <w:color w:val="auto"/>
        </w:rPr>
        <w:t>) of each DFA has been prepared in accordance with the Applicable Accounting Requirements, on a Consolidated Basis, and presents fairly, in all material respects, the financial condition of the Sponsor Guarantor as of the respective dates of the Financial Statements for the respective periods covered therein. Such Financial Statements reflect all liabilities or obligations of the Sponsor Guarantor and other information of any nature whatsoever for the period to which such Financial Statements relate that are required to be disclosed in accordance with Applicable Accounting Requirements.</w:t>
      </w:r>
    </w:p>
    <w:p>
      <w:pPr>
        <w:spacing w:after="0" w:line="158" w:lineRule="exact"/>
        <w:rPr>
          <w:rFonts w:ascii="Arial" w:cs="Arial" w:eastAsia="Arial" w:hAnsi="Arial"/>
          <w:sz w:val="18"/>
          <w:szCs w:val="18"/>
          <w:color w:val="auto"/>
        </w:rPr>
      </w:pPr>
    </w:p>
    <w:p>
      <w:pPr>
        <w:ind w:firstLine="1735"/>
        <w:spacing w:after="0" w:line="262" w:lineRule="auto"/>
        <w:tabs>
          <w:tab w:leader="none" w:pos="23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Since the date of delivery of such Financial Statements, or the respective date of such Financial Statements, whichever is earlier, the Sponsor Guarantor has not incurred or assumed any material liabilities or obligations that would be required to be recognized in such Financial Statements in accordance with the Applicable Accounting Requirements, except to the extent such liabilities or obligations have been disclosed to the Department in writing.</w:t>
      </w:r>
    </w:p>
    <w:p>
      <w:pPr>
        <w:spacing w:after="0" w:line="152" w:lineRule="exact"/>
        <w:rPr>
          <w:sz w:val="20"/>
          <w:szCs w:val="20"/>
          <w:color w:val="auto"/>
        </w:rPr>
      </w:pPr>
    </w:p>
    <w:p>
      <w:pPr>
        <w:ind w:right="200" w:firstLine="576"/>
        <w:spacing w:after="0" w:line="262"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b w:val="1"/>
          <w:bCs w:val="1"/>
          <w:color w:val="auto"/>
        </w:rPr>
        <w:t>Adequate Project Funding</w:t>
      </w:r>
      <w:r>
        <w:rPr>
          <w:rFonts w:ascii="Arial" w:cs="Arial" w:eastAsia="Arial" w:hAnsi="Arial"/>
          <w:sz w:val="18"/>
          <w:szCs w:val="18"/>
          <w:color w:val="auto"/>
        </w:rPr>
        <w:t>. The Total Funding Available for each Project (taking into account the financial resources of the Sponsor Guarantor to increase its Equity Commitment thereunder) will be sufficient to pay all remaining Project Costs for such Project and to achieve the Project Completion Date for such Project by no later than the final Milestone Completion Longstop Date set forth in the Disbursement Milestone Schedule for such Project.</w:t>
      </w:r>
    </w:p>
    <w:p>
      <w:pPr>
        <w:spacing w:after="0" w:line="152"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7"/>
          <w:szCs w:val="17"/>
          <w:b w:val="1"/>
          <w:bCs w:val="1"/>
          <w:color w:val="auto"/>
        </w:rPr>
        <w:t>Federal Requirements</w:t>
      </w:r>
    </w:p>
    <w:p>
      <w:pPr>
        <w:spacing w:after="0" w:line="201" w:lineRule="exact"/>
        <w:rPr>
          <w:sz w:val="20"/>
          <w:szCs w:val="20"/>
          <w:color w:val="auto"/>
        </w:rPr>
      </w:pPr>
    </w:p>
    <w:p>
      <w:pPr>
        <w:ind w:left="2340" w:hanging="605"/>
        <w:spacing w:after="0"/>
        <w:tabs>
          <w:tab w:leader="none" w:pos="23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Guardrail Provisions</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2880" w:hanging="569"/>
        <w:spacing w:after="0"/>
        <w:tabs>
          <w:tab w:leader="none" w:pos="28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Recipient Party is in compliance with all applicable Guardrail Provisions.</w:t>
      </w:r>
    </w:p>
    <w:p>
      <w:pPr>
        <w:spacing w:after="0" w:line="201" w:lineRule="exact"/>
        <w:rPr>
          <w:rFonts w:ascii="Arial" w:cs="Arial" w:eastAsia="Arial" w:hAnsi="Arial"/>
          <w:sz w:val="18"/>
          <w:szCs w:val="18"/>
          <w:color w:val="auto"/>
        </w:rPr>
      </w:pPr>
    </w:p>
    <w:p>
      <w:pPr>
        <w:jc w:val="both"/>
        <w:ind w:right="180" w:firstLine="2311"/>
        <w:spacing w:after="0" w:line="262" w:lineRule="auto"/>
        <w:tabs>
          <w:tab w:leader="none" w:pos="289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of the lists of existing facilities and ongoing Joint Research and Technology Licensing, each as attached as Appendix 1 to the Guardrail Provisions, is true and correct, and such appendices memorialize all information required to be set forth therein pursuant to Section 1 (</w:t>
      </w:r>
      <w:r>
        <w:rPr>
          <w:rFonts w:ascii="Arial" w:cs="Arial" w:eastAsia="Arial" w:hAnsi="Arial"/>
          <w:sz w:val="18"/>
          <w:szCs w:val="18"/>
          <w:i w:val="1"/>
          <w:iCs w:val="1"/>
          <w:color w:val="auto"/>
        </w:rPr>
        <w:t>Prohibition on Certain Expansion Transactions</w:t>
      </w:r>
      <w:r>
        <w:rPr>
          <w:rFonts w:ascii="Arial" w:cs="Arial" w:eastAsia="Arial" w:hAnsi="Arial"/>
          <w:sz w:val="18"/>
          <w:szCs w:val="18"/>
          <w:color w:val="auto"/>
        </w:rPr>
        <w:t>) and Section 2 (</w:t>
      </w:r>
      <w:r>
        <w:rPr>
          <w:rFonts w:ascii="Arial" w:cs="Arial" w:eastAsia="Arial" w:hAnsi="Arial"/>
          <w:sz w:val="18"/>
          <w:szCs w:val="18"/>
          <w:i w:val="1"/>
          <w:iCs w:val="1"/>
          <w:color w:val="auto"/>
        </w:rPr>
        <w:t>Prohibition on</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Joint Research or Technology Licensing</w:t>
      </w:r>
      <w:r>
        <w:rPr>
          <w:rFonts w:ascii="Arial" w:cs="Arial" w:eastAsia="Arial" w:hAnsi="Arial"/>
          <w:sz w:val="18"/>
          <w:szCs w:val="18"/>
          <w:color w:val="auto"/>
        </w:rPr>
        <w:t>) of the Guardrail Provisions.</w:t>
      </w:r>
    </w:p>
    <w:p>
      <w:pPr>
        <w:spacing w:after="0" w:line="152" w:lineRule="exact"/>
        <w:rPr>
          <w:rFonts w:ascii="Arial" w:cs="Arial" w:eastAsia="Arial" w:hAnsi="Arial"/>
          <w:sz w:val="18"/>
          <w:szCs w:val="18"/>
          <w:color w:val="auto"/>
        </w:rPr>
      </w:pPr>
    </w:p>
    <w:p>
      <w:pPr>
        <w:ind w:right="20" w:firstLine="2311"/>
        <w:spacing w:after="0" w:line="262" w:lineRule="auto"/>
        <w:tabs>
          <w:tab w:leader="none" w:pos="289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Person that, as of the date hereof, is a member of each Recipient’s “affiliated group,” as such term is defined under 26 U.S.C. § 1504(a), without regard to 26 U.S.C. § 1504(b)(3), directly, or indirectly through one or more intermediaries, Controls or is Controlled by, or is under common Control with, the Recipient as of the date hereof is set forth in Part 4 (</w:t>
      </w:r>
      <w:r>
        <w:rPr>
          <w:rFonts w:ascii="Arial" w:cs="Arial" w:eastAsia="Arial" w:hAnsi="Arial"/>
          <w:sz w:val="18"/>
          <w:szCs w:val="18"/>
          <w:i w:val="1"/>
          <w:iCs w:val="1"/>
          <w:color w:val="auto"/>
        </w:rPr>
        <w:t>Members of the Affiliated Group</w:t>
      </w:r>
      <w:r>
        <w:rPr>
          <w:rFonts w:ascii="Arial" w:cs="Arial" w:eastAsia="Arial" w:hAnsi="Arial"/>
          <w:sz w:val="18"/>
          <w:szCs w:val="18"/>
          <w:color w:val="auto"/>
        </w:rPr>
        <w:t>) of Appendix 1 of the Guardrail Provisions.</w:t>
      </w:r>
    </w:p>
    <w:p>
      <w:pPr>
        <w:spacing w:after="0" w:line="152" w:lineRule="exact"/>
        <w:rPr>
          <w:rFonts w:ascii="Arial" w:cs="Arial" w:eastAsia="Arial" w:hAnsi="Arial"/>
          <w:sz w:val="18"/>
          <w:szCs w:val="18"/>
          <w:color w:val="auto"/>
        </w:rPr>
      </w:pPr>
    </w:p>
    <w:p>
      <w:pPr>
        <w:ind w:right="560" w:firstLine="2311"/>
        <w:spacing w:after="0" w:line="287" w:lineRule="auto"/>
        <w:tabs>
          <w:tab w:leader="none" w:pos="29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Related Entity as of the date hereof is set forth in Part 5 (Related Entities Subject to Section 3 of Annex C (</w:t>
      </w:r>
      <w:r>
        <w:rPr>
          <w:rFonts w:ascii="Arial" w:cs="Arial" w:eastAsia="Arial" w:hAnsi="Arial"/>
          <w:sz w:val="18"/>
          <w:szCs w:val="18"/>
          <w:i w:val="1"/>
          <w:iCs w:val="1"/>
          <w:color w:val="auto"/>
        </w:rPr>
        <w:t>Guardrail Provisions</w:t>
      </w:r>
      <w:r>
        <w:rPr>
          <w:rFonts w:ascii="Arial" w:cs="Arial" w:eastAsia="Arial" w:hAnsi="Arial"/>
          <w:sz w:val="18"/>
          <w:szCs w:val="18"/>
          <w:color w:val="auto"/>
        </w:rPr>
        <w:t>)) of Appendix 1 of the Guardrail Provisions.</w:t>
      </w:r>
    </w:p>
    <w:p>
      <w:pPr>
        <w:spacing w:after="0" w:line="129" w:lineRule="exact"/>
        <w:rPr>
          <w:rFonts w:ascii="Arial" w:cs="Arial" w:eastAsia="Arial" w:hAnsi="Arial"/>
          <w:sz w:val="18"/>
          <w:szCs w:val="18"/>
          <w:color w:val="auto"/>
        </w:rPr>
      </w:pPr>
    </w:p>
    <w:p>
      <w:pPr>
        <w:ind w:right="140" w:firstLine="2311"/>
        <w:spacing w:after="0" w:line="287" w:lineRule="auto"/>
        <w:tabs>
          <w:tab w:leader="none" w:pos="289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Mitigation Agreement, if any, required pursuant to the Guardrail Provisions, is in full force and effect and no violation thereof has occurred.</w:t>
      </w:r>
    </w:p>
    <w:p>
      <w:pPr>
        <w:spacing w:after="0" w:line="129" w:lineRule="exact"/>
        <w:rPr>
          <w:rFonts w:ascii="Arial" w:cs="Arial" w:eastAsia="Arial" w:hAnsi="Arial"/>
          <w:sz w:val="18"/>
          <w:szCs w:val="18"/>
          <w:color w:val="auto"/>
        </w:rPr>
      </w:pPr>
    </w:p>
    <w:p>
      <w:pPr>
        <w:ind w:right="120" w:firstLine="1735"/>
        <w:spacing w:after="0" w:line="269" w:lineRule="auto"/>
        <w:tabs>
          <w:tab w:leader="none" w:pos="2317"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Inverted Corporation Requirement</w:t>
      </w:r>
      <w:r>
        <w:rPr>
          <w:rFonts w:ascii="Arial" w:cs="Arial" w:eastAsia="Arial" w:hAnsi="Arial"/>
          <w:sz w:val="18"/>
          <w:szCs w:val="18"/>
          <w:color w:val="auto"/>
        </w:rPr>
        <w:t>. The Sponsor Guarantor represents that it is not a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entity which is treated as an inverted domestic corporation under Section 835(b) of the Homeland Security Act of 2002 (6 U.S.C. § 395(b)) or a Subsidiary of such an entity.</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ectPr>
          <w:pgSz w:w="11900" w:h="16840" w:orient="portrait"/>
          <w:cols w:equalWidth="0" w:num="1">
            <w:col w:w="10560"/>
          </w:cols>
          <w:pgMar w:left="660" w:top="1440" w:right="680" w:bottom="1440" w:gutter="0" w:footer="0" w:header="0"/>
        </w:sectPr>
      </w:pPr>
    </w:p>
    <w:bookmarkStart w:id="163" w:name="page164"/>
    <w:bookmarkEnd w:id="163"/>
    <w:p>
      <w:pPr>
        <w:spacing w:after="0" w:line="29" w:lineRule="exact"/>
        <w:rPr>
          <w:sz w:val="20"/>
          <w:szCs w:val="20"/>
          <w:color w:val="auto"/>
        </w:rPr>
      </w:pPr>
    </w:p>
    <w:p>
      <w:pPr>
        <w:ind w:right="360" w:firstLine="576"/>
        <w:spacing w:after="0" w:line="296"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b w:val="1"/>
          <w:bCs w:val="1"/>
          <w:color w:val="auto"/>
        </w:rPr>
        <w:t>Foreign Entity of Concern; Prohibited Persons; Sanctions; Export Controls; Anti-Corruption; Anti-Money Laundering Laws</w:t>
      </w:r>
      <w:r>
        <w:rPr>
          <w:rFonts w:ascii="Arial" w:cs="Arial" w:eastAsia="Arial" w:hAnsi="Arial"/>
          <w:sz w:val="18"/>
          <w:szCs w:val="18"/>
          <w:color w:val="auto"/>
        </w:rPr>
        <w:t>.</w:t>
      </w:r>
    </w:p>
    <w:p>
      <w:pPr>
        <w:spacing w:after="0" w:line="114" w:lineRule="exact"/>
        <w:rPr>
          <w:sz w:val="20"/>
          <w:szCs w:val="20"/>
          <w:color w:val="auto"/>
        </w:rPr>
      </w:pPr>
    </w:p>
    <w:p>
      <w:pPr>
        <w:ind w:left="2340" w:hanging="605"/>
        <w:spacing w:after="0"/>
        <w:tabs>
          <w:tab w:leader="none" w:pos="2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Sponsor Guarantor is not a Foreign Entity of Concern.</w:t>
      </w:r>
    </w:p>
    <w:p>
      <w:pPr>
        <w:spacing w:after="0" w:line="201" w:lineRule="exact"/>
        <w:rPr>
          <w:rFonts w:ascii="Arial" w:cs="Arial" w:eastAsia="Arial" w:hAnsi="Arial"/>
          <w:sz w:val="18"/>
          <w:szCs w:val="18"/>
          <w:color w:val="auto"/>
        </w:rPr>
      </w:pPr>
    </w:p>
    <w:p>
      <w:pPr>
        <w:jc w:val="both"/>
        <w:ind w:right="60" w:firstLine="1735"/>
        <w:spacing w:after="0" w:line="269" w:lineRule="auto"/>
        <w:tabs>
          <w:tab w:leader="none" w:pos="2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Recipient Party or Qualified Transferee nor any of their respective members, directors, or officers is a Prohibited Person, and to the Sponsor Guarantor’s Knowledge, none of the employees, agents or representatives of any Recipient Party or any Qualified Transferee acting in such capacities is a Prohibited Person.</w:t>
      </w:r>
    </w:p>
    <w:p>
      <w:pPr>
        <w:spacing w:after="0" w:line="144" w:lineRule="exact"/>
        <w:rPr>
          <w:rFonts w:ascii="Arial" w:cs="Arial" w:eastAsia="Arial" w:hAnsi="Arial"/>
          <w:sz w:val="18"/>
          <w:szCs w:val="18"/>
          <w:color w:val="auto"/>
        </w:rPr>
      </w:pPr>
    </w:p>
    <w:p>
      <w:pPr>
        <w:ind w:right="720" w:firstLine="1735"/>
        <w:spacing w:after="0" w:line="287" w:lineRule="auto"/>
        <w:tabs>
          <w:tab w:leader="none" w:pos="2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Sponsor Guarantor</w:t>
      </w:r>
      <w:r>
        <w:rPr>
          <w:rFonts w:ascii="Arial" w:cs="Arial" w:eastAsia="Arial" w:hAnsi="Arial"/>
          <w:sz w:val="18"/>
          <w:szCs w:val="18"/>
          <w:i w:val="1"/>
          <w:iCs w:val="1"/>
          <w:color w:val="auto"/>
        </w:rPr>
        <w:t>'</w:t>
      </w:r>
      <w:r>
        <w:rPr>
          <w:rFonts w:ascii="Arial" w:cs="Arial" w:eastAsia="Arial" w:hAnsi="Arial"/>
          <w:sz w:val="18"/>
          <w:szCs w:val="18"/>
          <w:color w:val="auto"/>
        </w:rPr>
        <w:t>s Knowledge, no event has occurred, and no condition exists, that is reasonably likely to result in any Recipient Party or any Qualified Transferee becoming a Prohibited Person.</w:t>
      </w:r>
    </w:p>
    <w:p>
      <w:pPr>
        <w:spacing w:after="0" w:line="129" w:lineRule="exact"/>
        <w:rPr>
          <w:rFonts w:ascii="Arial" w:cs="Arial" w:eastAsia="Arial" w:hAnsi="Arial"/>
          <w:sz w:val="18"/>
          <w:szCs w:val="18"/>
          <w:color w:val="auto"/>
        </w:rPr>
      </w:pPr>
    </w:p>
    <w:p>
      <w:pPr>
        <w:jc w:val="both"/>
        <w:ind w:right="200" w:firstLine="1735"/>
        <w:spacing w:after="0" w:line="262" w:lineRule="auto"/>
        <w:tabs>
          <w:tab w:leader="none" w:pos="2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are no Actions pending or, to the Sponsor Guarantor</w:t>
      </w:r>
      <w:r>
        <w:rPr>
          <w:rFonts w:ascii="Arial" w:cs="Arial" w:eastAsia="Arial" w:hAnsi="Arial"/>
          <w:sz w:val="18"/>
          <w:szCs w:val="18"/>
          <w:i w:val="1"/>
          <w:iCs w:val="1"/>
          <w:color w:val="auto"/>
        </w:rPr>
        <w:t>'</w:t>
      </w:r>
      <w:r>
        <w:rPr>
          <w:rFonts w:ascii="Arial" w:cs="Arial" w:eastAsia="Arial" w:hAnsi="Arial"/>
          <w:sz w:val="18"/>
          <w:szCs w:val="18"/>
          <w:color w:val="auto"/>
        </w:rPr>
        <w:t>s Knowledge, threatened, against or affecting any Recipient Party or any Qualified Transferee their respective members, directors, officers, employees, agents or representatives acting in such capacities regarding any actual or alleged non-compliance with any Sanctions, Export Control Laws, Anti-Money Laundering Laws or Anti-Corruption Laws.</w:t>
      </w:r>
    </w:p>
    <w:p>
      <w:pPr>
        <w:spacing w:after="0" w:line="152" w:lineRule="exact"/>
        <w:rPr>
          <w:rFonts w:ascii="Arial" w:cs="Arial" w:eastAsia="Arial" w:hAnsi="Arial"/>
          <w:sz w:val="18"/>
          <w:szCs w:val="18"/>
          <w:color w:val="auto"/>
        </w:rPr>
      </w:pPr>
    </w:p>
    <w:p>
      <w:pPr>
        <w:ind w:firstLine="1735"/>
        <w:spacing w:after="0" w:line="269" w:lineRule="auto"/>
        <w:tabs>
          <w:tab w:leader="none" w:pos="2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Sponsor Guarantor has adopted and implemented and maintains policies and procedures designed to promote and achieve compliance with all applicable Sanctions, Export Control Laws, Anti-Money Laundering Laws and Anti-Corruption Laws.</w:t>
      </w:r>
    </w:p>
    <w:p>
      <w:pPr>
        <w:spacing w:after="0" w:line="144" w:lineRule="exact"/>
        <w:rPr>
          <w:rFonts w:ascii="Arial" w:cs="Arial" w:eastAsia="Arial" w:hAnsi="Arial"/>
          <w:sz w:val="18"/>
          <w:szCs w:val="18"/>
          <w:color w:val="auto"/>
        </w:rPr>
      </w:pPr>
    </w:p>
    <w:p>
      <w:pPr>
        <w:ind w:right="100" w:firstLine="1735"/>
        <w:spacing w:after="0" w:line="255" w:lineRule="auto"/>
        <w:tabs>
          <w:tab w:leader="none" w:pos="23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Recipient Party, each Qualified Transferee and each of their respective members, directors, officers, and, to the Sponsor Guarantor’s Knowledge, employees, agents and representatives thereof acting in such capacities, are, and for the last five (5) years have been, in compliance with (i) all Sanctions and all applicable Anti-Money Laundering Laws; and (ii) all applicable Export Control Laws in all respects, except for any actual or potential violations that involve only unintentional minor, technical infractions, which either (A) were voluntarily self-disclosed to BIS within sixty (60) days of any Recipient Party or any Qualified Transferee becoming aware of the violation, and, within sixty (60) days of disclosure resulted in the issuance of a warning or no action letter by BIS; or (B) otherwise could not reasonably be expected to give rise to an enforcement action, or the imposition of any fine or penalty by any Governmental Authority.</w:t>
      </w:r>
    </w:p>
    <w:p>
      <w:pPr>
        <w:spacing w:after="0" w:line="161" w:lineRule="exact"/>
        <w:rPr>
          <w:rFonts w:ascii="Arial" w:cs="Arial" w:eastAsia="Arial" w:hAnsi="Arial"/>
          <w:sz w:val="18"/>
          <w:szCs w:val="18"/>
          <w:color w:val="auto"/>
        </w:rPr>
      </w:pPr>
    </w:p>
    <w:p>
      <w:pPr>
        <w:ind w:right="20" w:firstLine="1735"/>
        <w:spacing w:after="0" w:line="256" w:lineRule="auto"/>
        <w:tabs>
          <w:tab w:leader="none" w:pos="23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Recipient Party and each of their respective Principal Persons, and, to the Sponsor Guarantor</w:t>
      </w:r>
      <w:r>
        <w:rPr>
          <w:rFonts w:ascii="Arial" w:cs="Arial" w:eastAsia="Arial" w:hAnsi="Arial"/>
          <w:sz w:val="18"/>
          <w:szCs w:val="18"/>
          <w:i w:val="1"/>
          <w:iCs w:val="1"/>
          <w:color w:val="auto"/>
        </w:rPr>
        <w:t>'</w:t>
      </w:r>
      <w:r>
        <w:rPr>
          <w:rFonts w:ascii="Arial" w:cs="Arial" w:eastAsia="Arial" w:hAnsi="Arial"/>
          <w:sz w:val="18"/>
          <w:szCs w:val="18"/>
          <w:color w:val="auto"/>
        </w:rPr>
        <w:t>s Knowledge, their employees, agents, and representatives acting in such capacities have complied with all applicable Sanctions, Export Control Laws (except as provided in the exception in Section 10.9(f) (</w:t>
      </w:r>
      <w:r>
        <w:rPr>
          <w:rFonts w:ascii="Arial" w:cs="Arial" w:eastAsia="Arial" w:hAnsi="Arial"/>
          <w:sz w:val="18"/>
          <w:szCs w:val="18"/>
          <w:b w:val="1"/>
          <w:bCs w:val="1"/>
          <w:color w:val="auto"/>
        </w:rPr>
        <w:t>Foreign Entity of Concern; Prohibited Persons;</w:t>
      </w:r>
      <w:r>
        <w:rPr>
          <w:rFonts w:ascii="Arial" w:cs="Arial" w:eastAsia="Arial" w:hAnsi="Arial"/>
          <w:sz w:val="18"/>
          <w:szCs w:val="18"/>
          <w:color w:val="auto"/>
        </w:rPr>
        <w:t xml:space="preserve"> </w:t>
      </w:r>
      <w:r>
        <w:rPr>
          <w:rFonts w:ascii="Arial" w:cs="Arial" w:eastAsia="Arial" w:hAnsi="Arial"/>
          <w:sz w:val="18"/>
          <w:szCs w:val="18"/>
          <w:b w:val="1"/>
          <w:bCs w:val="1"/>
          <w:color w:val="auto"/>
        </w:rPr>
        <w:t>Sanctions; Export Controls; Anti-Corruption; Anti-Money Laundering Laws</w:t>
      </w:r>
      <w:r>
        <w:rPr>
          <w:rFonts w:ascii="Arial" w:cs="Arial" w:eastAsia="Arial" w:hAnsi="Arial"/>
          <w:sz w:val="18"/>
          <w:szCs w:val="18"/>
          <w:color w:val="auto"/>
        </w:rPr>
        <w:t>)), Anti-Money Laundering Laws and Anti-Corruption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obtaining any consents, licenses, approvals, authorizations, rights, or privileges with respect to any Project and, otherwise, have conducted each Project in compliance with all applicable Sanctions, Export Control Laws, Anti-Money Laundering Laws, and Anti-Corruption Laws.</w:t>
      </w:r>
    </w:p>
    <w:p>
      <w:pPr>
        <w:spacing w:after="0" w:line="158" w:lineRule="exact"/>
        <w:rPr>
          <w:rFonts w:ascii="Arial" w:cs="Arial" w:eastAsia="Arial" w:hAnsi="Arial"/>
          <w:sz w:val="18"/>
          <w:szCs w:val="18"/>
          <w:color w:val="auto"/>
        </w:rPr>
      </w:pPr>
    </w:p>
    <w:p>
      <w:pPr>
        <w:jc w:val="both"/>
        <w:ind w:right="300" w:firstLine="1735"/>
        <w:spacing w:after="0" w:line="262" w:lineRule="auto"/>
        <w:tabs>
          <w:tab w:leader="none" w:pos="23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None of the Sponsor Guarantor, nor its members, directors, officers, nor, to the Sponsor Guarantor</w:t>
      </w:r>
      <w:r>
        <w:rPr>
          <w:rFonts w:ascii="Arial" w:cs="Arial" w:eastAsia="Arial" w:hAnsi="Arial"/>
          <w:sz w:val="18"/>
          <w:szCs w:val="18"/>
          <w:i w:val="1"/>
          <w:iCs w:val="1"/>
          <w:color w:val="auto"/>
        </w:rPr>
        <w:t>'</w:t>
      </w:r>
      <w:r>
        <w:rPr>
          <w:rFonts w:ascii="Arial" w:cs="Arial" w:eastAsia="Arial" w:hAnsi="Arial"/>
          <w:sz w:val="18"/>
          <w:szCs w:val="18"/>
          <w:color w:val="auto"/>
        </w:rPr>
        <w:t>s Knowledge, employees, agents or representatives acting in such capacities, has made, offered or promised to make, provided or paid any unlawful contributions, entertainment or anything of value to any local or foreign official (including employees of state-owned or controlled entities), foreign political party or party official or any candidate for foreign political office:</w:t>
      </w:r>
    </w:p>
    <w:p>
      <w:pPr>
        <w:spacing w:after="0" w:line="152" w:lineRule="exact"/>
        <w:rPr>
          <w:rFonts w:ascii="Arial" w:cs="Arial" w:eastAsia="Arial" w:hAnsi="Arial"/>
          <w:sz w:val="18"/>
          <w:szCs w:val="18"/>
          <w:color w:val="auto"/>
        </w:rPr>
      </w:pPr>
    </w:p>
    <w:p>
      <w:pPr>
        <w:ind w:right="40" w:firstLine="2887"/>
        <w:spacing w:after="0" w:line="269" w:lineRule="auto"/>
        <w:tabs>
          <w:tab w:leader="none" w:pos="34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order to influence any act or decision of any foreign official, foreign political party, party official or candidate for foreign political office in his or her official capacity, including a decision to fail to perform his or her official functions;</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ectPr>
          <w:pgSz w:w="11900" w:h="16840" w:orient="portrait"/>
          <w:cols w:equalWidth="0" w:num="1">
            <w:col w:w="10580"/>
          </w:cols>
          <w:pgMar w:left="660" w:top="1440" w:right="660" w:bottom="1440" w:gutter="0" w:footer="0" w:header="0"/>
        </w:sectPr>
      </w:pPr>
    </w:p>
    <w:bookmarkStart w:id="164" w:name="page165"/>
    <w:bookmarkEnd w:id="164"/>
    <w:p>
      <w:pPr>
        <w:spacing w:after="0" w:line="29" w:lineRule="exact"/>
        <w:rPr>
          <w:sz w:val="20"/>
          <w:szCs w:val="20"/>
          <w:color w:val="auto"/>
        </w:rPr>
      </w:pPr>
    </w:p>
    <w:p>
      <w:pPr>
        <w:ind w:left="3480" w:hanging="593"/>
        <w:spacing w:after="0"/>
        <w:tabs>
          <w:tab w:leader="none" w:pos="3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secure an advantage; or</w:t>
      </w:r>
    </w:p>
    <w:p>
      <w:pPr>
        <w:spacing w:after="0" w:line="201" w:lineRule="exact"/>
        <w:rPr>
          <w:rFonts w:ascii="Arial" w:cs="Arial" w:eastAsia="Arial" w:hAnsi="Arial"/>
          <w:sz w:val="18"/>
          <w:szCs w:val="18"/>
          <w:color w:val="auto"/>
        </w:rPr>
      </w:pPr>
    </w:p>
    <w:p>
      <w:pPr>
        <w:ind w:right="640" w:firstLine="2887"/>
        <w:spacing w:after="0" w:line="287" w:lineRule="auto"/>
        <w:tabs>
          <w:tab w:leader="none" w:pos="346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the intent to induce the recipient to misuse his or her official position to direct business to any Recipient Party or any of its Affiliates or to any other Person,</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in violation of any applicable Anti-Corruption Laws or any other Applicable Law.</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b w:val="1"/>
          <w:bCs w:val="1"/>
          <w:color w:val="auto"/>
        </w:rPr>
        <w:t>Insolvency Proceedings</w:t>
      </w:r>
      <w:r>
        <w:rPr>
          <w:rFonts w:ascii="Arial" w:cs="Arial" w:eastAsia="Arial" w:hAnsi="Arial"/>
          <w:sz w:val="18"/>
          <w:szCs w:val="18"/>
          <w:color w:val="auto"/>
        </w:rPr>
        <w:t>.</w:t>
      </w:r>
    </w:p>
    <w:p>
      <w:pPr>
        <w:spacing w:after="0" w:line="201" w:lineRule="exact"/>
        <w:rPr>
          <w:sz w:val="20"/>
          <w:szCs w:val="20"/>
          <w:color w:val="auto"/>
        </w:rPr>
      </w:pPr>
    </w:p>
    <w:p>
      <w:pPr>
        <w:ind w:right="260" w:firstLine="1735"/>
        <w:spacing w:after="0" w:line="269" w:lineRule="auto"/>
        <w:tabs>
          <w:tab w:leader="none" w:pos="232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Neither the Sponsor Guarantor nor any Recipient is the subject of any pending or, to the Sponsor Guarantor’s Knowledge, threatened (in writing), Insolvency Proceedings, in each case, to the extent such Insolvency Proceedings are bona fide and non-frivolous.</w:t>
      </w:r>
    </w:p>
    <w:p>
      <w:pPr>
        <w:spacing w:after="0" w:line="144" w:lineRule="exact"/>
        <w:rPr>
          <w:rFonts w:ascii="Arial" w:cs="Arial" w:eastAsia="Arial" w:hAnsi="Arial"/>
          <w:sz w:val="18"/>
          <w:szCs w:val="18"/>
          <w:color w:val="auto"/>
        </w:rPr>
      </w:pPr>
    </w:p>
    <w:p>
      <w:pPr>
        <w:ind w:right="20" w:firstLine="1735"/>
        <w:spacing w:after="0" w:line="272" w:lineRule="auto"/>
        <w:tabs>
          <w:tab w:leader="none" w:pos="231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Sponsor Guarantor is and, after entry into this Agreement, will be solvent. For purposes of the preceding sentence, “solvent” means (i) the fair saleable value (on a going concern basis) of the Sponsor Guarantor’s assets exceed its liabilities, contingent or otherwise, fairly valued, (ii) the Sponsor Guarantor will be able to pay its debts as they become due and</w:t>
      </w:r>
    </w:p>
    <w:p>
      <w:pPr>
        <w:spacing w:after="0" w:line="1" w:lineRule="exact"/>
        <w:rPr>
          <w:rFonts w:ascii="Arial" w:cs="Arial" w:eastAsia="Arial" w:hAnsi="Arial"/>
          <w:sz w:val="17"/>
          <w:szCs w:val="17"/>
          <w:color w:val="auto"/>
        </w:rPr>
      </w:pPr>
    </w:p>
    <w:p>
      <w:pPr>
        <w:ind w:firstLine="6"/>
        <w:spacing w:after="0" w:line="266" w:lineRule="auto"/>
        <w:tabs>
          <w:tab w:leader="none" w:pos="28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paying its debts as they become due, the Sponsor Guarantor will not be left with unreasonably small capital as is necessary to satisfy all of its current and reasonably anticipated obligations.</w:t>
      </w:r>
    </w:p>
    <w:p>
      <w:pPr>
        <w:spacing w:after="0" w:line="147" w:lineRule="exact"/>
        <w:rPr>
          <w:sz w:val="20"/>
          <w:szCs w:val="20"/>
          <w:color w:val="auto"/>
        </w:rPr>
      </w:pPr>
    </w:p>
    <w:p>
      <w:pPr>
        <w:ind w:firstLine="576"/>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b w:val="1"/>
          <w:bCs w:val="1"/>
          <w:color w:val="auto"/>
        </w:rPr>
        <w:t>Full Disclosure</w:t>
      </w:r>
      <w:r>
        <w:rPr>
          <w:rFonts w:ascii="Arial" w:cs="Arial" w:eastAsia="Arial" w:hAnsi="Arial"/>
          <w:sz w:val="18"/>
          <w:szCs w:val="18"/>
          <w:color w:val="auto"/>
        </w:rPr>
        <w:t>. The statements and information contained in the Financing Documents, taken together with all documents, reports or other written information pertaining to any Project that have been furnished by or on behalf of any Recipient Party to the Department or any Consultant from time to time, are true and correct in all material respects and do not contain any material misstatement of fact or omit to state a material fact or any fact necessary to make the statements contained therein not materially misleading at the time they were made.</w:t>
      </w:r>
    </w:p>
    <w:p>
      <w:pPr>
        <w:spacing w:after="0" w:line="156" w:lineRule="exact"/>
        <w:rPr>
          <w:sz w:val="20"/>
          <w:szCs w:val="20"/>
          <w:color w:val="auto"/>
        </w:rPr>
      </w:pPr>
    </w:p>
    <w:p>
      <w:pPr>
        <w:ind w:right="120" w:firstLine="576"/>
        <w:spacing w:after="0" w:line="269"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b w:val="1"/>
          <w:bCs w:val="1"/>
          <w:color w:val="auto"/>
        </w:rPr>
        <w:t>No Immunity</w:t>
      </w:r>
      <w:r>
        <w:rPr>
          <w:rFonts w:ascii="Arial" w:cs="Arial" w:eastAsia="Arial" w:hAnsi="Arial"/>
          <w:sz w:val="18"/>
          <w:szCs w:val="18"/>
          <w:color w:val="auto"/>
        </w:rPr>
        <w:t>. No Recipient Party nor any of their respective assets is entitled to immunity in any jurisdiction in which judicial proceedings would reasonably be expected at any time to be commenced with respect to this Agreement or any other Financing Document.</w:t>
      </w:r>
    </w:p>
    <w:p>
      <w:pPr>
        <w:spacing w:after="0" w:line="144" w:lineRule="exact"/>
        <w:rPr>
          <w:sz w:val="20"/>
          <w:szCs w:val="20"/>
          <w:color w:val="auto"/>
        </w:rPr>
      </w:pPr>
    </w:p>
    <w:p>
      <w:pPr>
        <w:ind w:right="20" w:firstLine="576"/>
        <w:spacing w:after="0" w:line="25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b w:val="1"/>
          <w:bCs w:val="1"/>
          <w:color w:val="auto"/>
        </w:rPr>
        <w:t>No Federal Debt Delinquency</w:t>
      </w:r>
      <w:r>
        <w:rPr>
          <w:rFonts w:ascii="Arial" w:cs="Arial" w:eastAsia="Arial" w:hAnsi="Arial"/>
          <w:sz w:val="18"/>
          <w:szCs w:val="18"/>
          <w:color w:val="auto"/>
        </w:rPr>
        <w:t>. No Recipient Party has (a) any judgment Lien against any of its Property for a debt owed to the United States; or (b) any Indebtedness owed to the United States or any Governmental Authority thereof that is in delinquent status, as the term “delinquent status” is defined in 31 C.F.R. 285.13(d), including any Tax liabilities (other than those Taxes that it is contesting in good faith and by appropriate proceedings), for which reserves have been established to the extent required by the Applicable Accounting Requirements except to the extent such delinquency has been resolved with the appropriate Governmental Authority in accordance with Applicable Law.</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b w:val="1"/>
          <w:bCs w:val="1"/>
          <w:color w:val="auto"/>
        </w:rPr>
        <w:t>No Debarment</w:t>
      </w:r>
      <w:r>
        <w:rPr>
          <w:rFonts w:ascii="Arial" w:cs="Arial" w:eastAsia="Arial" w:hAnsi="Arial"/>
          <w:sz w:val="18"/>
          <w:szCs w:val="18"/>
          <w:color w:val="auto"/>
        </w:rPr>
        <w:t>.</w:t>
      </w:r>
    </w:p>
    <w:p>
      <w:pPr>
        <w:spacing w:after="0" w:line="201" w:lineRule="exact"/>
        <w:rPr>
          <w:sz w:val="20"/>
          <w:szCs w:val="20"/>
          <w:color w:val="auto"/>
        </w:rPr>
      </w:pPr>
    </w:p>
    <w:p>
      <w:pPr>
        <w:jc w:val="both"/>
        <w:ind w:right="100" w:firstLine="1735"/>
        <w:spacing w:after="0" w:line="269" w:lineRule="auto"/>
        <w:tabs>
          <w:tab w:leader="none" w:pos="232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event has occurred and no condition exists that is likely to result in the debarment or suspension of any Recipient Party or their respective members, directors, officers or employees from contracting with the U.S. government or any agency or instrumentality thereof.</w:t>
      </w:r>
    </w:p>
    <w:p>
      <w:pPr>
        <w:spacing w:after="0" w:line="144" w:lineRule="exact"/>
        <w:rPr>
          <w:rFonts w:ascii="Arial" w:cs="Arial" w:eastAsia="Arial" w:hAnsi="Arial"/>
          <w:sz w:val="18"/>
          <w:szCs w:val="18"/>
          <w:color w:val="auto"/>
        </w:rPr>
      </w:pPr>
    </w:p>
    <w:p>
      <w:pPr>
        <w:ind w:right="200" w:firstLine="1735"/>
        <w:spacing w:after="0" w:line="287" w:lineRule="auto"/>
        <w:tabs>
          <w:tab w:leader="none" w:pos="231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Recipient Party nor any of their respective members, directors or officers is or has been subject to any debarment or suspension.</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b w:val="1"/>
          <w:bCs w:val="1"/>
          <w:color w:val="auto"/>
        </w:rPr>
        <w:t>Information Technology; Cyber Security</w:t>
      </w:r>
      <w:r>
        <w:rPr>
          <w:rFonts w:ascii="Arial" w:cs="Arial" w:eastAsia="Arial" w:hAnsi="Arial"/>
          <w:sz w:val="18"/>
          <w:szCs w:val="18"/>
          <w:color w:val="auto"/>
        </w:rPr>
        <w:t>.</w:t>
      </w:r>
    </w:p>
    <w:p>
      <w:pPr>
        <w:spacing w:after="0" w:line="201" w:lineRule="exact"/>
        <w:rPr>
          <w:sz w:val="20"/>
          <w:szCs w:val="20"/>
          <w:color w:val="auto"/>
        </w:rPr>
      </w:pPr>
    </w:p>
    <w:p>
      <w:pPr>
        <w:ind w:right="140" w:firstLine="1735"/>
        <w:spacing w:after="0" w:line="296" w:lineRule="auto"/>
        <w:tabs>
          <w:tab w:leader="none" w:pos="232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technology (including data communications systems, equipment and devices) used in the business of the Sponsor Guarantor (collectively, the “</w:t>
      </w:r>
      <w:r>
        <w:rPr>
          <w:rFonts w:ascii="Arial" w:cs="Arial" w:eastAsia="Arial" w:hAnsi="Arial"/>
          <w:sz w:val="18"/>
          <w:szCs w:val="18"/>
          <w:b w:val="1"/>
          <w:bCs w:val="1"/>
          <w:color w:val="auto"/>
        </w:rPr>
        <w:t>IT Systems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ectPr>
          <w:pgSz w:w="11900" w:h="16840" w:orient="portrait"/>
          <w:cols w:equalWidth="0" w:num="1">
            <w:col w:w="10560"/>
          </w:cols>
          <w:pgMar w:left="660" w:top="1440" w:right="680" w:bottom="1440" w:gutter="0" w:footer="0" w:header="0"/>
        </w:sectPr>
      </w:pPr>
    </w:p>
    <w:bookmarkStart w:id="165" w:name="page166"/>
    <w:bookmarkEnd w:id="165"/>
    <w:p>
      <w:pPr>
        <w:spacing w:after="0" w:line="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operates and performs in all material respects as necessary: (i) for the development, design, engineering, procurement, construction, starting up, commissioning, ownership, operation or maintenance of the Projects; (ii) to complete the activities designated to achieve each Project Completion Date; and (iii) to exercise the Sponsor Guarantor’s rights and perform its obligations under the Financing Documents in a timely manner.</w:t>
      </w:r>
    </w:p>
    <w:p>
      <w:pPr>
        <w:spacing w:after="0" w:line="152" w:lineRule="exact"/>
        <w:rPr>
          <w:sz w:val="20"/>
          <w:szCs w:val="20"/>
          <w:color w:val="auto"/>
        </w:rPr>
      </w:pPr>
    </w:p>
    <w:p>
      <w:pPr>
        <w:ind w:right="140" w:firstLine="1735"/>
        <w:spacing w:after="0" w:line="256" w:lineRule="auto"/>
        <w:tabs>
          <w:tab w:leader="none" w:pos="231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Sponsor Guarantor has implemented and maintains, and has caused, or no later than the first Disbursement Date for the relevant Project, will have caused, each Recipient to implement and maintain in connection with each Project, commercially reasonable privacy, information security, cyber security, disaster recovery, business continuity, data backup and incident response plans, policies and procedures consistent with Prudent Industry Practice (including administrative, technical and physical safeguards) designed to protect: (i) Sensitive Information from any unauthorized, accidental, or unlawful Processing or loss; (ii) each applicable IT System from any unauthorized or unlawful access, acquisition, use, control, disruption, destruction, or modification; and (iii) the integrity, security and availability of the Sensitive Information and IT Systems.</w:t>
      </w:r>
    </w:p>
    <w:p>
      <w:pPr>
        <w:spacing w:after="0" w:line="159" w:lineRule="exact"/>
        <w:rPr>
          <w:sz w:val="20"/>
          <w:szCs w:val="20"/>
          <w:color w:val="auto"/>
        </w:rPr>
      </w:pPr>
    </w:p>
    <w:p>
      <w:pPr>
        <w:ind w:right="320" w:firstLine="576"/>
        <w:spacing w:after="0" w:line="26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b w:val="1"/>
          <w:bCs w:val="1"/>
          <w:color w:val="auto"/>
        </w:rPr>
        <w:t>Acknowledgement Regarding Use of Data</w:t>
      </w:r>
      <w:r>
        <w:rPr>
          <w:rFonts w:ascii="Arial" w:cs="Arial" w:eastAsia="Arial" w:hAnsi="Arial"/>
          <w:sz w:val="18"/>
          <w:szCs w:val="18"/>
          <w:color w:val="auto"/>
        </w:rPr>
        <w:t>. The Sponsor Guarantor has taken commercially reasonable measures to safeguard protected personally identifiable information and other confidential or sensitive personal or business information created or obtained in connection with the Award.</w:t>
      </w:r>
    </w:p>
    <w:p>
      <w:pPr>
        <w:spacing w:after="0" w:line="144" w:lineRule="exact"/>
        <w:rPr>
          <w:sz w:val="20"/>
          <w:szCs w:val="20"/>
          <w:color w:val="auto"/>
        </w:rPr>
      </w:pPr>
    </w:p>
    <w:p>
      <w:pPr>
        <w:ind w:right="220" w:firstLine="576"/>
        <w:spacing w:after="0" w:line="287"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b w:val="1"/>
          <w:bCs w:val="1"/>
          <w:color w:val="auto"/>
        </w:rPr>
        <w:t>Financing Documents</w:t>
      </w:r>
      <w:r>
        <w:rPr>
          <w:rFonts w:ascii="Arial" w:cs="Arial" w:eastAsia="Arial" w:hAnsi="Arial"/>
          <w:sz w:val="18"/>
          <w:szCs w:val="18"/>
          <w:color w:val="auto"/>
        </w:rPr>
        <w:t>. The Sponsor Guarantor has received a copy of each of the Financing Documents, including each DFA.</w:t>
      </w:r>
    </w:p>
    <w:p>
      <w:pPr>
        <w:spacing w:after="0" w:line="129" w:lineRule="exact"/>
        <w:rPr>
          <w:sz w:val="20"/>
          <w:szCs w:val="20"/>
          <w:color w:val="auto"/>
        </w:rPr>
      </w:pPr>
    </w:p>
    <w:p>
      <w:pPr>
        <w:ind w:right="480" w:firstLine="576"/>
        <w:spacing w:after="0" w:line="287"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b w:val="1"/>
          <w:bCs w:val="1"/>
          <w:color w:val="auto"/>
        </w:rPr>
        <w:t>Required Approvals</w:t>
      </w:r>
      <w:r>
        <w:rPr>
          <w:rFonts w:ascii="Arial" w:cs="Arial" w:eastAsia="Arial" w:hAnsi="Arial"/>
          <w:sz w:val="18"/>
          <w:szCs w:val="18"/>
          <w:color w:val="auto"/>
        </w:rPr>
        <w:t>. The Sponsor Guarantor is in compliance in all material respects with all Required Approvals that have been obtained by, or are otherwise applicable to, the Sponsor Guarantor.</w:t>
      </w:r>
    </w:p>
    <w:p>
      <w:pPr>
        <w:spacing w:after="0" w:line="129" w:lineRule="exact"/>
        <w:rPr>
          <w:sz w:val="20"/>
          <w:szCs w:val="20"/>
          <w:color w:val="auto"/>
        </w:rPr>
      </w:pPr>
    </w:p>
    <w:p>
      <w:pPr>
        <w:ind w:firstLine="576"/>
        <w:spacing w:after="0" w:line="257"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b w:val="1"/>
          <w:bCs w:val="1"/>
          <w:color w:val="auto"/>
        </w:rPr>
        <w:t>Litigation</w:t>
      </w:r>
      <w:r>
        <w:rPr>
          <w:rFonts w:ascii="Arial" w:cs="Arial" w:eastAsia="Arial" w:hAnsi="Arial"/>
          <w:sz w:val="18"/>
          <w:szCs w:val="18"/>
          <w:color w:val="auto"/>
        </w:rPr>
        <w:t>. Except (x) as expressly set forth on Schedule E (</w:t>
      </w:r>
      <w:r>
        <w:rPr>
          <w:rFonts w:ascii="Arial" w:cs="Arial" w:eastAsia="Arial" w:hAnsi="Arial"/>
          <w:sz w:val="18"/>
          <w:szCs w:val="18"/>
          <w:i w:val="1"/>
          <w:iCs w:val="1"/>
          <w:color w:val="auto"/>
        </w:rPr>
        <w:t>Litigation</w:t>
      </w:r>
      <w:r>
        <w:rPr>
          <w:rFonts w:ascii="Arial" w:cs="Arial" w:eastAsia="Arial" w:hAnsi="Arial"/>
          <w:sz w:val="18"/>
          <w:szCs w:val="18"/>
          <w:color w:val="auto"/>
        </w:rPr>
        <w:t>) of each DFA (as such schedule may be updated from time to time upon written notice to the Department), and (y) as set forth in forms, reports, statements or certifications and other documents (including all exhibits, amendments and supplements thereto) furnished to or filed from time to time (including after the date hereof) with the U.S. Securities and Exchange Commission by the Sponsor Guarantor, there is no pending material Action or, to the Sponsor Guarantor’s Knowledge, threatened Action (in writing) that the Sponsor Guarantor reasonably believes is likely to result in a material Action that relates to:</w:t>
      </w:r>
    </w:p>
    <w:p>
      <w:pPr>
        <w:spacing w:after="0" w:line="159" w:lineRule="exact"/>
        <w:rPr>
          <w:sz w:val="20"/>
          <w:szCs w:val="20"/>
          <w:color w:val="auto"/>
        </w:rPr>
      </w:pPr>
    </w:p>
    <w:p>
      <w:pPr>
        <w:ind w:left="2340" w:hanging="605"/>
        <w:spacing w:after="0"/>
        <w:tabs>
          <w:tab w:leader="none" w:pos="2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legality, validity or enforceability of this Agreement or to any transaction contemplated hereunder;</w:t>
      </w:r>
    </w:p>
    <w:p>
      <w:pPr>
        <w:spacing w:after="0" w:line="129" w:lineRule="exact"/>
        <w:rPr>
          <w:rFonts w:ascii="Arial" w:cs="Arial" w:eastAsia="Arial" w:hAnsi="Arial"/>
          <w:sz w:val="18"/>
          <w:szCs w:val="18"/>
          <w:color w:val="auto"/>
        </w:rPr>
      </w:pPr>
    </w:p>
    <w:p>
      <w:pPr>
        <w:ind w:left="2320" w:hanging="585"/>
        <w:spacing w:after="0"/>
        <w:tabs>
          <w:tab w:leader="none" w:pos="2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Project and that has, or would reasonably be expected to cause, a Material Adverse Effect; or</w:t>
      </w:r>
    </w:p>
    <w:p>
      <w:pPr>
        <w:spacing w:after="0" w:line="129" w:lineRule="exact"/>
        <w:rPr>
          <w:rFonts w:ascii="Arial" w:cs="Arial" w:eastAsia="Arial" w:hAnsi="Arial"/>
          <w:sz w:val="18"/>
          <w:szCs w:val="18"/>
          <w:color w:val="auto"/>
        </w:rPr>
      </w:pPr>
    </w:p>
    <w:p>
      <w:pPr>
        <w:ind w:right="20" w:firstLine="1735"/>
        <w:spacing w:after="0" w:line="287" w:lineRule="auto"/>
        <w:tabs>
          <w:tab w:leader="none" w:pos="23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Recipient Party that, either individually or in the aggregate, has, or could reasonably be expected to cause, a Material Adverse Effect.</w:t>
      </w:r>
    </w:p>
    <w:p>
      <w:pPr>
        <w:spacing w:after="0" w:line="5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COVENANTS</w:t>
      </w:r>
    </w:p>
    <w:p>
      <w:pPr>
        <w:spacing w:after="0" w:line="201" w:lineRule="exact"/>
        <w:rPr>
          <w:sz w:val="20"/>
          <w:szCs w:val="20"/>
          <w:color w:val="auto"/>
        </w:rPr>
      </w:pPr>
    </w:p>
    <w:p>
      <w:pPr>
        <w:ind w:right="420" w:firstLine="576"/>
        <w:spacing w:after="0" w:line="269" w:lineRule="auto"/>
        <w:rPr>
          <w:sz w:val="20"/>
          <w:szCs w:val="20"/>
          <w:color w:val="auto"/>
        </w:rPr>
      </w:pPr>
      <w:r>
        <w:rPr>
          <w:rFonts w:ascii="Arial" w:cs="Arial" w:eastAsia="Arial" w:hAnsi="Arial"/>
          <w:sz w:val="18"/>
          <w:szCs w:val="18"/>
          <w:color w:val="auto"/>
        </w:rPr>
        <w:t>The Sponsor Guarantor covenants and agrees that, unless the Department waives compliance in writing, the Sponsor Guarantor shall, at its own expense, furnish, or cause to be furnished, to the Department all information as and when required in accordance with Annex F (</w:t>
      </w:r>
      <w:r>
        <w:rPr>
          <w:rFonts w:ascii="Arial" w:cs="Arial" w:eastAsia="Arial" w:hAnsi="Arial"/>
          <w:sz w:val="18"/>
          <w:szCs w:val="18"/>
          <w:i w:val="1"/>
          <w:iCs w:val="1"/>
          <w:color w:val="auto"/>
        </w:rPr>
        <w:t>Reporting Covenants</w:t>
      </w:r>
      <w:r>
        <w:rPr>
          <w:rFonts w:ascii="Arial" w:cs="Arial" w:eastAsia="Arial" w:hAnsi="Arial"/>
          <w:sz w:val="18"/>
          <w:szCs w:val="18"/>
          <w:color w:val="auto"/>
        </w:rPr>
        <w:t>) of each DFA.</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ectPr>
          <w:pgSz w:w="11900" w:h="16840" w:orient="portrait"/>
          <w:cols w:equalWidth="0" w:num="1">
            <w:col w:w="10580"/>
          </w:cols>
          <w:pgMar w:left="660" w:top="1440" w:right="660" w:bottom="1440" w:gutter="0" w:footer="0" w:header="0"/>
        </w:sectPr>
      </w:pPr>
    </w:p>
    <w:bookmarkStart w:id="166" w:name="page167"/>
    <w:bookmarkEnd w:id="166"/>
    <w:p>
      <w:pPr>
        <w:spacing w:after="0" w:line="2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01" w:lineRule="exact"/>
        <w:rPr>
          <w:sz w:val="20"/>
          <w:szCs w:val="20"/>
          <w:color w:val="auto"/>
        </w:rPr>
      </w:pPr>
    </w:p>
    <w:p>
      <w:pPr>
        <w:ind w:right="60" w:firstLine="576"/>
        <w:spacing w:after="0" w:line="287"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b w:val="1"/>
          <w:bCs w:val="1"/>
          <w:color w:val="auto"/>
        </w:rPr>
        <w:t>Affirmative Covenants during the Period of Performance</w:t>
      </w:r>
      <w:r>
        <w:rPr>
          <w:rFonts w:ascii="Arial" w:cs="Arial" w:eastAsia="Arial" w:hAnsi="Arial"/>
          <w:sz w:val="18"/>
          <w:szCs w:val="18"/>
          <w:color w:val="auto"/>
        </w:rPr>
        <w:t>. The Sponsor Guarantor covenants and agrees that during the applicable Period of Performance under each DFA, unless the Department waives compliance in writing:</w:t>
      </w:r>
    </w:p>
    <w:p>
      <w:pPr>
        <w:spacing w:after="0" w:line="129" w:lineRule="exact"/>
        <w:rPr>
          <w:sz w:val="20"/>
          <w:szCs w:val="20"/>
          <w:color w:val="auto"/>
        </w:rPr>
      </w:pPr>
    </w:p>
    <w:p>
      <w:pPr>
        <w:ind w:right="420" w:firstLine="576"/>
        <w:spacing w:after="0" w:line="28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b w:val="1"/>
          <w:bCs w:val="1"/>
          <w:color w:val="auto"/>
        </w:rPr>
        <w:t>Compliance with Applicable Law</w:t>
      </w:r>
      <w:r>
        <w:rPr>
          <w:rFonts w:ascii="Arial" w:cs="Arial" w:eastAsia="Arial" w:hAnsi="Arial"/>
          <w:sz w:val="18"/>
          <w:szCs w:val="18"/>
          <w:color w:val="auto"/>
        </w:rPr>
        <w:t>. The Sponsor Guarantor shall comply with and conduct its business, operations, assets, equipment, property, leaseholds in compliance with:</w:t>
      </w:r>
    </w:p>
    <w:p>
      <w:pPr>
        <w:spacing w:after="0" w:line="129" w:lineRule="exact"/>
        <w:rPr>
          <w:sz w:val="20"/>
          <w:szCs w:val="20"/>
          <w:color w:val="auto"/>
        </w:rPr>
      </w:pPr>
    </w:p>
    <w:p>
      <w:pPr>
        <w:ind w:left="2340" w:hanging="605"/>
        <w:spacing w:after="0"/>
        <w:tabs>
          <w:tab w:leader="none" w:pos="2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CHIPS Act;</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Program Fraud Civil Remedies Act (31 U.S.C. § 3801 et seq.);</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False Claims Amendments Act of 1986 (18 U.S.C. § 287);</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False Statements Accountability Act of 1996 (18 U.S.C. § 1001);</w:t>
      </w:r>
    </w:p>
    <w:p>
      <w:pPr>
        <w:spacing w:after="0" w:line="201" w:lineRule="exact"/>
        <w:rPr>
          <w:rFonts w:ascii="Arial" w:cs="Arial" w:eastAsia="Arial" w:hAnsi="Arial"/>
          <w:sz w:val="18"/>
          <w:szCs w:val="18"/>
          <w:color w:val="auto"/>
        </w:rPr>
      </w:pPr>
    </w:p>
    <w:p>
      <w:pPr>
        <w:ind w:left="2320" w:hanging="585"/>
        <w:spacing w:after="0"/>
        <w:tabs>
          <w:tab w:leader="none" w:pos="2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Civil False Claims Act (31 U.S.C. §§ 3729 - 3733);</w:t>
      </w:r>
    </w:p>
    <w:p>
      <w:pPr>
        <w:spacing w:after="0" w:line="201" w:lineRule="exact"/>
        <w:rPr>
          <w:rFonts w:ascii="Arial" w:cs="Arial" w:eastAsia="Arial" w:hAnsi="Arial"/>
          <w:sz w:val="18"/>
          <w:szCs w:val="18"/>
          <w:color w:val="auto"/>
        </w:rPr>
      </w:pPr>
    </w:p>
    <w:p>
      <w:pPr>
        <w:ind w:right="160" w:firstLine="1735"/>
        <w:spacing w:after="0" w:line="287" w:lineRule="auto"/>
        <w:tabs>
          <w:tab w:leader="none" w:pos="23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mitigation measures and best management practices set forth in any NEPA decision document of the Department relating to the Projects;</w:t>
      </w:r>
    </w:p>
    <w:p>
      <w:pPr>
        <w:spacing w:after="0" w:line="129" w:lineRule="exact"/>
        <w:rPr>
          <w:rFonts w:ascii="Arial" w:cs="Arial" w:eastAsia="Arial" w:hAnsi="Arial"/>
          <w:sz w:val="18"/>
          <w:szCs w:val="18"/>
          <w:color w:val="auto"/>
        </w:rPr>
      </w:pPr>
    </w:p>
    <w:p>
      <w:pPr>
        <w:ind w:right="380" w:firstLine="1735"/>
        <w:spacing w:after="0" w:line="287" w:lineRule="auto"/>
        <w:tabs>
          <w:tab w:leader="none" w:pos="23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Uniform Relocation Assistance and Real Property Acquisition Policies Act of 1970 (42 U.S.C. § 4601 et seq.) in all material respects;</w:t>
      </w:r>
    </w:p>
    <w:p>
      <w:pPr>
        <w:spacing w:after="0" w:line="129" w:lineRule="exact"/>
        <w:rPr>
          <w:rFonts w:ascii="Arial" w:cs="Arial" w:eastAsia="Arial" w:hAnsi="Arial"/>
          <w:sz w:val="18"/>
          <w:szCs w:val="18"/>
          <w:color w:val="auto"/>
        </w:rPr>
      </w:pPr>
    </w:p>
    <w:p>
      <w:pPr>
        <w:jc w:val="both"/>
        <w:ind w:right="120" w:firstLine="1735"/>
        <w:spacing w:after="0" w:line="269" w:lineRule="auto"/>
        <w:tabs>
          <w:tab w:leader="none" w:pos="23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all applicable federal labor and employment laws, including Title VII of the Civil Rights Act of 1964 (42 U.S.C. § 2000e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Fair Labor Standards Act (29 U.S.C. § 203), the Occupational Safety and Health Act (29 U.S.C. § 653) and the National Labor Relations Act (29 U.S.C. § 151 </w:t>
      </w:r>
      <w:r>
        <w:rPr>
          <w:rFonts w:ascii="Arial" w:cs="Arial" w:eastAsia="Arial" w:hAnsi="Arial"/>
          <w:sz w:val="18"/>
          <w:szCs w:val="18"/>
          <w:i w:val="1"/>
          <w:iCs w:val="1"/>
          <w:color w:val="auto"/>
        </w:rPr>
        <w:t>et seq</w:t>
      </w:r>
      <w:r>
        <w:rPr>
          <w:rFonts w:ascii="Arial" w:cs="Arial" w:eastAsia="Arial" w:hAnsi="Arial"/>
          <w:sz w:val="18"/>
          <w:szCs w:val="18"/>
          <w:color w:val="auto"/>
        </w:rPr>
        <w:t>.) in all material respects;</w:t>
      </w:r>
    </w:p>
    <w:p>
      <w:pPr>
        <w:spacing w:after="0" w:line="144" w:lineRule="exact"/>
        <w:rPr>
          <w:rFonts w:ascii="Arial" w:cs="Arial" w:eastAsia="Arial" w:hAnsi="Arial"/>
          <w:sz w:val="18"/>
          <w:szCs w:val="18"/>
          <w:color w:val="auto"/>
        </w:rPr>
      </w:pPr>
    </w:p>
    <w:p>
      <w:pPr>
        <w:ind w:firstLine="1735"/>
        <w:spacing w:after="0" w:line="259" w:lineRule="auto"/>
        <w:tabs>
          <w:tab w:leader="none" w:pos="23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applicable Export Control Laws in all respects, except for any actual or potential violations that involve only unintentional minor, technical infractions, which either (A) were voluntarily self-disclosed to BIS within sixty (60) days of any Recipient Party becoming aware of the violation, and, within sixty (60) days of disclosure resulted in the issuance of a warning or no action letter by BIS; or (B) otherwise could not reasonably be expected to give rise to an enforcement action, or the imposition of any fine or penalty by any Governmental Authority; and</w:t>
      </w:r>
    </w:p>
    <w:p>
      <w:pPr>
        <w:spacing w:after="0" w:line="155" w:lineRule="exact"/>
        <w:rPr>
          <w:rFonts w:ascii="Arial" w:cs="Arial" w:eastAsia="Arial" w:hAnsi="Arial"/>
          <w:sz w:val="18"/>
          <w:szCs w:val="18"/>
          <w:color w:val="auto"/>
        </w:rPr>
      </w:pPr>
    </w:p>
    <w:p>
      <w:pPr>
        <w:ind w:left="2320" w:hanging="585"/>
        <w:spacing w:after="0"/>
        <w:tabs>
          <w:tab w:leader="none" w:pos="2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prejudice to this Section 12.1.1 (</w:t>
      </w:r>
      <w:r>
        <w:rPr>
          <w:rFonts w:ascii="Arial" w:cs="Arial" w:eastAsia="Arial" w:hAnsi="Arial"/>
          <w:sz w:val="18"/>
          <w:szCs w:val="18"/>
          <w:b w:val="1"/>
          <w:bCs w:val="1"/>
          <w:color w:val="auto"/>
        </w:rPr>
        <w:t>Compliance with Applicable Law</w:t>
      </w:r>
      <w:r>
        <w:rPr>
          <w:rFonts w:ascii="Arial" w:cs="Arial" w:eastAsia="Arial" w:hAnsi="Arial"/>
          <w:sz w:val="18"/>
          <w:szCs w:val="18"/>
          <w:color w:val="auto"/>
        </w:rPr>
        <w:t>) and Section 12.1.4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Requirements</w:t>
      </w:r>
      <w:r>
        <w:rPr>
          <w:rFonts w:ascii="Arial" w:cs="Arial" w:eastAsia="Arial" w:hAnsi="Arial"/>
          <w:sz w:val="18"/>
          <w:szCs w:val="18"/>
          <w:color w:val="auto"/>
        </w:rPr>
        <w:t>), with all other Applicable Law in all material respects.</w:t>
      </w:r>
    </w:p>
    <w:p>
      <w:pPr>
        <w:spacing w:after="0" w:line="183" w:lineRule="exact"/>
        <w:rPr>
          <w:sz w:val="20"/>
          <w:szCs w:val="20"/>
          <w:color w:val="auto"/>
        </w:rPr>
      </w:pPr>
    </w:p>
    <w:p>
      <w:pPr>
        <w:ind w:right="40" w:firstLine="576"/>
        <w:spacing w:after="0" w:line="262"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b w:val="1"/>
          <w:bCs w:val="1"/>
          <w:color w:val="auto"/>
        </w:rPr>
        <w:t>Taxes</w:t>
      </w:r>
      <w:r>
        <w:rPr>
          <w:rFonts w:ascii="Arial" w:cs="Arial" w:eastAsia="Arial" w:hAnsi="Arial"/>
          <w:sz w:val="18"/>
          <w:szCs w:val="18"/>
          <w:color w:val="auto"/>
        </w:rPr>
        <w:t>. The Sponsor Guarantor shall file all tax returns required by Applicable Laws to be filed by it and shall pay or cause to be paid on or before the date payment is due (a) all income Taxes required to be paid by it; and (b) all other material Taxes and assessments required to be paid by it (other than those Taxes that it contests in good faith and by appropriate proceedings, for which reserves are established to the extent required by the Applicable Accounting Requirements).</w:t>
      </w:r>
    </w:p>
    <w:p>
      <w:pPr>
        <w:spacing w:after="0" w:line="152" w:lineRule="exact"/>
        <w:rPr>
          <w:sz w:val="20"/>
          <w:szCs w:val="20"/>
          <w:color w:val="auto"/>
        </w:rPr>
      </w:pPr>
    </w:p>
    <w:p>
      <w:pPr>
        <w:jc w:val="both"/>
        <w:ind w:right="440" w:firstLine="576"/>
        <w:spacing w:after="0" w:line="269"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b w:val="1"/>
          <w:bCs w:val="1"/>
          <w:color w:val="auto"/>
        </w:rPr>
        <w:t>Public Announcements</w:t>
      </w:r>
      <w:r>
        <w:rPr>
          <w:rFonts w:ascii="Arial" w:cs="Arial" w:eastAsia="Arial" w:hAnsi="Arial"/>
          <w:sz w:val="18"/>
          <w:szCs w:val="18"/>
          <w:color w:val="auto"/>
        </w:rPr>
        <w:t>. The Sponsor Guarantor shall, prior to the making thereof, provide reasonable advance notice to the Department with respect to any public announcement made by the Sponsor Guarantor or, to the Sponsor Guarantor’s Knowledge, any Recipient:</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ectPr>
          <w:pgSz w:w="11900" w:h="16840" w:orient="portrait"/>
          <w:cols w:equalWidth="0" w:num="1">
            <w:col w:w="10540"/>
          </w:cols>
          <w:pgMar w:left="660" w:top="1440" w:right="700" w:bottom="1440" w:gutter="0" w:footer="0" w:header="0"/>
        </w:sectPr>
      </w:pPr>
    </w:p>
    <w:bookmarkStart w:id="167" w:name="page168"/>
    <w:bookmarkEnd w:id="167"/>
    <w:p>
      <w:pPr>
        <w:spacing w:after="0" w:line="29" w:lineRule="exact"/>
        <w:rPr>
          <w:sz w:val="20"/>
          <w:szCs w:val="20"/>
          <w:color w:val="auto"/>
        </w:rPr>
      </w:pPr>
    </w:p>
    <w:p>
      <w:pPr>
        <w:jc w:val="both"/>
        <w:ind w:right="260" w:firstLine="1735"/>
        <w:spacing w:after="0" w:line="269" w:lineRule="auto"/>
        <w:tabs>
          <w:tab w:leader="none" w:pos="23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 connection with material developments in respect of any Project (including, </w:t>
      </w:r>
      <w:r>
        <w:rPr>
          <w:rFonts w:ascii="Arial" w:cs="Arial" w:eastAsia="Arial" w:hAnsi="Arial"/>
          <w:sz w:val="18"/>
          <w:szCs w:val="18"/>
          <w:i w:val="1"/>
          <w:iCs w:val="1"/>
          <w:color w:val="auto"/>
        </w:rPr>
        <w:t>inter alia</w:t>
      </w:r>
      <w:r>
        <w:rPr>
          <w:rFonts w:ascii="Arial" w:cs="Arial" w:eastAsia="Arial" w:hAnsi="Arial"/>
          <w:sz w:val="18"/>
          <w:szCs w:val="18"/>
          <w:color w:val="auto"/>
        </w:rPr>
        <w:t>, any Project’s ground-breaking ceremony or going into operation) or satisfaction of any Disbursement Milestone or the Capacity Ramp-Up Event under the VA DFA; and</w:t>
      </w:r>
    </w:p>
    <w:p>
      <w:pPr>
        <w:spacing w:after="0" w:line="72" w:lineRule="exact"/>
        <w:rPr>
          <w:rFonts w:ascii="Arial" w:cs="Arial" w:eastAsia="Arial" w:hAnsi="Arial"/>
          <w:sz w:val="18"/>
          <w:szCs w:val="18"/>
          <w:color w:val="auto"/>
        </w:rPr>
      </w:pPr>
    </w:p>
    <w:p>
      <w:pPr>
        <w:ind w:firstLine="1735"/>
        <w:spacing w:after="0" w:line="257" w:lineRule="auto"/>
        <w:tabs>
          <w:tab w:leader="none" w:pos="23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directly refers to the Award, this Agreement, any Financing Document or any Award Document (including by submitting the full text of any proposed public statement to the Department for review and refraining from making any such public statement without the Department’s prior written approval), other than any such statements that are, as may be determined by any Recipient Party or any Affiliate thereof: (i) required by or to comply with Applicable Law or stock exchange rules or regulations applicable to such Person; or (ii) made in connection with any Action brought by or against any Recipient, the Sponsor Guarantor or any of its Affiliates.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b w:val="1"/>
          <w:bCs w:val="1"/>
          <w:color w:val="auto"/>
        </w:rPr>
        <w:t>Federal Requirements</w:t>
      </w:r>
      <w:r>
        <w:rPr>
          <w:rFonts w:ascii="Arial" w:cs="Arial" w:eastAsia="Arial" w:hAnsi="Arial"/>
          <w:sz w:val="18"/>
          <w:szCs w:val="18"/>
          <w:color w:val="auto"/>
        </w:rPr>
        <w:t>.</w:t>
      </w:r>
    </w:p>
    <w:p>
      <w:pPr>
        <w:spacing w:after="0" w:line="201" w:lineRule="exact"/>
        <w:rPr>
          <w:sz w:val="20"/>
          <w:szCs w:val="20"/>
          <w:color w:val="auto"/>
        </w:rPr>
      </w:pPr>
    </w:p>
    <w:p>
      <w:pPr>
        <w:ind w:left="2340" w:hanging="605"/>
        <w:spacing w:after="0"/>
        <w:tabs>
          <w:tab w:leader="none" w:pos="2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Sanctions, Export Control Laws, Anti-Money Laundering Laws, and Anti-Corruption Laws</w:t>
      </w:r>
      <w:r>
        <w:rPr>
          <w:rFonts w:ascii="Arial" w:cs="Arial" w:eastAsia="Arial" w:hAnsi="Arial"/>
          <w:sz w:val="18"/>
          <w:szCs w:val="18"/>
          <w:color w:val="auto"/>
        </w:rPr>
        <w:t>.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Sponsor Guarantor shall:</w:t>
      </w:r>
    </w:p>
    <w:p>
      <w:pPr>
        <w:spacing w:after="0" w:line="183" w:lineRule="exact"/>
        <w:rPr>
          <w:rFonts w:ascii="Arial" w:cs="Arial" w:eastAsia="Arial" w:hAnsi="Arial"/>
          <w:sz w:val="18"/>
          <w:szCs w:val="18"/>
          <w:color w:val="auto"/>
        </w:rPr>
      </w:pPr>
    </w:p>
    <w:p>
      <w:pPr>
        <w:ind w:right="20" w:firstLine="2311"/>
        <w:spacing w:after="0" w:line="269" w:lineRule="auto"/>
        <w:tabs>
          <w:tab w:leader="none" w:pos="288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comply with all Sanctions, Anti-Money Laundering Laws, and Anti-Corruption Laws in connection with its activity under this Agreement or any Financing Document or otherwise in connection with any Project or transaction contemplated by the Financing Documents;</w:t>
      </w:r>
    </w:p>
    <w:p>
      <w:pPr>
        <w:spacing w:after="0" w:line="144" w:lineRule="exact"/>
        <w:rPr>
          <w:rFonts w:ascii="Arial" w:cs="Arial" w:eastAsia="Arial" w:hAnsi="Arial"/>
          <w:sz w:val="18"/>
          <w:szCs w:val="18"/>
          <w:color w:val="auto"/>
        </w:rPr>
      </w:pPr>
    </w:p>
    <w:p>
      <w:pPr>
        <w:ind w:right="140" w:firstLine="2311"/>
        <w:spacing w:after="0" w:line="259" w:lineRule="auto"/>
        <w:tabs>
          <w:tab w:leader="none" w:pos="289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comply with all applicable Export Control Laws in all respects. except for any actual or potential violations that involve only unintentional minor, technical infractions, which either (A) were voluntarily self-disclosed to BIS within sixty (60) days of any Recipient Party becoming aware of the violation, and, within sixty (60) days of disclosure resulted in the issuance of a warning or no action letter by BIS; or (B) otherwise could not reasonably be expected to give rise to an enforcement action, or the imposition of any fine or penalty by any Governmental Authority;</w:t>
      </w:r>
    </w:p>
    <w:p>
      <w:pPr>
        <w:spacing w:after="0" w:line="155" w:lineRule="exact"/>
        <w:rPr>
          <w:rFonts w:ascii="Arial" w:cs="Arial" w:eastAsia="Arial" w:hAnsi="Arial"/>
          <w:sz w:val="18"/>
          <w:szCs w:val="18"/>
          <w:color w:val="auto"/>
        </w:rPr>
      </w:pPr>
    </w:p>
    <w:p>
      <w:pPr>
        <w:ind w:left="2900" w:hanging="589"/>
        <w:spacing w:after="0"/>
        <w:tabs>
          <w:tab w:leader="none" w:pos="2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maintain in effect policies and procedures designed to promote and achieve compliance with all</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applicable Sanctions, Export Control Laws, Anti-Money Laundering Laws, and Anti-Corruption Laws;</w:t>
      </w:r>
    </w:p>
    <w:p>
      <w:pPr>
        <w:spacing w:after="0" w:line="183" w:lineRule="exact"/>
        <w:rPr>
          <w:rFonts w:ascii="Arial" w:cs="Arial" w:eastAsia="Arial" w:hAnsi="Arial"/>
          <w:sz w:val="18"/>
          <w:szCs w:val="18"/>
          <w:color w:val="auto"/>
        </w:rPr>
      </w:pPr>
    </w:p>
    <w:p>
      <w:pPr>
        <w:ind w:right="300" w:firstLine="2311"/>
        <w:spacing w:after="0" w:line="269" w:lineRule="auto"/>
        <w:tabs>
          <w:tab w:leader="none" w:pos="29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maintain in effect disclosure controls and procedures to provide reasonable assurance that material information regarding each Recipient’s compliance with Applicable Laws (including Sanctions, Export Control Laws, Anti-Money Laundering Laws, and Anti-Corruption Laws) is made known to Principal Persons of any Recipient; and</w:t>
      </w:r>
    </w:p>
    <w:p>
      <w:pPr>
        <w:spacing w:after="0" w:line="144" w:lineRule="exact"/>
        <w:rPr>
          <w:rFonts w:ascii="Arial" w:cs="Arial" w:eastAsia="Arial" w:hAnsi="Arial"/>
          <w:sz w:val="18"/>
          <w:szCs w:val="18"/>
          <w:color w:val="auto"/>
        </w:rPr>
      </w:pPr>
    </w:p>
    <w:p>
      <w:pPr>
        <w:ind w:right="200" w:firstLine="2311"/>
        <w:spacing w:after="0" w:line="269" w:lineRule="auto"/>
        <w:tabs>
          <w:tab w:leader="none" w:pos="289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take all responsible and prudent steps to ensure that each of its directors, officers, employees, agents, and representatives comply with applicable Sanctions, Export Control Laws, Anti-Money Laundering Laws and Anti-Corruption Laws.</w:t>
      </w:r>
    </w:p>
    <w:p>
      <w:pPr>
        <w:spacing w:after="0" w:line="144" w:lineRule="exact"/>
        <w:rPr>
          <w:rFonts w:ascii="Arial" w:cs="Arial" w:eastAsia="Arial" w:hAnsi="Arial"/>
          <w:sz w:val="18"/>
          <w:szCs w:val="18"/>
          <w:color w:val="auto"/>
        </w:rPr>
      </w:pPr>
    </w:p>
    <w:p>
      <w:pPr>
        <w:ind w:right="40" w:firstLine="1735"/>
        <w:spacing w:after="0" w:line="272" w:lineRule="auto"/>
        <w:tabs>
          <w:tab w:leader="none" w:pos="2317"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Prohibited Persons; Foreign Entities of Concern</w:t>
      </w:r>
      <w:r>
        <w:rPr>
          <w:rFonts w:ascii="Arial" w:cs="Arial" w:eastAsia="Arial" w:hAnsi="Arial"/>
          <w:sz w:val="17"/>
          <w:szCs w:val="17"/>
          <w:color w:val="auto"/>
        </w:rPr>
        <w:t>. The Sponsor Guarantor shall provide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Department as soon as practicable from the date that the Sponsor Guarantor knew or should have known that any Principal Person of the Sponsor Guarantor has become a Prohibited Person or the Sponsor Guarantor has become a Foreign Entity of Concern. For the purposes of this paragraph (b), (i) the date that the Sponsor Guarantor “should have known” such Principal Person became a Prohibited Person shall include, if applicable, (A) the date on which such Principal Person was identified on any Sanctions List; and (B) the date on which such Principal Person became domiciled in a Sanctioned Country; and (ii) the date that the Sponsor Guarantor “should have known” that the Sponsor Guarantor became a Foreign Entity of Concern shall include, if applicable, the date on which the change in ownership or management that made the Sponsor Guarantor a Foreign Entity of Concern occurred.</w:t>
      </w:r>
    </w:p>
    <w:p>
      <w:pPr>
        <w:spacing w:after="0" w:line="200" w:lineRule="exact"/>
        <w:rPr>
          <w:sz w:val="20"/>
          <w:szCs w:val="20"/>
          <w:color w:val="auto"/>
        </w:rPr>
      </w:pPr>
    </w:p>
    <w:p>
      <w:pPr>
        <w:spacing w:after="0" w:line="32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ectPr>
          <w:pgSz w:w="11900" w:h="16840" w:orient="portrait"/>
          <w:cols w:equalWidth="0" w:num="1">
            <w:col w:w="10580"/>
          </w:cols>
          <w:pgMar w:left="660" w:top="1440" w:right="660" w:bottom="1440" w:gutter="0" w:footer="0" w:header="0"/>
        </w:sectPr>
      </w:pPr>
    </w:p>
    <w:bookmarkStart w:id="168" w:name="page169"/>
    <w:bookmarkEnd w:id="168"/>
    <w:p>
      <w:pPr>
        <w:spacing w:after="0" w:line="29" w:lineRule="exact"/>
        <w:rPr>
          <w:sz w:val="20"/>
          <w:szCs w:val="20"/>
          <w:color w:val="auto"/>
        </w:rPr>
      </w:pPr>
    </w:p>
    <w:p>
      <w:pPr>
        <w:ind w:left="2320" w:hanging="585"/>
        <w:spacing w:after="0"/>
        <w:tabs>
          <w:tab w:leader="none" w:pos="232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Lobbying Restriction</w:t>
      </w:r>
      <w:r>
        <w:rPr>
          <w:rFonts w:ascii="Arial" w:cs="Arial" w:eastAsia="Arial" w:hAnsi="Arial"/>
          <w:sz w:val="18"/>
          <w:szCs w:val="18"/>
          <w:color w:val="auto"/>
        </w:rPr>
        <w:t>. The Sponsor Guarantor shall:</w:t>
      </w:r>
    </w:p>
    <w:p>
      <w:pPr>
        <w:spacing w:after="0" w:line="201" w:lineRule="exact"/>
        <w:rPr>
          <w:rFonts w:ascii="Arial" w:cs="Arial" w:eastAsia="Arial" w:hAnsi="Arial"/>
          <w:sz w:val="18"/>
          <w:szCs w:val="18"/>
          <w:color w:val="auto"/>
        </w:rPr>
      </w:pPr>
    </w:p>
    <w:p>
      <w:pPr>
        <w:ind w:right="140" w:firstLine="2311"/>
        <w:spacing w:after="0" w:line="259" w:lineRule="auto"/>
        <w:tabs>
          <w:tab w:leader="none" w:pos="288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comply with all requirements of 31 U.S.C. § 1352, as amended, including the requirement that no proceeds of any Disbursement be expended by any Recipient or any of their Affiliates to pay any Person for influencing or attempting to influence an officer or employee of any federal agency, a member of the U.S. Congress, an officer or employee of the U.S. Congress, or an employee of a member of Congress in connection with the making of the Award or any other action described in 31 U.S.C. § 1352(a)(2) and with the implementing regulations at 15 C.F.R. Part 28; and</w:t>
      </w:r>
    </w:p>
    <w:p>
      <w:pPr>
        <w:spacing w:after="0" w:line="155" w:lineRule="exact"/>
        <w:rPr>
          <w:rFonts w:ascii="Arial" w:cs="Arial" w:eastAsia="Arial" w:hAnsi="Arial"/>
          <w:sz w:val="18"/>
          <w:szCs w:val="18"/>
          <w:color w:val="auto"/>
        </w:rPr>
      </w:pPr>
    </w:p>
    <w:p>
      <w:pPr>
        <w:ind w:right="200" w:firstLine="2311"/>
        <w:spacing w:after="0" w:line="287" w:lineRule="auto"/>
        <w:tabs>
          <w:tab w:leader="none" w:pos="289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disclose to the Department any registrations as required under the Lobbying Disclosure Act (2 U.S.C. § 1601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or the Foreign Agents Registration Act (22 U.S.C. § 611 </w:t>
      </w:r>
      <w:r>
        <w:rPr>
          <w:rFonts w:ascii="Arial" w:cs="Arial" w:eastAsia="Arial" w:hAnsi="Arial"/>
          <w:sz w:val="18"/>
          <w:szCs w:val="18"/>
          <w:i w:val="1"/>
          <w:iCs w:val="1"/>
          <w:color w:val="auto"/>
        </w:rPr>
        <w:t>et seq</w:t>
      </w:r>
      <w:r>
        <w:rPr>
          <w:rFonts w:ascii="Arial" w:cs="Arial" w:eastAsia="Arial" w:hAnsi="Arial"/>
          <w:sz w:val="18"/>
          <w:szCs w:val="18"/>
          <w:color w:val="auto"/>
        </w:rPr>
        <w:t>.) related to the Projects.</w:t>
      </w:r>
    </w:p>
    <w:p>
      <w:pPr>
        <w:spacing w:after="0" w:line="129" w:lineRule="exact"/>
        <w:rPr>
          <w:rFonts w:ascii="Arial" w:cs="Arial" w:eastAsia="Arial" w:hAnsi="Arial"/>
          <w:sz w:val="18"/>
          <w:szCs w:val="18"/>
          <w:color w:val="auto"/>
        </w:rPr>
      </w:pPr>
    </w:p>
    <w:p>
      <w:pPr>
        <w:ind w:firstLine="1735"/>
        <w:spacing w:after="0" w:line="260" w:lineRule="auto"/>
        <w:tabs>
          <w:tab w:leader="none" w:pos="2317"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Program Requirements</w:t>
      </w:r>
      <w:r>
        <w:rPr>
          <w:rFonts w:ascii="Arial" w:cs="Arial" w:eastAsia="Arial" w:hAnsi="Arial"/>
          <w:sz w:val="18"/>
          <w:szCs w:val="18"/>
          <w:color w:val="auto"/>
        </w:rPr>
        <w:t>. The Sponsor Guarantor shall, and shall cause each Recipient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provisions set forth in Annex D (</w:t>
      </w:r>
      <w:r>
        <w:rPr>
          <w:rFonts w:ascii="Arial" w:cs="Arial" w:eastAsia="Arial" w:hAnsi="Arial"/>
          <w:sz w:val="18"/>
          <w:szCs w:val="18"/>
          <w:i w:val="1"/>
          <w:iCs w:val="1"/>
          <w:color w:val="auto"/>
        </w:rPr>
        <w:t>Program Requirements</w:t>
      </w:r>
      <w:r>
        <w:rPr>
          <w:rFonts w:ascii="Arial" w:cs="Arial" w:eastAsia="Arial" w:hAnsi="Arial"/>
          <w:sz w:val="18"/>
          <w:szCs w:val="18"/>
          <w:color w:val="auto"/>
        </w:rPr>
        <w:t>) to each DFA.</w:t>
      </w:r>
    </w:p>
    <w:p>
      <w:pPr>
        <w:spacing w:after="0" w:line="1" w:lineRule="exact"/>
        <w:rPr>
          <w:rFonts w:ascii="Arial" w:cs="Arial" w:eastAsia="Arial" w:hAnsi="Arial"/>
          <w:sz w:val="18"/>
          <w:szCs w:val="18"/>
          <w:color w:val="auto"/>
        </w:rPr>
      </w:pPr>
    </w:p>
    <w:p>
      <w:pPr>
        <w:ind w:left="2320" w:hanging="585"/>
        <w:spacing w:after="0"/>
        <w:tabs>
          <w:tab w:leader="none" w:pos="232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Guardrail Provisions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880" w:hanging="569"/>
        <w:spacing w:after="0"/>
        <w:tabs>
          <w:tab w:leader="none" w:pos="288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Sponsor Guarantor shall, and shall cause each Recipient to, comply with the Guardrail</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Provisions.</w:t>
      </w:r>
    </w:p>
    <w:p>
      <w:pPr>
        <w:spacing w:after="0" w:line="183" w:lineRule="exact"/>
        <w:rPr>
          <w:rFonts w:ascii="Arial" w:cs="Arial" w:eastAsia="Arial" w:hAnsi="Arial"/>
          <w:sz w:val="18"/>
          <w:szCs w:val="18"/>
          <w:color w:val="auto"/>
        </w:rPr>
      </w:pPr>
    </w:p>
    <w:p>
      <w:pPr>
        <w:ind w:right="260" w:firstLine="2311"/>
        <w:spacing w:after="0" w:line="287" w:lineRule="auto"/>
        <w:tabs>
          <w:tab w:leader="none" w:pos="289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Sponsor Guarantor shall, and shall cause each Recipient to, comply with each Mitigation Agreement, if any, required pursuant to the Guardrail Provisions.</w:t>
      </w:r>
    </w:p>
    <w:p>
      <w:pPr>
        <w:spacing w:after="0" w:line="129" w:lineRule="exact"/>
        <w:rPr>
          <w:rFonts w:ascii="Arial" w:cs="Arial" w:eastAsia="Arial" w:hAnsi="Arial"/>
          <w:sz w:val="18"/>
          <w:szCs w:val="18"/>
          <w:color w:val="auto"/>
        </w:rPr>
      </w:pPr>
    </w:p>
    <w:p>
      <w:pPr>
        <w:ind w:left="2320" w:hanging="585"/>
        <w:spacing w:after="0"/>
        <w:tabs>
          <w:tab w:leader="none" w:pos="232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Compliance with Whistleblower Protections</w:t>
      </w:r>
      <w:r>
        <w:rPr>
          <w:rFonts w:ascii="Arial" w:cs="Arial" w:eastAsia="Arial" w:hAnsi="Arial"/>
          <w:sz w:val="18"/>
          <w:szCs w:val="18"/>
          <w:color w:val="auto"/>
        </w:rPr>
        <w:t>. The Sponsor Guarantor shall:</w:t>
      </w:r>
    </w:p>
    <w:p>
      <w:pPr>
        <w:spacing w:after="0" w:line="201" w:lineRule="exact"/>
        <w:rPr>
          <w:rFonts w:ascii="Arial" w:cs="Arial" w:eastAsia="Arial" w:hAnsi="Arial"/>
          <w:sz w:val="18"/>
          <w:szCs w:val="18"/>
          <w:color w:val="auto"/>
        </w:rPr>
      </w:pPr>
    </w:p>
    <w:p>
      <w:pPr>
        <w:ind w:firstLine="2311"/>
        <w:spacing w:after="0" w:line="270" w:lineRule="auto"/>
        <w:tabs>
          <w:tab w:leader="none" w:pos="2881" w:val="left"/>
        </w:tabs>
        <w:numPr>
          <w:ilvl w:val="2"/>
          <w:numId w:val="126"/>
        </w:numPr>
        <w:rPr>
          <w:rFonts w:ascii="Arial" w:cs="Arial" w:eastAsia="Arial" w:hAnsi="Arial"/>
          <w:sz w:val="17"/>
          <w:szCs w:val="17"/>
          <w:color w:val="auto"/>
        </w:rPr>
      </w:pPr>
      <w:r>
        <w:rPr>
          <w:rFonts w:ascii="Arial" w:cs="Arial" w:eastAsia="Arial" w:hAnsi="Arial"/>
          <w:sz w:val="17"/>
          <w:szCs w:val="17"/>
          <w:color w:val="auto"/>
        </w:rPr>
        <w:t>promptly disclose in writing, (A) to each of the Director of the CHIPS Program Office, the Department’s Chief Counsel for Semiconductor Incentives and the OIG, whenever, in connection with this Agreement or any Project, the Sponsor Guarantor has credible evidence that any principal, officer, director, employee, agent, or entity has committed a violation of (1) federal criminal law involving fraud, conflict of interest, bribery, or gratuity violations (see Title 18 of the United States Code); or</w:t>
      </w:r>
    </w:p>
    <w:p>
      <w:pPr>
        <w:spacing w:after="0" w:line="2" w:lineRule="exact"/>
        <w:rPr>
          <w:rFonts w:ascii="Arial" w:cs="Arial" w:eastAsia="Arial" w:hAnsi="Arial"/>
          <w:sz w:val="17"/>
          <w:szCs w:val="17"/>
          <w:color w:val="auto"/>
        </w:rPr>
      </w:pPr>
    </w:p>
    <w:p>
      <w:pPr>
        <w:ind w:right="100" w:firstLine="6"/>
        <w:spacing w:after="0" w:line="258" w:lineRule="auto"/>
        <w:tabs>
          <w:tab w:leader="none" w:pos="2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Civil False Claims Act (see 31 U.S.C. §§ 3729-3733); and (B) to the OIG through </w:t>
      </w:r>
      <w:r>
        <w:rPr>
          <w:rFonts w:ascii="Arial" w:cs="Arial" w:eastAsia="Arial" w:hAnsi="Arial"/>
          <w:sz w:val="18"/>
          <w:szCs w:val="18"/>
          <w:u w:val="single" w:color="auto"/>
          <w:color w:val="0563C1"/>
        </w:rPr>
        <w:t>https://www.oig.doc.gov/Pages/Hotline.aspx)</w:t>
      </w:r>
      <w:r>
        <w:rPr>
          <w:rFonts w:ascii="Arial" w:cs="Arial" w:eastAsia="Arial" w:hAnsi="Arial"/>
          <w:sz w:val="18"/>
          <w:szCs w:val="18"/>
          <w:color w:val="000000"/>
        </w:rPr>
        <w:t>, whenever, in connection with this Agreement or a Project, the Sponsor Guarantor has</w:t>
      </w:r>
      <w:r>
        <w:rPr>
          <w:rFonts w:ascii="Arial" w:cs="Arial" w:eastAsia="Arial" w:hAnsi="Arial"/>
          <w:sz w:val="18"/>
          <w:szCs w:val="18"/>
          <w:color w:val="0563C1"/>
        </w:rPr>
        <w:t xml:space="preserve"> </w:t>
      </w:r>
      <w:r>
        <w:rPr>
          <w:rFonts w:ascii="Arial" w:cs="Arial" w:eastAsia="Arial" w:hAnsi="Arial"/>
          <w:sz w:val="18"/>
          <w:szCs w:val="18"/>
          <w:color w:val="000000"/>
        </w:rPr>
        <w:t>credible evidence of fraud, waste, and abuse;</w:t>
      </w:r>
    </w:p>
    <w:p>
      <w:pPr>
        <w:spacing w:after="0" w:line="154" w:lineRule="exact"/>
        <w:rPr>
          <w:rFonts w:ascii="Arial" w:cs="Arial" w:eastAsia="Arial" w:hAnsi="Arial"/>
          <w:sz w:val="18"/>
          <w:szCs w:val="18"/>
          <w:color w:val="auto"/>
        </w:rPr>
      </w:pPr>
    </w:p>
    <w:p>
      <w:pPr>
        <w:ind w:right="20" w:firstLine="2311"/>
        <w:spacing w:after="0" w:line="259" w:lineRule="auto"/>
        <w:tabs>
          <w:tab w:leader="none" w:pos="289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comply with 41 U.S.C. § 4712 and the whistleblower protections afforded to employees thereby to not discharge, demote, or otherwise discriminate against an employee as a reprisal for disclosing to a Body of Information that the employee reasonably believes is evidence of gross mismanagement of the Award, a gross waste of the Award, an abuse of authority relating to the Award, a substantial and specific danger to public health or safety, or a violation of law, rule, or regulation related to a Federal award, subaward, or contract under a Federal award or subaward; and</w:t>
      </w:r>
    </w:p>
    <w:p>
      <w:pPr>
        <w:spacing w:after="0" w:line="155" w:lineRule="exact"/>
        <w:rPr>
          <w:rFonts w:ascii="Arial" w:cs="Arial" w:eastAsia="Arial" w:hAnsi="Arial"/>
          <w:sz w:val="18"/>
          <w:szCs w:val="18"/>
          <w:color w:val="auto"/>
        </w:rPr>
      </w:pPr>
    </w:p>
    <w:p>
      <w:pPr>
        <w:ind w:right="60" w:firstLine="2311"/>
        <w:spacing w:after="0" w:line="287" w:lineRule="auto"/>
        <w:tabs>
          <w:tab w:leader="none" w:pos="289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inform the Sponsor Guarantor’s employees and contractors in writing, in the predominant native language of the workforce, of the rights under this paragraph (f).</w:t>
      </w:r>
    </w:p>
    <w:p>
      <w:pPr>
        <w:spacing w:after="0" w:line="129" w:lineRule="exact"/>
        <w:rPr>
          <w:rFonts w:ascii="Arial" w:cs="Arial" w:eastAsia="Arial" w:hAnsi="Arial"/>
          <w:sz w:val="18"/>
          <w:szCs w:val="18"/>
          <w:color w:val="auto"/>
        </w:rPr>
      </w:pPr>
    </w:p>
    <w:p>
      <w:pPr>
        <w:ind w:left="2340" w:hanging="605"/>
        <w:spacing w:after="0"/>
        <w:tabs>
          <w:tab w:leader="none" w:pos="234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Compliance with Trafficking in Persons Laws</w:t>
      </w:r>
      <w:r>
        <w:rPr>
          <w:rFonts w:ascii="Arial" w:cs="Arial" w:eastAsia="Arial" w:hAnsi="Arial"/>
          <w:sz w:val="18"/>
          <w:szCs w:val="18"/>
          <w:color w:val="auto"/>
        </w:rPr>
        <w:t>. The Sponsor Guarantor and its employees shall not:</w:t>
      </w:r>
    </w:p>
    <w:p>
      <w:pPr>
        <w:spacing w:after="0" w:line="201" w:lineRule="exact"/>
        <w:rPr>
          <w:rFonts w:ascii="Arial" w:cs="Arial" w:eastAsia="Arial" w:hAnsi="Arial"/>
          <w:sz w:val="18"/>
          <w:szCs w:val="18"/>
          <w:color w:val="auto"/>
        </w:rPr>
      </w:pPr>
    </w:p>
    <w:p>
      <w:pPr>
        <w:ind w:left="2880" w:hanging="569"/>
        <w:spacing w:after="0"/>
        <w:tabs>
          <w:tab w:leader="none" w:pos="288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engage in severe forms of trafficking in persons (as defined in the TVPA at 22 U.S.C. § 7102);</w:t>
      </w:r>
    </w:p>
    <w:p>
      <w:pPr>
        <w:spacing w:after="0" w:line="201" w:lineRule="exact"/>
        <w:rPr>
          <w:rFonts w:ascii="Arial" w:cs="Arial" w:eastAsia="Arial" w:hAnsi="Arial"/>
          <w:sz w:val="18"/>
          <w:szCs w:val="18"/>
          <w:color w:val="auto"/>
        </w:rPr>
      </w:pPr>
    </w:p>
    <w:p>
      <w:pPr>
        <w:ind w:left="2900" w:hanging="589"/>
        <w:spacing w:after="0"/>
        <w:tabs>
          <w:tab w:leader="none" w:pos="29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procure a commercial sex act (as defined in the TVPA at 22 U.S.C. § 7102); or</w:t>
      </w:r>
    </w:p>
    <w:p>
      <w:pPr>
        <w:spacing w:after="0" w:line="200" w:lineRule="exact"/>
        <w:rPr>
          <w:sz w:val="20"/>
          <w:szCs w:val="20"/>
          <w:color w:val="auto"/>
        </w:rPr>
      </w:pPr>
    </w:p>
    <w:p>
      <w:pPr>
        <w:spacing w:after="0" w:line="3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ectPr>
          <w:pgSz w:w="11900" w:h="16840" w:orient="portrait"/>
          <w:cols w:equalWidth="0" w:num="1">
            <w:col w:w="10560"/>
          </w:cols>
          <w:pgMar w:left="660" w:top="1440" w:right="680" w:bottom="1440" w:gutter="0" w:footer="0" w:header="0"/>
        </w:sectPr>
      </w:pPr>
    </w:p>
    <w:bookmarkStart w:id="169" w:name="page170"/>
    <w:bookmarkEnd w:id="169"/>
    <w:p>
      <w:pPr>
        <w:spacing w:after="0" w:line="29" w:lineRule="exact"/>
        <w:rPr>
          <w:sz w:val="20"/>
          <w:szCs w:val="20"/>
          <w:color w:val="auto"/>
        </w:rPr>
      </w:pPr>
    </w:p>
    <w:p>
      <w:pPr>
        <w:ind w:left="2900" w:hanging="589"/>
        <w:spacing w:after="0"/>
        <w:tabs>
          <w:tab w:leader="none" w:pos="2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forced labor in the performance of the Award.</w:t>
      </w:r>
    </w:p>
    <w:p>
      <w:pPr>
        <w:spacing w:after="0" w:line="201" w:lineRule="exact"/>
        <w:rPr>
          <w:sz w:val="20"/>
          <w:szCs w:val="20"/>
          <w:color w:val="auto"/>
        </w:rPr>
      </w:pPr>
    </w:p>
    <w:p>
      <w:pPr>
        <w:ind w:right="200" w:firstLine="576"/>
        <w:spacing w:after="0" w:line="28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b w:val="1"/>
          <w:bCs w:val="1"/>
          <w:color w:val="auto"/>
        </w:rPr>
        <w:t>Affirmative Covenants during the Upside Sharing Term</w:t>
      </w:r>
      <w:r>
        <w:rPr>
          <w:rFonts w:ascii="Arial" w:cs="Arial" w:eastAsia="Arial" w:hAnsi="Arial"/>
          <w:sz w:val="18"/>
          <w:szCs w:val="18"/>
          <w:color w:val="auto"/>
        </w:rPr>
        <w:t>. The Sponsor Guarantor covenants and agrees that during the applicable Upside Sharing Term under each DFA, unless the Department waives compliance in writing:</w:t>
      </w:r>
    </w:p>
    <w:p>
      <w:pPr>
        <w:spacing w:after="0" w:line="129" w:lineRule="exact"/>
        <w:rPr>
          <w:sz w:val="20"/>
          <w:szCs w:val="20"/>
          <w:color w:val="auto"/>
        </w:rPr>
      </w:pPr>
    </w:p>
    <w:p>
      <w:pPr>
        <w:jc w:val="both"/>
        <w:ind w:right="120" w:firstLine="576"/>
        <w:spacing w:after="0" w:line="269" w:lineRule="auto"/>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b w:val="1"/>
          <w:bCs w:val="1"/>
          <w:color w:val="auto"/>
        </w:rPr>
        <w:t>Books, Records.</w:t>
      </w:r>
      <w:r>
        <w:rPr>
          <w:rFonts w:ascii="Arial" w:cs="Arial" w:eastAsia="Arial" w:hAnsi="Arial"/>
          <w:sz w:val="18"/>
          <w:szCs w:val="18"/>
          <w:color w:val="auto"/>
        </w:rPr>
        <w:t xml:space="preserve"> The Sponsor Guarantor shall keep proper records and books of account in which full, true and correct entries in accordance with the Applicable Accounting Requirements and all Applicable Laws in all material respects are made in respect of all dealing and transactions relating to the Project-related business and activities of the Sponsor Guarantor.</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12.2.2. </w:t>
      </w:r>
      <w:r>
        <w:rPr>
          <w:rFonts w:ascii="Arial" w:cs="Arial" w:eastAsia="Arial" w:hAnsi="Arial"/>
          <w:sz w:val="18"/>
          <w:szCs w:val="18"/>
          <w:b w:val="1"/>
          <w:bCs w:val="1"/>
          <w:color w:val="auto"/>
        </w:rPr>
        <w:t>Maintenance of Existence</w:t>
      </w:r>
      <w:r>
        <w:rPr>
          <w:rFonts w:ascii="Arial" w:cs="Arial" w:eastAsia="Arial" w:hAnsi="Arial"/>
          <w:sz w:val="18"/>
          <w:szCs w:val="18"/>
          <w:color w:val="auto"/>
        </w:rPr>
        <w:t>. The Sponsor Guarantor shall preserve and maintain:</w:t>
      </w:r>
    </w:p>
    <w:p>
      <w:pPr>
        <w:spacing w:after="0" w:line="201" w:lineRule="exact"/>
        <w:rPr>
          <w:sz w:val="20"/>
          <w:szCs w:val="20"/>
          <w:color w:val="auto"/>
        </w:rPr>
      </w:pPr>
    </w:p>
    <w:p>
      <w:pPr>
        <w:ind w:left="2340" w:hanging="605"/>
        <w:spacing w:after="0"/>
        <w:tabs>
          <w:tab w:leader="none" w:pos="2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its legal existence and corporate status; and</w:t>
      </w:r>
    </w:p>
    <w:p>
      <w:pPr>
        <w:spacing w:after="0" w:line="129" w:lineRule="exact"/>
        <w:rPr>
          <w:rFonts w:ascii="Arial" w:cs="Arial" w:eastAsia="Arial" w:hAnsi="Arial"/>
          <w:sz w:val="18"/>
          <w:szCs w:val="18"/>
          <w:color w:val="auto"/>
        </w:rPr>
      </w:pPr>
    </w:p>
    <w:p>
      <w:pPr>
        <w:ind w:left="2320" w:hanging="585"/>
        <w:spacing w:after="0"/>
        <w:tabs>
          <w:tab w:leader="none" w:pos="2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of its licenses, rights, privileges and franchises material to the conduct of its business or any Project.</w:t>
      </w:r>
    </w:p>
    <w:p>
      <w:pPr>
        <w:spacing w:after="0" w:line="129" w:lineRule="exact"/>
        <w:rPr>
          <w:sz w:val="20"/>
          <w:szCs w:val="20"/>
          <w:color w:val="auto"/>
        </w:rPr>
      </w:pPr>
    </w:p>
    <w:p>
      <w:pPr>
        <w:ind w:right="620" w:firstLine="576"/>
        <w:spacing w:after="0" w:line="318" w:lineRule="auto"/>
        <w:rPr>
          <w:sz w:val="20"/>
          <w:szCs w:val="20"/>
          <w:color w:val="auto"/>
        </w:rPr>
      </w:pPr>
      <w:r>
        <w:rPr>
          <w:rFonts w:ascii="Arial" w:cs="Arial" w:eastAsia="Arial" w:hAnsi="Arial"/>
          <w:sz w:val="17"/>
          <w:szCs w:val="17"/>
          <w:color w:val="auto"/>
        </w:rPr>
        <w:t xml:space="preserve">Section 12.2.3. </w:t>
      </w:r>
      <w:r>
        <w:rPr>
          <w:rFonts w:ascii="Arial" w:cs="Arial" w:eastAsia="Arial" w:hAnsi="Arial"/>
          <w:sz w:val="17"/>
          <w:szCs w:val="17"/>
          <w:b w:val="1"/>
          <w:bCs w:val="1"/>
          <w:color w:val="auto"/>
        </w:rPr>
        <w:t>Sponsor Guarantor’s Accountant.</w:t>
      </w:r>
      <w:r>
        <w:rPr>
          <w:rFonts w:ascii="Arial" w:cs="Arial" w:eastAsia="Arial" w:hAnsi="Arial"/>
          <w:sz w:val="17"/>
          <w:szCs w:val="17"/>
          <w:color w:val="auto"/>
        </w:rPr>
        <w:t xml:space="preserve"> The Sponsor Guarantor shall maintain the Sponsor Guarantor’s Accountant at all times and promptly provide notice to the Department of any change of the Sponsor Guarantor’s Accountant.</w:t>
      </w:r>
    </w:p>
    <w:p>
      <w:pPr>
        <w:spacing w:after="0" w:line="106" w:lineRule="exact"/>
        <w:rPr>
          <w:sz w:val="20"/>
          <w:szCs w:val="20"/>
          <w:color w:val="auto"/>
        </w:rPr>
      </w:pPr>
    </w:p>
    <w:p>
      <w:pPr>
        <w:ind w:right="40" w:firstLine="576"/>
        <w:spacing w:after="0" w:line="291" w:lineRule="auto"/>
        <w:rPr>
          <w:sz w:val="20"/>
          <w:szCs w:val="20"/>
          <w:color w:val="auto"/>
        </w:rPr>
      </w:pPr>
      <w:r>
        <w:rPr>
          <w:rFonts w:ascii="Arial" w:cs="Arial" w:eastAsia="Arial" w:hAnsi="Arial"/>
          <w:sz w:val="17"/>
          <w:szCs w:val="17"/>
          <w:color w:val="auto"/>
        </w:rPr>
        <w:t xml:space="preserve">Section 12.2.4. </w:t>
      </w:r>
      <w:r>
        <w:rPr>
          <w:rFonts w:ascii="Arial" w:cs="Arial" w:eastAsia="Arial" w:hAnsi="Arial"/>
          <w:sz w:val="17"/>
          <w:szCs w:val="17"/>
          <w:b w:val="1"/>
          <w:bCs w:val="1"/>
          <w:color w:val="auto"/>
        </w:rPr>
        <w:t>Closeout Procedure</w:t>
      </w:r>
      <w:r>
        <w:rPr>
          <w:rFonts w:ascii="Arial" w:cs="Arial" w:eastAsia="Arial" w:hAnsi="Arial"/>
          <w:sz w:val="17"/>
          <w:szCs w:val="17"/>
          <w:color w:val="auto"/>
        </w:rPr>
        <w:t>. The Sponsor Guarantor will cooperate with the Department to complete the Sponsor Guarantor’s final reports, reconcile all accounting matters, enable the Department to complete its final reports and otherwise perform reasonable tasks as requested by the Department to close out the Award at the expiration of the applicable Period of Performance.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Sponsor Guarantor covenants and agrees that during the applicable Period of Performance under each DFA, unless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Department waives compliance in writing:</w:t>
      </w:r>
    </w:p>
    <w:p>
      <w:pPr>
        <w:spacing w:after="0" w:line="183" w:lineRule="exact"/>
        <w:rPr>
          <w:sz w:val="20"/>
          <w:szCs w:val="20"/>
          <w:color w:val="auto"/>
        </w:rPr>
      </w:pPr>
    </w:p>
    <w:p>
      <w:pPr>
        <w:ind w:right="220" w:firstLine="576"/>
        <w:spacing w:after="0" w:line="287"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b w:val="1"/>
          <w:bCs w:val="1"/>
          <w:color w:val="auto"/>
        </w:rPr>
        <w:t>Prohibited Persons; Foreign Entities of Concern</w:t>
      </w:r>
      <w:r>
        <w:rPr>
          <w:rFonts w:ascii="Arial" w:cs="Arial" w:eastAsia="Arial" w:hAnsi="Arial"/>
          <w:sz w:val="18"/>
          <w:szCs w:val="18"/>
          <w:color w:val="auto"/>
        </w:rPr>
        <w:t>. Each Recipient Party or Qualified Transferee shall not become (whether through a transfer or otherwise) a Prohibited Person or a Foreign Entity of Concern.</w:t>
      </w:r>
    </w:p>
    <w:p>
      <w:pPr>
        <w:spacing w:after="0" w:line="12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7"/>
          <w:szCs w:val="17"/>
          <w:b w:val="1"/>
          <w:bCs w:val="1"/>
          <w:color w:val="auto"/>
        </w:rPr>
        <w:t>[Reserved].</w:t>
      </w:r>
    </w:p>
    <w:p>
      <w:pPr>
        <w:spacing w:after="0" w:line="201" w:lineRule="exact"/>
        <w:rPr>
          <w:sz w:val="20"/>
          <w:szCs w:val="20"/>
          <w:color w:val="auto"/>
        </w:rPr>
      </w:pPr>
    </w:p>
    <w:p>
      <w:pPr>
        <w:ind w:right="120" w:firstLine="576"/>
        <w:spacing w:after="0" w:line="262"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b w:val="1"/>
          <w:bCs w:val="1"/>
          <w:color w:val="auto"/>
        </w:rPr>
        <w:t>Debarment Regulations</w:t>
      </w:r>
      <w:r>
        <w:rPr>
          <w:rFonts w:ascii="Arial" w:cs="Arial" w:eastAsia="Arial" w:hAnsi="Arial"/>
          <w:sz w:val="18"/>
          <w:szCs w:val="18"/>
          <w:color w:val="auto"/>
        </w:rPr>
        <w:t>. The Sponsor Guarantor shall not fail to comply with any or all Debarment Regulations in a manner which results in the Sponsor Guarantor being debarred, suspended, declared ineligible or voluntarily excluded from participation in procurement or non-procurement transactions with any United States federal government department or agency pursuant to any Debarment Regulations.</w:t>
      </w:r>
    </w:p>
    <w:p>
      <w:pPr>
        <w:spacing w:after="0" w:line="152"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7"/>
          <w:szCs w:val="17"/>
          <w:b w:val="1"/>
          <w:bCs w:val="1"/>
          <w:color w:val="auto"/>
        </w:rPr>
        <w:t>Merger; Disposition; Sharing of Assets; Transfer</w:t>
      </w:r>
      <w:r>
        <w:rPr>
          <w:rFonts w:ascii="Arial" w:cs="Arial" w:eastAsia="Arial" w:hAnsi="Arial"/>
          <w:sz w:val="17"/>
          <w:szCs w:val="17"/>
          <w:color w:val="auto"/>
        </w:rPr>
        <w:t>.</w:t>
      </w:r>
    </w:p>
    <w:p>
      <w:pPr>
        <w:spacing w:after="0" w:line="201" w:lineRule="exact"/>
        <w:rPr>
          <w:sz w:val="20"/>
          <w:szCs w:val="20"/>
          <w:color w:val="auto"/>
        </w:rPr>
      </w:pPr>
    </w:p>
    <w:p>
      <w:pPr>
        <w:jc w:val="both"/>
        <w:ind w:firstLine="1735"/>
        <w:spacing w:after="0" w:line="269" w:lineRule="auto"/>
        <w:tabs>
          <w:tab w:leader="none" w:pos="232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Sponsor Guarantor may not consolidate with or merge with or into, or sell, assign, convey, transfer, lease or otherwise dispose of all or substantially all of the properties, rights and assets of the Sponsor Guarantor and the Recipients, taken as a whole, to any Person, in a single transaction or in a series of related transactions, unless:</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ectPr>
          <w:pgSz w:w="11900" w:h="16840" w:orient="portrait"/>
          <w:cols w:equalWidth="0" w:num="1">
            <w:col w:w="10560"/>
          </w:cols>
          <w:pgMar w:left="660" w:top="1440" w:right="680" w:bottom="1440" w:gutter="0" w:footer="0" w:header="0"/>
        </w:sectPr>
      </w:pPr>
    </w:p>
    <w:bookmarkStart w:id="170" w:name="page171"/>
    <w:bookmarkEnd w:id="170"/>
    <w:p>
      <w:pPr>
        <w:spacing w:after="0" w:line="29" w:lineRule="exact"/>
        <w:rPr>
          <w:sz w:val="20"/>
          <w:szCs w:val="20"/>
          <w:color w:val="auto"/>
        </w:rPr>
      </w:pPr>
    </w:p>
    <w:p>
      <w:pPr>
        <w:ind w:right="120" w:firstLine="2311"/>
        <w:spacing w:after="0" w:line="268" w:lineRule="auto"/>
        <w:tabs>
          <w:tab w:leader="none" w:pos="288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either (A) the Person formed by or surviving such consolidation or merger is the Sponsor Guarantor; (B) the Person (if other than the Sponsor Guarantor) formed by such consolidation or into which the Sponsor Guarantor is merged or the Person which acquires by conveyance or transfer, or which leases, all or substantially all of the properties, rights and assets of the Sponsor Guarantor (the “</w:t>
      </w:r>
      <w:r>
        <w:rPr>
          <w:rFonts w:ascii="Arial" w:cs="Arial" w:eastAsia="Arial" w:hAnsi="Arial"/>
          <w:sz w:val="17"/>
          <w:szCs w:val="17"/>
          <w:b w:val="1"/>
          <w:bCs w:val="1"/>
          <w:color w:val="auto"/>
        </w:rPr>
        <w:t>Successor Company</w:t>
      </w:r>
      <w:r>
        <w:rPr>
          <w:rFonts w:ascii="Arial" w:cs="Arial" w:eastAsia="Arial" w:hAnsi="Arial"/>
          <w:sz w:val="17"/>
          <w:szCs w:val="17"/>
          <w:color w:val="auto"/>
        </w:rPr>
        <w:t>”), is an entity organized under the laws of the United States of America, any State thereof or the District of Columbia; provided that such Successor Company shall provide such information reasonably requested by the Department for purposes of compliance with applicable “know your customer” rules and regulations; or</w:t>
      </w:r>
    </w:p>
    <w:p>
      <w:pPr>
        <w:spacing w:after="0" w:line="4" w:lineRule="exact"/>
        <w:rPr>
          <w:rFonts w:ascii="Arial" w:cs="Arial" w:eastAsia="Arial" w:hAnsi="Arial"/>
          <w:sz w:val="17"/>
          <w:szCs w:val="17"/>
          <w:color w:val="auto"/>
        </w:rPr>
      </w:pPr>
    </w:p>
    <w:p>
      <w:pPr>
        <w:ind w:right="440" w:firstLine="6"/>
        <w:spacing w:after="0" w:line="266"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case of the VA Recipient, such transaction constitutes a Permitted Equity Transfer in accordance with the terms of the VA DFA;</w:t>
      </w:r>
    </w:p>
    <w:p>
      <w:pPr>
        <w:spacing w:after="0" w:line="147" w:lineRule="exact"/>
        <w:rPr>
          <w:rFonts w:ascii="Arial" w:cs="Arial" w:eastAsia="Arial" w:hAnsi="Arial"/>
          <w:sz w:val="18"/>
          <w:szCs w:val="18"/>
          <w:color w:val="auto"/>
        </w:rPr>
      </w:pPr>
    </w:p>
    <w:p>
      <w:pPr>
        <w:ind w:right="280" w:firstLine="2311"/>
        <w:spacing w:after="0" w:line="269" w:lineRule="auto"/>
        <w:tabs>
          <w:tab w:leader="none" w:pos="289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Guaranteed Obligations pursuant to joinder agreements or other documents reasonably satisfactory to the Department; and</w:t>
      </w:r>
    </w:p>
    <w:p>
      <w:pPr>
        <w:spacing w:after="0" w:line="144" w:lineRule="exact"/>
        <w:rPr>
          <w:rFonts w:ascii="Arial" w:cs="Arial" w:eastAsia="Arial" w:hAnsi="Arial"/>
          <w:sz w:val="18"/>
          <w:szCs w:val="18"/>
          <w:color w:val="auto"/>
        </w:rPr>
      </w:pPr>
    </w:p>
    <w:p>
      <w:pPr>
        <w:ind w:left="2900" w:hanging="589"/>
        <w:spacing w:after="0"/>
        <w:tabs>
          <w:tab w:leader="none" w:pos="2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Default shall have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occurred and be continuing.</w:t>
      </w:r>
    </w:p>
    <w:p>
      <w:pPr>
        <w:spacing w:after="0" w:line="183" w:lineRule="exact"/>
        <w:rPr>
          <w:sz w:val="20"/>
          <w:szCs w:val="20"/>
          <w:color w:val="auto"/>
        </w:rPr>
      </w:pPr>
    </w:p>
    <w:p>
      <w:pPr>
        <w:ind w:right="440" w:firstLine="576"/>
        <w:spacing w:after="0" w:line="269" w:lineRule="auto"/>
        <w:rPr>
          <w:sz w:val="20"/>
          <w:szCs w:val="20"/>
          <w:color w:val="auto"/>
        </w:rPr>
      </w:pPr>
      <w:r>
        <w:rPr>
          <w:rFonts w:ascii="Arial" w:cs="Arial" w:eastAsia="Arial" w:hAnsi="Arial"/>
          <w:sz w:val="18"/>
          <w:szCs w:val="18"/>
          <w:color w:val="auto"/>
        </w:rPr>
        <w:t>This Section 13.4(a) shall not apply to a merger of the Sponsor Guarantor with an Affiliate solely for the purpose of reincorporating the Sponsor Guarantor in another jurisdiction in the United States of America, any State thereof or the District of Columbia.</w:t>
      </w:r>
    </w:p>
    <w:p>
      <w:pPr>
        <w:spacing w:after="0" w:line="144" w:lineRule="exact"/>
        <w:rPr>
          <w:sz w:val="20"/>
          <w:szCs w:val="20"/>
          <w:color w:val="auto"/>
        </w:rPr>
      </w:pPr>
    </w:p>
    <w:p>
      <w:pPr>
        <w:ind w:right="60" w:firstLine="1735"/>
        <w:spacing w:after="0" w:line="256" w:lineRule="auto"/>
        <w:tabs>
          <w:tab w:leader="none" w:pos="231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any consolidation of the Sponsor Guarantor with, or merger of the Sponsor Guarantor into, any other Person or any sale, assignment, conveyance, transfer, lease or other disposition of all or substantially all the properties, rights and assets of the Sponsor Guarantor to a Successor Company in accordance with the conditions described in Section 13.4(a) (</w:t>
      </w:r>
      <w:r>
        <w:rPr>
          <w:rFonts w:ascii="Arial" w:cs="Arial" w:eastAsia="Arial" w:hAnsi="Arial"/>
          <w:sz w:val="18"/>
          <w:szCs w:val="18"/>
          <w:b w:val="1"/>
          <w:bCs w:val="1"/>
          <w:color w:val="auto"/>
        </w:rPr>
        <w:t>Merger; Disposition; Sharing of Assets; Transfer</w:t>
      </w:r>
      <w:r>
        <w:rPr>
          <w:rFonts w:ascii="Arial" w:cs="Arial" w:eastAsia="Arial" w:hAnsi="Arial"/>
          <w:sz w:val="18"/>
          <w:szCs w:val="18"/>
          <w:color w:val="auto"/>
        </w:rPr>
        <w:t>), the Successor Company shall succeed to and be substituted for, and may exercise every right and power of, the Sponsor Guarantor under this Agreement with the same effect as if such Successor Company had been named as the Sponsor Guarantor and thereafter, except in the case of a lease, the predecessor Person shall be relieved of all obligations and covenants under this Agreement.</w:t>
      </w:r>
    </w:p>
    <w:p>
      <w:pPr>
        <w:spacing w:after="0" w:line="15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NET OF TAX</w:t>
      </w:r>
    </w:p>
    <w:p>
      <w:pPr>
        <w:spacing w:after="0" w:line="201" w:lineRule="exact"/>
        <w:rPr>
          <w:sz w:val="20"/>
          <w:szCs w:val="20"/>
          <w:color w:val="auto"/>
        </w:rPr>
      </w:pPr>
    </w:p>
    <w:p>
      <w:pPr>
        <w:ind w:right="20" w:firstLine="576"/>
        <w:spacing w:after="0" w:line="256" w:lineRule="auto"/>
        <w:rPr>
          <w:sz w:val="20"/>
          <w:szCs w:val="20"/>
          <w:color w:val="auto"/>
        </w:rPr>
      </w:pPr>
      <w:r>
        <w:rPr>
          <w:rFonts w:ascii="Arial" w:cs="Arial" w:eastAsia="Arial" w:hAnsi="Arial"/>
          <w:sz w:val="18"/>
          <w:szCs w:val="18"/>
          <w:color w:val="auto"/>
        </w:rPr>
        <w:t>The Sponsor Guarantor understands and agrees that the Department is an agency or instrumentality of the United States and that all payments hereunder are payable, and shall in all cases be paid, free and clear of all Taxes. If the Sponsor Guarantor shall be required by Applicable Law to withhold or deduct any tax from or in respect of any sum payable hereunder to the Department, (a) the sum payable shall be increased as may be necessary so that after making all such required deductions, the Department receives an amount equal to the sum it would have received had no such deductions been made; (b) the Sponsor Guarantor shall make such deductions and (c) the Sponsor Guarantor shall pay the full amount deducted to the relevant taxation authority or other authority in accordance with Applicable Law.</w:t>
      </w:r>
    </w:p>
    <w:p>
      <w:pPr>
        <w:spacing w:after="0" w:line="15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REINSTATEMENT</w:t>
      </w:r>
    </w:p>
    <w:p>
      <w:pPr>
        <w:spacing w:after="0" w:line="201" w:lineRule="exact"/>
        <w:rPr>
          <w:sz w:val="20"/>
          <w:szCs w:val="20"/>
          <w:color w:val="auto"/>
        </w:rPr>
      </w:pPr>
    </w:p>
    <w:p>
      <w:pPr>
        <w:ind w:firstLine="576"/>
        <w:spacing w:after="0" w:line="283" w:lineRule="auto"/>
        <w:rPr>
          <w:sz w:val="20"/>
          <w:szCs w:val="20"/>
          <w:color w:val="auto"/>
        </w:rPr>
      </w:pPr>
      <w:r>
        <w:rPr>
          <w:rFonts w:ascii="Arial" w:cs="Arial" w:eastAsia="Arial" w:hAnsi="Arial"/>
          <w:sz w:val="17"/>
          <w:szCs w:val="17"/>
          <w:color w:val="auto"/>
        </w:rPr>
        <w:t>Notwithstanding the provisions of Article 16 (</w:t>
      </w:r>
      <w:r>
        <w:rPr>
          <w:rFonts w:ascii="Arial" w:cs="Arial" w:eastAsia="Arial" w:hAnsi="Arial"/>
          <w:sz w:val="17"/>
          <w:szCs w:val="17"/>
          <w:b w:val="1"/>
          <w:bCs w:val="1"/>
          <w:color w:val="auto"/>
        </w:rPr>
        <w:t>Termination</w:t>
      </w:r>
      <w:r>
        <w:rPr>
          <w:rFonts w:ascii="Arial" w:cs="Arial" w:eastAsia="Arial" w:hAnsi="Arial"/>
          <w:sz w:val="17"/>
          <w:szCs w:val="17"/>
          <w:color w:val="auto"/>
        </w:rPr>
        <w:t>), this Agreement shall continue to be effective or be reinstated, as the case may be, if at any time payment or performance of the Guaranteed Obligations, or any part thereof, is, pursuant to Applicable Law or Governmental Judgment, rescinded, or reduced in amount or must otherwise be restored or returned by the Department. In the event that any payment or any part thereof is so rescinded, reduced, restored, or returned, such Guaranteed Obligations shall</w:t>
      </w: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ectPr>
          <w:pgSz w:w="11900" w:h="16840" w:orient="portrait"/>
          <w:cols w:equalWidth="0" w:num="1">
            <w:col w:w="10580"/>
          </w:cols>
          <w:pgMar w:left="660" w:top="1440" w:right="660" w:bottom="1440" w:gutter="0" w:footer="0" w:header="0"/>
        </w:sectPr>
      </w:pPr>
    </w:p>
    <w:bookmarkStart w:id="171" w:name="page172"/>
    <w:bookmarkEnd w:id="171"/>
    <w:p>
      <w:pPr>
        <w:spacing w:after="0" w:line="29"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be reinstated and deemed reduced only by such amount paid and not so rescinded, reduced, restored, or returned, and this Agreement shall remain in full force and effect until the indefeasible payment and discharge in full of such Guaranteed Obligations.</w:t>
      </w:r>
    </w:p>
    <w:p>
      <w:pPr>
        <w:spacing w:after="0" w:line="1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TERMINATION</w:t>
      </w:r>
    </w:p>
    <w:p>
      <w:pPr>
        <w:spacing w:after="0" w:line="201" w:lineRule="exact"/>
        <w:rPr>
          <w:sz w:val="20"/>
          <w:szCs w:val="20"/>
          <w:color w:val="auto"/>
        </w:rPr>
      </w:pPr>
    </w:p>
    <w:p>
      <w:pPr>
        <w:ind w:right="40" w:firstLine="1735"/>
        <w:spacing w:after="0" w:line="287" w:lineRule="auto"/>
        <w:tabs>
          <w:tab w:leader="none" w:pos="232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Agreement and the obligations of the Sponsor Guarantor hereunder shall terminate (other than the provisions hereof that by their express terms survive such termination) on the Termination Date.</w:t>
      </w:r>
    </w:p>
    <w:p>
      <w:pPr>
        <w:spacing w:after="0" w:line="129" w:lineRule="exact"/>
        <w:rPr>
          <w:rFonts w:ascii="Arial" w:cs="Arial" w:eastAsia="Arial" w:hAnsi="Arial"/>
          <w:sz w:val="18"/>
          <w:szCs w:val="18"/>
          <w:color w:val="auto"/>
        </w:rPr>
      </w:pPr>
    </w:p>
    <w:p>
      <w:pPr>
        <w:ind w:right="100" w:firstLine="1735"/>
        <w:spacing w:after="0" w:line="265" w:lineRule="auto"/>
        <w:tabs>
          <w:tab w:leader="none" w:pos="23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connection with any termination or release pursuant to Article 16(a) (</w:t>
      </w:r>
      <w:r>
        <w:rPr>
          <w:rFonts w:ascii="Arial" w:cs="Arial" w:eastAsia="Arial" w:hAnsi="Arial"/>
          <w:sz w:val="18"/>
          <w:szCs w:val="18"/>
          <w:b w:val="1"/>
          <w:bCs w:val="1"/>
          <w:color w:val="auto"/>
        </w:rPr>
        <w:t>Termination</w:t>
      </w:r>
      <w:r>
        <w:rPr>
          <w:rFonts w:ascii="Arial" w:cs="Arial" w:eastAsia="Arial" w:hAnsi="Arial"/>
          <w:sz w:val="18"/>
          <w:szCs w:val="18"/>
          <w:color w:val="auto"/>
        </w:rPr>
        <w:t>), the Department shall execute and deliver to the Sponsor Guarantor, at the Sponsor Guarantor’s expense, all documents that the Sponsor Guarantor shall reasonably request to evidence such termination or release. Any execution and delivery of documents pursuant to this Article 16 (</w:t>
      </w:r>
      <w:r>
        <w:rPr>
          <w:rFonts w:ascii="Arial" w:cs="Arial" w:eastAsia="Arial" w:hAnsi="Arial"/>
          <w:sz w:val="18"/>
          <w:szCs w:val="18"/>
          <w:b w:val="1"/>
          <w:bCs w:val="1"/>
          <w:color w:val="auto"/>
        </w:rPr>
        <w:t>Termination</w:t>
      </w:r>
      <w:r>
        <w:rPr>
          <w:rFonts w:ascii="Arial" w:cs="Arial" w:eastAsia="Arial" w:hAnsi="Arial"/>
          <w:sz w:val="18"/>
          <w:szCs w:val="18"/>
          <w:color w:val="auto"/>
        </w:rPr>
        <w:t>) shall be without recourse to or warranty by the Department.</w:t>
      </w:r>
    </w:p>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201" w:lineRule="exact"/>
        <w:rPr>
          <w:sz w:val="20"/>
          <w:szCs w:val="20"/>
          <w:color w:val="auto"/>
        </w:rPr>
      </w:pPr>
    </w:p>
    <w:p>
      <w:pPr>
        <w:jc w:val="both"/>
        <w:ind w:right="20" w:firstLine="576"/>
        <w:spacing w:after="0" w:line="272" w:lineRule="auto"/>
        <w:rPr>
          <w:sz w:val="20"/>
          <w:szCs w:val="20"/>
          <w:color w:val="auto"/>
        </w:rPr>
      </w:pPr>
      <w:r>
        <w:rPr>
          <w:rFonts w:ascii="Arial" w:cs="Arial" w:eastAsia="Arial" w:hAnsi="Arial"/>
          <w:sz w:val="17"/>
          <w:szCs w:val="17"/>
          <w:color w:val="auto"/>
        </w:rPr>
        <w:t xml:space="preserve">Section 17.1. </w:t>
      </w:r>
      <w:r>
        <w:rPr>
          <w:rFonts w:ascii="Arial" w:cs="Arial" w:eastAsia="Arial" w:hAnsi="Arial"/>
          <w:sz w:val="17"/>
          <w:szCs w:val="17"/>
          <w:b w:val="1"/>
          <w:bCs w:val="1"/>
          <w:color w:val="auto"/>
        </w:rPr>
        <w:t>Addresses</w:t>
      </w:r>
      <w:r>
        <w:rPr>
          <w:rFonts w:ascii="Arial" w:cs="Arial" w:eastAsia="Arial" w:hAnsi="Arial"/>
          <w:sz w:val="17"/>
          <w:szCs w:val="17"/>
          <w:color w:val="auto"/>
        </w:rPr>
        <w:t>. Except as otherwise set forth in Section 17.2 (</w:t>
      </w:r>
      <w:r>
        <w:rPr>
          <w:rFonts w:ascii="Arial" w:cs="Arial" w:eastAsia="Arial" w:hAnsi="Arial"/>
          <w:sz w:val="17"/>
          <w:szCs w:val="17"/>
          <w:b w:val="1"/>
          <w:bCs w:val="1"/>
          <w:color w:val="auto"/>
        </w:rPr>
        <w:t>Use of Websites</w:t>
      </w:r>
      <w:r>
        <w:rPr>
          <w:rFonts w:ascii="Arial" w:cs="Arial" w:eastAsia="Arial" w:hAnsi="Arial"/>
          <w:sz w:val="17"/>
          <w:szCs w:val="17"/>
          <w:color w:val="auto"/>
        </w:rPr>
        <w:t>), any communications, including any notices, between or among the Parties to this Agreement shall be provided using the addresses listed below. All notices or other communications required or permitted to be given under this Agreement shall be in writing and shall be considered as properly given:</w:t>
      </w:r>
    </w:p>
    <w:p>
      <w:pPr>
        <w:spacing w:after="0" w:line="2" w:lineRule="exact"/>
        <w:rPr>
          <w:sz w:val="20"/>
          <w:szCs w:val="20"/>
          <w:color w:val="auto"/>
        </w:rPr>
      </w:pPr>
    </w:p>
    <w:p>
      <w:pPr>
        <w:ind w:firstLine="6"/>
        <w:spacing w:after="0" w:line="252"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delivered in person; (b) if sent by overnight delivery service for domestic delivery or international courier for international delivery; (c) in the event that overnight delivery service or international courier service is not readily available, if mailed by first class mail (or airmail for international delivery), postage prepaid, registered or certified with return receipt requested; (d) if sent by facsimile or telecopy with transmission verified; or (e) if transmitted by electronic mail, to the electronic mail address set forth below. Notice so given shall be effective upon delivery to the addressee, except that communication or notice so transmitted by facsimile or telecopy or other direct written electronic means shall be deemed to have been validly and effectively given on the day (if a Business Day and, if not, on the following Business Day) on which it is validly transmitted if transmitted before 5:00 p.m. ET, and if transmitted after that time, on the next following Business Day. Any Party has the right to change its address for notice under this Agreement to any other location by giving prior written notice to the other Parties in the manner set forth hereinabove.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Sponsor Guarantor:</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Boise, ID, 89716-9632</w:t>
      </w:r>
    </w:p>
    <w:p>
      <w:pPr>
        <w:spacing w:after="0" w:line="9" w:lineRule="exact"/>
        <w:rPr>
          <w:sz w:val="20"/>
          <w:szCs w:val="20"/>
          <w:color w:val="auto"/>
        </w:rPr>
      </w:pPr>
    </w:p>
    <w:p>
      <w:pPr>
        <w:ind w:left="1160" w:right="2600"/>
        <w:spacing w:after="0" w:line="266" w:lineRule="auto"/>
        <w:rPr>
          <w:sz w:val="20"/>
          <w:szCs w:val="20"/>
          <w:color w:val="auto"/>
        </w:rPr>
      </w:pPr>
      <w:r>
        <w:rPr>
          <w:rFonts w:ascii="Arial" w:cs="Arial" w:eastAsia="Arial" w:hAnsi="Arial"/>
          <w:sz w:val="18"/>
          <w:szCs w:val="18"/>
          <w:color w:val="auto"/>
        </w:rPr>
        <w:t>Attention (copies to all): Scott Gatzemeier, Jeff Binford, Mike Myers, Jessica Sekovski Email (send to all):</w:t>
      </w:r>
    </w:p>
    <w:p>
      <w:pPr>
        <w:spacing w:after="0" w:line="200" w:lineRule="exact"/>
        <w:rPr>
          <w:sz w:val="20"/>
          <w:szCs w:val="20"/>
          <w:color w:val="auto"/>
        </w:rPr>
      </w:pPr>
    </w:p>
    <w:p>
      <w:pPr>
        <w:spacing w:after="0" w:line="3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ectPr>
          <w:pgSz w:w="11900" w:h="16840" w:orient="portrait"/>
          <w:cols w:equalWidth="0" w:num="1">
            <w:col w:w="10580"/>
          </w:cols>
          <w:pgMar w:left="660" w:top="1440" w:right="660" w:bottom="1440" w:gutter="0" w:footer="0" w:header="0"/>
        </w:sectPr>
      </w:pPr>
    </w:p>
    <w:bookmarkStart w:id="172" w:name="page173"/>
    <w:bookmarkEnd w:id="172"/>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 the Department: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UNITED STATES DEPARTMENT OF COMMERCE</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Herbert C. Hoover Building, Suite 48002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1401 Constitution Avenue NW</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Washington, DC 20230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CHIPSAwards@chips.gov</w:t>
      </w: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17.2.</w:t>
      </w:r>
      <w:r>
        <w:rPr>
          <w:sz w:val="20"/>
          <w:szCs w:val="20"/>
          <w:color w:val="auto"/>
        </w:rPr>
        <w:tab/>
      </w:r>
      <w:r>
        <w:rPr>
          <w:rFonts w:ascii="Arial" w:cs="Arial" w:eastAsia="Arial" w:hAnsi="Arial"/>
          <w:sz w:val="17"/>
          <w:szCs w:val="17"/>
          <w:b w:val="1"/>
          <w:bCs w:val="1"/>
          <w:color w:val="auto"/>
        </w:rPr>
        <w:t>Use of Websites</w:t>
      </w:r>
      <w:r>
        <w:rPr>
          <w:rFonts w:ascii="Arial" w:cs="Arial" w:eastAsia="Arial" w:hAnsi="Arial"/>
          <w:sz w:val="17"/>
          <w:szCs w:val="17"/>
          <w:color w:val="auto"/>
        </w:rPr>
        <w:t>.</w:t>
      </w:r>
    </w:p>
    <w:p>
      <w:pPr>
        <w:spacing w:after="0" w:line="201" w:lineRule="exact"/>
        <w:rPr>
          <w:sz w:val="20"/>
          <w:szCs w:val="20"/>
          <w:color w:val="auto"/>
        </w:rPr>
      </w:pPr>
    </w:p>
    <w:p>
      <w:pPr>
        <w:ind w:left="-580" w:right="120" w:firstLine="1735"/>
        <w:spacing w:after="0" w:line="254" w:lineRule="auto"/>
        <w:tabs>
          <w:tab w:leader="none" w:pos="17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Sponsor Guarantor hereby agrees that it shall provide to the Department all information, documents and other materials that it is obligated to furnish to the Department pursuant to this Agreement, including, </w:t>
      </w:r>
      <w:r>
        <w:rPr>
          <w:rFonts w:ascii="Arial" w:cs="Arial" w:eastAsia="Arial" w:hAnsi="Arial"/>
          <w:sz w:val="18"/>
          <w:szCs w:val="18"/>
          <w:i w:val="1"/>
          <w:iCs w:val="1"/>
          <w:color w:val="auto"/>
        </w:rPr>
        <w:t>inter alia</w:t>
      </w:r>
      <w:r>
        <w:rPr>
          <w:rFonts w:ascii="Arial" w:cs="Arial" w:eastAsia="Arial" w:hAnsi="Arial"/>
          <w:sz w:val="18"/>
          <w:szCs w:val="18"/>
          <w:color w:val="auto"/>
        </w:rPr>
        <w:t>, all notices, requests, financial statements, financial and other reports, certificates and other information materials, but excluding (i) any such communication that relates to service of process; (ii) any notice, certificate or other document required under the terms of this Agreement to be sent in a specific format or via a specific method; or (iii) any notifications, certifications or additional information submitted pursuant to the Guardrail Provisions (all such non-excluded communications being referred to herein collectively as “</w:t>
      </w:r>
      <w:r>
        <w:rPr>
          <w:rFonts w:ascii="Arial" w:cs="Arial" w:eastAsia="Arial" w:hAnsi="Arial"/>
          <w:sz w:val="18"/>
          <w:szCs w:val="18"/>
          <w:b w:val="1"/>
          <w:bCs w:val="1"/>
          <w:color w:val="auto"/>
        </w:rPr>
        <w:t>Communications</w:t>
      </w:r>
      <w:r>
        <w:rPr>
          <w:rFonts w:ascii="Arial" w:cs="Arial" w:eastAsia="Arial" w:hAnsi="Arial"/>
          <w:sz w:val="18"/>
          <w:szCs w:val="18"/>
          <w:color w:val="auto"/>
        </w:rPr>
        <w:t>”), by posting the Communications, in an electronic/soft medium in a format acceptable to the Department and using procedures acceptable to the Department, on Salesforce or a substantially similar electronic transmission system used by the Department and which is notified in writing to the Sponsor Guarantor (the “</w:t>
      </w:r>
      <w:r>
        <w:rPr>
          <w:rFonts w:ascii="Arial" w:cs="Arial" w:eastAsia="Arial" w:hAnsi="Arial"/>
          <w:sz w:val="18"/>
          <w:szCs w:val="18"/>
          <w:b w:val="1"/>
          <w:bCs w:val="1"/>
          <w:color w:val="auto"/>
        </w:rPr>
        <w:t>Platform</w:t>
      </w:r>
      <w:r>
        <w:rPr>
          <w:rFonts w:ascii="Arial" w:cs="Arial" w:eastAsia="Arial" w:hAnsi="Arial"/>
          <w:sz w:val="18"/>
          <w:szCs w:val="18"/>
          <w:color w:val="auto"/>
        </w:rPr>
        <w:t>”). In addition, the Sponsor Guarantor agrees to continue to provide the Communications to the Department in any other manner specified in this Agreement, but only to the extent requested by the Department. The Sponsor Guarantor further agrees that the Department may make the Communications available to the other Persons via the Platform. If, at any point, the Platform is not available, the Sponsor Guarantor shall provide Communications to the Department pursuant to Section 17.1 (</w:t>
      </w:r>
      <w:r>
        <w:rPr>
          <w:rFonts w:ascii="Arial" w:cs="Arial" w:eastAsia="Arial" w:hAnsi="Arial"/>
          <w:sz w:val="18"/>
          <w:szCs w:val="18"/>
          <w:b w:val="1"/>
          <w:bCs w:val="1"/>
          <w:color w:val="auto"/>
        </w:rPr>
        <w:t>Addresses</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left="-580" w:right="440" w:firstLine="1735"/>
        <w:spacing w:after="0" w:line="262" w:lineRule="auto"/>
        <w:tabs>
          <w:tab w:leader="none" w:pos="17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Department may, but is not obligated to, furnish all notices, requests, demands, information or other communication (other than service of process) to the Sponsor Guarantor under this Agreement by posting them on the Platform. Nothing herein shall prejudice the right of the Department to give any notice, request, demand, information or other communication pursuant to this Agreement in any other manner specified in this Agreement.</w:t>
      </w:r>
    </w:p>
    <w:p>
      <w:pPr>
        <w:spacing w:after="0" w:line="152" w:lineRule="exact"/>
        <w:rPr>
          <w:rFonts w:ascii="Arial" w:cs="Arial" w:eastAsia="Arial" w:hAnsi="Arial"/>
          <w:sz w:val="18"/>
          <w:szCs w:val="18"/>
          <w:color w:val="auto"/>
        </w:rPr>
      </w:pPr>
    </w:p>
    <w:p>
      <w:pPr>
        <w:ind w:left="-580" w:right="220" w:firstLine="1735"/>
        <w:spacing w:after="0" w:line="287" w:lineRule="auto"/>
        <w:tabs>
          <w:tab w:leader="none" w:pos="17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communication or document as specified in paragraph (a) or (b) above made or delivered by one Party to another shall be effective only when actually made available in readable form on the Platform.</w:t>
      </w:r>
    </w:p>
    <w:p>
      <w:pPr>
        <w:spacing w:after="0" w:line="129" w:lineRule="exact"/>
        <w:rPr>
          <w:rFonts w:ascii="Arial" w:cs="Arial" w:eastAsia="Arial" w:hAnsi="Arial"/>
          <w:sz w:val="18"/>
          <w:szCs w:val="18"/>
          <w:color w:val="auto"/>
        </w:rPr>
      </w:pPr>
    </w:p>
    <w:p>
      <w:pPr>
        <w:ind w:left="-580" w:firstLine="1735"/>
        <w:spacing w:after="0" w:line="269" w:lineRule="auto"/>
        <w:tabs>
          <w:tab w:leader="none" w:pos="17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 (c) above, after 5:00 p.m. in the place in which the Party to whom the relevant communication or document is made available has its address for the purpose of this Agreement shall be deemed only to become effective on the following day.</w:t>
      </w:r>
    </w:p>
    <w:p>
      <w:pPr>
        <w:spacing w:after="0" w:line="200" w:lineRule="exact"/>
        <w:rPr>
          <w:sz w:val="20"/>
          <w:szCs w:val="20"/>
          <w:color w:val="auto"/>
        </w:rPr>
      </w:pPr>
    </w:p>
    <w:p>
      <w:pPr>
        <w:spacing w:after="0" w:line="3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21</w:t>
      </w:r>
    </w:p>
    <w:p>
      <w:pPr>
        <w:sectPr>
          <w:pgSz w:w="11900" w:h="16840" w:orient="portrait"/>
          <w:cols w:equalWidth="0" w:num="1">
            <w:col w:w="10000"/>
          </w:cols>
          <w:pgMar w:left="1240" w:top="1440" w:right="660" w:bottom="1440" w:gutter="0" w:footer="0" w:header="0"/>
        </w:sectPr>
      </w:pPr>
    </w:p>
    <w:bookmarkStart w:id="173" w:name="page174"/>
    <w:bookmarkEnd w:id="173"/>
    <w:p>
      <w:pPr>
        <w:spacing w:after="0" w:line="29" w:lineRule="exact"/>
        <w:rPr>
          <w:sz w:val="20"/>
          <w:szCs w:val="20"/>
          <w:color w:val="auto"/>
        </w:rPr>
      </w:pPr>
    </w:p>
    <w:p>
      <w:pPr>
        <w:ind w:firstLine="576"/>
        <w:spacing w:after="0" w:line="267" w:lineRule="auto"/>
        <w:rPr>
          <w:sz w:val="20"/>
          <w:szCs w:val="20"/>
          <w:color w:val="auto"/>
        </w:rPr>
      </w:pPr>
      <w:r>
        <w:rPr>
          <w:rFonts w:ascii="Arial" w:cs="Arial" w:eastAsia="Arial" w:hAnsi="Arial"/>
          <w:sz w:val="17"/>
          <w:szCs w:val="17"/>
          <w:color w:val="auto"/>
        </w:rPr>
        <w:t xml:space="preserve">Section 17.3. </w:t>
      </w:r>
      <w:r>
        <w:rPr>
          <w:rFonts w:ascii="Arial" w:cs="Arial" w:eastAsia="Arial" w:hAnsi="Arial"/>
          <w:sz w:val="17"/>
          <w:szCs w:val="17"/>
          <w:b w:val="1"/>
          <w:bCs w:val="1"/>
          <w:color w:val="auto"/>
        </w:rPr>
        <w:t>Counterparts; Electronic Signatures</w:t>
      </w:r>
      <w:r>
        <w:rPr>
          <w:rFonts w:ascii="Arial" w:cs="Arial" w:eastAsia="Arial" w:hAnsi="Arial"/>
          <w:sz w:val="17"/>
          <w:szCs w:val="17"/>
          <w:color w:val="auto"/>
        </w:rPr>
        <w:t>. This Agreement may be executed in one or more duplicate counterparts and when executed by all of the Parties shall constitute a single binding agreement. The delivery of an executed counterpart of this Agreement by electronic means, including by facsimile or by portable document format (PDF) attachment to email, shall be as effective as delivery of an original executed counterpart of this Agreement. Except to the extent that Applicable Law would prohibit the same, make the same unenforceable, or affirmatively require a manually executed counterpart signature: (a) the delivery of an executed counterpart of a signature page of this Agreement by fax, emailed .pdf, or any other electronic means approved by the Department in writing (which may be via email) that reproduces an image of the actual executed signature page shall be as effective as the delivery of a manually executed counterpart of this Agreement; (b) the delivery of an executed counterpart of a signature page of this Agreement by fax, emailed .pdf, or any other electronic delivery means approved by the Department in writing (which may be via email) that contains a DocuSign signature or, in the case of the Department’s signature, a digital signature associated with a Personal Identity Verification card, or any other electronic signature means approved by the Department in writing (which may be via email) shall be as effective as the delivery of a manually executed counterpart of this Agreement; and (c) if agreed by the Department in writing (which may be via email) with respect to this Agreement, the delivery of an executed counterpart of a signature page of this Agreement by electronic means that types in the signatory to a document as a “conformed signature” from an email address approved by the Department in writing (which may be via email) shall be as effective as the delivery of a manually executed counterpart of this Agreement.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9" w:lineRule="exact"/>
        <w:rPr>
          <w:sz w:val="20"/>
          <w:szCs w:val="20"/>
          <w:color w:val="auto"/>
        </w:rPr>
      </w:pPr>
    </w:p>
    <w:p>
      <w:pPr>
        <w:ind w:right="260" w:firstLine="576"/>
        <w:spacing w:after="0" w:line="262" w:lineRule="auto"/>
        <w:rPr>
          <w:sz w:val="20"/>
          <w:szCs w:val="20"/>
          <w:color w:val="auto"/>
        </w:rPr>
      </w:pPr>
      <w:r>
        <w:rPr>
          <w:rFonts w:ascii="Arial" w:cs="Arial" w:eastAsia="Arial" w:hAnsi="Arial"/>
          <w:sz w:val="18"/>
          <w:szCs w:val="18"/>
          <w:color w:val="auto"/>
        </w:rPr>
        <w:t xml:space="preserve">Section 17.4. </w:t>
      </w:r>
      <w:r>
        <w:rPr>
          <w:rFonts w:ascii="Arial" w:cs="Arial" w:eastAsia="Arial" w:hAnsi="Arial"/>
          <w:sz w:val="18"/>
          <w:szCs w:val="18"/>
          <w:b w:val="1"/>
          <w:bCs w:val="1"/>
          <w:color w:val="auto"/>
        </w:rPr>
        <w:t>No Strict Construction</w:t>
      </w:r>
      <w:r>
        <w:rPr>
          <w:rFonts w:ascii="Arial" w:cs="Arial" w:eastAsia="Arial" w:hAnsi="Arial"/>
          <w:sz w:val="18"/>
          <w:szCs w:val="18"/>
          <w:color w:val="auto"/>
        </w:rPr>
        <w:t>. The Parties hereto have participated jointly in the negotiation and drafting of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2" w:lineRule="exact"/>
        <w:rPr>
          <w:sz w:val="20"/>
          <w:szCs w:val="20"/>
          <w:color w:val="auto"/>
        </w:rPr>
      </w:pPr>
    </w:p>
    <w:p>
      <w:pPr>
        <w:ind w:right="20" w:firstLine="576"/>
        <w:spacing w:after="0" w:line="259" w:lineRule="auto"/>
        <w:rPr>
          <w:sz w:val="20"/>
          <w:szCs w:val="20"/>
          <w:color w:val="auto"/>
        </w:rPr>
      </w:pPr>
      <w:r>
        <w:rPr>
          <w:rFonts w:ascii="Arial" w:cs="Arial" w:eastAsia="Arial" w:hAnsi="Arial"/>
          <w:sz w:val="18"/>
          <w:szCs w:val="18"/>
          <w:color w:val="auto"/>
        </w:rPr>
        <w:t xml:space="preserve">Section 17.5. </w:t>
      </w:r>
      <w:r>
        <w:rPr>
          <w:rFonts w:ascii="Arial" w:cs="Arial" w:eastAsia="Arial" w:hAnsi="Arial"/>
          <w:sz w:val="18"/>
          <w:szCs w:val="18"/>
          <w:b w:val="1"/>
          <w:bCs w:val="1"/>
          <w:color w:val="auto"/>
        </w:rPr>
        <w:t>Severability</w:t>
      </w:r>
      <w:r>
        <w:rPr>
          <w:rFonts w:ascii="Arial" w:cs="Arial" w:eastAsia="Arial" w:hAnsi="Arial"/>
          <w:sz w:val="18"/>
          <w:szCs w:val="18"/>
          <w:color w:val="auto"/>
        </w:rPr>
        <w:t>.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engage the Parties to this Agreement to enter into good faith negotiations to replace the invalid, illegal, or unenforceable provision with a provision as similar in its terms and purpose to such illegal, invalid, or unenforceable provision as may be possible and be legal, valid, and enforceable.</w:t>
      </w: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ectPr>
          <w:pgSz w:w="11900" w:h="16840" w:orient="portrait"/>
          <w:cols w:equalWidth="0" w:num="1">
            <w:col w:w="10580"/>
          </w:cols>
          <w:pgMar w:left="660" w:top="1440" w:right="660" w:bottom="1440" w:gutter="0" w:footer="0" w:header="0"/>
        </w:sectPr>
      </w:pPr>
    </w:p>
    <w:bookmarkStart w:id="174" w:name="page175"/>
    <w:bookmarkEnd w:id="174"/>
    <w:p>
      <w:pPr>
        <w:spacing w:after="0" w:line="2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17.6.</w:t>
      </w:r>
      <w:r>
        <w:rPr>
          <w:sz w:val="20"/>
          <w:szCs w:val="20"/>
          <w:color w:val="auto"/>
        </w:rPr>
        <w:tab/>
      </w:r>
      <w:r>
        <w:rPr>
          <w:rFonts w:ascii="Arial" w:cs="Arial" w:eastAsia="Arial" w:hAnsi="Arial"/>
          <w:sz w:val="17"/>
          <w:szCs w:val="17"/>
          <w:b w:val="1"/>
          <w:bCs w:val="1"/>
          <w:color w:val="auto"/>
        </w:rPr>
        <w:t>Survival</w:t>
      </w:r>
      <w:r>
        <w:rPr>
          <w:rFonts w:ascii="Arial" w:cs="Arial" w:eastAsia="Arial" w:hAnsi="Arial"/>
          <w:sz w:val="17"/>
          <w:szCs w:val="17"/>
          <w:color w:val="auto"/>
        </w:rPr>
        <w:t>.</w:t>
      </w:r>
    </w:p>
    <w:p>
      <w:pPr>
        <w:spacing w:after="0" w:line="201" w:lineRule="exact"/>
        <w:rPr>
          <w:sz w:val="20"/>
          <w:szCs w:val="20"/>
          <w:color w:val="auto"/>
        </w:rPr>
      </w:pPr>
    </w:p>
    <w:p>
      <w:pPr>
        <w:ind w:right="220" w:firstLine="1735"/>
        <w:spacing w:after="0" w:line="256" w:lineRule="auto"/>
        <w:tabs>
          <w:tab w:leader="none" w:pos="232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representations and warranties made by the Sponsor Guarantor in this Agreement or other documents delivered in connection therewith shall be considered to have been relied upon the Department and shall survive the execution and delivery of each DFA and the other Financing Documents, the occurrence of each Award Date, the execution of the Funding Obligations and each Termination Date, regardless of any investigation made by the Department or on its behalf and notwithstanding that the Department may have had notice or knowledge of any Event of Default or Potential Event of Default at the time of any Disbursement, and shall continue in full force and effect until this Agreement shall terminate (or thereafter to the extent provided herein).</w:t>
      </w:r>
    </w:p>
    <w:p>
      <w:pPr>
        <w:spacing w:after="0" w:line="158" w:lineRule="exact"/>
        <w:rPr>
          <w:rFonts w:ascii="Arial" w:cs="Arial" w:eastAsia="Arial" w:hAnsi="Arial"/>
          <w:sz w:val="18"/>
          <w:szCs w:val="18"/>
          <w:color w:val="auto"/>
        </w:rPr>
      </w:pPr>
    </w:p>
    <w:p>
      <w:pPr>
        <w:ind w:left="2320" w:hanging="585"/>
        <w:spacing w:after="0"/>
        <w:tabs>
          <w:tab w:leader="none" w:pos="2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provisions of (i) Article 14 (</w:t>
      </w:r>
      <w:r>
        <w:rPr>
          <w:rFonts w:ascii="Arial" w:cs="Arial" w:eastAsia="Arial" w:hAnsi="Arial"/>
          <w:sz w:val="18"/>
          <w:szCs w:val="18"/>
          <w:b w:val="1"/>
          <w:bCs w:val="1"/>
          <w:color w:val="auto"/>
        </w:rPr>
        <w:t>Net of Tax</w:t>
      </w:r>
      <w:r>
        <w:rPr>
          <w:rFonts w:ascii="Arial" w:cs="Arial" w:eastAsia="Arial" w:hAnsi="Arial"/>
          <w:sz w:val="18"/>
          <w:szCs w:val="18"/>
          <w:color w:val="auto"/>
        </w:rPr>
        <w:t>), Section 17.9 (</w:t>
      </w:r>
      <w:r>
        <w:rPr>
          <w:rFonts w:ascii="Arial" w:cs="Arial" w:eastAsia="Arial" w:hAnsi="Arial"/>
          <w:sz w:val="18"/>
          <w:szCs w:val="18"/>
          <w:b w:val="1"/>
          <w:bCs w:val="1"/>
          <w:color w:val="auto"/>
        </w:rPr>
        <w:t>Costs and Expenses</w:t>
      </w:r>
      <w:r>
        <w:rPr>
          <w:rFonts w:ascii="Arial" w:cs="Arial" w:eastAsia="Arial" w:hAnsi="Arial"/>
          <w:sz w:val="18"/>
          <w:szCs w:val="18"/>
          <w:color w:val="auto"/>
        </w:rPr>
        <w:t>), Section 17.10</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w:t>
      </w:r>
      <w:r>
        <w:rPr>
          <w:rFonts w:ascii="Arial" w:cs="Arial" w:eastAsia="Arial" w:hAnsi="Arial"/>
          <w:sz w:val="18"/>
          <w:szCs w:val="18"/>
          <w:color w:val="auto"/>
        </w:rPr>
        <w:t>), Section 17.11 (</w:t>
      </w:r>
      <w:r>
        <w:rPr>
          <w:rFonts w:ascii="Arial" w:cs="Arial" w:eastAsia="Arial" w:hAnsi="Arial"/>
          <w:sz w:val="18"/>
          <w:szCs w:val="18"/>
          <w:b w:val="1"/>
          <w:bCs w:val="1"/>
          <w:color w:val="auto"/>
        </w:rPr>
        <w:t>Governing Law</w:t>
      </w:r>
      <w:r>
        <w:rPr>
          <w:rFonts w:ascii="Arial" w:cs="Arial" w:eastAsia="Arial" w:hAnsi="Arial"/>
          <w:sz w:val="18"/>
          <w:szCs w:val="18"/>
          <w:color w:val="auto"/>
        </w:rPr>
        <w:t>), Section 17.12 (</w:t>
      </w:r>
      <w:r>
        <w:rPr>
          <w:rFonts w:ascii="Arial" w:cs="Arial" w:eastAsia="Arial" w:hAnsi="Arial"/>
          <w:sz w:val="18"/>
          <w:szCs w:val="18"/>
          <w:b w:val="1"/>
          <w:bCs w:val="1"/>
          <w:color w:val="auto"/>
        </w:rPr>
        <w:t>Waiver of Jury Trial</w:t>
      </w:r>
      <w:r>
        <w:rPr>
          <w:rFonts w:ascii="Arial" w:cs="Arial" w:eastAsia="Arial" w:hAnsi="Arial"/>
          <w:sz w:val="18"/>
          <w:szCs w:val="18"/>
          <w:color w:val="auto"/>
        </w:rPr>
        <w:t>), Section 17.13 (</w:t>
      </w:r>
      <w:r>
        <w:rPr>
          <w:rFonts w:ascii="Arial" w:cs="Arial" w:eastAsia="Arial" w:hAnsi="Arial"/>
          <w:sz w:val="18"/>
          <w:szCs w:val="18"/>
          <w:b w:val="1"/>
          <w:bCs w:val="1"/>
          <w:color w:val="auto"/>
        </w:rPr>
        <w:t>Consent to Jurisdiction</w:t>
      </w:r>
      <w:r>
        <w:rPr>
          <w:rFonts w:ascii="Arial" w:cs="Arial" w:eastAsia="Arial" w:hAnsi="Arial"/>
          <w:sz w:val="18"/>
          <w:szCs w:val="18"/>
          <w:color w:val="auto"/>
        </w:rPr>
        <w:t>) and Article 15 (</w:t>
      </w:r>
      <w:r>
        <w:rPr>
          <w:rFonts w:ascii="Arial" w:cs="Arial" w:eastAsia="Arial" w:hAnsi="Arial"/>
          <w:sz w:val="18"/>
          <w:szCs w:val="18"/>
          <w:b w:val="1"/>
          <w:bCs w:val="1"/>
          <w:color w:val="auto"/>
        </w:rPr>
        <w:t>Reinstatement</w:t>
      </w:r>
      <w:r>
        <w:rPr>
          <w:rFonts w:ascii="Arial" w:cs="Arial" w:eastAsia="Arial" w:hAnsi="Arial"/>
          <w:sz w:val="18"/>
          <w:szCs w:val="18"/>
          <w:color w:val="auto"/>
        </w:rPr>
        <w:t>); and (ii) the Guardrail Provisions (excluding Section 2 (</w:t>
      </w:r>
      <w:r>
        <w:rPr>
          <w:rFonts w:ascii="Arial" w:cs="Arial" w:eastAsia="Arial" w:hAnsi="Arial"/>
          <w:sz w:val="18"/>
          <w:szCs w:val="18"/>
          <w:i w:val="1"/>
          <w:iCs w:val="1"/>
          <w:color w:val="auto"/>
        </w:rPr>
        <w:t>Prohibition on Certain Joint Research or</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Technology Licensing</w:t>
      </w:r>
      <w:r>
        <w:rPr>
          <w:rFonts w:ascii="Arial" w:cs="Arial" w:eastAsia="Arial" w:hAnsi="Arial"/>
          <w:sz w:val="18"/>
          <w:szCs w:val="18"/>
          <w:color w:val="auto"/>
        </w:rPr>
        <w:t>) of each DFA and Section 7(d) (</w:t>
      </w:r>
      <w:r>
        <w:rPr>
          <w:rFonts w:ascii="Arial" w:cs="Arial" w:eastAsia="Arial" w:hAnsi="Arial"/>
          <w:sz w:val="18"/>
          <w:szCs w:val="18"/>
          <w:i w:val="1"/>
          <w:iCs w:val="1"/>
          <w:color w:val="auto"/>
        </w:rPr>
        <w:t>Remedies, Mitigation and Clawbacks</w:t>
      </w:r>
      <w:r>
        <w:rPr>
          <w:rFonts w:ascii="Arial" w:cs="Arial" w:eastAsia="Arial" w:hAnsi="Arial"/>
          <w:sz w:val="18"/>
          <w:szCs w:val="18"/>
          <w:color w:val="auto"/>
        </w:rPr>
        <w:t>) thereof and all other provisions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definitions set forth herein required to give effect thereto, including, </w:t>
      </w:r>
      <w:r>
        <w:rPr>
          <w:rFonts w:ascii="Arial" w:cs="Arial" w:eastAsia="Arial" w:hAnsi="Arial"/>
          <w:sz w:val="18"/>
          <w:szCs w:val="18"/>
          <w:i w:val="1"/>
          <w:iCs w:val="1"/>
          <w:color w:val="auto"/>
        </w:rPr>
        <w:t>inter alia</w:t>
      </w:r>
      <w:r>
        <w:rPr>
          <w:rFonts w:ascii="Arial" w:cs="Arial" w:eastAsia="Arial" w:hAnsi="Arial"/>
          <w:sz w:val="18"/>
          <w:szCs w:val="18"/>
          <w:color w:val="auto"/>
        </w:rPr>
        <w:t>, Section 17.8 (</w:t>
      </w:r>
      <w:r>
        <w:rPr>
          <w:rFonts w:ascii="Arial" w:cs="Arial" w:eastAsia="Arial" w:hAnsi="Arial"/>
          <w:sz w:val="18"/>
          <w:szCs w:val="18"/>
          <w:b w:val="1"/>
          <w:bCs w:val="1"/>
          <w:color w:val="auto"/>
        </w:rPr>
        <w:t>Waiver and Amendment</w:t>
      </w:r>
      <w:r>
        <w:rPr>
          <w:rFonts w:ascii="Arial" w:cs="Arial" w:eastAsia="Arial" w:hAnsi="Arial"/>
          <w:sz w:val="18"/>
          <w:szCs w:val="18"/>
          <w:color w:val="auto"/>
        </w:rPr>
        <w:t>) shall survive and remain in full force and effect regardless of the consummation of the transactions contemplated hereby, the payment in full of the Department Obligations, the expiration or termination of any Award, or the termination of this Agreement or any provision hereof on the Termination Date.</w:t>
      </w:r>
    </w:p>
    <w:p>
      <w:pPr>
        <w:spacing w:after="0" w:line="15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17.7.</w:t>
      </w:r>
      <w:r>
        <w:rPr>
          <w:sz w:val="20"/>
          <w:szCs w:val="20"/>
          <w:color w:val="auto"/>
        </w:rPr>
        <w:tab/>
      </w:r>
      <w:r>
        <w:rPr>
          <w:rFonts w:ascii="Arial" w:cs="Arial" w:eastAsia="Arial" w:hAnsi="Arial"/>
          <w:sz w:val="17"/>
          <w:szCs w:val="17"/>
          <w:b w:val="1"/>
          <w:bCs w:val="1"/>
          <w:color w:val="auto"/>
        </w:rPr>
        <w:t>Successors and Assigns</w:t>
      </w:r>
      <w:r>
        <w:rPr>
          <w:rFonts w:ascii="Arial" w:cs="Arial" w:eastAsia="Arial" w:hAnsi="Arial"/>
          <w:sz w:val="17"/>
          <w:szCs w:val="17"/>
          <w:color w:val="auto"/>
        </w:rPr>
        <w:t>.</w:t>
      </w:r>
    </w:p>
    <w:p>
      <w:pPr>
        <w:spacing w:after="0" w:line="201" w:lineRule="exact"/>
        <w:rPr>
          <w:sz w:val="20"/>
          <w:szCs w:val="20"/>
          <w:color w:val="auto"/>
        </w:rPr>
      </w:pPr>
    </w:p>
    <w:p>
      <w:pPr>
        <w:ind w:right="360" w:firstLine="1735"/>
        <w:spacing w:after="0" w:line="287" w:lineRule="auto"/>
        <w:tabs>
          <w:tab w:leader="none" w:pos="232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to this Agreement and their respective successors and permitted assigns.</w:t>
      </w:r>
    </w:p>
    <w:p>
      <w:pPr>
        <w:spacing w:after="0" w:line="129" w:lineRule="exact"/>
        <w:rPr>
          <w:rFonts w:ascii="Arial" w:cs="Arial" w:eastAsia="Arial" w:hAnsi="Arial"/>
          <w:sz w:val="18"/>
          <w:szCs w:val="18"/>
          <w:color w:val="auto"/>
        </w:rPr>
      </w:pPr>
    </w:p>
    <w:p>
      <w:pPr>
        <w:ind w:right="200" w:firstLine="1735"/>
        <w:spacing w:after="0" w:line="287" w:lineRule="auto"/>
        <w:tabs>
          <w:tab w:leader="none" w:pos="231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Sponsor Guarantor shall not assign or otherwise transfer any of its rights or obligations under this Agreement without the prior written consent of the Department.</w:t>
      </w:r>
    </w:p>
    <w:p>
      <w:pPr>
        <w:spacing w:after="0" w:line="129"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18"/>
          <w:szCs w:val="18"/>
          <w:color w:val="auto"/>
        </w:rPr>
        <w:t>Section 17.8.</w:t>
      </w:r>
      <w:r>
        <w:rPr>
          <w:sz w:val="20"/>
          <w:szCs w:val="20"/>
          <w:color w:val="auto"/>
        </w:rPr>
        <w:tab/>
      </w:r>
      <w:r>
        <w:rPr>
          <w:rFonts w:ascii="Arial" w:cs="Arial" w:eastAsia="Arial" w:hAnsi="Arial"/>
          <w:sz w:val="17"/>
          <w:szCs w:val="17"/>
          <w:b w:val="1"/>
          <w:bCs w:val="1"/>
          <w:color w:val="auto"/>
        </w:rPr>
        <w:t>Waiver and Amendment</w:t>
      </w:r>
      <w:r>
        <w:rPr>
          <w:rFonts w:ascii="Arial" w:cs="Arial" w:eastAsia="Arial" w:hAnsi="Arial"/>
          <w:sz w:val="17"/>
          <w:szCs w:val="17"/>
          <w:color w:val="auto"/>
        </w:rPr>
        <w:t>.</w:t>
      </w:r>
    </w:p>
    <w:p>
      <w:pPr>
        <w:spacing w:after="0" w:line="201" w:lineRule="exact"/>
        <w:rPr>
          <w:sz w:val="20"/>
          <w:szCs w:val="20"/>
          <w:color w:val="auto"/>
        </w:rPr>
      </w:pPr>
    </w:p>
    <w:p>
      <w:pPr>
        <w:ind w:firstLine="1735"/>
        <w:spacing w:after="0" w:line="269" w:lineRule="auto"/>
        <w:tabs>
          <w:tab w:leader="none" w:pos="232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failure or delay by the Department in exercising any right, power or remedy shall operate as a waiver thereof or otherwise impair any rights, powers, or remedies of the Department. No single or partial exercise of any such right, power, or remedy shall preclude any other or further exercise thereof or the exercise of any other legal right, power, or remedy.</w:t>
      </w:r>
    </w:p>
    <w:p>
      <w:pPr>
        <w:spacing w:after="0" w:line="144" w:lineRule="exact"/>
        <w:rPr>
          <w:rFonts w:ascii="Arial" w:cs="Arial" w:eastAsia="Arial" w:hAnsi="Arial"/>
          <w:sz w:val="18"/>
          <w:szCs w:val="18"/>
          <w:color w:val="auto"/>
        </w:rPr>
      </w:pPr>
    </w:p>
    <w:p>
      <w:pPr>
        <w:ind w:right="220" w:firstLine="1735"/>
        <w:spacing w:after="0" w:line="262" w:lineRule="auto"/>
        <w:tabs>
          <w:tab w:leader="none" w:pos="231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rights, powers or remedies provided for herein are, to the extent permitted by Applicable Law, cumulative and are not exclusive of any other rights, powers or remedies provided by law or in any other Financing Document. The assertion or employment of any right, power or remedy hereunder, or otherwise, shall not prevent the concurrent assertion of any other right, power or remedy.</w:t>
      </w:r>
    </w:p>
    <w:p>
      <w:pPr>
        <w:spacing w:after="0" w:line="152" w:lineRule="exact"/>
        <w:rPr>
          <w:rFonts w:ascii="Arial" w:cs="Arial" w:eastAsia="Arial" w:hAnsi="Arial"/>
          <w:sz w:val="18"/>
          <w:szCs w:val="18"/>
          <w:color w:val="auto"/>
        </w:rPr>
      </w:pPr>
    </w:p>
    <w:p>
      <w:pPr>
        <w:jc w:val="both"/>
        <w:ind w:right="40" w:firstLine="1735"/>
        <w:spacing w:after="0" w:line="269" w:lineRule="auto"/>
        <w:tabs>
          <w:tab w:leader="none" w:pos="231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Except as otherwise expressly provided herein, neither this Agreement nor any provision hereof may be amended, waived, discharged, or terminated unless such amendment, waiver, discharge, or termination is in writing and executed by the Sponsor Guarantor and the Department.</w:t>
      </w: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ectPr>
          <w:pgSz w:w="11900" w:h="16840" w:orient="portrait"/>
          <w:cols w:equalWidth="0" w:num="1">
            <w:col w:w="10600"/>
          </w:cols>
          <w:pgMar w:left="660" w:top="1440" w:right="640" w:bottom="1440" w:gutter="0" w:footer="0" w:header="0"/>
        </w:sectPr>
      </w:pPr>
    </w:p>
    <w:bookmarkStart w:id="175" w:name="page176"/>
    <w:bookmarkEnd w:id="175"/>
    <w:p>
      <w:pPr>
        <w:spacing w:after="0" w:line="29" w:lineRule="exact"/>
        <w:rPr>
          <w:sz w:val="20"/>
          <w:szCs w:val="20"/>
          <w:color w:val="auto"/>
        </w:rPr>
      </w:pPr>
    </w:p>
    <w:p>
      <w:pPr>
        <w:ind w:right="80" w:firstLine="576"/>
        <w:spacing w:after="0" w:line="256" w:lineRule="auto"/>
        <w:rPr>
          <w:sz w:val="20"/>
          <w:szCs w:val="20"/>
          <w:color w:val="auto"/>
        </w:rPr>
      </w:pPr>
      <w:r>
        <w:rPr>
          <w:rFonts w:ascii="Arial" w:cs="Arial" w:eastAsia="Arial" w:hAnsi="Arial"/>
          <w:sz w:val="18"/>
          <w:szCs w:val="18"/>
          <w:color w:val="auto"/>
        </w:rPr>
        <w:t xml:space="preserve">Section 17.9. </w:t>
      </w:r>
      <w:r>
        <w:rPr>
          <w:rFonts w:ascii="Arial" w:cs="Arial" w:eastAsia="Arial" w:hAnsi="Arial"/>
          <w:sz w:val="18"/>
          <w:szCs w:val="18"/>
          <w:b w:val="1"/>
          <w:bCs w:val="1"/>
          <w:color w:val="auto"/>
        </w:rPr>
        <w:t>Costs and Expenses</w:t>
      </w:r>
      <w:r>
        <w:rPr>
          <w:rFonts w:ascii="Arial" w:cs="Arial" w:eastAsia="Arial" w:hAnsi="Arial"/>
          <w:sz w:val="18"/>
          <w:szCs w:val="18"/>
          <w:color w:val="auto"/>
        </w:rPr>
        <w:t>. The Sponsor Guarantor shall, whether or not the transactions contemplated by this Agreement or the other Financing Documents are consummated, pay or reimburse, without duplication, all reasonable, documented fees, out-of -pocket costs and expenses of the Department (including all commissions, charges, costs and expenses for the conversion of currencies and all other fees, costs, charges and expenses, including all Periodic Expenses of any Consultant) paid or incurred in connection with (a) the due diligence of the Recipient Parties and the Projects; and (b) the negotiation, review, preparation and recording of this Agreement, the other Financing Documents and any other documents and instruments related to this Agreement or thereto (including legal opinions) incurred prior to execution of this Agreement.</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01" w:lineRule="exact"/>
        <w:rPr>
          <w:sz w:val="20"/>
          <w:szCs w:val="20"/>
          <w:color w:val="auto"/>
        </w:rPr>
      </w:pPr>
    </w:p>
    <w:p>
      <w:pPr>
        <w:ind w:firstLine="1735"/>
        <w:spacing w:after="0" w:line="255" w:lineRule="auto"/>
        <w:tabs>
          <w:tab w:leader="none" w:pos="23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Sponsor Guarantor shall indemnify the Department and each of its officers, employees, attorneys and agents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any liabilities, obligations, losses, damages, penalties, claims, judgments, lawsuits, costs and expenses (other than attorneys’ costs and fees) (each, an “</w:t>
      </w:r>
      <w:r>
        <w:rPr>
          <w:rFonts w:ascii="Arial" w:cs="Arial" w:eastAsia="Arial" w:hAnsi="Arial"/>
          <w:sz w:val="18"/>
          <w:szCs w:val="18"/>
          <w:b w:val="1"/>
          <w:bCs w:val="1"/>
          <w:color w:val="auto"/>
        </w:rPr>
        <w:t>Indemnified Liability</w:t>
      </w:r>
      <w:r>
        <w:rPr>
          <w:rFonts w:ascii="Arial" w:cs="Arial" w:eastAsia="Arial" w:hAnsi="Arial"/>
          <w:sz w:val="18"/>
          <w:szCs w:val="18"/>
          <w:color w:val="auto"/>
        </w:rPr>
        <w:t>”) for which an Indemnified Party may become responsible because of a claim asserted by a third party related to any Award, the use of Disbursements, this Agreement, any Financing Document, or any Project; provided, that the Sponsor Guarantor shall not have any indemnification obligation hereunder if the third party’s claim is based solely on the conduct of the Department (and no other Party) or arises from the bad faith, gross negligence or willful misconduct of any Indemnified Party (as determined pursuant to a final, Non-Appealable judgment by a court of competent jurisdiction).</w:t>
      </w:r>
    </w:p>
    <w:p>
      <w:pPr>
        <w:spacing w:after="0" w:line="89" w:lineRule="exact"/>
        <w:rPr>
          <w:rFonts w:ascii="Arial" w:cs="Arial" w:eastAsia="Arial" w:hAnsi="Arial"/>
          <w:sz w:val="18"/>
          <w:szCs w:val="18"/>
          <w:color w:val="auto"/>
        </w:rPr>
      </w:pPr>
    </w:p>
    <w:p>
      <w:pPr>
        <w:ind w:right="80" w:firstLine="1735"/>
        <w:spacing w:after="0" w:line="269" w:lineRule="auto"/>
        <w:tabs>
          <w:tab w:leader="none" w:pos="23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Indemnified Party shall give timely notice to the Sponsor Guarantor of any action for which indemnification hereunder may be sought; provided that any failure to give such notice shall not release the Sponsor Guarantor from any of its indemnification obligations hereunder.</w:t>
      </w:r>
    </w:p>
    <w:p>
      <w:pPr>
        <w:spacing w:after="0" w:line="72" w:lineRule="exact"/>
        <w:rPr>
          <w:rFonts w:ascii="Arial" w:cs="Arial" w:eastAsia="Arial" w:hAnsi="Arial"/>
          <w:sz w:val="18"/>
          <w:szCs w:val="18"/>
          <w:color w:val="auto"/>
        </w:rPr>
      </w:pPr>
    </w:p>
    <w:p>
      <w:pPr>
        <w:ind w:right="80" w:firstLine="1735"/>
        <w:spacing w:after="0" w:line="255" w:lineRule="auto"/>
        <w:tabs>
          <w:tab w:leader="none" w:pos="23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Sponsor Guarantor agrees that the Department has sole authority regarding the conduct of any litigation brought against any Indemnified Party and the Sponsor Guarantor agrees that the decisions of the Department regarding any such litigation, trial or settlement shall not relieve the Sponsor Guarantor of its indemnification obligations hereunder. The Department agrees that it will advise the Sponsor Guarantor regarding the conduct of any such litigation and that the Sponsor Guarantor shall be given the opportunity at its own cost and expense to advise the Department of its views regarding such litigation, including any settlement related thereto. The Department agrees that it will not compromise or settle any Indemnified Liability, until it has advised the Sponsor Guarantor, as provided above, and has been authorized by the government official with authority to approve settlements pursuant to applicable rules. No provision herein shall restrict, modify or otherwise affect the authority of the United States to settle or compromise any claim according to Applicable Law.</w:t>
      </w:r>
    </w:p>
    <w:p>
      <w:pPr>
        <w:spacing w:after="0" w:line="85" w:lineRule="exact"/>
        <w:rPr>
          <w:rFonts w:ascii="Arial" w:cs="Arial" w:eastAsia="Arial" w:hAnsi="Arial"/>
          <w:sz w:val="18"/>
          <w:szCs w:val="18"/>
          <w:color w:val="auto"/>
        </w:rPr>
      </w:pPr>
    </w:p>
    <w:p>
      <w:pPr>
        <w:ind w:right="560" w:firstLine="1735"/>
        <w:spacing w:after="0" w:line="287" w:lineRule="auto"/>
        <w:tabs>
          <w:tab w:leader="none" w:pos="23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sums paid and costs incurred by any Indemnified Party with respect to any matter indemnified hereunder shall be immediately due and payable by the Sponsor Guarantor.</w:t>
      </w:r>
    </w:p>
    <w:p>
      <w:pPr>
        <w:spacing w:after="0" w:line="57" w:lineRule="exact"/>
        <w:rPr>
          <w:sz w:val="20"/>
          <w:szCs w:val="20"/>
          <w:color w:val="auto"/>
        </w:rPr>
      </w:pPr>
    </w:p>
    <w:p>
      <w:pPr>
        <w:ind w:right="140" w:firstLine="576"/>
        <w:spacing w:after="0" w:line="259" w:lineRule="auto"/>
        <w:rPr>
          <w:sz w:val="20"/>
          <w:szCs w:val="20"/>
          <w:color w:val="auto"/>
        </w:rPr>
      </w:pPr>
      <w:r>
        <w:rPr>
          <w:rFonts w:ascii="Arial" w:cs="Arial" w:eastAsia="Arial" w:hAnsi="Arial"/>
          <w:sz w:val="18"/>
          <w:szCs w:val="18"/>
          <w:color w:val="auto"/>
        </w:rPr>
        <w:t xml:space="preserve">Section 17.11.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rights and obligations of the Parties hereunder shall be governed by, and construed and interpreted in accordance with, the federal law of the United States. To the extent that federal law does not specify the appropriate rule of decision for a particular matter at issue, it is the intention and agreement of the Parties that the law of the State of New York (without giving effect to its conflict of laws principles (except Section 5-1401 of the New York General Obligations Law)) shall be adopted as the governing federal rule of decision.</w:t>
      </w:r>
    </w:p>
    <w:p>
      <w:pPr>
        <w:spacing w:after="0" w:line="156" w:lineRule="exact"/>
        <w:rPr>
          <w:sz w:val="20"/>
          <w:szCs w:val="20"/>
          <w:color w:val="auto"/>
        </w:rPr>
      </w:pPr>
    </w:p>
    <w:p>
      <w:pPr>
        <w:ind w:right="840" w:firstLine="576"/>
        <w:spacing w:after="0" w:line="262"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b w:val="1"/>
          <w:bCs w:val="1"/>
          <w:color w:val="auto"/>
        </w:rPr>
        <w:t>Waiver of Jury Trial</w:t>
      </w:r>
      <w:r>
        <w:rPr>
          <w:rFonts w:ascii="Arial" w:cs="Arial" w:eastAsia="Arial" w:hAnsi="Arial"/>
          <w:sz w:val="18"/>
          <w:szCs w:val="18"/>
          <w:color w:val="auto"/>
        </w:rPr>
        <w:t>. EACH OF THE PARTIES TO THIS AGREEMENT HEREBY KNOWINGLY, VOLUNTARILY, INTENTIONALLY, AND IRREVOCABLY WAIVES ANY RIGHTS IT MAY HAVE TO A TRIAL BY JURY IN RESPECT OF ANY DISPUTE BASED HEREON, OR ARISING OUT OF, UNDER, OR IN CONNECTION WITH, THIS AGREEMENT, OR ANY COURSE OF CONDUCT, COURSE OF DEALING, STATEMENTS (WHETHER</w:t>
      </w: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24</w:t>
      </w:r>
    </w:p>
    <w:p>
      <w:pPr>
        <w:sectPr>
          <w:pgSz w:w="11900" w:h="16840" w:orient="portrait"/>
          <w:cols w:equalWidth="0" w:num="1">
            <w:col w:w="10580"/>
          </w:cols>
          <w:pgMar w:left="660" w:top="1440" w:right="660" w:bottom="1440" w:gutter="0" w:footer="0" w:header="0"/>
        </w:sectPr>
      </w:pPr>
    </w:p>
    <w:bookmarkStart w:id="176" w:name="page177"/>
    <w:bookmarkEnd w:id="176"/>
    <w:p>
      <w:pPr>
        <w:spacing w:after="0" w:line="2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VERBAL OR WRITTEN), OR ACTIONS OF THE RECIPIENT. THIS PROVISION IS A MATERIAL INDUCEMENT FOR EACH PARTY TO ENTER INTO THIS AGREEMENT AND THE OTHER FINANCING DOCUMENTS. EACH OF THE PARTIES REPRESENTS THAT IT HAS DISCUSSED THIS WAIVER OF RIGHT TO JURY WITH ITS COUNSEL, UNDERSTANDS THE RAMIFICATIONS OF SUCH WAIVER, AND KNOWINGLY AND VOLUNTARILY AGREES TO THIS WAIVER.</w:t>
      </w:r>
    </w:p>
    <w:p>
      <w:pPr>
        <w:spacing w:after="0" w:line="152" w:lineRule="exact"/>
        <w:rPr>
          <w:sz w:val="20"/>
          <w:szCs w:val="20"/>
          <w:color w:val="auto"/>
        </w:rPr>
      </w:pPr>
    </w:p>
    <w:p>
      <w:pPr>
        <w:ind w:right="220" w:firstLine="576"/>
        <w:spacing w:after="0" w:line="287"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b w:val="1"/>
          <w:bCs w:val="1"/>
          <w:color w:val="auto"/>
        </w:rPr>
        <w:t>Consent to Jurisdiction</w:t>
      </w:r>
      <w:r>
        <w:rPr>
          <w:rFonts w:ascii="Arial" w:cs="Arial" w:eastAsia="Arial" w:hAnsi="Arial"/>
          <w:sz w:val="18"/>
          <w:szCs w:val="18"/>
          <w:color w:val="auto"/>
        </w:rPr>
        <w:t>. By execution and delivery of this Agreement, the Sponsor Guarantor irrevocably and unconditionally:</w:t>
      </w:r>
    </w:p>
    <w:p>
      <w:pPr>
        <w:spacing w:after="0" w:line="129" w:lineRule="exact"/>
        <w:rPr>
          <w:sz w:val="20"/>
          <w:szCs w:val="20"/>
          <w:color w:val="auto"/>
        </w:rPr>
      </w:pPr>
    </w:p>
    <w:p>
      <w:pPr>
        <w:ind w:right="140" w:firstLine="1735"/>
        <w:spacing w:after="0" w:line="259" w:lineRule="auto"/>
        <w:tabs>
          <w:tab w:leader="none" w:pos="232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against it arising out of or in connection with this Agreement or any other Financing Document, or for recognition and enforcement of any judgment in respect thereof, to the non-exclusive general jurisdiction of (i) the courts of the United States in or for the District of Columbia; (ii) the courts of the United States in and for the Southern District of New York; (iii) any other federal court of competent jurisdiction in any other jurisdiction where it or any of its property may be found; and (iv) appellate courts from any of the foregoing;</w:t>
      </w:r>
    </w:p>
    <w:p>
      <w:pPr>
        <w:spacing w:after="0" w:line="155" w:lineRule="exact"/>
        <w:rPr>
          <w:rFonts w:ascii="Arial" w:cs="Arial" w:eastAsia="Arial" w:hAnsi="Arial"/>
          <w:sz w:val="18"/>
          <w:szCs w:val="18"/>
          <w:color w:val="auto"/>
        </w:rPr>
      </w:pPr>
    </w:p>
    <w:p>
      <w:pPr>
        <w:jc w:val="both"/>
        <w:ind w:right="80" w:firstLine="1735"/>
        <w:spacing w:after="0" w:line="262" w:lineRule="auto"/>
        <w:tabs>
          <w:tab w:leader="none" w:pos="23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or removed to such courts, and waives any objection, or right to stay or dismiss any action or proceeding, that it may now or hereafter have to the venue of any such action or proceeding in any such court or that such action or proceeding was brought in an inconvenient court and agrees not to plead or claim the same;</w:t>
      </w:r>
    </w:p>
    <w:p>
      <w:pPr>
        <w:spacing w:after="0" w:line="152" w:lineRule="exact"/>
        <w:rPr>
          <w:rFonts w:ascii="Arial" w:cs="Arial" w:eastAsia="Arial" w:hAnsi="Arial"/>
          <w:sz w:val="18"/>
          <w:szCs w:val="18"/>
          <w:color w:val="auto"/>
        </w:rPr>
      </w:pPr>
    </w:p>
    <w:p>
      <w:pPr>
        <w:ind w:right="100" w:firstLine="1735"/>
        <w:spacing w:after="0" w:line="259" w:lineRule="auto"/>
        <w:tabs>
          <w:tab w:leader="none" w:pos="23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agrees that nothing herein shall (i) affect the right of the Department to effect service of process in any other manner permitted by law; or (ii) limit the right of the Department to commence proceedings against or otherwise sue the Sponsor Guarantor or any other Person in any other court of competent jurisdiction nor shall the commencement of proceedings in any one or more jurisdictions preclude the commencement of proceedings in any other jurisdiction (whether concurrently or not) if, and to the extent, permitted by the Applicable Laws; and</w:t>
      </w:r>
    </w:p>
    <w:p>
      <w:pPr>
        <w:spacing w:after="0" w:line="155" w:lineRule="exact"/>
        <w:rPr>
          <w:rFonts w:ascii="Arial" w:cs="Arial" w:eastAsia="Arial" w:hAnsi="Arial"/>
          <w:sz w:val="18"/>
          <w:szCs w:val="18"/>
          <w:color w:val="auto"/>
        </w:rPr>
      </w:pPr>
    </w:p>
    <w:p>
      <w:pPr>
        <w:ind w:right="340" w:firstLine="1735"/>
        <w:spacing w:after="0" w:line="291" w:lineRule="auto"/>
        <w:tabs>
          <w:tab w:leader="none" w:pos="231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agrees that judgment against it in any such action or proceeding shall be conclusive and may be enforced in any other jurisdiction within or outside the U.S. by suit on the judgment or otherwise as provided by law, a certified or exemplified copy of which judgment shall be conclusive evidence of the fact and amount of the Sponsor Guarantor’s obligation.</w:t>
      </w:r>
    </w:p>
    <w:p>
      <w:pPr>
        <w:spacing w:after="0" w:line="129" w:lineRule="exact"/>
        <w:rPr>
          <w:sz w:val="20"/>
          <w:szCs w:val="20"/>
          <w:color w:val="auto"/>
        </w:rPr>
      </w:pPr>
    </w:p>
    <w:p>
      <w:pPr>
        <w:ind w:right="20" w:firstLine="576"/>
        <w:spacing w:after="0" w:line="257" w:lineRule="auto"/>
        <w:rPr>
          <w:sz w:val="20"/>
          <w:szCs w:val="20"/>
          <w:color w:val="auto"/>
        </w:rPr>
      </w:pPr>
      <w:r>
        <w:rPr>
          <w:rFonts w:ascii="Arial" w:cs="Arial" w:eastAsia="Arial" w:hAnsi="Arial"/>
          <w:sz w:val="18"/>
          <w:szCs w:val="18"/>
          <w:color w:val="auto"/>
        </w:rPr>
        <w:t xml:space="preserve">Section 17.14. </w:t>
      </w:r>
      <w:r>
        <w:rPr>
          <w:rFonts w:ascii="Arial" w:cs="Arial" w:eastAsia="Arial" w:hAnsi="Arial"/>
          <w:sz w:val="18"/>
          <w:szCs w:val="18"/>
          <w:b w:val="1"/>
          <w:bCs w:val="1"/>
          <w:color w:val="auto"/>
        </w:rPr>
        <w:t>Dispute Resolution Section</w:t>
      </w:r>
      <w:r>
        <w:rPr>
          <w:rFonts w:ascii="Arial" w:cs="Arial" w:eastAsia="Arial" w:hAnsi="Arial"/>
          <w:sz w:val="18"/>
          <w:szCs w:val="18"/>
          <w:color w:val="auto"/>
        </w:rPr>
        <w:t>. The provisions set forth in Section 10.12 (</w:t>
      </w:r>
      <w:r>
        <w:rPr>
          <w:rFonts w:ascii="Arial" w:cs="Arial" w:eastAsia="Arial" w:hAnsi="Arial"/>
          <w:sz w:val="18"/>
          <w:szCs w:val="18"/>
          <w:i w:val="1"/>
          <w:iCs w:val="1"/>
          <w:color w:val="auto"/>
        </w:rPr>
        <w:t>Dispute Resolution</w:t>
      </w:r>
      <w:r>
        <w:rPr>
          <w:rFonts w:ascii="Arial" w:cs="Arial" w:eastAsia="Arial" w:hAnsi="Arial"/>
          <w:sz w:val="18"/>
          <w:szCs w:val="18"/>
          <w:color w:val="auto"/>
        </w:rPr>
        <w:t xml:space="preserve">) of each DFA are hereby incorporated by reference into this Agreement, </w:t>
      </w:r>
      <w:r>
        <w:rPr>
          <w:rFonts w:ascii="Arial" w:cs="Arial" w:eastAsia="Arial" w:hAnsi="Arial"/>
          <w:sz w:val="18"/>
          <w:szCs w:val="18"/>
          <w:b w:val="1"/>
          <w:bCs w:val="1"/>
          <w:i w:val="1"/>
          <w:iCs w:val="1"/>
          <w:color w:val="auto"/>
        </w:rPr>
        <w:t>mutatis mutandis</w:t>
      </w:r>
      <w:r>
        <w:rPr>
          <w:rFonts w:ascii="Arial" w:cs="Arial" w:eastAsia="Arial" w:hAnsi="Arial"/>
          <w:sz w:val="18"/>
          <w:szCs w:val="18"/>
          <w:color w:val="auto"/>
        </w:rPr>
        <w:t>, as if set out in full herein; provided that no Party shall have the right to raise any Dispute concerning a question of fact or law that has previously been raised (or in relation to which a substantially similar matter has already been raised) in connection with a previously raised Dispute under any DFA or any other Award Document; provided, further, that nothing in this Section 17.14 (</w:t>
      </w:r>
      <w:r>
        <w:rPr>
          <w:rFonts w:ascii="Arial" w:cs="Arial" w:eastAsia="Arial" w:hAnsi="Arial"/>
          <w:sz w:val="18"/>
          <w:szCs w:val="18"/>
          <w:b w:val="1"/>
          <w:bCs w:val="1"/>
          <w:color w:val="auto"/>
        </w:rPr>
        <w:t>Dispute Resolution</w:t>
      </w:r>
      <w:r>
        <w:rPr>
          <w:rFonts w:ascii="Arial" w:cs="Arial" w:eastAsia="Arial" w:hAnsi="Arial"/>
          <w:sz w:val="18"/>
          <w:szCs w:val="18"/>
          <w:color w:val="auto"/>
        </w:rPr>
        <w:t>) shall, or shall be deemed to limit, amend, or otherwise modify the terms of the guarantee and waiver of defenses set forth in Article 2 (</w:t>
      </w:r>
      <w:r>
        <w:rPr>
          <w:rFonts w:ascii="Arial" w:cs="Arial" w:eastAsia="Arial" w:hAnsi="Arial"/>
          <w:sz w:val="18"/>
          <w:szCs w:val="18"/>
          <w:b w:val="1"/>
          <w:bCs w:val="1"/>
          <w:color w:val="auto"/>
        </w:rPr>
        <w:t>Guarantee</w:t>
      </w:r>
      <w:r>
        <w:rPr>
          <w:rFonts w:ascii="Arial" w:cs="Arial" w:eastAsia="Arial" w:hAnsi="Arial"/>
          <w:sz w:val="18"/>
          <w:szCs w:val="18"/>
          <w:color w:val="auto"/>
        </w:rPr>
        <w:t>), Article 3 (</w:t>
      </w:r>
      <w:r>
        <w:rPr>
          <w:rFonts w:ascii="Arial" w:cs="Arial" w:eastAsia="Arial" w:hAnsi="Arial"/>
          <w:sz w:val="18"/>
          <w:szCs w:val="18"/>
          <w:b w:val="1"/>
          <w:bCs w:val="1"/>
          <w:color w:val="auto"/>
        </w:rPr>
        <w:t>Guaranteed Obligations Not Waived</w:t>
      </w:r>
      <w:r>
        <w:rPr>
          <w:rFonts w:ascii="Arial" w:cs="Arial" w:eastAsia="Arial" w:hAnsi="Arial"/>
          <w:sz w:val="18"/>
          <w:szCs w:val="18"/>
          <w:color w:val="auto"/>
        </w:rPr>
        <w:t>), Article 4 (</w:t>
      </w:r>
      <w:r>
        <w:rPr>
          <w:rFonts w:ascii="Arial" w:cs="Arial" w:eastAsia="Arial" w:hAnsi="Arial"/>
          <w:sz w:val="18"/>
          <w:szCs w:val="18"/>
          <w:b w:val="1"/>
          <w:bCs w:val="1"/>
          <w:color w:val="auto"/>
        </w:rPr>
        <w:t>Guarantee of Payment</w:t>
      </w:r>
      <w:r>
        <w:rPr>
          <w:rFonts w:ascii="Arial" w:cs="Arial" w:eastAsia="Arial" w:hAnsi="Arial"/>
          <w:sz w:val="18"/>
          <w:szCs w:val="18"/>
          <w:color w:val="auto"/>
        </w:rPr>
        <w:t>), Article 5 (</w:t>
      </w:r>
      <w:r>
        <w:rPr>
          <w:rFonts w:ascii="Arial" w:cs="Arial" w:eastAsia="Arial" w:hAnsi="Arial"/>
          <w:sz w:val="18"/>
          <w:szCs w:val="18"/>
          <w:b w:val="1"/>
          <w:bCs w:val="1"/>
          <w:color w:val="auto"/>
        </w:rPr>
        <w:t>No Discharge or Diminishment of</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w:t>
      </w:r>
      <w:r>
        <w:rPr>
          <w:rFonts w:ascii="Arial" w:cs="Arial" w:eastAsia="Arial" w:hAnsi="Arial"/>
          <w:sz w:val="18"/>
          <w:szCs w:val="18"/>
          <w:color w:val="auto"/>
        </w:rPr>
        <w:t>) and Article 6 (</w:t>
      </w:r>
      <w:r>
        <w:rPr>
          <w:rFonts w:ascii="Arial" w:cs="Arial" w:eastAsia="Arial" w:hAnsi="Arial"/>
          <w:sz w:val="18"/>
          <w:szCs w:val="18"/>
          <w:b w:val="1"/>
          <w:bCs w:val="1"/>
          <w:color w:val="auto"/>
        </w:rPr>
        <w:t>Defenses Waived</w:t>
      </w:r>
      <w:r>
        <w:rPr>
          <w:rFonts w:ascii="Arial" w:cs="Arial" w:eastAsia="Arial" w:hAnsi="Arial"/>
          <w:sz w:val="18"/>
          <w:szCs w:val="18"/>
          <w:color w:val="auto"/>
        </w:rPr>
        <w:t>) of this Agreement.</w:t>
      </w:r>
    </w:p>
    <w:p>
      <w:pPr>
        <w:spacing w:after="0" w:line="147" w:lineRule="exact"/>
        <w:rPr>
          <w:sz w:val="20"/>
          <w:szCs w:val="20"/>
          <w:color w:val="auto"/>
        </w:rPr>
      </w:pPr>
    </w:p>
    <w:p>
      <w:pPr>
        <w:ind w:right="280" w:firstLine="576"/>
        <w:spacing w:after="0" w:line="269" w:lineRule="auto"/>
        <w:rPr>
          <w:sz w:val="20"/>
          <w:szCs w:val="20"/>
          <w:color w:val="auto"/>
        </w:rPr>
      </w:pPr>
      <w:r>
        <w:rPr>
          <w:rFonts w:ascii="Arial" w:cs="Arial" w:eastAsia="Arial" w:hAnsi="Arial"/>
          <w:sz w:val="18"/>
          <w:szCs w:val="18"/>
          <w:color w:val="auto"/>
        </w:rPr>
        <w:t xml:space="preserve">Section 17.15. </w:t>
      </w:r>
      <w:r>
        <w:rPr>
          <w:rFonts w:ascii="Arial" w:cs="Arial" w:eastAsia="Arial" w:hAnsi="Arial"/>
          <w:sz w:val="18"/>
          <w:szCs w:val="18"/>
          <w:b w:val="1"/>
          <w:bCs w:val="1"/>
          <w:color w:val="auto"/>
        </w:rPr>
        <w:t>Benefits of Agreement</w:t>
      </w:r>
      <w:r>
        <w:rPr>
          <w:rFonts w:ascii="Arial" w:cs="Arial" w:eastAsia="Arial" w:hAnsi="Arial"/>
          <w:sz w:val="18"/>
          <w:szCs w:val="18"/>
          <w:color w:val="auto"/>
        </w:rPr>
        <w:t>. Nothing in this Agreement or any other Financing Document, express or implied, shall give to any Person, other than the Parties hereto and thereto and their successors and permitted assigns hereunder or thereunder, any benefit or any legal or equitable right or remedy under this Agreement or any other Financing Document.</w:t>
      </w:r>
    </w:p>
    <w:p>
      <w:pPr>
        <w:spacing w:after="0" w:line="144" w:lineRule="exact"/>
        <w:rPr>
          <w:sz w:val="20"/>
          <w:szCs w:val="20"/>
          <w:color w:val="auto"/>
        </w:rPr>
      </w:pPr>
    </w:p>
    <w:p>
      <w:pPr>
        <w:jc w:val="both"/>
        <w:ind w:firstLine="576"/>
        <w:spacing w:after="0" w:line="262" w:lineRule="auto"/>
        <w:rPr>
          <w:sz w:val="20"/>
          <w:szCs w:val="20"/>
          <w:color w:val="auto"/>
        </w:rPr>
      </w:pPr>
      <w:r>
        <w:rPr>
          <w:rFonts w:ascii="Arial" w:cs="Arial" w:eastAsia="Arial" w:hAnsi="Arial"/>
          <w:sz w:val="18"/>
          <w:szCs w:val="18"/>
          <w:color w:val="auto"/>
        </w:rPr>
        <w:t xml:space="preserve">Section 17.16. </w:t>
      </w:r>
      <w:r>
        <w:rPr>
          <w:rFonts w:ascii="Arial" w:cs="Arial" w:eastAsia="Arial" w:hAnsi="Arial"/>
          <w:sz w:val="18"/>
          <w:szCs w:val="18"/>
          <w:b w:val="1"/>
          <w:bCs w:val="1"/>
          <w:color w:val="auto"/>
        </w:rPr>
        <w:t>Limitation on Liability</w:t>
      </w:r>
      <w:r>
        <w:rPr>
          <w:rFonts w:ascii="Arial" w:cs="Arial" w:eastAsia="Arial" w:hAnsi="Arial"/>
          <w:sz w:val="18"/>
          <w:szCs w:val="18"/>
          <w:color w:val="auto"/>
        </w:rPr>
        <w:t>. No claim shall be made by the Sponsor Guarantor against the Department or any of its Affiliates, directors, employees, attorneys, or agents, including the Consultants, for any special, indirect, consequential, or punitive damages (whether or not the claim therefor is based on contract, tort or duty imposed by law), in connection with, arising out of or in any way related to the</w:t>
      </w:r>
    </w:p>
    <w:p>
      <w:pPr>
        <w:spacing w:after="0" w:line="200" w:lineRule="exact"/>
        <w:rPr>
          <w:sz w:val="20"/>
          <w:szCs w:val="20"/>
          <w:color w:val="auto"/>
        </w:rPr>
      </w:pPr>
    </w:p>
    <w:p>
      <w:pPr>
        <w:spacing w:after="0" w:line="3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ectPr>
          <w:pgSz w:w="11900" w:h="16840" w:orient="portrait"/>
          <w:cols w:equalWidth="0" w:num="1">
            <w:col w:w="10540"/>
          </w:cols>
          <w:pgMar w:left="660" w:top="1440" w:right="700" w:bottom="1440" w:gutter="0" w:footer="0" w:header="0"/>
        </w:sectPr>
      </w:pPr>
    </w:p>
    <w:bookmarkStart w:id="177" w:name="page178"/>
    <w:bookmarkEnd w:id="177"/>
    <w:p>
      <w:pPr>
        <w:spacing w:after="0" w:line="2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transactions contemplated by this Agreement or the other Financing Documents or any act or omission or event occurring in connection therewith; and the Sponsor Guarantor hereby waives, releases, and agrees not to sue upon any such claim for any such damages, whether or not accrued, and whether or not known or suspected to exist in its favor.</w:t>
      </w:r>
    </w:p>
    <w:p>
      <w:pPr>
        <w:spacing w:after="0" w:line="144" w:lineRule="exact"/>
        <w:rPr>
          <w:sz w:val="20"/>
          <w:szCs w:val="20"/>
          <w:color w:val="auto"/>
        </w:rPr>
      </w:pPr>
    </w:p>
    <w:p>
      <w:pPr>
        <w:ind w:firstLine="576"/>
        <w:spacing w:after="0" w:line="262" w:lineRule="auto"/>
        <w:rPr>
          <w:sz w:val="20"/>
          <w:szCs w:val="20"/>
          <w:color w:val="auto"/>
        </w:rPr>
      </w:pPr>
      <w:r>
        <w:rPr>
          <w:rFonts w:ascii="Arial" w:cs="Arial" w:eastAsia="Arial" w:hAnsi="Arial"/>
          <w:sz w:val="18"/>
          <w:szCs w:val="18"/>
          <w:color w:val="auto"/>
        </w:rPr>
        <w:t xml:space="preserve">Section 17.17.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including any agreement, document, or instrument attached to this Agreement or referred to herein, integrates all the terms and conditions mentioned herein or incidental to this Agreement and supersedes all prior drafts, discussions, term sheets, commitments, negotiations, agreements, and understandings, oral or written, of the Parties in respect to the subject matter of this Agreement (including the Original Sponsor Guarantee).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 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3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ectPr>
          <w:pgSz w:w="11900" w:h="16840" w:orient="portrait"/>
          <w:cols w:equalWidth="0" w:num="1">
            <w:col w:w="10540"/>
          </w:cols>
          <w:pgMar w:left="660" w:top="1440" w:right="700" w:bottom="1440" w:gutter="0" w:footer="0" w:header="0"/>
        </w:sectPr>
      </w:pPr>
    </w:p>
    <w:bookmarkStart w:id="178" w:name="page179"/>
    <w:bookmarkEnd w:id="178"/>
    <w:p>
      <w:pPr>
        <w:ind w:left="20"/>
        <w:spacing w:after="0"/>
        <w:rPr>
          <w:sz w:val="20"/>
          <w:szCs w:val="20"/>
          <w:color w:val="auto"/>
        </w:rPr>
      </w:pPr>
      <w:r>
        <w:rPr>
          <w:rFonts w:ascii="Arial" w:cs="Arial" w:eastAsia="Arial" w:hAnsi="Arial"/>
          <w:sz w:val="19"/>
          <w:szCs w:val="19"/>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76"/>
        <w:spacing w:after="0" w:line="287" w:lineRule="auto"/>
        <w:rPr>
          <w:sz w:val="20"/>
          <w:szCs w:val="20"/>
          <w:color w:val="auto"/>
        </w:rPr>
      </w:pPr>
      <w:r>
        <w:rPr>
          <w:rFonts w:ascii="Arial" w:cs="Arial" w:eastAsia="Arial" w:hAnsi="Arial"/>
          <w:sz w:val="18"/>
          <w:szCs w:val="18"/>
          <w:color w:val="auto"/>
        </w:rPr>
        <w:t>IN WITNESS WHEREOF, intending to be legally bound, each Party hereto has caused this Agreement to be duly executed as of the date first above written.</w:t>
      </w:r>
    </w:p>
    <w:p>
      <w:pPr>
        <w:spacing w:after="0" w:line="200" w:lineRule="exact"/>
        <w:rPr>
          <w:sz w:val="20"/>
          <w:szCs w:val="20"/>
          <w:color w:val="auto"/>
        </w:rPr>
      </w:pPr>
    </w:p>
    <w:p>
      <w:pPr>
        <w:spacing w:after="0" w:line="34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MICRON TECHNOLOGY,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 a Sponsor Guarantor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tabs>
          <w:tab w:leader="none" w:pos="3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Manish Bhatia________________________</w:t>
      </w:r>
    </w:p>
    <w:p>
      <w:pPr>
        <w:spacing w:after="0" w:line="27" w:lineRule="exact"/>
        <w:rPr>
          <w:sz w:val="20"/>
          <w:szCs w:val="20"/>
          <w:color w:val="auto"/>
        </w:rPr>
      </w:pPr>
    </w:p>
    <w:p>
      <w:pPr>
        <w:ind w:left="3400"/>
        <w:spacing w:after="0"/>
        <w:tabs>
          <w:tab w:leader="none" w:pos="4160" w:val="left"/>
        </w:tabs>
        <w:rPr>
          <w:sz w:val="20"/>
          <w:szCs w:val="20"/>
          <w:color w:val="auto"/>
        </w:rPr>
      </w:pPr>
      <w:r>
        <w:rPr>
          <w:rFonts w:ascii="Arial" w:cs="Arial" w:eastAsia="Arial" w:hAnsi="Arial"/>
          <w:sz w:val="18"/>
          <w:szCs w:val="18"/>
          <w:color w:val="auto"/>
        </w:rPr>
        <w:t>Name:</w:t>
        <w:tab/>
        <w:t>Manish Bhatia</w:t>
      </w:r>
    </w:p>
    <w:p>
      <w:pPr>
        <w:spacing w:after="0" w:line="9" w:lineRule="exact"/>
        <w:rPr>
          <w:sz w:val="20"/>
          <w:szCs w:val="20"/>
          <w:color w:val="auto"/>
        </w:rPr>
      </w:pPr>
    </w:p>
    <w:p>
      <w:pPr>
        <w:ind w:left="3400"/>
        <w:spacing w:after="0"/>
        <w:tabs>
          <w:tab w:leader="none" w:pos="4020" w:val="left"/>
        </w:tabs>
        <w:rPr>
          <w:sz w:val="20"/>
          <w:szCs w:val="20"/>
          <w:color w:val="auto"/>
        </w:rPr>
      </w:pPr>
      <w:r>
        <w:rPr>
          <w:rFonts w:ascii="Arial" w:cs="Arial" w:eastAsia="Arial" w:hAnsi="Arial"/>
          <w:sz w:val="18"/>
          <w:szCs w:val="18"/>
          <w:color w:val="auto"/>
        </w:rPr>
        <w:t>Title:</w:t>
        <w:tab/>
        <w:t>Executive Vice President, Global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NY, ID and VA Projects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Signature page to Amended and Restated Sponsor Guarantee Agreement</w:t>
      </w:r>
    </w:p>
    <w:p>
      <w:pPr>
        <w:sectPr>
          <w:pgSz w:w="11900" w:h="16840" w:orient="portrait"/>
          <w:cols w:equalWidth="0" w:num="1">
            <w:col w:w="10540"/>
          </w:cols>
          <w:pgMar w:left="660" w:top="606" w:right="700"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auto"/>
        </w:rPr>
        <w:t>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0" w:right="200"/>
        <w:spacing w:after="0" w:line="287" w:lineRule="auto"/>
        <w:rPr>
          <w:sz w:val="20"/>
          <w:szCs w:val="20"/>
          <w:color w:val="auto"/>
        </w:rPr>
      </w:pPr>
      <w:r>
        <w:rPr>
          <w:rFonts w:ascii="Arial" w:cs="Arial" w:eastAsia="Arial" w:hAnsi="Arial"/>
          <w:sz w:val="18"/>
          <w:szCs w:val="18"/>
          <w:color w:val="auto"/>
        </w:rPr>
        <w:t>UNITED STATES DEPARTMENT OF COMMERCE, an agency of the Federal Government of the United States of America</w:t>
      </w:r>
    </w:p>
    <w:p>
      <w:pPr>
        <w:spacing w:after="0" w:line="200" w:lineRule="exact"/>
        <w:rPr>
          <w:sz w:val="20"/>
          <w:szCs w:val="20"/>
          <w:color w:val="auto"/>
        </w:rPr>
      </w:pPr>
    </w:p>
    <w:p>
      <w:pPr>
        <w:spacing w:after="0" w:line="349"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Lynelle McKay________________________</w:t>
      </w:r>
    </w:p>
    <w:p>
      <w:pPr>
        <w:spacing w:after="0" w:line="27" w:lineRule="exact"/>
        <w:rPr>
          <w:sz w:val="20"/>
          <w:szCs w:val="20"/>
          <w:color w:val="auto"/>
        </w:rPr>
      </w:pPr>
    </w:p>
    <w:p>
      <w:pPr>
        <w:ind w:left="3380"/>
        <w:spacing w:after="0"/>
        <w:tabs>
          <w:tab w:leader="none" w:pos="4140" w:val="left"/>
        </w:tabs>
        <w:rPr>
          <w:sz w:val="20"/>
          <w:szCs w:val="20"/>
          <w:color w:val="auto"/>
        </w:rPr>
      </w:pPr>
      <w:r>
        <w:rPr>
          <w:rFonts w:ascii="Arial" w:cs="Arial" w:eastAsia="Arial" w:hAnsi="Arial"/>
          <w:sz w:val="18"/>
          <w:szCs w:val="18"/>
          <w:color w:val="auto"/>
        </w:rPr>
        <w:t>Name:</w:t>
        <w:tab/>
        <w:t>Lynelle McKay</w:t>
      </w:r>
    </w:p>
    <w:p>
      <w:pPr>
        <w:spacing w:after="0" w:line="9" w:lineRule="exact"/>
        <w:rPr>
          <w:sz w:val="20"/>
          <w:szCs w:val="20"/>
          <w:color w:val="auto"/>
        </w:rPr>
      </w:pPr>
    </w:p>
    <w:p>
      <w:pPr>
        <w:ind w:left="3380"/>
        <w:spacing w:after="0"/>
        <w:tabs>
          <w:tab w:leader="none" w:pos="3980" w:val="left"/>
        </w:tabs>
        <w:rPr>
          <w:sz w:val="20"/>
          <w:szCs w:val="20"/>
          <w:color w:val="auto"/>
        </w:rPr>
      </w:pPr>
      <w:r>
        <w:rPr>
          <w:rFonts w:ascii="Arial" w:cs="Arial" w:eastAsia="Arial" w:hAnsi="Arial"/>
          <w:sz w:val="18"/>
          <w:szCs w:val="18"/>
          <w:color w:val="auto"/>
        </w:rPr>
        <w:t>Title:</w:t>
        <w:tab/>
        <w:t>CPO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59"/>
        <w:spacing w:after="0"/>
        <w:rPr>
          <w:sz w:val="20"/>
          <w:szCs w:val="20"/>
          <w:color w:val="auto"/>
        </w:rPr>
      </w:pPr>
      <w:r>
        <w:rPr>
          <w:rFonts w:ascii="Arial" w:cs="Arial" w:eastAsia="Arial" w:hAnsi="Arial"/>
          <w:sz w:val="14"/>
          <w:szCs w:val="14"/>
          <w:i w:val="1"/>
          <w:iCs w:val="1"/>
          <w:color w:val="auto"/>
        </w:rPr>
        <w:t>NY, ID and VA Projects</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4"/>
          <w:szCs w:val="14"/>
          <w:i w:val="1"/>
          <w:iCs w:val="1"/>
          <w:color w:val="auto"/>
        </w:rPr>
        <w:t>Signature page to Amended and Restated Sponsor Guarantee Agreement</w:t>
      </w:r>
    </w:p>
    <w:p>
      <w:pPr>
        <w:sectPr>
          <w:pgSz w:w="11900" w:h="16840" w:orient="portrait"/>
          <w:cols w:equalWidth="0" w:num="1">
            <w:col w:w="9780"/>
          </w:cols>
          <w:pgMar w:left="680" w:top="606" w:right="1440" w:bottom="1440" w:gutter="0" w:footer="0" w:header="0"/>
        </w:sectPr>
      </w:pPr>
    </w:p>
    <w:bookmarkStart w:id="180" w:name="page181"/>
    <w:bookmarkEnd w:id="180"/>
    <w:p>
      <w:pPr>
        <w:ind w:left="9580"/>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13970</wp:posOffset>
            </wp:positionV>
            <wp:extent cx="1151255" cy="289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23"/>
          <w:szCs w:val="23"/>
          <w:b w:val="1"/>
          <w:bCs w:val="1"/>
          <w:color w:val="FFFF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6654165" cy="1752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6654165" cy="17526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2F5496"/>
        </w:rPr>
        <w:t>1. Purpose</w:t>
      </w:r>
    </w:p>
    <w:p>
      <w:pPr>
        <w:spacing w:after="0" w:line="250" w:lineRule="exact"/>
        <w:rPr>
          <w:sz w:val="20"/>
          <w:szCs w:val="20"/>
          <w:color w:val="auto"/>
        </w:rPr>
      </w:pPr>
    </w:p>
    <w:p>
      <w:pPr>
        <w:ind w:left="800" w:right="40" w:hanging="503"/>
        <w:spacing w:after="0" w:line="298" w:lineRule="auto"/>
        <w:tabs>
          <w:tab w:leader="none" w:pos="7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Employees, officers, directors, suppliers, customers, service providers, representatives, distributors, and others (including advisors, consultants and contractors) of Micron Technology, Inc. (the “Company” or “Micron”) may become aware of material, nonpublic information about the Company, our shareholders, suppliers, or customers, or other companies. Insider trading occurs when a person who is aware of material nonpublic information about a company buys or sells that company’s securities or provides material nonpublic information to another person who may trade on the basis of that information. Insider trading is unlawful and could result in significant civil or criminal penalties. Insider trading is taken very seriously by the Company and the government.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2F5496"/>
        </w:rPr>
        <w:t>2. Scope</w:t>
      </w:r>
    </w:p>
    <w:p>
      <w:pPr>
        <w:spacing w:after="0" w:line="214" w:lineRule="exact"/>
        <w:rPr>
          <w:sz w:val="20"/>
          <w:szCs w:val="20"/>
          <w:color w:val="auto"/>
        </w:rPr>
      </w:pPr>
    </w:p>
    <w:p>
      <w:pPr>
        <w:ind w:left="800" w:hanging="503"/>
        <w:spacing w:after="0" w:line="292" w:lineRule="auto"/>
        <w:tabs>
          <w:tab w:leader="none" w:pos="7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This Policy (“Policy”) applies to you if you are an employee, officer, director, consultant, contractor, or agent of, or other service provider of the Company or of any of its subsidiaries (for example, an auditor or attorney) both inside and outside of the United States. If this Policy applies to you, it also applies to your immediate family members and other persons with whom you share a household, persons who are your economic dependents, and any person or entity whose transactions in securities you influence, direct, or control, in all cases to the same extent that this Policy applies to you. You are responsible for making sure that these other individuals and entities comply with this Policy. Team members who are Insiders (as defined below) and/or Section 16 Reporting Persons (as defined below) are subject to additional rules under this Policy and will be notified by the Company of their designation as such.</w:t>
      </w:r>
    </w:p>
    <w:p>
      <w:pPr>
        <w:spacing w:after="0" w:line="2" w:lineRule="exact"/>
        <w:rPr>
          <w:sz w:val="20"/>
          <w:szCs w:val="20"/>
          <w:color w:val="auto"/>
        </w:rPr>
      </w:pPr>
    </w:p>
    <w:p>
      <w:pPr>
        <w:ind w:left="1440" w:right="60" w:hanging="647"/>
        <w:spacing w:after="0" w:line="301" w:lineRule="auto"/>
        <w:tabs>
          <w:tab w:leader="none" w:pos="14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This Policy continues to apply even if you leave the Company or are otherwise no longer affiliated with or providing services to the Company, for as long as you remain in possession of Material Nonpublic Information about the Company or about another company which you have learned through the course of your work with the Company. In addition, if you are subject to a trading blackout under this Policy at the time you leave the Company, you must abide by the applicable trading restrictions until at least the end of the relevant blackout period.</w:t>
      </w:r>
    </w:p>
    <w:p>
      <w:pPr>
        <w:sectPr>
          <w:pgSz w:w="11900" w:h="16840" w:orient="portrait"/>
          <w:cols w:equalWidth="0" w:num="1">
            <w:col w:w="10600"/>
          </w:cols>
          <w:pgMar w:left="660" w:top="557" w:right="6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13970</wp:posOffset>
            </wp:positionV>
            <wp:extent cx="1151255" cy="289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800" w:right="420" w:hanging="503"/>
        <w:spacing w:after="0" w:line="310" w:lineRule="auto"/>
        <w:tabs>
          <w:tab w:leader="none" w:pos="780" w:val="left"/>
        </w:tabs>
        <w:rPr>
          <w:sz w:val="20"/>
          <w:szCs w:val="20"/>
          <w:color w:val="auto"/>
        </w:rPr>
      </w:pPr>
      <w:r>
        <w:rPr>
          <w:rFonts w:ascii="Arial" w:cs="Arial" w:eastAsia="Arial" w:hAnsi="Arial"/>
          <w:sz w:val="18"/>
          <w:szCs w:val="18"/>
          <w:b w:val="1"/>
          <w:bCs w:val="1"/>
          <w:color w:val="auto"/>
        </w:rPr>
        <w:t>2.2.</w:t>
        <w:tab/>
        <w:t xml:space="preserve">Transactions Covered. </w:t>
      </w:r>
      <w:r>
        <w:rPr>
          <w:rFonts w:ascii="Arial" w:cs="Arial" w:eastAsia="Arial" w:hAnsi="Arial"/>
          <w:sz w:val="18"/>
          <w:szCs w:val="18"/>
          <w:color w:val="auto"/>
        </w:rPr>
        <w:t>This Policy applies to all transactions involving Company Securities (as defined below)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any other company about which you possess Material Nonpublic Information (as defined below) obtained through the course of your work with the Company (“Other Securities”). Accordingly, this Policy applies to:</w:t>
      </w:r>
    </w:p>
    <w:p>
      <w:pPr>
        <w:spacing w:after="0" w:line="182" w:lineRule="exact"/>
        <w:rPr>
          <w:sz w:val="20"/>
          <w:szCs w:val="20"/>
          <w:color w:val="auto"/>
        </w:rPr>
      </w:pPr>
    </w:p>
    <w:p>
      <w:pPr>
        <w:jc w:val="both"/>
        <w:ind w:left="1440" w:right="440" w:hanging="647"/>
        <w:spacing w:after="0" w:line="292" w:lineRule="auto"/>
        <w:tabs>
          <w:tab w:leader="none" w:pos="14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All transactions in Company Securities (as defined below) or Other Securities, regardless of trading platform, including any purchase, sale, loan, or other transfer or disposition of such securities, whether direct or indirect (including transactions made on your behalf by money managers);</w:t>
      </w:r>
    </w:p>
    <w:p>
      <w:pPr>
        <w:spacing w:after="0" w:line="1" w:lineRule="exact"/>
        <w:rPr>
          <w:sz w:val="20"/>
          <w:szCs w:val="20"/>
          <w:color w:val="auto"/>
        </w:rPr>
      </w:pPr>
    </w:p>
    <w:p>
      <w:pPr>
        <w:ind w:left="1440" w:right="400" w:hanging="647"/>
        <w:spacing w:after="0" w:line="292" w:lineRule="auto"/>
        <w:tabs>
          <w:tab w:leader="none" w:pos="14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Gifts (including bona fide gifts not for consideration such as charitable contributions) of Company Securities or Other Securities;</w:t>
      </w:r>
    </w:p>
    <w:p>
      <w:pPr>
        <w:ind w:left="1440" w:right="160" w:hanging="647"/>
        <w:spacing w:after="0" w:line="292" w:lineRule="auto"/>
        <w:tabs>
          <w:tab w:leader="none" w:pos="14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color w:val="auto"/>
        </w:rPr>
        <w:t>Distributions of Company Securities (or related interests) or Other Securities from an entity that is covered by this Policy (see “Persons Covered by this Policy); and</w:t>
      </w:r>
    </w:p>
    <w:p>
      <w:pPr>
        <w:ind w:left="1440" w:right="360" w:hanging="647"/>
        <w:spacing w:after="0" w:line="304" w:lineRule="auto"/>
        <w:tabs>
          <w:tab w:leader="none" w:pos="14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color w:val="auto"/>
        </w:rPr>
        <w:t>Any other arrangement that generates gains or losses from or based on changes in the prices of Company Securities or Other Securities, including derivative securities (for example, exchange-traded put or call options, swaps, caps and collars), hedging and pledging transactions, short sales and certain arrangements regarding participation in benefit plans, and any offer to engage in any of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2F5496"/>
        </w:rPr>
        <w:t>3. Policy Statement</w:t>
      </w:r>
    </w:p>
    <w:p>
      <w:pPr>
        <w:spacing w:after="0" w:line="214" w:lineRule="exact"/>
        <w:rPr>
          <w:sz w:val="20"/>
          <w:szCs w:val="20"/>
          <w:color w:val="auto"/>
        </w:rPr>
      </w:pPr>
    </w:p>
    <w:p>
      <w:pPr>
        <w:ind w:left="800" w:right="660" w:hanging="503"/>
        <w:spacing w:after="0" w:line="329" w:lineRule="auto"/>
        <w:tabs>
          <w:tab w:leader="none" w:pos="7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It is the policy of the Company that the unauthorized disclosure of any nonpublic information about the Company or another company that you obtained in connection with your service with the Company is prohibited.</w:t>
      </w:r>
    </w:p>
    <w:p>
      <w:pPr>
        <w:sectPr>
          <w:pgSz w:w="11900" w:h="16840" w:orient="portrait"/>
          <w:cols w:equalWidth="0" w:num="1">
            <w:col w:w="10580"/>
          </w:cols>
          <w:pgMar w:left="660" w:top="557" w:right="660" w:bottom="1440" w:gutter="0" w:footer="0" w:header="0"/>
        </w:sectPr>
      </w:pPr>
    </w:p>
    <w:bookmarkStart w:id="182" w:name="page183"/>
    <w:bookmarkEnd w:id="182"/>
    <w:p>
      <w:pPr>
        <w:ind w:left="9580"/>
        <w:spacing w:after="0"/>
        <w:rPr>
          <w:sz w:val="20"/>
          <w:szCs w:val="20"/>
          <w:color w:val="auto"/>
        </w:rPr>
      </w:pPr>
      <w:r>
        <w:rPr>
          <w:rFonts w:ascii="Arial" w:cs="Arial" w:eastAsia="Arial" w:hAnsi="Arial"/>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20955</wp:posOffset>
            </wp:positionV>
            <wp:extent cx="1151255" cy="289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2F5496"/>
        </w:rPr>
        <w:t>4. Definitions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Terms and Definitions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640" w:type="dxa"/>
            <w:vAlign w:val="bottom"/>
            <w:tcBorders>
              <w:top w:val="single" w:sz="8" w:color="auto"/>
              <w:left w:val="single" w:sz="8" w:color="auto"/>
              <w:bottom w:val="single" w:sz="8" w:color="8EAADB"/>
              <w:right w:val="single" w:sz="8" w:color="auto"/>
            </w:tcBorders>
            <w:shd w:val="clear" w:color="auto" w:fill="8EAADB"/>
          </w:tcPr>
          <w:p>
            <w:pPr>
              <w:ind w:left="1100"/>
              <w:spacing w:after="0"/>
              <w:rPr>
                <w:sz w:val="20"/>
                <w:szCs w:val="20"/>
                <w:color w:val="auto"/>
              </w:rPr>
            </w:pPr>
            <w:r>
              <w:rPr>
                <w:rFonts w:ascii="Arial" w:cs="Arial" w:eastAsia="Arial" w:hAnsi="Arial"/>
                <w:sz w:val="18"/>
                <w:szCs w:val="18"/>
                <w:b w:val="1"/>
                <w:bCs w:val="1"/>
                <w:color w:val="auto"/>
              </w:rPr>
              <w:t>Term</w:t>
            </w:r>
          </w:p>
        </w:tc>
        <w:tc>
          <w:tcPr>
            <w:tcW w:w="7940" w:type="dxa"/>
            <w:vAlign w:val="bottom"/>
            <w:tcBorders>
              <w:top w:val="single" w:sz="8" w:color="auto"/>
              <w:bottom w:val="single" w:sz="8" w:color="8EAADB"/>
              <w:right w:val="single" w:sz="8" w:color="auto"/>
            </w:tcBorders>
            <w:shd w:val="clear" w:color="auto" w:fill="8EAADB"/>
          </w:tcPr>
          <w:p>
            <w:pPr>
              <w:ind w:left="3540"/>
              <w:spacing w:after="0"/>
              <w:rPr>
                <w:sz w:val="20"/>
                <w:szCs w:val="20"/>
                <w:color w:val="auto"/>
              </w:rPr>
            </w:pPr>
            <w:r>
              <w:rPr>
                <w:rFonts w:ascii="Arial" w:cs="Arial" w:eastAsia="Arial" w:hAnsi="Arial"/>
                <w:sz w:val="18"/>
                <w:szCs w:val="18"/>
                <w:b w:val="1"/>
                <w:bCs w:val="1"/>
                <w:color w:val="auto"/>
              </w:rPr>
              <w:t>Definition</w:t>
            </w:r>
          </w:p>
        </w:tc>
      </w:tr>
      <w:tr>
        <w:trPr>
          <w:trHeight w:val="266"/>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Legal Officer</w:t>
            </w:r>
          </w:p>
        </w:tc>
        <w:tc>
          <w:tcPr>
            <w:tcW w:w="7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Each of the Company’s Chief Legal Officer, Deputy General Counsel or any attorneys in the</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Corporate Legal group that have been designated by the Chief Legal Officer as authorized to make</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determinations under the Insider Trading Policy.</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Securities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Company’s common stock, options for common stock and other securities the Company may</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issue from time to time such as convertible debentures, preferred stock, or debt, as well as</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derivative securities relating to the Company’s stock, whether or not issued by the Company, such</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 exchange-traded puts or calls.</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Immediate Family Member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 person’s child, stepchild, parent, stepparent, spouse, sibling, mother-in-law, father-in-law, son-in-</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law, daughter-in-law, brother-in-law, or sister-in-law of such person.</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Insider</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Each officer and director of the Company and each other person covered by the Insider Trading</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Policy who has been identified as an Insider by the Chief Legal Officer, including persons that may</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 identified by the Chief Legal Officer for purposes of a special trading blackout. The Chief Legal</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Officer will notify each Insider in writing (including electronically) that such person is an Insider. The</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Legal Officer will maintain a schedule of Insiders.</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Material Information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Information reasonably likely to be considered important to an investor in making an investment</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decision regarding the purchase or sale of securities. Either positive or negative information may</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 material. If the information could reasonably be expected to affect the market price of a</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company’s securities, the information likely is material.</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Material Nonpublic Information</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Information that both (1) has not been released publicly and otherwise is not available to the</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general public and (2) is reasonably likely to be considered important to an investor in making an</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investment decision regarding the purchase or sale of securities.</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r>
        <w:trPr>
          <w:trHeight w:val="266"/>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Section 16 Reporting Persons</w:t>
            </w: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director, officer or key employee subject to Section 16 reporting requirements, including</w:t>
            </w:r>
          </w:p>
        </w:tc>
      </w:tr>
      <w:tr>
        <w:trPr>
          <w:trHeight w:val="252"/>
        </w:trPr>
        <w:tc>
          <w:tcPr>
            <w:tcW w:w="2640" w:type="dxa"/>
            <w:vAlign w:val="bottom"/>
            <w:tcBorders>
              <w:left w:val="single" w:sz="8" w:color="auto"/>
              <w:right w:val="single" w:sz="8" w:color="auto"/>
            </w:tcBorders>
          </w:tcPr>
          <w:p>
            <w:pPr>
              <w:spacing w:after="0"/>
              <w:rPr>
                <w:sz w:val="21"/>
                <w:szCs w:val="21"/>
                <w:color w:val="auto"/>
              </w:rPr>
            </w:pPr>
          </w:p>
        </w:tc>
        <w:tc>
          <w:tcPr>
            <w:tcW w:w="7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immediate family members sharing the same household with the foregoing.</w:t>
            </w:r>
          </w:p>
        </w:tc>
      </w:tr>
      <w:tr>
        <w:trPr>
          <w:trHeight w:val="50"/>
        </w:trPr>
        <w:tc>
          <w:tcPr>
            <w:tcW w:w="2640" w:type="dxa"/>
            <w:vAlign w:val="bottom"/>
            <w:tcBorders>
              <w:left w:val="single" w:sz="8" w:color="auto"/>
              <w:bottom w:val="single" w:sz="8" w:color="auto"/>
              <w:right w:val="single" w:sz="8" w:color="auto"/>
            </w:tcBorders>
          </w:tcPr>
          <w:p>
            <w:pPr>
              <w:spacing w:after="0"/>
              <w:rPr>
                <w:sz w:val="4"/>
                <w:szCs w:val="4"/>
                <w:color w:val="auto"/>
              </w:rPr>
            </w:pPr>
          </w:p>
        </w:tc>
        <w:tc>
          <w:tcPr>
            <w:tcW w:w="7940" w:type="dxa"/>
            <w:vAlign w:val="bottom"/>
            <w:tcBorders>
              <w:bottom w:val="single" w:sz="8" w:color="auto"/>
              <w:right w:val="single" w:sz="8" w:color="auto"/>
            </w:tcBorders>
          </w:tcPr>
          <w:p>
            <w:pPr>
              <w:spacing w:after="0"/>
              <w:rPr>
                <w:sz w:val="4"/>
                <w:szCs w:val="4"/>
                <w:color w:val="auto"/>
              </w:rPr>
            </w:pPr>
          </w:p>
        </w:tc>
      </w:tr>
    </w:tbl>
    <w:p>
      <w:pPr>
        <w:sectPr>
          <w:pgSz w:w="11900" w:h="16840" w:orient="portrait"/>
          <w:cols w:equalWidth="0" w:num="1">
            <w:col w:w="10580"/>
          </w:cols>
          <w:pgMar w:left="660" w:top="557" w:right="66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13970</wp:posOffset>
            </wp:positionV>
            <wp:extent cx="1151255" cy="289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2F5496"/>
        </w:rPr>
        <w:t>5. Requirements</w:t>
      </w:r>
    </w:p>
    <w:p>
      <w:pPr>
        <w:spacing w:after="0" w:line="142" w:lineRule="exact"/>
        <w:rPr>
          <w:sz w:val="20"/>
          <w:szCs w:val="20"/>
          <w:color w:val="auto"/>
        </w:rPr>
      </w:pPr>
    </w:p>
    <w:p>
      <w:pPr>
        <w:ind w:left="800" w:right="80" w:hanging="503"/>
        <w:spacing w:after="0" w:line="301" w:lineRule="auto"/>
        <w:tabs>
          <w:tab w:leader="none" w:pos="7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If a person subject to this Policy is in possession of Material Nonpublic Information about the Company or the Company Securities, such person is prohibited from trading the Company Securities. 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190" w:lineRule="exact"/>
        <w:rPr>
          <w:sz w:val="20"/>
          <w:szCs w:val="20"/>
          <w:color w:val="auto"/>
        </w:rPr>
      </w:pPr>
    </w:p>
    <w:p>
      <w:pPr>
        <w:ind w:left="1440" w:right="580" w:hanging="647"/>
        <w:spacing w:after="0" w:line="292" w:lineRule="auto"/>
        <w:tabs>
          <w:tab w:leader="none" w:pos="14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color w:val="auto"/>
        </w:rPr>
        <w:t>Examples of information that may be considered Material Information includes the following, which list is not intended to be exclusive:</w:t>
      </w: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financial results or guidance;</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projections of future sales, earnings, or losses;</w:t>
      </w:r>
    </w:p>
    <w:p>
      <w:pPr>
        <w:spacing w:after="0" w:line="45" w:lineRule="exact"/>
        <w:rPr>
          <w:rFonts w:ascii="Arial" w:cs="Arial" w:eastAsia="Arial" w:hAnsi="Arial"/>
          <w:sz w:val="18"/>
          <w:szCs w:val="18"/>
          <w:color w:val="auto"/>
        </w:rPr>
      </w:pPr>
    </w:p>
    <w:p>
      <w:pPr>
        <w:ind w:left="1740" w:right="260" w:hanging="294"/>
        <w:spacing w:after="0" w:line="292" w:lineRule="auto"/>
        <w:tabs>
          <w:tab w:leader="none" w:pos="1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significant changes in manufacturing productivity or yields, news of a proposed merger, acquisition or divestiture, impending bankruptcy, liquidity problems, creation of significant financial obligations or default or acceleration under any significant financial obligation;</w:t>
      </w: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gain or loss of a substantial customer, supplier, or partner;</w:t>
      </w:r>
    </w:p>
    <w:p>
      <w:pPr>
        <w:spacing w:after="0" w:line="45" w:lineRule="exact"/>
        <w:rPr>
          <w:rFonts w:ascii="Arial" w:cs="Arial" w:eastAsia="Arial" w:hAnsi="Arial"/>
          <w:sz w:val="18"/>
          <w:szCs w:val="18"/>
          <w:color w:val="auto"/>
        </w:rPr>
      </w:pPr>
    </w:p>
    <w:p>
      <w:pPr>
        <w:ind w:left="1740" w:right="500" w:hanging="294"/>
        <w:spacing w:after="0" w:line="292" w:lineRule="auto"/>
        <w:tabs>
          <w:tab w:leader="none" w:pos="1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significant product announcements (for example, regarding performance, recalls, defects, pricing, product development (R&amp;D and intellectual property) or the introduction of new products);</w:t>
      </w: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dividend policy;</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stock splits;</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significant litigation (actual or threatened);</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stock or debt offerings;</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the executive leadership team or auditors;</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significant employee lay-offs;</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significant cybersecurity events;</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damage to or loss of material assets; and</w:t>
      </w:r>
    </w:p>
    <w:p>
      <w:pPr>
        <w:spacing w:after="0" w:line="45" w:lineRule="exact"/>
        <w:rPr>
          <w:rFonts w:ascii="Arial" w:cs="Arial" w:eastAsia="Arial" w:hAnsi="Arial"/>
          <w:sz w:val="18"/>
          <w:szCs w:val="18"/>
          <w:color w:val="auto"/>
        </w:rPr>
      </w:pPr>
    </w:p>
    <w:p>
      <w:pPr>
        <w:ind w:left="1700" w:hanging="254"/>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existence of a special trading blackout period.</w:t>
      </w:r>
    </w:p>
    <w:p>
      <w:pPr>
        <w:spacing w:after="0" w:line="273" w:lineRule="exact"/>
        <w:rPr>
          <w:sz w:val="20"/>
          <w:szCs w:val="20"/>
          <w:color w:val="auto"/>
        </w:rPr>
      </w:pPr>
    </w:p>
    <w:p>
      <w:pPr>
        <w:ind w:left="1440" w:right="220" w:hanging="647"/>
        <w:spacing w:after="0" w:line="310" w:lineRule="auto"/>
        <w:tabs>
          <w:tab w:leader="none" w:pos="14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color w:val="auto"/>
        </w:rPr>
        <w:t>Material Information may include information about the Company, as well as information about other companies. As a general guideline, if you think something might be Material Information, seek guidance from the Legal Department.</w:t>
      </w:r>
    </w:p>
    <w:p>
      <w:pPr>
        <w:sectPr>
          <w:pgSz w:w="11900" w:h="16840" w:orient="portrait"/>
          <w:cols w:equalWidth="0" w:num="1">
            <w:col w:w="10580"/>
          </w:cols>
          <w:pgMar w:left="660" w:top="557" w:right="660"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13970</wp:posOffset>
            </wp:positionV>
            <wp:extent cx="1151255" cy="289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right="40" w:hanging="647"/>
        <w:spacing w:after="0" w:line="299" w:lineRule="auto"/>
        <w:tabs>
          <w:tab w:leader="none" w:pos="64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8"/>
          <w:szCs w:val="18"/>
          <w:color w:val="auto"/>
        </w:rPr>
        <w:t>Material information is Material Nonpublic Information until it has been publicly disclosed and disseminated into the market. For information to be considered public, it generally must be available through media outlets or filings with the Securities and Exchange Commission (the “SEC”). Even if information is widely known throughout the Company, it still may be considered nonpublic for purposes of this Policy. After the release of information, a reasonable period of time must elapse in order to provide the public an opportunity to absorb the information provided. Please contact the Chief Legal Officer if you have questions about a particular situation.</w:t>
      </w:r>
    </w:p>
    <w:p>
      <w:pPr>
        <w:spacing w:after="0" w:line="193" w:lineRule="exact"/>
        <w:rPr>
          <w:sz w:val="20"/>
          <w:szCs w:val="20"/>
          <w:color w:val="auto"/>
        </w:rPr>
      </w:pPr>
    </w:p>
    <w:p>
      <w:pPr>
        <w:ind w:left="1380" w:right="60" w:hanging="719"/>
        <w:spacing w:after="0" w:line="296" w:lineRule="auto"/>
        <w:tabs>
          <w:tab w:leader="none" w:pos="1360" w:val="left"/>
        </w:tabs>
        <w:rPr>
          <w:sz w:val="20"/>
          <w:szCs w:val="20"/>
          <w:color w:val="auto"/>
        </w:rPr>
      </w:pPr>
      <w:r>
        <w:rPr>
          <w:rFonts w:ascii="Arial" w:cs="Arial" w:eastAsia="Arial" w:hAnsi="Arial"/>
          <w:sz w:val="18"/>
          <w:szCs w:val="18"/>
          <w:b w:val="1"/>
          <w:bCs w:val="1"/>
          <w:color w:val="auto"/>
        </w:rPr>
        <w:t>5.1.3.1.</w:t>
      </w:r>
      <w:r>
        <w:rPr>
          <w:sz w:val="20"/>
          <w:szCs w:val="20"/>
          <w:color w:val="auto"/>
        </w:rPr>
        <w:tab/>
      </w:r>
      <w:r>
        <w:rPr>
          <w:rFonts w:ascii="Arial" w:cs="Arial" w:eastAsia="Arial" w:hAnsi="Arial"/>
          <w:sz w:val="18"/>
          <w:szCs w:val="18"/>
          <w:color w:val="auto"/>
        </w:rPr>
        <w:t>Except as discussed in Section 6.2, you must not engage in any transaction in the Company Securities during any period commencing with the date that you first possess Material Nonpublic Information about the Company and ending at market open (6:30 a.m. ET) on the second trading day following the public disclosure of such information, or at such time as such nonpublic information is no longer material. Similarly, you must not engage in any transaction in the securities of any company about which you possess Material Nonpublic Information during any period commencing with the date that you first possess such Material Nonpublic Information and ending at the open of the market on the second trading day following the public disclosure of such information, or at such time as such nonpublic information is no longer material.</w:t>
      </w:r>
    </w:p>
    <w:p>
      <w:pPr>
        <w:spacing w:after="0" w:line="199" w:lineRule="exact"/>
        <w:rPr>
          <w:sz w:val="20"/>
          <w:szCs w:val="20"/>
          <w:color w:val="auto"/>
        </w:rPr>
      </w:pPr>
    </w:p>
    <w:p>
      <w:pPr>
        <w:ind w:left="1380" w:right="20" w:hanging="719"/>
        <w:spacing w:after="0" w:line="298" w:lineRule="auto"/>
        <w:tabs>
          <w:tab w:leader="none" w:pos="1360" w:val="left"/>
        </w:tabs>
        <w:rPr>
          <w:sz w:val="20"/>
          <w:szCs w:val="20"/>
          <w:color w:val="auto"/>
        </w:rPr>
      </w:pPr>
      <w:r>
        <w:rPr>
          <w:rFonts w:ascii="Arial" w:cs="Arial" w:eastAsia="Arial" w:hAnsi="Arial"/>
          <w:sz w:val="18"/>
          <w:szCs w:val="18"/>
          <w:b w:val="1"/>
          <w:bCs w:val="1"/>
          <w:color w:val="auto"/>
        </w:rPr>
        <w:t>5.1.3.2.</w:t>
      </w:r>
      <w:r>
        <w:rPr>
          <w:sz w:val="20"/>
          <w:szCs w:val="20"/>
          <w:color w:val="auto"/>
        </w:rPr>
        <w:tab/>
      </w:r>
      <w:r>
        <w:rPr>
          <w:rFonts w:ascii="Arial" w:cs="Arial" w:eastAsia="Arial" w:hAnsi="Arial"/>
          <w:sz w:val="18"/>
          <w:szCs w:val="18"/>
          <w:color w:val="auto"/>
        </w:rPr>
        <w:t>You must not disclose Material Nonpublic Information relating to the Company to any other person except to those individuals whose jobs require them to have the information. You must not disclose sensitive or nonpublic information to anyone outside the Company except as necessary for the conduct of the Company’s business and in compliance with the Company’s policies with regard to nondisclosure and confidentiality obligations and agreements. The Company’s Global Communications &amp; Marketing department has standard procedures for the release of material information. No disclosure should be made without following these procedures.</w:t>
      </w:r>
    </w:p>
    <w:p>
      <w:pPr>
        <w:sectPr>
          <w:pgSz w:w="11900" w:h="16840" w:orient="portrait"/>
          <w:cols w:equalWidth="0" w:num="1">
            <w:col w:w="9800"/>
          </w:cols>
          <w:pgMar w:left="1440" w:top="557" w:right="660"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13970</wp:posOffset>
            </wp:positionV>
            <wp:extent cx="1151255" cy="289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60" w:right="40" w:hanging="719"/>
        <w:spacing w:after="0" w:line="298" w:lineRule="auto"/>
        <w:tabs>
          <w:tab w:leader="none" w:pos="1840" w:val="left"/>
        </w:tabs>
        <w:rPr>
          <w:sz w:val="20"/>
          <w:szCs w:val="20"/>
          <w:color w:val="auto"/>
        </w:rPr>
      </w:pPr>
      <w:r>
        <w:rPr>
          <w:rFonts w:ascii="Arial" w:cs="Arial" w:eastAsia="Arial" w:hAnsi="Arial"/>
          <w:sz w:val="18"/>
          <w:szCs w:val="18"/>
          <w:b w:val="1"/>
          <w:bCs w:val="1"/>
          <w:color w:val="auto"/>
        </w:rPr>
        <w:t>5.1.3.3.</w:t>
        <w:tab/>
        <w:t xml:space="preserve">You are prohibited from “tipping" others by passing Material Nonpublic Information to anyone, including friends or family members, who transact in Company Securities. </w:t>
      </w:r>
      <w:r>
        <w:rPr>
          <w:rFonts w:ascii="Arial" w:cs="Arial" w:eastAsia="Arial" w:hAnsi="Arial"/>
          <w:sz w:val="18"/>
          <w:szCs w:val="18"/>
          <w:color w:val="auto"/>
        </w:rPr>
        <w:t>This includes expressing</w:t>
      </w:r>
      <w:r>
        <w:rPr>
          <w:rFonts w:ascii="Arial" w:cs="Arial" w:eastAsia="Arial" w:hAnsi="Arial"/>
          <w:sz w:val="18"/>
          <w:szCs w:val="18"/>
          <w:b w:val="1"/>
          <w:bCs w:val="1"/>
          <w:color w:val="auto"/>
        </w:rPr>
        <w:t xml:space="preserve"> </w:t>
      </w:r>
      <w:r>
        <w:rPr>
          <w:rFonts w:ascii="Arial" w:cs="Arial" w:eastAsia="Arial" w:hAnsi="Arial"/>
          <w:sz w:val="18"/>
          <w:szCs w:val="18"/>
          <w:color w:val="auto"/>
        </w:rPr>
        <w:t>an opinion or making a recommendation about trading in Company Securities without sharing Material Nonpublic Information. In addition to being illegal, tipping is also a serious breach of corporate confidentiality. For this reason, you should be careful to avoid discussing sensitive information in any place where others may hear the information (for instance, at lunch, on public transportation, or in elevators).</w:t>
      </w:r>
    </w:p>
    <w:p>
      <w:pPr>
        <w:spacing w:after="0" w:line="194" w:lineRule="exact"/>
        <w:rPr>
          <w:sz w:val="20"/>
          <w:szCs w:val="20"/>
          <w:color w:val="auto"/>
        </w:rPr>
      </w:pPr>
    </w:p>
    <w:p>
      <w:pPr>
        <w:ind w:left="1860" w:right="440" w:hanging="719"/>
        <w:spacing w:after="0" w:line="304" w:lineRule="auto"/>
        <w:tabs>
          <w:tab w:leader="none" w:pos="1840" w:val="left"/>
        </w:tabs>
        <w:rPr>
          <w:sz w:val="20"/>
          <w:szCs w:val="20"/>
          <w:color w:val="auto"/>
        </w:rPr>
      </w:pPr>
      <w:r>
        <w:rPr>
          <w:rFonts w:ascii="Arial" w:cs="Arial" w:eastAsia="Arial" w:hAnsi="Arial"/>
          <w:sz w:val="18"/>
          <w:szCs w:val="18"/>
          <w:b w:val="1"/>
          <w:bCs w:val="1"/>
          <w:color w:val="auto"/>
        </w:rPr>
        <w:t>5.1.3.4.</w:t>
      </w:r>
      <w:r>
        <w:rPr>
          <w:sz w:val="20"/>
          <w:szCs w:val="20"/>
          <w:color w:val="auto"/>
        </w:rPr>
        <w:tab/>
      </w:r>
      <w:r>
        <w:rPr>
          <w:rFonts w:ascii="Arial" w:cs="Arial" w:eastAsia="Arial" w:hAnsi="Arial"/>
          <w:sz w:val="18"/>
          <w:szCs w:val="18"/>
          <w:color w:val="auto"/>
        </w:rPr>
        <w:t>In all cases, the responsibility for determining whether you are in possession of Material Nonpublic Information rests with you, and any action on the part of the Company, the Chief Legal Officer or any other employee or director pursuant to this Policy (or otherwise) does not in any way constitute legal advice or insulate you from compliance with applicable securities laws.</w:t>
      </w:r>
    </w:p>
    <w:p>
      <w:pPr>
        <w:spacing w:after="0" w:line="188" w:lineRule="exact"/>
        <w:rPr>
          <w:sz w:val="20"/>
          <w:szCs w:val="20"/>
          <w:color w:val="auto"/>
        </w:rPr>
      </w:pPr>
    </w:p>
    <w:p>
      <w:pPr>
        <w:ind w:left="1860" w:right="220" w:hanging="719"/>
        <w:spacing w:after="0" w:line="329" w:lineRule="auto"/>
        <w:tabs>
          <w:tab w:leader="none" w:pos="1840" w:val="left"/>
        </w:tabs>
        <w:rPr>
          <w:sz w:val="20"/>
          <w:szCs w:val="20"/>
          <w:color w:val="auto"/>
        </w:rPr>
      </w:pPr>
      <w:r>
        <w:rPr>
          <w:rFonts w:ascii="Arial" w:cs="Arial" w:eastAsia="Arial" w:hAnsi="Arial"/>
          <w:sz w:val="18"/>
          <w:szCs w:val="18"/>
          <w:b w:val="1"/>
          <w:bCs w:val="1"/>
          <w:color w:val="auto"/>
        </w:rPr>
        <w:t>5.1.3.5.</w:t>
      </w:r>
      <w:r>
        <w:rPr>
          <w:sz w:val="20"/>
          <w:szCs w:val="20"/>
          <w:color w:val="auto"/>
        </w:rPr>
        <w:tab/>
      </w:r>
      <w:r>
        <w:rPr>
          <w:rFonts w:ascii="Arial" w:cs="Arial" w:eastAsia="Arial" w:hAnsi="Arial"/>
          <w:sz w:val="18"/>
          <w:szCs w:val="18"/>
          <w:color w:val="auto"/>
        </w:rPr>
        <w:t>The size of a transaction or motivation for a transaction are irrelevant for determining if a transaction is subject to this Policy.</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Additional Provisions Applicable to Insiders</w:t>
      </w:r>
    </w:p>
    <w:p>
      <w:pPr>
        <w:spacing w:after="0" w:line="285" w:lineRule="exact"/>
        <w:rPr>
          <w:sz w:val="20"/>
          <w:szCs w:val="20"/>
          <w:color w:val="auto"/>
        </w:rPr>
      </w:pPr>
    </w:p>
    <w:p>
      <w:pPr>
        <w:ind w:left="1140" w:right="140" w:hanging="647"/>
        <w:spacing w:after="0" w:line="298" w:lineRule="auto"/>
        <w:tabs>
          <w:tab w:leader="none" w:pos="112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8"/>
          <w:szCs w:val="18"/>
          <w:color w:val="auto"/>
        </w:rPr>
        <w:t>Except as discussed in Section 6.2, if you are an Insider, you must not engage in any transactions involving Company Securities during the last two weeks of any fiscal quarter through market open (6:30 a.m. ET) on the second trading day following the disclosure of the Company’s financial results for the completed fiscal quarter. To the extent applicable to you, these trading restrictions also cover your immediate family members and other persons with whom you share a household, persons who are your economic dependents, and any entity whose transactions in securities you influence, direct or control. You are responsible for making sure that these other individuals and entities comply with this Policy. This requirement is in addition to the requirements above.</w:t>
      </w:r>
    </w:p>
    <w:p>
      <w:pPr>
        <w:sectPr>
          <w:pgSz w:w="11900" w:h="16840" w:orient="portrait"/>
          <w:cols w:equalWidth="0" w:num="1">
            <w:col w:w="10280"/>
          </w:cols>
          <w:pgMar w:left="960" w:top="557" w:right="660"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13970</wp:posOffset>
            </wp:positionV>
            <wp:extent cx="1151255" cy="289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647"/>
        <w:spacing w:after="0" w:line="296" w:lineRule="auto"/>
        <w:tabs>
          <w:tab w:leader="none" w:pos="64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8"/>
          <w:szCs w:val="18"/>
          <w:color w:val="auto"/>
        </w:rPr>
        <w:t>The Company also may impose additional or longer special trading blackout periods on any Insider at any time. The Chief Legal Officer will instruct the Global Stock Team to notify you in writing (including electronically) if you are subject to a special blackout period. If you are notified that you are subject to a special blackout period, except as discussed in Section 6.2, you may not engage in any transaction in Company Securities until you are notified that the special blackout period has ended. You should not disclose to anyone else that the Company has imposed a special blackout period, except as needed to enforce the following sentence. Special blackout periods also cover your immediate family members and other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99" w:lineRule="exact"/>
        <w:rPr>
          <w:sz w:val="20"/>
          <w:szCs w:val="20"/>
          <w:color w:val="auto"/>
        </w:rPr>
      </w:pPr>
    </w:p>
    <w:p>
      <w:pPr>
        <w:ind w:left="660" w:right="580" w:hanging="647"/>
        <w:spacing w:after="0" w:line="329" w:lineRule="auto"/>
        <w:tabs>
          <w:tab w:leader="none" w:pos="64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8"/>
          <w:szCs w:val="18"/>
          <w:color w:val="auto"/>
        </w:rPr>
        <w:t>If an Insider separates from service during a closed trading window, they will remain in the blackout until the trading window next opens for all Insiders.</w:t>
      </w:r>
    </w:p>
    <w:p>
      <w:pPr>
        <w:spacing w:after="0" w:line="165" w:lineRule="exact"/>
        <w:rPr>
          <w:sz w:val="20"/>
          <w:szCs w:val="20"/>
          <w:color w:val="auto"/>
        </w:rPr>
      </w:pPr>
    </w:p>
    <w:p>
      <w:pPr>
        <w:ind w:left="660" w:right="140" w:hanging="647"/>
        <w:spacing w:after="0" w:line="310" w:lineRule="auto"/>
        <w:tabs>
          <w:tab w:leader="none" w:pos="640" w:val="left"/>
        </w:tabs>
        <w:rPr>
          <w:sz w:val="20"/>
          <w:szCs w:val="20"/>
          <w:color w:val="auto"/>
        </w:rPr>
      </w:pPr>
      <w:r>
        <w:rPr>
          <w:rFonts w:ascii="Arial" w:cs="Arial" w:eastAsia="Arial" w:hAnsi="Arial"/>
          <w:sz w:val="18"/>
          <w:szCs w:val="18"/>
          <w:b w:val="1"/>
          <w:bCs w:val="1"/>
          <w:color w:val="auto"/>
        </w:rPr>
        <w:t>5.2.4.</w:t>
        <w:tab/>
        <w:t xml:space="preserve">Short Sales. </w:t>
      </w:r>
      <w:r>
        <w:rPr>
          <w:rFonts w:ascii="Arial" w:cs="Arial" w:eastAsia="Arial" w:hAnsi="Arial"/>
          <w:sz w:val="18"/>
          <w:szCs w:val="18"/>
          <w:color w:val="auto"/>
        </w:rPr>
        <w:t>Insiders may not engage in short sales (meaning the sale of a security that must be borrowed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delivery) or “sell short against the box” (meaning the sale of a security with a delayed delivery) if such sales involve the Company’s Securities.</w:t>
      </w:r>
    </w:p>
    <w:p>
      <w:pPr>
        <w:spacing w:after="0" w:line="182" w:lineRule="exact"/>
        <w:rPr>
          <w:sz w:val="20"/>
          <w:szCs w:val="20"/>
          <w:color w:val="auto"/>
        </w:rPr>
      </w:pPr>
    </w:p>
    <w:p>
      <w:pPr>
        <w:ind w:left="660" w:right="80" w:hanging="647"/>
        <w:spacing w:after="0" w:line="298" w:lineRule="auto"/>
        <w:tabs>
          <w:tab w:leader="none" w:pos="640" w:val="left"/>
        </w:tabs>
        <w:rPr>
          <w:sz w:val="20"/>
          <w:szCs w:val="20"/>
          <w:color w:val="auto"/>
        </w:rPr>
      </w:pPr>
      <w:r>
        <w:rPr>
          <w:rFonts w:ascii="Arial" w:cs="Arial" w:eastAsia="Arial" w:hAnsi="Arial"/>
          <w:sz w:val="18"/>
          <w:szCs w:val="18"/>
          <w:b w:val="1"/>
          <w:bCs w:val="1"/>
          <w:color w:val="auto"/>
        </w:rPr>
        <w:t>5.2.5.</w:t>
        <w:tab/>
        <w:t xml:space="preserve">Derivative Securities and Hedging Transactions. </w:t>
      </w:r>
      <w:r>
        <w:rPr>
          <w:rFonts w:ascii="Arial" w:cs="Arial" w:eastAsia="Arial" w:hAnsi="Arial"/>
          <w:sz w:val="18"/>
          <w:szCs w:val="18"/>
          <w:color w:val="auto"/>
        </w:rPr>
        <w:t>Insiders may not, directly or indirectly, (i) trade in publicly-traded options, such as puts and calls, and other derivative securities with respect to Company Securities (other than stock options, restricted stock units and other compensatory awards issued to you by the Company) or (ii) purchase financial instruments (including prepaid variable forward contracts, equity swaps, collars and exchange funds), or otherwise engage in transactions, that hedge or offset, or are designed to hedge or offset, any decrease in the market value of Company Securities either (a) granted to them by the Company as part of their compensation or (b) held, directly or indirectly, by them.</w:t>
      </w:r>
    </w:p>
    <w:p>
      <w:pPr>
        <w:spacing w:after="0" w:line="194" w:lineRule="exact"/>
        <w:rPr>
          <w:sz w:val="20"/>
          <w:szCs w:val="20"/>
          <w:color w:val="auto"/>
        </w:rPr>
      </w:pPr>
    </w:p>
    <w:p>
      <w:pPr>
        <w:ind w:left="660" w:right="200" w:hanging="647"/>
        <w:spacing w:after="0" w:line="329" w:lineRule="auto"/>
        <w:tabs>
          <w:tab w:leader="none" w:pos="640" w:val="left"/>
        </w:tabs>
        <w:rPr>
          <w:sz w:val="20"/>
          <w:szCs w:val="20"/>
          <w:color w:val="auto"/>
        </w:rPr>
      </w:pPr>
      <w:r>
        <w:rPr>
          <w:rFonts w:ascii="Arial" w:cs="Arial" w:eastAsia="Arial" w:hAnsi="Arial"/>
          <w:sz w:val="18"/>
          <w:szCs w:val="18"/>
          <w:b w:val="1"/>
          <w:bCs w:val="1"/>
          <w:color w:val="auto"/>
        </w:rPr>
        <w:t>5.2.6.</w:t>
        <w:tab/>
        <w:t xml:space="preserve">Pledging Transactions. </w:t>
      </w:r>
      <w:r>
        <w:rPr>
          <w:rFonts w:ascii="Arial" w:cs="Arial" w:eastAsia="Arial" w:hAnsi="Arial"/>
          <w:sz w:val="18"/>
          <w:szCs w:val="18"/>
          <w:color w:val="auto"/>
        </w:rPr>
        <w:t>Insiders may not pledge Company Securities as collateral for any loan or as part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pledging transaction.</w:t>
      </w:r>
    </w:p>
    <w:p>
      <w:pPr>
        <w:spacing w:after="0" w:line="16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b w:val="1"/>
          <w:bCs w:val="1"/>
          <w:color w:val="auto"/>
        </w:rPr>
        <w:t>5.2.7.</w:t>
      </w:r>
      <w:r>
        <w:rPr>
          <w:sz w:val="20"/>
          <w:szCs w:val="20"/>
          <w:color w:val="auto"/>
        </w:rPr>
        <w:tab/>
      </w:r>
      <w:r>
        <w:rPr>
          <w:rFonts w:ascii="Arial" w:cs="Arial" w:eastAsia="Arial" w:hAnsi="Arial"/>
          <w:sz w:val="17"/>
          <w:szCs w:val="17"/>
          <w:b w:val="1"/>
          <w:bCs w:val="1"/>
          <w:color w:val="auto"/>
        </w:rPr>
        <w:t xml:space="preserve">Margin Accounts. </w:t>
      </w:r>
      <w:r>
        <w:rPr>
          <w:rFonts w:ascii="Arial" w:cs="Arial" w:eastAsia="Arial" w:hAnsi="Arial"/>
          <w:sz w:val="17"/>
          <w:szCs w:val="17"/>
          <w:color w:val="auto"/>
        </w:rPr>
        <w:t>Insiders may not use a margin account to hold or trade Company Securities.</w:t>
      </w:r>
    </w:p>
    <w:p>
      <w:pPr>
        <w:sectPr>
          <w:pgSz w:w="11900" w:h="16840" w:orient="portrait"/>
          <w:cols w:equalWidth="0" w:num="1">
            <w:col w:w="9800"/>
          </w:cols>
          <w:pgMar w:left="1440" w:top="557" w:right="660" w:bottom="1440" w:gutter="0" w:footer="0" w:header="0"/>
        </w:sectPr>
      </w:pPr>
    </w:p>
    <w:bookmarkStart w:id="187" w:name="page188"/>
    <w:bookmarkEnd w:id="187"/>
    <w:p>
      <w:pPr>
        <w:ind w:left="9280"/>
        <w:spacing w:after="0"/>
        <w:rPr>
          <w:sz w:val="20"/>
          <w:szCs w:val="20"/>
          <w:color w:val="auto"/>
        </w:rPr>
      </w:pPr>
      <w:r>
        <w:rPr>
          <w:rFonts w:ascii="Arial" w:cs="Arial" w:eastAsia="Arial" w:hAnsi="Arial"/>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20955</wp:posOffset>
            </wp:positionV>
            <wp:extent cx="1151255" cy="289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Additional Provisions Applicable to Section 16 Reporting Persons</w:t>
      </w:r>
    </w:p>
    <w:p>
      <w:pPr>
        <w:spacing w:after="0" w:line="273" w:lineRule="exact"/>
        <w:rPr>
          <w:sz w:val="20"/>
          <w:szCs w:val="20"/>
          <w:color w:val="auto"/>
        </w:rPr>
      </w:pPr>
    </w:p>
    <w:p>
      <w:pPr>
        <w:ind w:left="1140" w:hanging="647"/>
        <w:spacing w:after="0" w:line="295" w:lineRule="auto"/>
        <w:tabs>
          <w:tab w:leader="none" w:pos="1120" w:val="left"/>
        </w:tabs>
        <w:rPr>
          <w:sz w:val="20"/>
          <w:szCs w:val="20"/>
          <w:color w:val="auto"/>
        </w:rPr>
      </w:pPr>
      <w:r>
        <w:rPr>
          <w:rFonts w:ascii="Arial" w:cs="Arial" w:eastAsia="Arial" w:hAnsi="Arial"/>
          <w:sz w:val="18"/>
          <w:szCs w:val="18"/>
          <w:b w:val="1"/>
          <w:bCs w:val="1"/>
          <w:color w:val="auto"/>
        </w:rPr>
        <w:t>5.3.1.</w:t>
        <w:tab/>
        <w:t xml:space="preserve">Pre-Clearance Required. </w:t>
      </w:r>
      <w:r>
        <w:rPr>
          <w:rFonts w:ascii="Arial" w:cs="Arial" w:eastAsia="Arial" w:hAnsi="Arial"/>
          <w:sz w:val="18"/>
          <w:szCs w:val="18"/>
          <w:color w:val="auto"/>
        </w:rPr>
        <w:t>If you are a Section 16 Reporting Person, you may engage in transaction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Securities only if you first have obtained pre-clearance of the transaction from two individuals as included in the Chief Legal Officer definition below, as well as the Chief Financial Officer. If the Chief Financial Officer is the requester, then the Chief Executive Officer and Chief Legal Officer will act as approvers. If the Chief Legal Officer is the requester, then the Chief Executive Officer and the Chief Financial Officer will act as approvers. All requests for pre-clearance must be submitted to the Global Stock Team (via email at stock@micron.com) at least two business days (and no more than five business days) in advance of the proposed transaction. The Global Stock Team will reach out for the relevant approvals. In evaluating a request for approval, the determination will be based solely on whether you are in possession of Material Nonpublic Information about the Company or the Company Securities and whether you are otherwise subject to a trading blackout period that is currently in effect. The relevant approvers will generally respond to any request to trade within 24 hours of receiving such request. If your proposed trade is approved (pre-cleared), you must complete the trade within five trading days of issuance of the pre-clearance. However, if you become aware of Material Nonpublic Information or subject to a blackout before the trade is completed, you must not trade even though you received pre-clearance.</w:t>
      </w:r>
    </w:p>
    <w:p>
      <w:pPr>
        <w:spacing w:after="0" w:line="195" w:lineRule="exact"/>
        <w:rPr>
          <w:sz w:val="20"/>
          <w:szCs w:val="20"/>
          <w:color w:val="auto"/>
        </w:rPr>
      </w:pPr>
    </w:p>
    <w:p>
      <w:pPr>
        <w:ind w:left="1140" w:right="500" w:hanging="647"/>
        <w:spacing w:after="0" w:line="329" w:lineRule="auto"/>
        <w:tabs>
          <w:tab w:leader="none" w:pos="1120" w:val="left"/>
        </w:tabs>
        <w:rPr>
          <w:sz w:val="20"/>
          <w:szCs w:val="20"/>
          <w:color w:val="auto"/>
        </w:rPr>
      </w:pPr>
      <w:r>
        <w:rPr>
          <w:rFonts w:ascii="Arial" w:cs="Arial" w:eastAsia="Arial" w:hAnsi="Arial"/>
          <w:sz w:val="18"/>
          <w:szCs w:val="18"/>
          <w:b w:val="1"/>
          <w:bCs w:val="1"/>
          <w:color w:val="auto"/>
        </w:rPr>
        <w:t>5.3.2.</w:t>
        <w:tab/>
        <w:t xml:space="preserve">Reporting of Violations. </w:t>
      </w:r>
      <w:r>
        <w:rPr>
          <w:rFonts w:ascii="Arial" w:cs="Arial" w:eastAsia="Arial" w:hAnsi="Arial"/>
          <w:sz w:val="18"/>
          <w:szCs w:val="18"/>
          <w:color w:val="auto"/>
        </w:rPr>
        <w:t>Violations of the pre-clearance procedure above will be reported to the Chief Legal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w:t>
      </w:r>
    </w:p>
    <w:p>
      <w:pPr>
        <w:spacing w:after="0" w:line="165" w:lineRule="exact"/>
        <w:rPr>
          <w:sz w:val="20"/>
          <w:szCs w:val="20"/>
          <w:color w:val="auto"/>
        </w:rPr>
      </w:pPr>
    </w:p>
    <w:p>
      <w:pPr>
        <w:ind w:left="1140" w:right="80" w:hanging="647"/>
        <w:spacing w:after="0" w:line="298" w:lineRule="auto"/>
        <w:tabs>
          <w:tab w:leader="none" w:pos="1120" w:val="left"/>
        </w:tabs>
        <w:rPr>
          <w:sz w:val="20"/>
          <w:szCs w:val="20"/>
          <w:color w:val="auto"/>
        </w:rPr>
      </w:pPr>
      <w:r>
        <w:rPr>
          <w:rFonts w:ascii="Arial" w:cs="Arial" w:eastAsia="Arial" w:hAnsi="Arial"/>
          <w:sz w:val="18"/>
          <w:szCs w:val="18"/>
          <w:b w:val="1"/>
          <w:bCs w:val="1"/>
          <w:color w:val="auto"/>
        </w:rPr>
        <w:t>5.3.3.</w:t>
        <w:tab/>
        <w:t xml:space="preserve">Additional Requirements. </w:t>
      </w:r>
      <w:r>
        <w:rPr>
          <w:rFonts w:ascii="Arial" w:cs="Arial" w:eastAsia="Arial" w:hAnsi="Arial"/>
          <w:sz w:val="18"/>
          <w:szCs w:val="18"/>
          <w:color w:val="auto"/>
        </w:rPr>
        <w:t>Section 16 Reporting Persons must comply with the reporting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on short-swing transactions set forth in Section 16 of the Securities Exchange Act of 1934, as amended (the “Exchange Act”). The practical effect of these provisions is that Section 16 Reporting Persons who purchase and sell Company Securities within a six-month period must disgorge all profits to the Company whether or not they had knowledge of any Material Nonpublic Information. The Company has provided separate materials to its Section 16 Reporting Persons regarding compliance with Section 16 and its rules. Contact the Chief Legal Officer if you have any questions about the Section 16 rules.</w:t>
      </w:r>
    </w:p>
    <w:p>
      <w:pPr>
        <w:sectPr>
          <w:pgSz w:w="11900" w:h="16840" w:orient="portrait"/>
          <w:cols w:equalWidth="0" w:num="1">
            <w:col w:w="10280"/>
          </w:cols>
          <w:pgMar w:left="960" w:top="557" w:right="66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13970</wp:posOffset>
            </wp:positionV>
            <wp:extent cx="1151255" cy="289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right="240" w:hanging="647"/>
        <w:spacing w:after="0" w:line="299" w:lineRule="auto"/>
        <w:tabs>
          <w:tab w:leader="none" w:pos="1420" w:val="left"/>
        </w:tabs>
        <w:rPr>
          <w:sz w:val="20"/>
          <w:szCs w:val="20"/>
          <w:color w:val="auto"/>
        </w:rPr>
      </w:pPr>
      <w:r>
        <w:rPr>
          <w:rFonts w:ascii="Arial" w:cs="Arial" w:eastAsia="Arial" w:hAnsi="Arial"/>
          <w:sz w:val="18"/>
          <w:szCs w:val="18"/>
          <w:b w:val="1"/>
          <w:bCs w:val="1"/>
          <w:color w:val="auto"/>
        </w:rPr>
        <w:t>5.3.4.</w:t>
        <w:tab/>
        <w:t xml:space="preserve">Mandatory Broker Interface. </w:t>
      </w:r>
      <w:r>
        <w:rPr>
          <w:rFonts w:ascii="Arial" w:cs="Arial" w:eastAsia="Arial" w:hAnsi="Arial"/>
          <w:sz w:val="18"/>
          <w:szCs w:val="18"/>
          <w:color w:val="auto"/>
        </w:rPr>
        <w:t>To help assure compliance with Section 16 reporting requirements, Section 16</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Persons must provide the Global Stock Team with information for any outside broker that will hold Company Securities. The Global Stock Team will contact the outside broker, but it is the responsibility of the Section 16 Reporting Person to confirm their broker notifies the Global Stock Team of any transactions involving the Company Securities, which includes pending trade orders, the execution of any previously approved trade orders, new dividend reinvestment elections and the details of gift and trade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2F5496"/>
        </w:rPr>
        <w:t>6. Policy Compliance</w:t>
      </w:r>
    </w:p>
    <w:p>
      <w:pPr>
        <w:spacing w:after="0" w:line="142"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Potential Liability and Disciplinary Action</w:t>
      </w:r>
    </w:p>
    <w:p>
      <w:pPr>
        <w:spacing w:after="0" w:line="273" w:lineRule="exact"/>
        <w:rPr>
          <w:sz w:val="20"/>
          <w:szCs w:val="20"/>
          <w:color w:val="auto"/>
        </w:rPr>
      </w:pPr>
    </w:p>
    <w:p>
      <w:pPr>
        <w:ind w:left="1440" w:right="60" w:hanging="647"/>
        <w:spacing w:after="0" w:line="298" w:lineRule="auto"/>
        <w:tabs>
          <w:tab w:leader="none" w:pos="142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color w:val="auto"/>
        </w:rPr>
        <w:t>Persons who trade on Material Nonpublic Information (or tip such information to others) may be subject to penalties under federal and state securities laws, including criminal fines and/or imprisonment, civil penalties and disgorgement of profits gained or losses avoided on the transaction. A person who violates this Policy may also be subject to suit by persons who purchased or sold securities of the same company at the same time as the person covered by this Policy. Persons who disclose Material Nonpublic Information about the Company to others who then trade in Company Securities while in possession of that information may be liable for the profits or avoided losses of those others.</w:t>
      </w:r>
    </w:p>
    <w:p>
      <w:pPr>
        <w:spacing w:after="0" w:line="194" w:lineRule="exact"/>
        <w:rPr>
          <w:sz w:val="20"/>
          <w:szCs w:val="20"/>
          <w:color w:val="auto"/>
        </w:rPr>
      </w:pPr>
    </w:p>
    <w:p>
      <w:pPr>
        <w:ind w:left="1440" w:right="120" w:hanging="647"/>
        <w:spacing w:after="0" w:line="301" w:lineRule="auto"/>
        <w:tabs>
          <w:tab w:leader="none" w:pos="142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color w:val="auto"/>
        </w:rPr>
        <w:t>In addition, any person who violates this Policy will be subject to disciplinary action by the Company, which may include dismissal or termination for cause. The Company may also be entitled to pursue legal action against any person who violates this Policy in a breach of his or her fiduciary duties to the Company. Where appropriate, the Company may also report violations of this Policy to appropriate government agencies, including the SEC and the United States Department of Justice.</w:t>
      </w:r>
    </w:p>
    <w:p>
      <w:pPr>
        <w:spacing w:after="0" w:line="190" w:lineRule="exact"/>
        <w:rPr>
          <w:sz w:val="20"/>
          <w:szCs w:val="20"/>
          <w:color w:val="auto"/>
        </w:rPr>
      </w:pPr>
    </w:p>
    <w:p>
      <w:pPr>
        <w:ind w:left="1440" w:right="80" w:hanging="647"/>
        <w:spacing w:after="0" w:line="329" w:lineRule="auto"/>
        <w:tabs>
          <w:tab w:leader="none" w:pos="14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8"/>
          <w:szCs w:val="18"/>
          <w:color w:val="auto"/>
        </w:rPr>
        <w:t>The Chief Legal Officer may be required to notify the Company’s Chief Executive Officer and Board of Directors of any improper trading activity.</w:t>
      </w:r>
    </w:p>
    <w:p>
      <w:pPr>
        <w:spacing w:after="0" w:line="165"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Transactions that are Exempt from this Policy</w:t>
      </w:r>
    </w:p>
    <w:p>
      <w:pPr>
        <w:spacing w:after="0" w:line="273" w:lineRule="exact"/>
        <w:rPr>
          <w:sz w:val="20"/>
          <w:szCs w:val="20"/>
          <w:color w:val="auto"/>
        </w:rPr>
      </w:pPr>
    </w:p>
    <w:p>
      <w:pPr>
        <w:ind w:left="1440" w:right="180" w:hanging="647"/>
        <w:spacing w:after="0" w:line="329" w:lineRule="auto"/>
        <w:tabs>
          <w:tab w:leader="none" w:pos="1420" w:val="left"/>
        </w:tabs>
        <w:rPr>
          <w:sz w:val="20"/>
          <w:szCs w:val="20"/>
          <w:color w:val="auto"/>
        </w:rPr>
      </w:pPr>
      <w:r>
        <w:rPr>
          <w:rFonts w:ascii="Arial" w:cs="Arial" w:eastAsia="Arial" w:hAnsi="Arial"/>
          <w:sz w:val="18"/>
          <w:szCs w:val="18"/>
          <w:b w:val="1"/>
          <w:bCs w:val="1"/>
          <w:color w:val="auto"/>
        </w:rPr>
        <w:t>6.2.1.</w:t>
        <w:tab/>
        <w:t xml:space="preserve">Publicly Traded Index Funds. </w:t>
      </w:r>
      <w:r>
        <w:rPr>
          <w:rFonts w:ascii="Arial" w:cs="Arial" w:eastAsia="Arial" w:hAnsi="Arial"/>
          <w:sz w:val="18"/>
          <w:szCs w:val="18"/>
          <w:color w:val="auto"/>
        </w:rPr>
        <w:t>Transactions in these funds do not violate this Policy even if Company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a component of the fund (includes mutual funds).</w:t>
      </w:r>
    </w:p>
    <w:p>
      <w:pPr>
        <w:sectPr>
          <w:pgSz w:w="11900" w:h="16840" w:orient="portrait"/>
          <w:cols w:equalWidth="0" w:num="1">
            <w:col w:w="10580"/>
          </w:cols>
          <w:pgMar w:left="660" w:top="557" w:right="660"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13970</wp:posOffset>
            </wp:positionV>
            <wp:extent cx="1151255" cy="289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right="120" w:hanging="647"/>
        <w:spacing w:after="0" w:line="310" w:lineRule="auto"/>
        <w:tabs>
          <w:tab w:leader="none" w:pos="640" w:val="left"/>
        </w:tabs>
        <w:rPr>
          <w:sz w:val="20"/>
          <w:szCs w:val="20"/>
          <w:color w:val="auto"/>
        </w:rPr>
      </w:pPr>
      <w:r>
        <w:rPr>
          <w:rFonts w:ascii="Arial" w:cs="Arial" w:eastAsia="Arial" w:hAnsi="Arial"/>
          <w:sz w:val="18"/>
          <w:szCs w:val="18"/>
          <w:b w:val="1"/>
          <w:bCs w:val="1"/>
          <w:color w:val="auto"/>
        </w:rPr>
        <w:t>6.2.2.</w:t>
        <w:tab/>
        <w:t xml:space="preserve">Company-Granted Equity Awards. </w:t>
      </w:r>
      <w:r>
        <w:rPr>
          <w:rFonts w:ascii="Arial" w:cs="Arial" w:eastAsia="Arial" w:hAnsi="Arial"/>
          <w:sz w:val="18"/>
          <w:szCs w:val="18"/>
          <w:color w:val="auto"/>
        </w:rPr>
        <w:t>The following transactions related to Company-granted equity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awards do not violate this Policy (although one or more may require pre-clearance if otherwise provided in this Policy):</w:t>
      </w:r>
    </w:p>
    <w:p>
      <w:pPr>
        <w:spacing w:after="0" w:line="182" w:lineRule="exact"/>
        <w:rPr>
          <w:sz w:val="20"/>
          <w:szCs w:val="20"/>
          <w:color w:val="auto"/>
        </w:rPr>
      </w:pPr>
    </w:p>
    <w:p>
      <w:pPr>
        <w:ind w:left="1380" w:right="220" w:hanging="719"/>
        <w:spacing w:after="0" w:line="304" w:lineRule="auto"/>
        <w:tabs>
          <w:tab w:leader="none" w:pos="1360" w:val="left"/>
        </w:tabs>
        <w:rPr>
          <w:sz w:val="20"/>
          <w:szCs w:val="20"/>
          <w:color w:val="auto"/>
        </w:rPr>
      </w:pPr>
      <w:r>
        <w:rPr>
          <w:rFonts w:ascii="Arial" w:cs="Arial" w:eastAsia="Arial" w:hAnsi="Arial"/>
          <w:sz w:val="18"/>
          <w:szCs w:val="18"/>
          <w:b w:val="1"/>
          <w:bCs w:val="1"/>
          <w:color w:val="auto"/>
        </w:rPr>
        <w:t>6.2.2.1.</w:t>
      </w:r>
      <w:r>
        <w:rPr>
          <w:sz w:val="20"/>
          <w:szCs w:val="20"/>
          <w:color w:val="auto"/>
        </w:rPr>
        <w:tab/>
      </w:r>
      <w:r>
        <w:rPr>
          <w:rFonts w:ascii="Arial" w:cs="Arial" w:eastAsia="Arial" w:hAnsi="Arial"/>
          <w:sz w:val="18"/>
          <w:szCs w:val="18"/>
          <w:color w:val="auto"/>
        </w:rPr>
        <w:t>Purchases of shares under a Company employee stock purchase plan, changes to your withdrawal percentage or withdrawing from the plan, but changing your instructions regarding the sale of Company Securities pursuant to a “sell all” election (see Section 6.2.5. below) under a Company stock purchase plan is subject to this Policy;</w:t>
      </w:r>
    </w:p>
    <w:p>
      <w:pPr>
        <w:spacing w:after="0" w:line="188" w:lineRule="exact"/>
        <w:rPr>
          <w:sz w:val="20"/>
          <w:szCs w:val="20"/>
          <w:color w:val="auto"/>
        </w:rPr>
      </w:pPr>
    </w:p>
    <w:p>
      <w:pPr>
        <w:ind w:left="1380" w:right="140" w:hanging="719"/>
        <w:spacing w:after="0" w:line="329" w:lineRule="auto"/>
        <w:tabs>
          <w:tab w:leader="none" w:pos="1360" w:val="left"/>
        </w:tabs>
        <w:rPr>
          <w:sz w:val="20"/>
          <w:szCs w:val="20"/>
          <w:color w:val="auto"/>
        </w:rPr>
      </w:pPr>
      <w:r>
        <w:rPr>
          <w:rFonts w:ascii="Arial" w:cs="Arial" w:eastAsia="Arial" w:hAnsi="Arial"/>
          <w:sz w:val="18"/>
          <w:szCs w:val="18"/>
          <w:b w:val="1"/>
          <w:bCs w:val="1"/>
          <w:color w:val="auto"/>
        </w:rPr>
        <w:t>6.2.2.2.</w:t>
      </w:r>
      <w:r>
        <w:rPr>
          <w:sz w:val="20"/>
          <w:szCs w:val="20"/>
          <w:color w:val="auto"/>
        </w:rPr>
        <w:tab/>
      </w:r>
      <w:r>
        <w:rPr>
          <w:rFonts w:ascii="Arial" w:cs="Arial" w:eastAsia="Arial" w:hAnsi="Arial"/>
          <w:sz w:val="18"/>
          <w:szCs w:val="18"/>
          <w:color w:val="auto"/>
        </w:rPr>
        <w:t>The exercise of options if the option exercise price and associated taxes, are paid in cash or net settled and there is no associated market activity;</w:t>
      </w:r>
    </w:p>
    <w:p>
      <w:pPr>
        <w:spacing w:after="0" w:line="165" w:lineRule="exact"/>
        <w:rPr>
          <w:sz w:val="20"/>
          <w:szCs w:val="20"/>
          <w:color w:val="auto"/>
        </w:rPr>
      </w:pPr>
    </w:p>
    <w:p>
      <w:pPr>
        <w:ind w:left="1380" w:right="300" w:hanging="719"/>
        <w:spacing w:after="0" w:line="329" w:lineRule="auto"/>
        <w:tabs>
          <w:tab w:leader="none" w:pos="1360" w:val="left"/>
        </w:tabs>
        <w:rPr>
          <w:sz w:val="20"/>
          <w:szCs w:val="20"/>
          <w:color w:val="auto"/>
        </w:rPr>
      </w:pPr>
      <w:r>
        <w:rPr>
          <w:rFonts w:ascii="Arial" w:cs="Arial" w:eastAsia="Arial" w:hAnsi="Arial"/>
          <w:sz w:val="18"/>
          <w:szCs w:val="18"/>
          <w:b w:val="1"/>
          <w:bCs w:val="1"/>
          <w:color w:val="auto"/>
        </w:rPr>
        <w:t>6.2.2.3.</w:t>
      </w:r>
      <w:r>
        <w:rPr>
          <w:sz w:val="20"/>
          <w:szCs w:val="20"/>
          <w:color w:val="auto"/>
        </w:rPr>
        <w:tab/>
      </w:r>
      <w:r>
        <w:rPr>
          <w:rFonts w:ascii="Arial" w:cs="Arial" w:eastAsia="Arial" w:hAnsi="Arial"/>
          <w:sz w:val="18"/>
          <w:szCs w:val="18"/>
          <w:color w:val="auto"/>
        </w:rPr>
        <w:t>The grant or vesting of equity compensation awards (for example, RSUs, PRSUs, and options) under Company equity plans;</w:t>
      </w:r>
    </w:p>
    <w:p>
      <w:pPr>
        <w:spacing w:after="0" w:line="165" w:lineRule="exact"/>
        <w:rPr>
          <w:sz w:val="20"/>
          <w:szCs w:val="20"/>
          <w:color w:val="auto"/>
        </w:rPr>
      </w:pPr>
    </w:p>
    <w:p>
      <w:pPr>
        <w:ind w:left="1380" w:right="80" w:hanging="719"/>
        <w:spacing w:after="0" w:line="310" w:lineRule="auto"/>
        <w:tabs>
          <w:tab w:leader="none" w:pos="1360" w:val="left"/>
        </w:tabs>
        <w:rPr>
          <w:sz w:val="20"/>
          <w:szCs w:val="20"/>
          <w:color w:val="auto"/>
        </w:rPr>
      </w:pPr>
      <w:r>
        <w:rPr>
          <w:rFonts w:ascii="Arial" w:cs="Arial" w:eastAsia="Arial" w:hAnsi="Arial"/>
          <w:sz w:val="18"/>
          <w:szCs w:val="18"/>
          <w:b w:val="1"/>
          <w:bCs w:val="1"/>
          <w:color w:val="auto"/>
        </w:rPr>
        <w:t>6.2.2.4.</w:t>
      </w:r>
      <w:r>
        <w:rPr>
          <w:sz w:val="20"/>
          <w:szCs w:val="20"/>
          <w:color w:val="auto"/>
        </w:rPr>
        <w:tab/>
      </w:r>
      <w:r>
        <w:rPr>
          <w:rFonts w:ascii="Arial" w:cs="Arial" w:eastAsia="Arial" w:hAnsi="Arial"/>
          <w:sz w:val="18"/>
          <w:szCs w:val="18"/>
          <w:color w:val="auto"/>
        </w:rPr>
        <w:t>Withholding of shares by the Company to cover tax withholding from restricted stock, RSUs and PRSUs (but only if either share withholding is required by the Company or elected by you under a process approved by the Company); and</w:t>
      </w:r>
    </w:p>
    <w:p>
      <w:pPr>
        <w:spacing w:after="0" w:line="182" w:lineRule="exact"/>
        <w:rPr>
          <w:sz w:val="20"/>
          <w:szCs w:val="20"/>
          <w:color w:val="auto"/>
        </w:rPr>
      </w:pPr>
    </w:p>
    <w:p>
      <w:pPr>
        <w:ind w:left="1380" w:right="40" w:hanging="719"/>
        <w:spacing w:after="0" w:line="301" w:lineRule="auto"/>
        <w:tabs>
          <w:tab w:leader="none" w:pos="1360" w:val="left"/>
        </w:tabs>
        <w:rPr>
          <w:sz w:val="20"/>
          <w:szCs w:val="20"/>
          <w:color w:val="auto"/>
        </w:rPr>
      </w:pPr>
      <w:r>
        <w:rPr>
          <w:rFonts w:ascii="Arial" w:cs="Arial" w:eastAsia="Arial" w:hAnsi="Arial"/>
          <w:sz w:val="18"/>
          <w:szCs w:val="18"/>
          <w:b w:val="1"/>
          <w:bCs w:val="1"/>
          <w:color w:val="auto"/>
        </w:rPr>
        <w:t>6.2.2.5.</w:t>
      </w:r>
      <w:r>
        <w:rPr>
          <w:sz w:val="20"/>
          <w:szCs w:val="20"/>
          <w:color w:val="auto"/>
        </w:rPr>
        <w:tab/>
      </w:r>
      <w:r>
        <w:rPr>
          <w:rFonts w:ascii="Arial" w:cs="Arial" w:eastAsia="Arial" w:hAnsi="Arial"/>
          <w:sz w:val="18"/>
          <w:szCs w:val="18"/>
          <w:color w:val="auto"/>
        </w:rPr>
        <w:t>Sell-to-cover transactions under a Company-approved program, under which vested shares under full value awards (for example, restricted stock, RSUs and PRSUs) automatically are sold in order to satisfy tax withholding requirements (this exception does not apply to any other market or other sales for the purposes of paying required withholding). Note that sell-to-cover transactions may still lead to short-swing liability for Section 16 Officers.</w:t>
      </w:r>
    </w:p>
    <w:p>
      <w:pPr>
        <w:spacing w:after="0" w:line="190" w:lineRule="exact"/>
        <w:rPr>
          <w:sz w:val="20"/>
          <w:szCs w:val="20"/>
          <w:color w:val="auto"/>
        </w:rPr>
      </w:pPr>
    </w:p>
    <w:p>
      <w:pPr>
        <w:ind w:left="1380" w:right="560" w:hanging="719"/>
        <w:spacing w:after="0" w:line="329" w:lineRule="auto"/>
        <w:tabs>
          <w:tab w:leader="none" w:pos="1360" w:val="left"/>
        </w:tabs>
        <w:rPr>
          <w:sz w:val="20"/>
          <w:szCs w:val="20"/>
          <w:color w:val="auto"/>
        </w:rPr>
      </w:pPr>
      <w:r>
        <w:rPr>
          <w:rFonts w:ascii="Arial" w:cs="Arial" w:eastAsia="Arial" w:hAnsi="Arial"/>
          <w:sz w:val="18"/>
          <w:szCs w:val="18"/>
          <w:b w:val="1"/>
          <w:bCs w:val="1"/>
          <w:color w:val="auto"/>
        </w:rPr>
        <w:t>6.2.2.6.</w:t>
      </w:r>
      <w:r>
        <w:rPr>
          <w:sz w:val="20"/>
          <w:szCs w:val="20"/>
          <w:color w:val="auto"/>
        </w:rPr>
        <w:tab/>
      </w:r>
      <w:r>
        <w:rPr>
          <w:rFonts w:ascii="Arial" w:cs="Arial" w:eastAsia="Arial" w:hAnsi="Arial"/>
          <w:sz w:val="18"/>
          <w:szCs w:val="18"/>
          <w:color w:val="auto"/>
        </w:rPr>
        <w:t>However, any shares received as described in the preceding subsections 6.2.2.1. - 6.2.2.5. will be subject to this Policy and may not be transferred or disposed of without complying with this Policy.</w:t>
      </w:r>
    </w:p>
    <w:p>
      <w:pPr>
        <w:sectPr>
          <w:pgSz w:w="11900" w:h="16840" w:orient="portrait"/>
          <w:cols w:equalWidth="0" w:num="1">
            <w:col w:w="9800"/>
          </w:cols>
          <w:pgMar w:left="1440" w:top="557" w:right="66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13970</wp:posOffset>
            </wp:positionV>
            <wp:extent cx="1151255" cy="289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right="140" w:hanging="647"/>
        <w:spacing w:after="0" w:line="295" w:lineRule="auto"/>
        <w:tabs>
          <w:tab w:leader="none" w:pos="640" w:val="left"/>
        </w:tabs>
        <w:rPr>
          <w:sz w:val="20"/>
          <w:szCs w:val="20"/>
          <w:color w:val="auto"/>
        </w:rPr>
      </w:pPr>
      <w:r>
        <w:rPr>
          <w:rFonts w:ascii="Arial" w:cs="Arial" w:eastAsia="Arial" w:hAnsi="Arial"/>
          <w:sz w:val="18"/>
          <w:szCs w:val="18"/>
          <w:b w:val="1"/>
          <w:bCs w:val="1"/>
          <w:color w:val="auto"/>
        </w:rPr>
        <w:t>6.2.3.</w:t>
        <w:tab/>
        <w:t xml:space="preserve">Rule 10b5-1 Trading Plans. </w:t>
      </w:r>
      <w:r>
        <w:rPr>
          <w:rFonts w:ascii="Arial" w:cs="Arial" w:eastAsia="Arial" w:hAnsi="Arial"/>
          <w:sz w:val="18"/>
          <w:szCs w:val="18"/>
          <w:color w:val="auto"/>
        </w:rPr>
        <w:t>Purchases and sales by Insiders that satisfy the requirements of Rule 10b5-1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effected pursuant to Company approved Rule 10b5-1 trading plan requirements are exempt from this Policy. If you want to implement a trading plan under SEC Rule 10b5-1, you first must pre-clear the plan with two individuals included in the Chief Legal Officer definition below, who will have discretion whether to approve the plan. An Insider may enter into a trading plan (or modify an existing trading plan) only if such Insider is not in possession of Material Nonpublic Information regarding the Company or Company Securities at the time of adoption or modification. To be approved by the Company and qualify for the exception to this Policy, any trading plan must be submitted to the Chief Legal Officer for approval. If the Chief Legal Officer is the requester, then the Chief Financial Officer and one other individual included in the Chief Legal Officer definition below will act as approvers. Any transactions effected pursuant to a pre-cleared trading plan must be reported within one business day to the Global Stock Team at stock@micron.com.</w:t>
      </w:r>
    </w:p>
    <w:p>
      <w:pPr>
        <w:spacing w:after="0" w:line="202" w:lineRule="exact"/>
        <w:rPr>
          <w:sz w:val="20"/>
          <w:szCs w:val="20"/>
          <w:color w:val="auto"/>
        </w:rPr>
      </w:pPr>
    </w:p>
    <w:p>
      <w:pPr>
        <w:jc w:val="both"/>
        <w:ind w:left="660" w:right="120" w:hanging="647"/>
        <w:spacing w:after="0" w:line="309" w:lineRule="auto"/>
        <w:tabs>
          <w:tab w:leader="none" w:pos="640" w:val="left"/>
        </w:tabs>
        <w:rPr>
          <w:sz w:val="20"/>
          <w:szCs w:val="20"/>
          <w:color w:val="auto"/>
        </w:rPr>
      </w:pPr>
      <w:r>
        <w:rPr>
          <w:rFonts w:ascii="Arial" w:cs="Arial" w:eastAsia="Arial" w:hAnsi="Arial"/>
          <w:sz w:val="18"/>
          <w:szCs w:val="18"/>
          <w:b w:val="1"/>
          <w:bCs w:val="1"/>
          <w:color w:val="auto"/>
        </w:rPr>
        <w:t>6.2.4.</w:t>
      </w:r>
      <w:r>
        <w:rPr>
          <w:sz w:val="20"/>
          <w:szCs w:val="20"/>
          <w:color w:val="auto"/>
        </w:rPr>
        <w:tab/>
      </w:r>
      <w:r>
        <w:rPr>
          <w:rFonts w:ascii="Arial" w:cs="Arial" w:eastAsia="Arial" w:hAnsi="Arial"/>
          <w:sz w:val="17"/>
          <w:szCs w:val="17"/>
          <w:b w:val="1"/>
          <w:bCs w:val="1"/>
          <w:color w:val="auto"/>
        </w:rPr>
        <w:t xml:space="preserve">Certain Transactions Made Not for Consideration. </w:t>
      </w:r>
      <w:r>
        <w:rPr>
          <w:rFonts w:ascii="Arial" w:cs="Arial" w:eastAsia="Arial" w:hAnsi="Arial"/>
          <w:sz w:val="17"/>
          <w:szCs w:val="17"/>
          <w:color w:val="auto"/>
        </w:rPr>
        <w:t>The following transactions are not prohibited by this Policy</w:t>
      </w:r>
      <w:r>
        <w:rPr>
          <w:rFonts w:ascii="Arial" w:cs="Arial" w:eastAsia="Arial" w:hAnsi="Arial"/>
          <w:sz w:val="17"/>
          <w:szCs w:val="17"/>
          <w:b w:val="1"/>
          <w:bCs w:val="1"/>
          <w:color w:val="auto"/>
        </w:rPr>
        <w:t xml:space="preserve"> </w:t>
      </w:r>
      <w:r>
        <w:rPr>
          <w:rFonts w:ascii="Arial" w:cs="Arial" w:eastAsia="Arial" w:hAnsi="Arial"/>
          <w:sz w:val="17"/>
          <w:szCs w:val="17"/>
          <w:color w:val="auto"/>
        </w:rPr>
        <w:t>when made not for any consideration (but any sale or other disposition by the recipient or transferee following the exempt transaction remains subject to this Policy and certain transactions require pre-clearance as stated below):</w:t>
      </w:r>
    </w:p>
    <w:p>
      <w:pPr>
        <w:spacing w:after="0" w:line="1" w:lineRule="exact"/>
        <w:rPr>
          <w:sz w:val="20"/>
          <w:szCs w:val="20"/>
          <w:color w:val="auto"/>
        </w:rPr>
      </w:pPr>
    </w:p>
    <w:p>
      <w:pPr>
        <w:ind w:left="660" w:right="20" w:firstLine="6"/>
        <w:spacing w:after="0" w:line="301" w:lineRule="auto"/>
        <w:tabs>
          <w:tab w:leader="none" w:pos="87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transfers by will or the laws of descent or distribution, (ii) inter-spousal transfers, (iii) transfers for estate planning reasons to a vehicle such as a trust or LLC that does not change your pecuniary interest in the securities, and (iv) stock splits, stock dividends and similar events that apply to all shareholders equally. In order to make a transaction listed in (ii) or (iii), you must give advance notice to the Chief Legal Officer, who will have discretion to confirm or deny the applicability of the exception.</w:t>
      </w:r>
    </w:p>
    <w:p>
      <w:pPr>
        <w:spacing w:after="0" w:line="190" w:lineRule="exact"/>
        <w:rPr>
          <w:sz w:val="20"/>
          <w:szCs w:val="20"/>
          <w:color w:val="auto"/>
        </w:rPr>
      </w:pPr>
    </w:p>
    <w:p>
      <w:pPr>
        <w:ind w:left="660" w:right="120" w:hanging="647"/>
        <w:spacing w:after="0" w:line="298" w:lineRule="auto"/>
        <w:tabs>
          <w:tab w:leader="none" w:pos="640" w:val="left"/>
        </w:tabs>
        <w:rPr>
          <w:sz w:val="20"/>
          <w:szCs w:val="20"/>
          <w:color w:val="auto"/>
        </w:rPr>
      </w:pPr>
      <w:r>
        <w:rPr>
          <w:rFonts w:ascii="Arial" w:cs="Arial" w:eastAsia="Arial" w:hAnsi="Arial"/>
          <w:sz w:val="18"/>
          <w:szCs w:val="18"/>
          <w:b w:val="1"/>
          <w:bCs w:val="1"/>
          <w:color w:val="auto"/>
        </w:rPr>
        <w:t>6.2.5.</w:t>
        <w:tab/>
        <w:t xml:space="preserve">Automated Sales. </w:t>
      </w:r>
      <w:r>
        <w:rPr>
          <w:rFonts w:ascii="Arial" w:cs="Arial" w:eastAsia="Arial" w:hAnsi="Arial"/>
          <w:sz w:val="18"/>
          <w:szCs w:val="18"/>
          <w:color w:val="auto"/>
        </w:rPr>
        <w:t>If the Company’s equity plan administrator or captive broker provides a “sell all”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you can elect to sell all shares purchased through a Company employee stock purchase plan immediately upon the purchase of such shares pursuant to the terms of the employee stock purchase plan, sales pursuant to such election are permitted under this Policy only for employees that are not Section 16 Reporting Persons, provided, that, if you are an Insider, you cannot make the initial election, or any change or termination to that election unless: (i) the trading window is open, and (ii) you are not in possession of Material Nonpublic Information.</w:t>
      </w:r>
    </w:p>
    <w:p>
      <w:pPr>
        <w:sectPr>
          <w:pgSz w:w="11900" w:h="16840" w:orient="portrait"/>
          <w:cols w:equalWidth="0" w:num="1">
            <w:col w:w="9800"/>
          </w:cols>
          <w:pgMar w:left="1440" w:top="557" w:right="660" w:bottom="1440" w:gutter="0" w:footer="0" w:header="0"/>
        </w:sectPr>
      </w:pPr>
    </w:p>
    <w:bookmarkStart w:id="191" w:name="page192"/>
    <w:bookmarkEnd w:id="191"/>
    <w:p>
      <w:pPr>
        <w:ind w:left="9580"/>
        <w:spacing w:after="0"/>
        <w:rPr>
          <w:sz w:val="20"/>
          <w:szCs w:val="20"/>
          <w:color w:val="auto"/>
        </w:rPr>
      </w:pPr>
      <w:r>
        <w:rPr>
          <w:rFonts w:ascii="Arial" w:cs="Arial" w:eastAsia="Arial" w:hAnsi="Arial"/>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13970</wp:posOffset>
            </wp:positionV>
            <wp:extent cx="1151255" cy="289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1151255"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right="40" w:hanging="647"/>
        <w:spacing w:after="0" w:line="299" w:lineRule="auto"/>
        <w:tabs>
          <w:tab w:leader="none" w:pos="1420" w:val="left"/>
        </w:tabs>
        <w:rPr>
          <w:sz w:val="20"/>
          <w:szCs w:val="20"/>
          <w:color w:val="auto"/>
        </w:rPr>
      </w:pPr>
      <w:r>
        <w:rPr>
          <w:rFonts w:ascii="Arial" w:cs="Arial" w:eastAsia="Arial" w:hAnsi="Arial"/>
          <w:sz w:val="18"/>
          <w:szCs w:val="18"/>
          <w:b w:val="1"/>
          <w:bCs w:val="1"/>
          <w:color w:val="auto"/>
        </w:rPr>
        <w:t>6.2.6.</w:t>
        <w:tab/>
        <w:t xml:space="preserve">Pre-Clearance Still Required. </w:t>
      </w:r>
      <w:r>
        <w:rPr>
          <w:rFonts w:ascii="Arial" w:cs="Arial" w:eastAsia="Arial" w:hAnsi="Arial"/>
          <w:sz w:val="18"/>
          <w:szCs w:val="18"/>
          <w:color w:val="auto"/>
        </w:rPr>
        <w:t>Even if a transaction is exempt from this Policy, you still should assess whether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complies with applicable law. In addition, the above limited exemptions remain subject to the pre-clearance requirements of this Policy (unless the transaction is completed automatically by the Company without action by you (for example, vesting of an RSU)) or pursuant to a Company-approved Rule 10b5-1 trading plan. Therefore, if you are a Section 16 Reporting Person, you must pre-clear any of the above exempt transactions as required in Section 5.3.1. above.</w:t>
      </w:r>
    </w:p>
    <w:p>
      <w:pPr>
        <w:spacing w:after="0" w:line="193" w:lineRule="exact"/>
        <w:rPr>
          <w:sz w:val="20"/>
          <w:szCs w:val="20"/>
          <w:color w:val="auto"/>
        </w:rPr>
      </w:pPr>
    </w:p>
    <w:p>
      <w:pPr>
        <w:ind w:left="720" w:right="160" w:hanging="575"/>
        <w:spacing w:after="0" w:line="310" w:lineRule="auto"/>
        <w:tabs>
          <w:tab w:leader="none" w:pos="700" w:val="left"/>
        </w:tabs>
        <w:rPr>
          <w:sz w:val="20"/>
          <w:szCs w:val="20"/>
          <w:color w:val="auto"/>
        </w:rPr>
      </w:pPr>
      <w:r>
        <w:rPr>
          <w:rFonts w:ascii="Arial" w:cs="Arial" w:eastAsia="Arial" w:hAnsi="Arial"/>
          <w:sz w:val="18"/>
          <w:szCs w:val="18"/>
          <w:b w:val="1"/>
          <w:bCs w:val="1"/>
          <w:color w:val="auto"/>
        </w:rPr>
        <w:t>6.3.</w:t>
        <w:tab/>
        <w:t xml:space="preserve">Protected Activity Not Prohibited. </w:t>
      </w:r>
      <w:r>
        <w:rPr>
          <w:rFonts w:ascii="Arial" w:cs="Arial" w:eastAsia="Arial" w:hAnsi="Arial"/>
          <w:sz w:val="18"/>
          <w:szCs w:val="18"/>
          <w:color w:val="auto"/>
        </w:rPr>
        <w:t>Nothing in this Policy, or any related guidelines or other documents 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connection with this Policy, shall in any way limit or prohibit you from engaging in any activity protected by law or from complying with your obligations under the Company’s Code of Business Conduct and Ethics.</w:t>
      </w:r>
    </w:p>
    <w:p>
      <w:pPr>
        <w:spacing w:after="0" w:line="182" w:lineRule="exact"/>
        <w:rPr>
          <w:sz w:val="20"/>
          <w:szCs w:val="20"/>
          <w:color w:val="auto"/>
        </w:rPr>
      </w:pPr>
    </w:p>
    <w:p>
      <w:pPr>
        <w:ind w:left="720" w:hanging="575"/>
        <w:spacing w:after="0" w:line="304" w:lineRule="auto"/>
        <w:tabs>
          <w:tab w:leader="none" w:pos="700" w:val="left"/>
        </w:tabs>
        <w:rPr>
          <w:sz w:val="20"/>
          <w:szCs w:val="20"/>
          <w:color w:val="auto"/>
        </w:rPr>
      </w:pPr>
      <w:r>
        <w:rPr>
          <w:rFonts w:ascii="Arial" w:cs="Arial" w:eastAsia="Arial" w:hAnsi="Arial"/>
          <w:sz w:val="18"/>
          <w:szCs w:val="18"/>
          <w:b w:val="1"/>
          <w:bCs w:val="1"/>
          <w:color w:val="auto"/>
        </w:rPr>
        <w:t>6.4.</w:t>
        <w:tab/>
        <w:t xml:space="preserve">Reporting of Violations. </w:t>
      </w:r>
      <w:r>
        <w:rPr>
          <w:rFonts w:ascii="Arial" w:cs="Arial" w:eastAsia="Arial" w:hAnsi="Arial"/>
          <w:sz w:val="18"/>
          <w:szCs w:val="18"/>
          <w:color w:val="auto"/>
        </w:rPr>
        <w:t>If you believe someone is violating this Policy or otherwise using Material Nonpublic Information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trade Company Securities or the securities of any other company, you should report it to the Chief Legal Officer. If the Chief Legal Officer would be implicated in your report, you should instead make your report in accordance with the Company’s Code of Business Conduct and Ethics.</w:t>
      </w:r>
    </w:p>
    <w:p>
      <w:pPr>
        <w:spacing w:after="0" w:line="188" w:lineRule="exact"/>
        <w:rPr>
          <w:sz w:val="20"/>
          <w:szCs w:val="20"/>
          <w:color w:val="auto"/>
        </w:rPr>
      </w:pPr>
    </w:p>
    <w:p>
      <w:pPr>
        <w:ind w:left="720" w:right="560" w:hanging="575"/>
        <w:spacing w:after="0" w:line="329" w:lineRule="auto"/>
        <w:tabs>
          <w:tab w:leader="none" w:pos="700" w:val="left"/>
        </w:tabs>
        <w:rPr>
          <w:sz w:val="20"/>
          <w:szCs w:val="20"/>
          <w:color w:val="auto"/>
        </w:rPr>
      </w:pPr>
      <w:r>
        <w:rPr>
          <w:rFonts w:ascii="Arial" w:cs="Arial" w:eastAsia="Arial" w:hAnsi="Arial"/>
          <w:sz w:val="18"/>
          <w:szCs w:val="18"/>
          <w:b w:val="1"/>
          <w:bCs w:val="1"/>
          <w:color w:val="auto"/>
        </w:rPr>
        <w:t>6.5.</w:t>
        <w:tab/>
        <w:t xml:space="preserve">Future Changes to this Policy. </w:t>
      </w:r>
      <w:r>
        <w:rPr>
          <w:rFonts w:ascii="Arial" w:cs="Arial" w:eastAsia="Arial" w:hAnsi="Arial"/>
          <w:sz w:val="18"/>
          <w:szCs w:val="18"/>
          <w:color w:val="auto"/>
        </w:rPr>
        <w:t>The Company may amend this Policy at any time and for any reason,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Company will attempt to provide notice in advance of any change.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2F5496"/>
        </w:rPr>
        <w:t>7. References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RESOURCES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Compliance and Ethics Center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Micron Global Policy Site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Procedures and Guidelines (relating to Company Securities)</w:t>
      </w:r>
    </w:p>
    <w:p>
      <w:pPr>
        <w:sectPr>
          <w:pgSz w:w="11900" w:h="16840" w:orient="portrait"/>
          <w:cols w:equalWidth="0" w:num="1">
            <w:col w:w="10600"/>
          </w:cols>
          <w:pgMar w:left="660" w:top="557" w:right="640" w:bottom="1440" w:gutter="0" w:footer="0" w:header="0"/>
        </w:sectPr>
      </w:pPr>
    </w:p>
    <w:bookmarkStart w:id="192" w:name="page193"/>
    <w:bookmarkEnd w:id="192"/>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3480" w:type="dxa"/>
            <w:vAlign w:val="bottom"/>
            <w:gridSpan w:val="2"/>
          </w:tcPr>
          <w:p>
            <w:pPr>
              <w:ind w:left="2300"/>
              <w:spacing w:after="0"/>
              <w:rPr>
                <w:sz w:val="20"/>
                <w:szCs w:val="20"/>
                <w:color w:val="auto"/>
              </w:rPr>
            </w:pPr>
            <w:r>
              <w:rPr>
                <w:rFonts w:ascii="Arial" w:cs="Arial" w:eastAsia="Arial" w:hAnsi="Arial"/>
                <w:sz w:val="19"/>
                <w:szCs w:val="19"/>
                <w:b w:val="1"/>
                <w:bCs w:val="1"/>
                <w:color w:val="auto"/>
                <w:w w:val="98"/>
              </w:rPr>
              <w:t>EXHIBIT 21.1</w:t>
            </w:r>
          </w:p>
        </w:tc>
        <w:tc>
          <w:tcPr>
            <w:tcW w:w="0" w:type="dxa"/>
            <w:vAlign w:val="bottom"/>
          </w:tcPr>
          <w:p>
            <w:pPr>
              <w:spacing w:after="0"/>
              <w:rPr>
                <w:sz w:val="1"/>
                <w:szCs w:val="1"/>
                <w:color w:val="auto"/>
              </w:rPr>
            </w:pPr>
          </w:p>
        </w:tc>
      </w:tr>
      <w:tr>
        <w:trPr>
          <w:trHeight w:val="585"/>
        </w:trPr>
        <w:tc>
          <w:tcPr>
            <w:tcW w:w="7100" w:type="dxa"/>
            <w:vAlign w:val="bottom"/>
          </w:tcPr>
          <w:p>
            <w:pPr>
              <w:spacing w:after="0"/>
              <w:rPr>
                <w:sz w:val="20"/>
                <w:szCs w:val="20"/>
                <w:color w:val="auto"/>
              </w:rPr>
            </w:pPr>
            <w:r>
              <w:rPr>
                <w:rFonts w:ascii="Arial" w:cs="Arial" w:eastAsia="Arial" w:hAnsi="Arial"/>
                <w:sz w:val="35"/>
                <w:szCs w:val="35"/>
                <w:b w:val="1"/>
                <w:bCs w:val="1"/>
                <w:color w:val="auto"/>
              </w:rPr>
              <w:t>MICRON TECHNOLOGY, INC.</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7100" w:type="dxa"/>
            <w:vAlign w:val="bottom"/>
          </w:tcPr>
          <w:p>
            <w:pPr>
              <w:spacing w:after="0"/>
              <w:rPr>
                <w:sz w:val="20"/>
                <w:szCs w:val="20"/>
                <w:color w:val="auto"/>
              </w:rPr>
            </w:pPr>
            <w:r>
              <w:rPr>
                <w:rFonts w:ascii="Arial" w:cs="Arial" w:eastAsia="Arial" w:hAnsi="Arial"/>
                <w:sz w:val="35"/>
                <w:szCs w:val="35"/>
                <w:b w:val="1"/>
                <w:bCs w:val="1"/>
                <w:color w:val="auto"/>
              </w:rPr>
              <w:t>SUBSIDIARIES OF THE REGISTRANT*</w:t>
            </w:r>
          </w:p>
        </w:tc>
        <w:tc>
          <w:tcPr>
            <w:tcW w:w="348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State (or Jurisdiction) in which</w:t>
            </w:r>
          </w:p>
        </w:tc>
        <w:tc>
          <w:tcPr>
            <w:tcW w:w="0" w:type="dxa"/>
            <w:vAlign w:val="bottom"/>
          </w:tcPr>
          <w:p>
            <w:pPr>
              <w:spacing w:after="0"/>
              <w:rPr>
                <w:sz w:val="1"/>
                <w:szCs w:val="1"/>
                <w:color w:val="auto"/>
              </w:rPr>
            </w:pPr>
          </w:p>
        </w:tc>
      </w:tr>
      <w:tr>
        <w:trPr>
          <w:trHeight w:val="134"/>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3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100" w:type="dxa"/>
            <w:vAlign w:val="bottom"/>
            <w:vMerge w:val="continue"/>
          </w:tcPr>
          <w:p>
            <w:pPr>
              <w:spacing w:after="0"/>
              <w:rPr>
                <w:sz w:val="17"/>
                <w:szCs w:val="17"/>
                <w:color w:val="auto"/>
              </w:rPr>
            </w:pPr>
          </w:p>
        </w:tc>
        <w:tc>
          <w:tcPr>
            <w:tcW w:w="3480" w:type="dxa"/>
            <w:vAlign w:val="bottom"/>
            <w:gridSpan w:val="2"/>
          </w:tcPr>
          <w:p>
            <w:pPr>
              <w:ind w:left="1720"/>
              <w:spacing w:after="0"/>
              <w:rPr>
                <w:sz w:val="20"/>
                <w:szCs w:val="20"/>
                <w:color w:val="auto"/>
              </w:rPr>
            </w:pPr>
            <w:r>
              <w:rPr>
                <w:rFonts w:ascii="Arial" w:cs="Arial" w:eastAsia="Arial" w:hAnsi="Arial"/>
                <w:sz w:val="16"/>
                <w:szCs w:val="16"/>
                <w:b w:val="1"/>
                <w:bCs w:val="1"/>
                <w:color w:val="auto"/>
              </w:rPr>
              <w:t>Organized</w:t>
            </w:r>
          </w:p>
        </w:tc>
        <w:tc>
          <w:tcPr>
            <w:tcW w:w="0" w:type="dxa"/>
            <w:vAlign w:val="bottom"/>
          </w:tcPr>
          <w:p>
            <w:pPr>
              <w:spacing w:after="0"/>
              <w:rPr>
                <w:sz w:val="1"/>
                <w:szCs w:val="1"/>
                <w:color w:val="auto"/>
              </w:rPr>
            </w:pPr>
          </w:p>
        </w:tc>
      </w:tr>
      <w:tr>
        <w:trPr>
          <w:trHeight w:val="28"/>
        </w:trPr>
        <w:tc>
          <w:tcPr>
            <w:tcW w:w="7100" w:type="dxa"/>
            <w:vAlign w:val="bottom"/>
            <w:tcBorders>
              <w:top w:val="single" w:sz="8" w:color="auto"/>
            </w:tcBorders>
          </w:tcPr>
          <w:p>
            <w:pPr>
              <w:spacing w:after="0"/>
              <w:rPr>
                <w:sz w:val="2"/>
                <w:szCs w:val="2"/>
                <w:color w:val="auto"/>
              </w:rPr>
            </w:pPr>
          </w:p>
        </w:tc>
        <w:tc>
          <w:tcPr>
            <w:tcW w:w="34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Europe Limited</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Idaho Semiconductor Manufacturing (Triton) LLC</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Japan, Ltd.</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Memory Japan Facilities, K.K.</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Memory Japan, K.K.</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Memory Malaysia Sdn. Bhd.</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Memory Taiwan Co., Ltd.</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Taiwan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New York Semiconductor Manufacturing LLC</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Semiconductor Asia, LLC</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Semiconductor Asia Operations Pte. Ltd.</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Semiconductor Asia Pte. Ltd.</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Semiconductor International, Ltd.</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Cayman Islands, B.W.I.</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Semiconductor Products, Inc.</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Idaho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Semiconductor Technology India Private Limited</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Semiconductor (Xi’an) Co., Ltd.</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Technology B.V.</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Technology Finance LLC</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Micron Technology Operations India LLP</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04"/>
        </w:trPr>
        <w:tc>
          <w:tcPr>
            <w:tcW w:w="71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Micron Technology Taiwan, Inc.</w:t>
            </w:r>
          </w:p>
        </w:tc>
        <w:tc>
          <w:tcPr>
            <w:tcW w:w="3460" w:type="dxa"/>
            <w:vAlign w:val="bottom"/>
            <w:shd w:val="clear" w:color="auto" w:fill="D1D2D4"/>
          </w:tcPr>
          <w:p>
            <w:pPr>
              <w:ind w:left="760"/>
              <w:spacing w:after="0"/>
              <w:rPr>
                <w:sz w:val="20"/>
                <w:szCs w:val="20"/>
                <w:color w:val="auto"/>
              </w:rPr>
            </w:pPr>
            <w:r>
              <w:rPr>
                <w:rFonts w:ascii="Arial" w:cs="Arial" w:eastAsia="Arial" w:hAnsi="Arial"/>
                <w:sz w:val="16"/>
                <w:szCs w:val="16"/>
                <w:color w:val="auto"/>
              </w:rPr>
              <w:t>Taiwan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00" w:type="dxa"/>
            <w:vAlign w:val="bottom"/>
          </w:tcPr>
          <w:p>
            <w:pPr>
              <w:ind w:left="20"/>
              <w:spacing w:after="0"/>
              <w:rPr>
                <w:sz w:val="20"/>
                <w:szCs w:val="20"/>
                <w:color w:val="auto"/>
              </w:rPr>
            </w:pPr>
            <w:r>
              <w:rPr>
                <w:rFonts w:ascii="Arial" w:cs="Arial" w:eastAsia="Arial" w:hAnsi="Arial"/>
                <w:sz w:val="16"/>
                <w:szCs w:val="16"/>
                <w:color w:val="auto"/>
              </w:rPr>
              <w:t>S-Squared Insurance Company, Inc.</w:t>
            </w:r>
          </w:p>
        </w:tc>
        <w:tc>
          <w:tcPr>
            <w:tcW w:w="3480" w:type="dxa"/>
            <w:vAlign w:val="bottom"/>
            <w:gridSpan w:val="2"/>
          </w:tcPr>
          <w:p>
            <w:pPr>
              <w:ind w:left="760"/>
              <w:spacing w:after="0"/>
              <w:rPr>
                <w:sz w:val="20"/>
                <w:szCs w:val="20"/>
                <w:color w:val="auto"/>
              </w:rPr>
            </w:pPr>
            <w:r>
              <w:rPr>
                <w:rFonts w:ascii="Arial" w:cs="Arial" w:eastAsia="Arial" w:hAnsi="Arial"/>
                <w:sz w:val="16"/>
                <w:szCs w:val="16"/>
                <w:color w:val="auto"/>
              </w:rPr>
              <w:t>Hawaii</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40" w:firstLine="6"/>
        <w:spacing w:after="0" w:line="211" w:lineRule="auto"/>
        <w:tabs>
          <w:tab w:leader="none" w:pos="91" w:val="left"/>
        </w:tabs>
        <w:numPr>
          <w:ilvl w:val="0"/>
          <w:numId w:val="145"/>
        </w:numPr>
        <w:rPr>
          <w:rFonts w:ascii="Arial" w:cs="Arial" w:eastAsia="Arial" w:hAnsi="Arial"/>
          <w:sz w:val="22"/>
          <w:szCs w:val="22"/>
          <w:color w:val="auto"/>
          <w:vertAlign w:val="superscript"/>
        </w:rPr>
      </w:pPr>
      <w:r>
        <w:rPr>
          <w:rFonts w:ascii="Arial" w:cs="Arial" w:eastAsia="Arial" w:hAnsi="Arial"/>
          <w:sz w:val="16"/>
          <w:szCs w:val="16"/>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40" w:orient="portrait"/>
          <w:cols w:equalWidth="0" w:num="1">
            <w:col w:w="10580"/>
          </w:cols>
          <w:pgMar w:left="660" w:top="1440" w:right="660" w:bottom="1440" w:gutter="0" w:footer="0" w:header="0"/>
        </w:sectPr>
      </w:pPr>
    </w:p>
    <w:bookmarkStart w:id="193" w:name="page194"/>
    <w:bookmarkEnd w:id="193"/>
    <w:p>
      <w:pPr>
        <w:ind w:left="9400"/>
        <w:spacing w:after="0"/>
        <w:rPr>
          <w:sz w:val="20"/>
          <w:szCs w:val="20"/>
          <w:color w:val="auto"/>
        </w:rPr>
      </w:pPr>
      <w:r>
        <w:rPr>
          <w:rFonts w:ascii="Arial" w:cs="Arial" w:eastAsia="Arial" w:hAnsi="Arial"/>
          <w:sz w:val="19"/>
          <w:szCs w:val="19"/>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CONSENT OF INDEPENDENT REGISTERED PUBLIC ACCOUNTING FIRM</w:t>
      </w:r>
    </w:p>
    <w:p>
      <w:pPr>
        <w:spacing w:after="0" w:line="24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We hereby consent to the incorporation by reference in the Registration Statements on Form S-3 (File No. 333-275276) and Form S-8 (File Nos. 333-17073, 333-50353, 333-103341, 333-120620, 333-133667, 333-140091, 333-148357, 333-159711, 333-171717, 333-179592, 333-190010, 333-196293, 333-203467, 333-217314, 333-223874, 333-234359, 333-255794, 333-273808, 333-284385) of Micron Technology, Inc. of our report dated October 3, 2025 relating to the financial statements, financial statement schedule and the effectiveness of internal control over financial reporting, which appears in this Form 10-K.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October 3, 2025</w:t>
      </w:r>
    </w:p>
    <w:p>
      <w:pPr>
        <w:sectPr>
          <w:pgSz w:w="11900" w:h="16840" w:orient="portrait"/>
          <w:cols w:equalWidth="0" w:num="1">
            <w:col w:w="10580"/>
          </w:cols>
          <w:pgMar w:left="660" w:top="1240" w:right="660" w:bottom="1440" w:gutter="0" w:footer="0" w:header="0"/>
        </w:sectPr>
      </w:pPr>
    </w:p>
    <w:bookmarkStart w:id="194" w:name="page195"/>
    <w:bookmarkEnd w:id="194"/>
    <w:p>
      <w:pPr>
        <w:ind w:left="9400"/>
        <w:spacing w:after="0"/>
        <w:rPr>
          <w:sz w:val="20"/>
          <w:szCs w:val="20"/>
          <w:color w:val="auto"/>
        </w:rPr>
      </w:pPr>
      <w:r>
        <w:rPr>
          <w:rFonts w:ascii="Arial" w:cs="Arial" w:eastAsia="Arial" w:hAnsi="Arial"/>
          <w:sz w:val="19"/>
          <w:szCs w:val="19"/>
          <w:b w:val="1"/>
          <w:bCs w:val="1"/>
          <w:color w:val="auto"/>
        </w:rPr>
        <w:t>EXHIBIT 31.1</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I, Sanjay Mehrotra, certify that:</w:t>
      </w:r>
    </w:p>
    <w:p>
      <w:pPr>
        <w:spacing w:after="0" w:line="140" w:lineRule="exact"/>
        <w:rPr>
          <w:sz w:val="20"/>
          <w:szCs w:val="20"/>
          <w:color w:val="auto"/>
        </w:rPr>
      </w:pPr>
    </w:p>
    <w:p>
      <w:pPr>
        <w:ind w:left="280" w:hanging="274"/>
        <w:spacing w:after="0"/>
        <w:tabs>
          <w:tab w:leader="none" w:pos="2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Micron Technology, Inc.;</w:t>
      </w:r>
    </w:p>
    <w:p>
      <w:pPr>
        <w:spacing w:after="0" w:line="140" w:lineRule="exact"/>
        <w:rPr>
          <w:rFonts w:ascii="Arial" w:cs="Arial" w:eastAsia="Arial" w:hAnsi="Arial"/>
          <w:sz w:val="16"/>
          <w:szCs w:val="16"/>
          <w:color w:val="auto"/>
        </w:rPr>
      </w:pPr>
    </w:p>
    <w:p>
      <w:pPr>
        <w:jc w:val="both"/>
        <w:ind w:left="300" w:right="220" w:hanging="294"/>
        <w:spacing w:after="0" w:line="248" w:lineRule="auto"/>
        <w:tabs>
          <w:tab w:leader="none" w:pos="28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6"/>
          <w:szCs w:val="16"/>
          <w:color w:val="auto"/>
        </w:rPr>
      </w:pPr>
    </w:p>
    <w:p>
      <w:pPr>
        <w:ind w:left="300" w:right="340" w:hanging="294"/>
        <w:spacing w:after="0" w:line="262" w:lineRule="auto"/>
        <w:tabs>
          <w:tab w:leader="none" w:pos="28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jc w:val="both"/>
        <w:ind w:left="300" w:right="340" w:hanging="294"/>
        <w:spacing w:after="0" w:line="248" w:lineRule="auto"/>
        <w:tabs>
          <w:tab w:leader="none" w:pos="28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6"/>
          <w:szCs w:val="16"/>
          <w:color w:val="auto"/>
        </w:rPr>
      </w:pPr>
    </w:p>
    <w:p>
      <w:pPr>
        <w:ind w:left="580" w:right="100" w:hanging="286"/>
        <w:spacing w:after="0" w:line="248"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6"/>
          <w:szCs w:val="16"/>
          <w:color w:val="auto"/>
        </w:rPr>
      </w:pPr>
    </w:p>
    <w:p>
      <w:pPr>
        <w:ind w:left="580" w:hanging="286"/>
        <w:spacing w:after="0" w:line="248"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6"/>
          <w:szCs w:val="16"/>
          <w:color w:val="auto"/>
        </w:rPr>
      </w:pPr>
    </w:p>
    <w:p>
      <w:pPr>
        <w:jc w:val="both"/>
        <w:ind w:left="580" w:right="600" w:hanging="286"/>
        <w:spacing w:after="0" w:line="334" w:lineRule="auto"/>
        <w:tabs>
          <w:tab w:leader="none" w:pos="568" w:val="left"/>
        </w:tabs>
        <w:numPr>
          <w:ilvl w:val="1"/>
          <w:numId w:val="1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4"/>
          <w:szCs w:val="14"/>
          <w:color w:val="auto"/>
        </w:rPr>
      </w:pPr>
    </w:p>
    <w:p>
      <w:pPr>
        <w:ind w:left="580" w:right="40" w:hanging="286"/>
        <w:spacing w:after="0" w:line="248"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3" w:lineRule="exact"/>
        <w:rPr>
          <w:rFonts w:ascii="Arial" w:cs="Arial" w:eastAsia="Arial" w:hAnsi="Arial"/>
          <w:sz w:val="16"/>
          <w:szCs w:val="16"/>
          <w:color w:val="auto"/>
        </w:rPr>
      </w:pPr>
    </w:p>
    <w:p>
      <w:pPr>
        <w:ind w:left="300" w:right="100" w:hanging="294"/>
        <w:spacing w:after="0" w:line="262" w:lineRule="auto"/>
        <w:tabs>
          <w:tab w:leader="none" w:pos="28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6"/>
          <w:szCs w:val="16"/>
          <w:color w:val="auto"/>
        </w:rPr>
      </w:pPr>
    </w:p>
    <w:p>
      <w:pPr>
        <w:ind w:left="580" w:right="260" w:hanging="286"/>
        <w:spacing w:after="0" w:line="262"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6"/>
          <w:szCs w:val="16"/>
          <w:color w:val="auto"/>
        </w:rPr>
      </w:pPr>
    </w:p>
    <w:p>
      <w:pPr>
        <w:ind w:left="580" w:right="200" w:hanging="286"/>
        <w:spacing w:after="0" w:line="262" w:lineRule="auto"/>
        <w:tabs>
          <w:tab w:leader="none" w:pos="56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66" w:lineRule="exact"/>
        <w:rPr>
          <w:sz w:val="20"/>
          <w:szCs w:val="20"/>
          <w:color w:val="auto"/>
        </w:rPr>
      </w:pPr>
    </w:p>
    <w:p>
      <w:pPr>
        <w:ind w:left="460"/>
        <w:spacing w:after="0"/>
        <w:tabs>
          <w:tab w:leader="none" w:pos="1240" w:val="left"/>
          <w:tab w:leader="none" w:pos="5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 2025</w:t>
      </w:r>
      <w:r>
        <w:rPr>
          <w:sz w:val="20"/>
          <w:szCs w:val="20"/>
          <w:color w:val="auto"/>
        </w:rPr>
        <w:tab/>
      </w:r>
      <w:r>
        <w:rPr>
          <w:rFonts w:ascii="Arial" w:cs="Arial" w:eastAsia="Arial" w:hAnsi="Arial"/>
          <w:sz w:val="14"/>
          <w:szCs w:val="14"/>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12065</wp:posOffset>
            </wp:positionV>
            <wp:extent cx="310959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3109595" cy="7620"/>
                    </a:xfrm>
                    <a:prstGeom prst="rect">
                      <a:avLst/>
                    </a:prstGeom>
                    <a:noFill/>
                  </pic:spPr>
                </pic:pic>
              </a:graphicData>
            </a:graphic>
          </wp:anchor>
        </w:drawing>
      </w:r>
    </w:p>
    <w:p>
      <w:pPr>
        <w:spacing w:after="0" w:line="4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Sanjay Mehrotra</w:t>
      </w:r>
    </w:p>
    <w:p>
      <w:pPr>
        <w:ind w:left="5260"/>
        <w:spacing w:after="0"/>
        <w:rPr>
          <w:sz w:val="20"/>
          <w:szCs w:val="20"/>
          <w:color w:val="auto"/>
        </w:rPr>
      </w:pPr>
      <w:r>
        <w:rPr>
          <w:rFonts w:ascii="Arial" w:cs="Arial" w:eastAsia="Arial" w:hAnsi="Arial"/>
          <w:sz w:val="16"/>
          <w:szCs w:val="16"/>
          <w:color w:val="auto"/>
        </w:rPr>
        <w:t>Chairman, President and Chief Executive Officer</w:t>
      </w:r>
    </w:p>
    <w:p>
      <w:pPr>
        <w:sectPr>
          <w:pgSz w:w="11900" w:h="16840" w:orient="portrait"/>
          <w:cols w:equalWidth="0" w:num="1">
            <w:col w:w="10580"/>
          </w:cols>
          <w:pgMar w:left="660" w:top="1312" w:right="660" w:bottom="1440" w:gutter="0" w:footer="0" w:header="0"/>
        </w:sectPr>
      </w:pPr>
    </w:p>
    <w:bookmarkStart w:id="195" w:name="page196"/>
    <w:bookmarkEnd w:id="195"/>
    <w:p>
      <w:pPr>
        <w:ind w:left="9400"/>
        <w:spacing w:after="0"/>
        <w:rPr>
          <w:sz w:val="20"/>
          <w:szCs w:val="20"/>
          <w:color w:val="auto"/>
        </w:rPr>
      </w:pPr>
      <w:r>
        <w:rPr>
          <w:rFonts w:ascii="Arial" w:cs="Arial" w:eastAsia="Arial" w:hAnsi="Arial"/>
          <w:sz w:val="19"/>
          <w:szCs w:val="19"/>
          <w:b w:val="1"/>
          <w:bCs w:val="1"/>
          <w:color w:val="auto"/>
        </w:rPr>
        <w:t>EXHIBIT 31.2</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I, Mark Murphy, certify that:</w:t>
      </w:r>
    </w:p>
    <w:p>
      <w:pPr>
        <w:spacing w:after="0" w:line="140" w:lineRule="exact"/>
        <w:rPr>
          <w:sz w:val="20"/>
          <w:szCs w:val="20"/>
          <w:color w:val="auto"/>
        </w:rPr>
      </w:pPr>
    </w:p>
    <w:p>
      <w:pPr>
        <w:ind w:left="280" w:hanging="274"/>
        <w:spacing w:after="0"/>
        <w:tabs>
          <w:tab w:leader="none" w:pos="2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Micron Technology, Inc.;</w:t>
      </w:r>
    </w:p>
    <w:p>
      <w:pPr>
        <w:spacing w:after="0" w:line="140" w:lineRule="exact"/>
        <w:rPr>
          <w:rFonts w:ascii="Arial" w:cs="Arial" w:eastAsia="Arial" w:hAnsi="Arial"/>
          <w:sz w:val="16"/>
          <w:szCs w:val="16"/>
          <w:color w:val="auto"/>
        </w:rPr>
      </w:pPr>
    </w:p>
    <w:p>
      <w:pPr>
        <w:jc w:val="both"/>
        <w:ind w:left="300" w:right="220" w:hanging="294"/>
        <w:spacing w:after="0" w:line="248" w:lineRule="auto"/>
        <w:tabs>
          <w:tab w:leader="none" w:pos="2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6"/>
          <w:szCs w:val="16"/>
          <w:color w:val="auto"/>
        </w:rPr>
      </w:pPr>
    </w:p>
    <w:p>
      <w:pPr>
        <w:ind w:left="300" w:right="340" w:hanging="294"/>
        <w:spacing w:after="0" w:line="262" w:lineRule="auto"/>
        <w:tabs>
          <w:tab w:leader="none" w:pos="2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jc w:val="both"/>
        <w:ind w:left="300" w:right="340" w:hanging="294"/>
        <w:spacing w:after="0" w:line="248" w:lineRule="auto"/>
        <w:tabs>
          <w:tab w:leader="none" w:pos="2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6"/>
          <w:szCs w:val="16"/>
          <w:color w:val="auto"/>
        </w:rPr>
      </w:pPr>
    </w:p>
    <w:p>
      <w:pPr>
        <w:ind w:left="580" w:right="100" w:hanging="286"/>
        <w:spacing w:after="0" w:line="248" w:lineRule="auto"/>
        <w:tabs>
          <w:tab w:leader="none" w:pos="56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6"/>
          <w:szCs w:val="16"/>
          <w:color w:val="auto"/>
        </w:rPr>
      </w:pPr>
    </w:p>
    <w:p>
      <w:pPr>
        <w:ind w:left="580" w:hanging="286"/>
        <w:spacing w:after="0" w:line="248" w:lineRule="auto"/>
        <w:tabs>
          <w:tab w:leader="none" w:pos="56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6"/>
          <w:szCs w:val="16"/>
          <w:color w:val="auto"/>
        </w:rPr>
      </w:pPr>
    </w:p>
    <w:p>
      <w:pPr>
        <w:jc w:val="both"/>
        <w:ind w:left="580" w:right="600" w:hanging="286"/>
        <w:spacing w:after="0" w:line="334" w:lineRule="auto"/>
        <w:tabs>
          <w:tab w:leader="none" w:pos="568" w:val="left"/>
        </w:tabs>
        <w:numPr>
          <w:ilvl w:val="1"/>
          <w:numId w:val="1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4"/>
          <w:szCs w:val="14"/>
          <w:color w:val="auto"/>
        </w:rPr>
      </w:pPr>
    </w:p>
    <w:p>
      <w:pPr>
        <w:ind w:left="580" w:right="40" w:hanging="286"/>
        <w:spacing w:after="0" w:line="248" w:lineRule="auto"/>
        <w:tabs>
          <w:tab w:leader="none" w:pos="56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3" w:lineRule="exact"/>
        <w:rPr>
          <w:rFonts w:ascii="Arial" w:cs="Arial" w:eastAsia="Arial" w:hAnsi="Arial"/>
          <w:sz w:val="16"/>
          <w:szCs w:val="16"/>
          <w:color w:val="auto"/>
        </w:rPr>
      </w:pPr>
    </w:p>
    <w:p>
      <w:pPr>
        <w:ind w:left="300" w:right="100" w:hanging="294"/>
        <w:spacing w:after="0" w:line="262" w:lineRule="auto"/>
        <w:tabs>
          <w:tab w:leader="none" w:pos="2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Arial" w:cs="Arial" w:eastAsia="Arial" w:hAnsi="Arial"/>
          <w:sz w:val="16"/>
          <w:szCs w:val="16"/>
          <w:color w:val="auto"/>
        </w:rPr>
      </w:pPr>
    </w:p>
    <w:p>
      <w:pPr>
        <w:ind w:left="580" w:right="260" w:hanging="286"/>
        <w:spacing w:after="0" w:line="262" w:lineRule="auto"/>
        <w:tabs>
          <w:tab w:leader="none" w:pos="56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6"/>
          <w:szCs w:val="16"/>
          <w:color w:val="auto"/>
        </w:rPr>
      </w:pPr>
    </w:p>
    <w:p>
      <w:pPr>
        <w:ind w:left="580" w:right="200" w:hanging="286"/>
        <w:spacing w:after="0" w:line="262" w:lineRule="auto"/>
        <w:tabs>
          <w:tab w:leader="none" w:pos="56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ind w:left="40"/>
        <w:spacing w:after="0"/>
        <w:tabs>
          <w:tab w:leader="none" w:pos="740" w:val="left"/>
          <w:tab w:leader="none" w:pos="53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 2025</w:t>
      </w:r>
      <w:r>
        <w:rPr>
          <w:sz w:val="20"/>
          <w:szCs w:val="20"/>
          <w:color w:val="auto"/>
        </w:rPr>
        <w:tab/>
      </w:r>
      <w:r>
        <w:rPr>
          <w:rFonts w:ascii="Arial" w:cs="Arial" w:eastAsia="Arial" w:hAnsi="Arial"/>
          <w:sz w:val="14"/>
          <w:szCs w:val="14"/>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12065</wp:posOffset>
            </wp:positionV>
            <wp:extent cx="33229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3322955" cy="7620"/>
                    </a:xfrm>
                    <a:prstGeom prst="rect">
                      <a:avLst/>
                    </a:prstGeom>
                    <a:noFill/>
                  </pic:spPr>
                </pic:pic>
              </a:graphicData>
            </a:graphic>
          </wp:anchor>
        </w:drawing>
      </w:r>
    </w:p>
    <w:p>
      <w:pPr>
        <w:spacing w:after="0" w:line="60"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Mark Murphy</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40" w:orient="portrait"/>
          <w:cols w:equalWidth="0" w:num="1">
            <w:col w:w="10580"/>
          </w:cols>
          <w:pgMar w:left="660" w:top="1312" w:right="660" w:bottom="1440" w:gutter="0" w:footer="0" w:header="0"/>
        </w:sectPr>
      </w:pPr>
    </w:p>
    <w:bookmarkStart w:id="196" w:name="page197"/>
    <w:bookmarkEnd w:id="196"/>
    <w:p>
      <w:pPr>
        <w:jc w:val="right"/>
        <w:spacing w:after="0"/>
        <w:rPr>
          <w:sz w:val="20"/>
          <w:szCs w:val="20"/>
          <w:color w:val="auto"/>
        </w:rPr>
      </w:pPr>
      <w:r>
        <w:rPr>
          <w:rFonts w:ascii="Arial" w:cs="Arial" w:eastAsia="Arial" w:hAnsi="Arial"/>
          <w:sz w:val="19"/>
          <w:szCs w:val="19"/>
          <w:b w:val="1"/>
          <w:bCs w:val="1"/>
          <w:color w:val="auto"/>
        </w:rPr>
        <w:t>EXHIBIT 32.1</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PURSUANT TO 18 U.S.C. 1350</w:t>
      </w:r>
    </w:p>
    <w:p>
      <w:pPr>
        <w:spacing w:after="0" w:line="136"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 Sanjay Mehrotra, certify, pursuant to 18 U.S.C. 1350, as adopted pursuant to Section 906 of the Sarbanes-Oxley Act of 2002, that the Annual Report of Micron Technology, Inc. on Form 10-K for the period ended August 28, 2025,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52" w:lineRule="exact"/>
        <w:rPr>
          <w:sz w:val="20"/>
          <w:szCs w:val="20"/>
          <w:color w:val="auto"/>
        </w:rPr>
      </w:pPr>
    </w:p>
    <w:p>
      <w:pPr>
        <w:ind w:left="20"/>
        <w:spacing w:after="0"/>
        <w:tabs>
          <w:tab w:leader="none" w:pos="720" w:val="left"/>
          <w:tab w:leader="none" w:pos="5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 2025</w:t>
      </w:r>
      <w:r>
        <w:rPr>
          <w:sz w:val="20"/>
          <w:szCs w:val="20"/>
          <w:color w:val="auto"/>
        </w:rPr>
        <w:tab/>
      </w:r>
      <w:r>
        <w:rPr>
          <w:rFonts w:ascii="Arial" w:cs="Arial" w:eastAsia="Arial" w:hAnsi="Arial"/>
          <w:sz w:val="14"/>
          <w:szCs w:val="14"/>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12065</wp:posOffset>
            </wp:positionV>
            <wp:extent cx="333057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3330575" cy="7620"/>
                    </a:xfrm>
                    <a:prstGeom prst="rect">
                      <a:avLst/>
                    </a:prstGeom>
                    <a:noFill/>
                  </pic:spPr>
                </pic:pic>
              </a:graphicData>
            </a:graphic>
          </wp:anchor>
        </w:drawing>
      </w:r>
    </w:p>
    <w:p>
      <w:pPr>
        <w:spacing w:after="0" w:line="6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Sanjay Mehrotra</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Chairman, President and Chief Executive Officer</w:t>
      </w:r>
    </w:p>
    <w:p>
      <w:pPr>
        <w:sectPr>
          <w:pgSz w:w="11900" w:h="16840" w:orient="portrait"/>
          <w:cols w:equalWidth="0" w:num="1">
            <w:col w:w="10580"/>
          </w:cols>
          <w:pgMar w:left="660" w:top="1312" w:right="660" w:bottom="1440" w:gutter="0" w:footer="0" w:header="0"/>
        </w:sectPr>
      </w:pPr>
    </w:p>
    <w:bookmarkStart w:id="197" w:name="page198"/>
    <w:bookmarkEnd w:id="197"/>
    <w:p>
      <w:pPr>
        <w:jc w:val="right"/>
        <w:spacing w:after="0"/>
        <w:rPr>
          <w:sz w:val="20"/>
          <w:szCs w:val="20"/>
          <w:color w:val="auto"/>
        </w:rPr>
      </w:pPr>
      <w:r>
        <w:rPr>
          <w:rFonts w:ascii="Arial" w:cs="Arial" w:eastAsia="Arial" w:hAnsi="Arial"/>
          <w:sz w:val="19"/>
          <w:szCs w:val="19"/>
          <w:b w:val="1"/>
          <w:bCs w:val="1"/>
          <w:color w:val="auto"/>
        </w:rPr>
        <w:t>EXHIBIT 32.2</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PURSUANT TO 18 U.S.C. 1350</w:t>
      </w:r>
    </w:p>
    <w:p>
      <w:pPr>
        <w:spacing w:after="0" w:line="136"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I, Mark Murphy, certify, pursuant to 18 U.S.C. 1350, as adopted pursuant to Section 906 of the Sarbanes-Oxley Act of 2002, that the Annual Report of Micron Technology, Inc. on Form 10-K for the period ended August 28, 2025,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52" w:lineRule="exact"/>
        <w:rPr>
          <w:sz w:val="20"/>
          <w:szCs w:val="20"/>
          <w:color w:val="auto"/>
        </w:rPr>
      </w:pPr>
    </w:p>
    <w:p>
      <w:pPr>
        <w:ind w:left="20"/>
        <w:spacing w:after="0"/>
        <w:tabs>
          <w:tab w:leader="none" w:pos="720" w:val="left"/>
          <w:tab w:leader="none" w:pos="53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3, 2025</w:t>
      </w:r>
      <w:r>
        <w:rPr>
          <w:sz w:val="20"/>
          <w:szCs w:val="20"/>
          <w:color w:val="auto"/>
        </w:rPr>
        <w:tab/>
      </w:r>
      <w:r>
        <w:rPr>
          <w:rFonts w:ascii="Arial" w:cs="Arial" w:eastAsia="Arial" w:hAnsi="Arial"/>
          <w:sz w:val="14"/>
          <w:szCs w:val="14"/>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12065</wp:posOffset>
            </wp:positionV>
            <wp:extent cx="332295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3322955" cy="7620"/>
                    </a:xfrm>
                    <a:prstGeom prst="rect">
                      <a:avLst/>
                    </a:prstGeom>
                    <a:noFill/>
                  </pic:spPr>
                </pic:pic>
              </a:graphicData>
            </a:graphic>
          </wp:anchor>
        </w:drawing>
      </w:r>
    </w:p>
    <w:p>
      <w:pPr>
        <w:spacing w:after="0" w:line="60"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Mark Murphy</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40" w:orient="portrait"/>
          <w:cols w:equalWidth="0" w:num="1">
            <w:col w:w="10580"/>
          </w:cols>
          <w:pgMar w:left="660" w:top="1312" w:right="660" w:bottom="1440" w:gutter="0" w:footer="0" w:header="0"/>
        </w:sectPr>
      </w:pPr>
    </w:p>
    <w:bookmarkStart w:id="198" w:name="page199"/>
    <w:bookmarkEnd w:id="19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1)"/>
      <w:numFmt w:val="decimal"/>
      <w:start w:val="1"/>
    </w:lvl>
  </w:abstractNum>
  <w:abstractNum w:abstractNumId="31">
    <w:nsid w:val="74DE0EE3"/>
    <w:multiLevelType w:val="hybridMultilevel"/>
    <w:lvl w:ilvl="0">
      <w:lvlJc w:val="left"/>
      <w:lvlText w:val="(%1)"/>
      <w:numFmt w:val="decimal"/>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1)"/>
      <w:numFmt w:val="lowerLetter"/>
      <w:start w:val="1"/>
    </w:lvl>
  </w:abstractNum>
  <w:abstractNum w:abstractNumId="35">
    <w:nsid w:val="4A2AC315"/>
    <w:multiLevelType w:val="hybridMultilevel"/>
    <w:lvl w:ilvl="0">
      <w:lvlJc w:val="left"/>
      <w:lvlText w:val="3"/>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1)"/>
      <w:numFmt w:val="lowerRoman"/>
      <w:start w:val="1"/>
    </w:lvl>
  </w:abstractNum>
  <w:abstractNum w:abstractNumId="38">
    <w:nsid w:val="CC1016F"/>
    <w:multiLevelType w:val="hybridMultilevel"/>
    <w:lvl w:ilvl="0">
      <w:lvlJc w:val="left"/>
      <w:lvlText w:val="(%1)"/>
      <w:numFmt w:val="lowerLetter"/>
      <w:start w:val="3"/>
    </w:lvl>
  </w:abstractNum>
  <w:abstractNum w:abstractNumId="39">
    <w:nsid w:val="43F18422"/>
    <w:multiLevelType w:val="hybridMultilevel"/>
    <w:lvl w:ilvl="0">
      <w:lvlJc w:val="left"/>
      <w:lvlText w:val="(%1)"/>
      <w:numFmt w:val="lowerLetter"/>
      <w:start w:val="13"/>
    </w:lvl>
  </w:abstractNum>
  <w:abstractNum w:abstractNumId="40">
    <w:nsid w:val="60EF0119"/>
    <w:multiLevelType w:val="hybridMultilevel"/>
    <w:lvl w:ilvl="0">
      <w:lvlJc w:val="left"/>
      <w:lvlText w:val="\ldblquote"/>
      <w:numFmt w:val="bullet"/>
      <w:start w:val="1"/>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2"/>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Letter"/>
      <w:start w:val="1"/>
    </w:lvl>
    <w:lvl w:ilvl="1">
      <w:lvlJc w:val="left"/>
      <w:lvlText w:val="(%2)"/>
      <w:numFmt w:val="lowerLetter"/>
      <w:start w:val="1"/>
    </w:lvl>
  </w:abstractNum>
  <w:abstractNum w:abstractNumId="48">
    <w:nsid w:val="5FB8011C"/>
    <w:multiLevelType w:val="hybridMultilevel"/>
    <w:lvl w:ilvl="0">
      <w:lvlJc w:val="left"/>
      <w:lvlText w:val="(%1)"/>
      <w:numFmt w:val="lowerLetter"/>
      <w:start w:val="35"/>
    </w:lvl>
    <w:lvl w:ilvl="1">
      <w:lvlJc w:val="left"/>
      <w:lvlText w:val="(%2)"/>
      <w:numFmt w:val="lowerLetter"/>
      <w:start w:val="3"/>
    </w:lvl>
  </w:abstractNum>
  <w:abstractNum w:abstractNumId="49">
    <w:nsid w:val="6AA78F7F"/>
    <w:multiLevelType w:val="hybridMultilevel"/>
    <w:lvl w:ilvl="0">
      <w:lvlJc w:val="left"/>
      <w:lvlText w:val="(%1)"/>
      <w:numFmt w:val="decimal"/>
      <w:start w:val="45"/>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Roman"/>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1"/>
    </w:lvl>
  </w:abstractNum>
  <w:abstractNum w:abstractNumId="54">
    <w:nsid w:val="5F3534A4"/>
    <w:multiLevelType w:val="hybridMultilevel"/>
    <w:lvl w:ilvl="0">
      <w:lvlJc w:val="left"/>
      <w:lvlText w:val="(%1)"/>
      <w:numFmt w:val="lowerLetter"/>
      <w:start w:val="1"/>
    </w:lvl>
    <w:lvl w:ilvl="1">
      <w:lvlJc w:val="left"/>
      <w:lvlText w:val="(%2)"/>
      <w:numFmt w:val="lowerRoman"/>
      <w:start w:val="1"/>
    </w:lvl>
  </w:abstractNum>
  <w:abstractNum w:abstractNumId="55">
    <w:nsid w:val="73A1821B"/>
    <w:multiLevelType w:val="hybridMultilevel"/>
    <w:lvl w:ilvl="0">
      <w:lvlJc w:val="left"/>
      <w:lvlText w:val="(%1)"/>
      <w:numFmt w:val="lowerLetter"/>
      <w:start w:val="1"/>
    </w:lvl>
    <w:lvl w:ilvl="1">
      <w:lvlJc w:val="left"/>
      <w:lvlText w:val="(%2)"/>
      <w:numFmt w:val="lowerRoman"/>
      <w:start w:val="1"/>
    </w:lvl>
  </w:abstractNum>
  <w:abstractNum w:abstractNumId="56">
    <w:nsid w:val="7DE67713"/>
    <w:multiLevelType w:val="hybridMultilevel"/>
    <w:lvl w:ilvl="0">
      <w:lvlJc w:val="left"/>
      <w:lvlText w:val="(%1)"/>
      <w:numFmt w:val="lowerLetter"/>
      <w:start w:val="1"/>
    </w:lvl>
    <w:lvl w:ilvl="1">
      <w:lvlJc w:val="left"/>
      <w:lvlText w:val="(%2)"/>
      <w:numFmt w:val="lowerRoman"/>
      <w:start w:val="1"/>
    </w:lvl>
  </w:abstractNum>
  <w:abstractNum w:abstractNumId="57">
    <w:nsid w:val="555C55B5"/>
    <w:multiLevelType w:val="hybridMultilevel"/>
    <w:lvl w:ilvl="0">
      <w:lvlJc w:val="left"/>
      <w:lvlText w:val="(%1)"/>
      <w:numFmt w:val="lowerLetter"/>
      <w:start w:val="1"/>
    </w:lvl>
    <w:lvl w:ilvl="1">
      <w:lvlJc w:val="left"/>
      <w:lvlText w:val="(%2)"/>
      <w:numFmt w:val="lowerRoman"/>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lowerLetter"/>
      <w:start w:val="2"/>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1"/>
    </w:lvl>
    <w:lvl w:ilvl="1">
      <w:lvlJc w:val="left"/>
      <w:lvlText w:val="(%2)"/>
      <w:numFmt w:val="lowerRoman"/>
      <w:start w:val="1"/>
    </w:lvl>
  </w:abstractNum>
  <w:abstractNum w:abstractNumId="62">
    <w:nsid w:val="9DAF632"/>
    <w:multiLevelType w:val="hybridMultilevel"/>
    <w:lvl w:ilvl="0">
      <w:lvlJc w:val="left"/>
      <w:lvlText w:val="(%1)"/>
      <w:numFmt w:val="lowerLetter"/>
      <w:start w:val="2"/>
    </w:lvl>
  </w:abstractNum>
  <w:abstractNum w:abstractNumId="63">
    <w:nsid w:val="53299938"/>
    <w:multiLevelType w:val="hybridMultilevel"/>
    <w:lvl w:ilvl="0">
      <w:lvlJc w:val="left"/>
      <w:lvlText w:val="(%1)"/>
      <w:numFmt w:val="lowerLetter"/>
      <w:start w:val="1"/>
    </w:lvl>
    <w:lvl w:ilvl="1">
      <w:lvlJc w:val="left"/>
      <w:lvlText w:val="(%2)"/>
      <w:numFmt w:val="lowerRoman"/>
      <w:start w:val="1"/>
    </w:lvl>
  </w:abstractNum>
  <w:abstractNum w:abstractNumId="64">
    <w:nsid w:val="1FBFE8E0"/>
    <w:multiLevelType w:val="hybridMultilevel"/>
    <w:lvl w:ilvl="0">
      <w:lvlJc w:val="left"/>
      <w:lvlText w:val="(%1)"/>
      <w:numFmt w:val="lowerLetter"/>
      <w:start w:val="1"/>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Roman"/>
      <w:start w:val="1"/>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2"/>
    </w:lvl>
  </w:abstractNum>
  <w:abstractNum w:abstractNumId="69">
    <w:nsid w:val="2A155DBC"/>
    <w:multiLevelType w:val="hybridMultilevel"/>
    <w:lvl w:ilvl="0">
      <w:lvlJc w:val="left"/>
      <w:lvlText w:val="(%1)"/>
      <w:numFmt w:val="lowerLetter"/>
      <w:start w:val="1"/>
    </w:lvl>
  </w:abstractNum>
  <w:abstractNum w:abstractNumId="70">
    <w:nsid w:val="1D9F6E5F"/>
    <w:multiLevelType w:val="hybridMultilevel"/>
    <w:lvl w:ilvl="0">
      <w:lvlJc w:val="left"/>
      <w:lvlText w:val="(%1)"/>
      <w:numFmt w:val="lowerLetter"/>
      <w:start w:val="1"/>
    </w:lvl>
  </w:abstractNum>
  <w:abstractNum w:abstractNumId="71">
    <w:nsid w:val="97E1B4E"/>
    <w:multiLevelType w:val="hybridMultilevel"/>
    <w:lvl w:ilvl="0">
      <w:lvlJc w:val="left"/>
      <w:lvlText w:val="(%1)"/>
      <w:numFmt w:val="lowerLetter"/>
      <w:start w:val="1"/>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4"/>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2"/>
    </w:lvl>
  </w:abstractNum>
  <w:abstractNum w:abstractNumId="76">
    <w:nsid w:val="7C58FD05"/>
    <w:multiLevelType w:val="hybridMultilevel"/>
    <w:lvl w:ilvl="0">
      <w:lvlJc w:val="left"/>
      <w:lvlText w:val="(%1)"/>
      <w:numFmt w:val="decimal"/>
      <w:start w:val="45"/>
    </w:lvl>
  </w:abstractNum>
  <w:abstractNum w:abstractNumId="77">
    <w:nsid w:val="23D86AAC"/>
    <w:multiLevelType w:val="hybridMultilevel"/>
    <w:lvl w:ilvl="0">
      <w:lvlJc w:val="left"/>
      <w:lvlText w:val="(%1)"/>
      <w:numFmt w:val="lowerLetter"/>
      <w:start w:val="1"/>
    </w:lvl>
  </w:abstractNum>
  <w:abstractNum w:abstractNumId="78">
    <w:nsid w:val="45E6D486"/>
    <w:multiLevelType w:val="hybridMultilevel"/>
    <w:lvl w:ilvl="0">
      <w:lvlJc w:val="left"/>
      <w:lvlText w:val="(%1)"/>
      <w:numFmt w:val="lowerLetter"/>
      <w:start w:val="4"/>
    </w:lvl>
  </w:abstractNum>
  <w:abstractNum w:abstractNumId="79">
    <w:nsid w:val="5C10FE21"/>
    <w:multiLevelType w:val="hybridMultilevel"/>
    <w:lvl w:ilvl="0">
      <w:lvlJc w:val="left"/>
      <w:lvlText w:val="(%1)"/>
      <w:numFmt w:val="lowerRoman"/>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1"/>
    </w:lvl>
    <w:lvl w:ilvl="1">
      <w:lvlJc w:val="left"/>
      <w:lvlText w:val="(%2)"/>
      <w:numFmt w:val="lowerLetter"/>
      <w:start w:val="9"/>
    </w:lvl>
  </w:abstractNum>
  <w:abstractNum w:abstractNumId="83">
    <w:nsid w:val="78DF6A55"/>
    <w:multiLevelType w:val="hybridMultilevel"/>
    <w:lvl w:ilvl="0">
      <w:lvlJc w:val="left"/>
      <w:lvlText w:val="(%1)"/>
      <w:numFmt w:val="lowerRoman"/>
      <w:start w:val="2"/>
    </w:lvl>
  </w:abstractNum>
  <w:abstractNum w:abstractNumId="84">
    <w:nsid w:val="39B7AAA2"/>
    <w:multiLevelType w:val="hybridMultilevel"/>
    <w:lvl w:ilvl="0">
      <w:lvlJc w:val="left"/>
      <w:lvlText w:val="(%1)"/>
      <w:numFmt w:val="lowerLetter"/>
      <w:start w:val="1"/>
    </w:lvl>
    <w:lvl w:ilvl="1">
      <w:lvlJc w:val="left"/>
      <w:lvlText w:val="(%2)"/>
      <w:numFmt w:val="lowerRoman"/>
      <w:start w:val="1"/>
    </w:lvl>
  </w:abstractNum>
  <w:abstractNum w:abstractNumId="85">
    <w:nsid w:val="2B0D8DBE"/>
    <w:multiLevelType w:val="hybridMultilevel"/>
    <w:lvl w:ilvl="0">
      <w:lvlJc w:val="left"/>
      <w:lvlText w:val="%1"/>
      <w:numFmt w:val="lowerLetter"/>
      <w:start w:val="1"/>
    </w:lvl>
    <w:lvl w:ilvl="1">
      <w:lvlJc w:val="left"/>
      <w:lvlText w:val="(%2)"/>
      <w:numFmt w:val="lowerLetter"/>
      <w:start w:val="61"/>
    </w:lvl>
  </w:abstractNum>
  <w:abstractNum w:abstractNumId="86">
    <w:nsid w:val="6C80EC70"/>
    <w:multiLevelType w:val="hybridMultilevel"/>
    <w:lvl w:ilvl="0">
      <w:lvlJc w:val="left"/>
      <w:lvlText w:val="(%1)"/>
      <w:numFmt w:val="lowerLetter"/>
      <w:start w:val="3"/>
    </w:lvl>
    <w:lvl w:ilvl="1">
      <w:lvlJc w:val="left"/>
      <w:lvlText w:val="(%2)"/>
      <w:numFmt w:val="lowerLetter"/>
      <w:start w:val="9"/>
    </w:lvl>
  </w:abstractNum>
  <w:abstractNum w:abstractNumId="87">
    <w:nsid w:val="379E21B5"/>
    <w:multiLevelType w:val="hybridMultilevel"/>
    <w:lvl w:ilvl="0">
      <w:lvlJc w:val="left"/>
      <w:lvlText w:val="(%1)"/>
      <w:numFmt w:val="lowerRoman"/>
      <w:start w:val="2"/>
    </w:lvl>
  </w:abstractNum>
  <w:abstractNum w:abstractNumId="88">
    <w:nsid w:val="69E373"/>
    <w:multiLevelType w:val="hybridMultilevel"/>
    <w:lvl w:ilvl="0">
      <w:lvlJc w:val="left"/>
      <w:lvlText w:val="(%1)"/>
      <w:numFmt w:val="lowerLetter"/>
      <w:start w:val="1"/>
    </w:lvl>
    <w:lvl w:ilvl="1">
      <w:lvlJc w:val="left"/>
      <w:lvlText w:val="(%2)"/>
      <w:numFmt w:val="lowerRoman"/>
      <w:start w:val="1"/>
    </w:lvl>
  </w:abstractNum>
  <w:abstractNum w:abstractNumId="89">
    <w:nsid w:val="2C27173B"/>
    <w:multiLevelType w:val="hybridMultilevel"/>
    <w:lvl w:ilvl="0">
      <w:lvlJc w:val="left"/>
      <w:lvlText w:val="(%1)"/>
      <w:numFmt w:val="lowerLetter"/>
      <w:start w:val="1"/>
    </w:lvl>
  </w:abstractNum>
  <w:abstractNum w:abstractNumId="90">
    <w:nsid w:val="4C9B0904"/>
    <w:multiLevelType w:val="hybridMultilevel"/>
    <w:lvl w:ilvl="0">
      <w:lvlJc w:val="left"/>
      <w:lvlText w:val="%1"/>
      <w:numFmt w:val="lowerLetter"/>
      <w:start w:val="1"/>
    </w:lvl>
    <w:lvl w:ilvl="1">
      <w:lvlJc w:val="left"/>
      <w:lvlText w:val="(%2)"/>
      <w:numFmt w:val="lowerRoman"/>
      <w:start w:val="1"/>
    </w:lvl>
  </w:abstractNum>
  <w:abstractNum w:abstractNumId="91">
    <w:nsid w:val="6AA7B75C"/>
    <w:multiLevelType w:val="hybridMultilevel"/>
    <w:lvl w:ilvl="0">
      <w:lvlJc w:val="left"/>
      <w:lvlText w:val="(%1)"/>
      <w:numFmt w:val="lowerLetter"/>
      <w:start w:val="2"/>
    </w:lvl>
    <w:lvl w:ilvl="1">
      <w:lvlJc w:val="left"/>
      <w:lvlText w:val="%2"/>
      <w:numFmt w:val="lowerRoman"/>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lowerRoman"/>
      <w:start w:val="1"/>
    </w:lvl>
  </w:abstractNum>
  <w:abstractNum w:abstractNumId="96">
    <w:nsid w:val="2708C9AF"/>
    <w:multiLevelType w:val="hybridMultilevel"/>
    <w:lvl w:ilvl="0">
      <w:lvlJc w:val="left"/>
      <w:lvlText w:val="(%1)"/>
      <w:numFmt w:val="lowerLetter"/>
      <w:start w:val="2"/>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1)"/>
      <w:numFmt w:val="lowerLetter"/>
      <w:start w:val="2"/>
    </w:lvl>
    <w:lvl w:ilvl="1">
      <w:lvlJc w:val="left"/>
      <w:lvlText w:val="(%2)"/>
      <w:numFmt w:val="lowerRoman"/>
      <w:start w:val="1"/>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1"/>
    </w:lvl>
    <w:lvl w:ilvl="1">
      <w:lvlJc w:val="left"/>
      <w:lvlText w:val="(%2)"/>
      <w:numFmt w:val="lowerRoman"/>
      <w:start w:val="1"/>
    </w:lvl>
  </w:abstractNum>
  <w:abstractNum w:abstractNumId="102">
    <w:nsid w:val="5915FF32"/>
    <w:multiLevelType w:val="hybridMultilevel"/>
    <w:lvl w:ilvl="0">
      <w:lvlJc w:val="left"/>
      <w:lvlText w:val="(%1)"/>
      <w:numFmt w:val="lowerLetter"/>
      <w:start w:val="4"/>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2"/>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Roman"/>
      <w:start w:val="1"/>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1"/>
    </w:lvl>
    <w:lvl w:ilvl="1">
      <w:lvlJc w:val="left"/>
      <w:lvlText w:val="(%2)"/>
      <w:numFmt w:val="lowerRoman"/>
      <w:start w:val="1"/>
    </w:lvl>
  </w:abstractNum>
  <w:abstractNum w:abstractNumId="114">
    <w:nsid w:val="57A61A29"/>
    <w:multiLevelType w:val="hybridMultilevel"/>
    <w:lvl w:ilvl="0">
      <w:lvlJc w:val="left"/>
      <w:lvlText w:val="(%1)"/>
      <w:numFmt w:val="lowerLetter"/>
      <w:start w:val="1"/>
    </w:lvl>
    <w:lvl w:ilvl="1">
      <w:lvlJc w:val="left"/>
      <w:lvlText w:val="(%2)"/>
      <w:numFmt w:val="lowerLetter"/>
      <w:start w:val="9"/>
    </w:lvl>
  </w:abstractNum>
  <w:abstractNum w:abstractNumId="115">
    <w:nsid w:val="5399C654"/>
    <w:multiLevelType w:val="hybridMultilevel"/>
    <w:lvl w:ilvl="0">
      <w:lvlJc w:val="left"/>
      <w:lvlText w:val="(%1)"/>
      <w:numFmt w:val="lowerRoman"/>
      <w:start w:val="2"/>
    </w:lvl>
  </w:abstractNum>
  <w:abstractNum w:abstractNumId="116">
    <w:nsid w:val="20EE1348"/>
    <w:multiLevelType w:val="hybridMultilevel"/>
    <w:lvl w:ilvl="0">
      <w:lvlJc w:val="left"/>
      <w:lvlText w:val="%1"/>
      <w:numFmt w:val="lowerLetter"/>
      <w:start w:val="1"/>
    </w:lvl>
    <w:lvl w:ilvl="1">
      <w:lvlJc w:val="left"/>
      <w:lvlText w:val="(%2)"/>
      <w:numFmt w:val="lowerLetter"/>
      <w:start w:val="1"/>
    </w:lvl>
  </w:abstractNum>
  <w:abstractNum w:abstractNumId="117">
    <w:nsid w:val="4427069A"/>
    <w:multiLevelType w:val="hybridMultilevel"/>
    <w:lvl w:ilvl="0">
      <w:lvlJc w:val="left"/>
      <w:lvlText w:val="(%1)"/>
      <w:numFmt w:val="lowerLetter"/>
      <w:start w:val="61"/>
    </w:lvl>
    <w:lvl w:ilvl="1">
      <w:lvlJc w:val="left"/>
      <w:lvlText w:val="%2"/>
      <w:numFmt w:val="lowerLetter"/>
      <w:start w:val="1"/>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2"/>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lowerLetter"/>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lowerLetter"/>
      <w:start w:val="1"/>
    </w:lvl>
    <w:lvl w:ilvl="1">
      <w:lvlJc w:val="left"/>
      <w:lvlText w:val="(%2)"/>
      <w:numFmt w:val="lowerRoman"/>
      <w:start w:val="1"/>
    </w:lvl>
  </w:abstractNum>
  <w:abstractNum w:abstractNumId="125">
    <w:nsid w:val="49D0FE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6">
    <w:nsid w:val="4BEE5A5B"/>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2"/>
    </w:lvl>
  </w:abstractNum>
  <w:abstractNum w:abstractNumId="127">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24F6AB8E"/>
    <w:multiLevelType w:val="hybridMultilevel"/>
    <w:lvl w:ilvl="0">
      <w:lvlJc w:val="left"/>
      <w:lvlText w:val="(%1)"/>
      <w:numFmt w:val="lowerRoman"/>
      <w:start w:val="3"/>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upperLetter"/>
      <w:start w:val="1"/>
    </w:lvl>
    <w:lvl w:ilvl="1">
      <w:lvlJc w:val="left"/>
      <w:lvlText w:val="(%2)"/>
      <w:numFmt w:val="lowerRoman"/>
      <w:start w:val="1"/>
    </w:lvl>
  </w:abstractNum>
  <w:abstractNum w:abstractNumId="132">
    <w:nsid w:val="1849C29B"/>
    <w:multiLevelType w:val="hybridMultilevel"/>
    <w:lvl w:ilvl="0">
      <w:lvlJc w:val="left"/>
      <w:lvlText w:val="(%1)"/>
      <w:numFmt w:val="upperLetter"/>
      <w:start w:val="3"/>
    </w:lvl>
    <w:lvl w:ilvl="1">
      <w:lvlJc w:val="left"/>
      <w:lvlText w:val="(%2)"/>
      <w:numFmt w:val="lowerRoman"/>
      <w:start w:val="2"/>
    </w:lvl>
  </w:abstractNum>
  <w:abstractNum w:abstractNumId="133">
    <w:nsid w:val="7DFF9D09"/>
    <w:multiLevelType w:val="hybridMultilevel"/>
    <w:lvl w:ilvl="0">
      <w:lvlJc w:val="left"/>
      <w:lvlText w:val="(%1)"/>
      <w:numFmt w:val="lowerLetter"/>
      <w:start w:val="2"/>
    </w:lvl>
  </w:abstractNum>
  <w:abstractNum w:abstractNumId="134">
    <w:nsid w:val="754342"/>
    <w:multiLevelType w:val="hybridMultilevel"/>
    <w:lvl w:ilvl="0">
      <w:lvlJc w:val="left"/>
      <w:lvlText w:val="(%1)"/>
      <w:numFmt w:val="lowerLetter"/>
      <w:start w:val="1"/>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1)"/>
      <w:numFmt w:val="lowerLetter"/>
      <w:start w:val="1"/>
    </w:lvl>
  </w:abstractNum>
  <w:abstractNum w:abstractNumId="137">
    <w:nsid w:val="1816F8C4"/>
    <w:multiLevelType w:val="hybridMultilevel"/>
    <w:lvl w:ilvl="0">
      <w:lvlJc w:val="left"/>
      <w:lvlText w:val="(%1)"/>
      <w:numFmt w:val="lowerLetter"/>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lowerRoman"/>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1."/>
      <w:numFmt w:val="decimal"/>
      <w:start w:val="1"/>
    </w:lvl>
    <w:lvl w:ilvl="1">
      <w:lvlJc w:val="left"/>
      <w:lvlText w:val="%2."/>
      <w:numFmt w:val="lowerLetter"/>
      <w:start w:val="1"/>
    </w:lvl>
  </w:abstractNum>
  <w:abstractNum w:abstractNumId="146">
    <w:nsid w:val="631B64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jpeg"/><Relationship Id="rId225" Type="http://schemas.openxmlformats.org/officeDocument/2006/relationships/image" Target="media/image179.png"/><Relationship Id="rId232" Type="http://schemas.openxmlformats.org/officeDocument/2006/relationships/image" Target="media/image180.jpe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jpe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jpeg"/><Relationship Id="rId243" Type="http://schemas.openxmlformats.org/officeDocument/2006/relationships/image" Target="media/image191.png"/><Relationship Id="rId244" Type="http://schemas.openxmlformats.org/officeDocument/2006/relationships/image" Target="media/image192.jpeg"/><Relationship Id="rId245" Type="http://schemas.openxmlformats.org/officeDocument/2006/relationships/image" Target="media/image193.jpeg"/><Relationship Id="rId246" Type="http://schemas.openxmlformats.org/officeDocument/2006/relationships/image" Target="media/image194.jpeg"/><Relationship Id="rId247" Type="http://schemas.openxmlformats.org/officeDocument/2006/relationships/image" Target="media/image195.jpeg"/><Relationship Id="rId248" Type="http://schemas.openxmlformats.org/officeDocument/2006/relationships/image" Target="media/image196.jpeg"/><Relationship Id="rId249" Type="http://schemas.openxmlformats.org/officeDocument/2006/relationships/image" Target="media/image197.jpeg"/><Relationship Id="rId250" Type="http://schemas.openxmlformats.org/officeDocument/2006/relationships/image" Target="media/image198.jpeg"/><Relationship Id="rId251" Type="http://schemas.openxmlformats.org/officeDocument/2006/relationships/image" Target="media/image199.jpeg"/><Relationship Id="rId252" Type="http://schemas.openxmlformats.org/officeDocument/2006/relationships/image" Target="media/image200.jpeg"/><Relationship Id="rId253" Type="http://schemas.openxmlformats.org/officeDocument/2006/relationships/image" Target="media/image201.jpeg"/><Relationship Id="rId254" Type="http://schemas.openxmlformats.org/officeDocument/2006/relationships/image" Target="media/image202.jpe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184" Type="http://schemas.openxmlformats.org/officeDocument/2006/relationships/hyperlink" Target="https://www.sec.gov/Archives/edgar/data/723125/000110465915004447/a15-3005_2ex99d2.htm" TargetMode="External"/><Relationship Id="rId185" Type="http://schemas.openxmlformats.org/officeDocument/2006/relationships/hyperlink" Target="https://www.sec.gov/Archives/edgar/data/723125/000110465925069019/tm2521153d1_ex3-1.htm" TargetMode="External"/><Relationship Id="rId186" Type="http://schemas.openxmlformats.org/officeDocument/2006/relationships/hyperlink" Target="https://www.sec.gov/Archives/edgar/data/723125/000110465919006069/a18-36862_4ex4d1.htm" TargetMode="External"/><Relationship Id="rId187" Type="http://schemas.openxmlformats.org/officeDocument/2006/relationships/hyperlink" Target="https://www.sec.gov/Archives/edgar/data/723125/000110465919006069/a18-36862_4ex4d2.htm" TargetMode="External"/><Relationship Id="rId188" Type="http://schemas.openxmlformats.org/officeDocument/2006/relationships/hyperlink" Target="https://www.sec.gov/Archives/edgar/data/723125/000110465919040167/a19-12548_4ex4d2.htm" TargetMode="External"/><Relationship Id="rId189" Type="http://schemas.openxmlformats.org/officeDocument/2006/relationships/hyperlink" Target="https://www.sec.gov/Archives/edgar/data/723125/000110465921132377/tm2129643d4_ex4-2.htm" TargetMode="External"/><Relationship Id="rId190" Type="http://schemas.openxmlformats.org/officeDocument/2006/relationships/hyperlink" Target="https://www.sec.gov/Archives/edgar/data/723125/000072312522000048/a2022q4ex412-descriptionof.htm" TargetMode="External"/><Relationship Id="rId191" Type="http://schemas.openxmlformats.org/officeDocument/2006/relationships/hyperlink" Target="https://www.sec.gov/Archives/edgar/data/723125/000072312522000051/a2023q1ex42-supplementalin.htm" TargetMode="External"/><Relationship Id="rId192" Type="http://schemas.openxmlformats.org/officeDocument/2006/relationships/hyperlink" Target="https://www.sec.gov/Archives/edgar/data/723125/000072312523000014/a2023q2ex43-supplementalin.htm" TargetMode="External"/><Relationship Id="rId193" Type="http://schemas.openxmlformats.org/officeDocument/2006/relationships/hyperlink" Target="https://www.sec.gov/Archives/edgar/data/723125/000072312523000026/a2023q3ex42-supplementalin.htm" TargetMode="External"/><Relationship Id="rId194" Type="http://schemas.openxmlformats.org/officeDocument/2006/relationships/hyperlink" Target="https://www.sec.gov/Archives/edgar/data/723125/000110465924003666/tm243238d1_ex4-2.htm" TargetMode="External"/><Relationship Id="rId195" Type="http://schemas.openxmlformats.org/officeDocument/2006/relationships/hyperlink" Target="https://www.sec.gov/Archives/edgar/data/723125/000110465925004100/tm2425615d5_ex4-2.htm" TargetMode="External"/><Relationship Id="rId198" Type="http://schemas.openxmlformats.org/officeDocument/2006/relationships/hyperlink" Target="https://www.sec.gov/Archives/edgar/data/723125/000110465925041201/tm2513434d1_ex4-2.htm" TargetMode="External"/><Relationship Id="rId199" Type="http://schemas.openxmlformats.org/officeDocument/2006/relationships/hyperlink" Target="https://www.sec.gov/Archives/edgar/data/723125/000072312517000155/a2017definitiveproxy.htm" TargetMode="External"/><Relationship Id="rId200" Type="http://schemas.openxmlformats.org/officeDocument/2006/relationships/hyperlink" Target="https://www.sec.gov/Archives/edgar/data/723125/000072312522000072/a2023q1ex101-ar2004eip.htm" TargetMode="External"/><Relationship Id="rId201" Type="http://schemas.openxmlformats.org/officeDocument/2006/relationships/hyperlink" Target="https://www.sec.gov/Archives/edgar/data/723125/000072312522000072/a2023q1ex102-2004planterms.htm" TargetMode="External"/><Relationship Id="rId202" Type="http://schemas.openxmlformats.org/officeDocument/2006/relationships/hyperlink" Target="https://www.sec.gov/Archives/edgar/data/723125/000072312520000091/a2020definitiveproxy.htm#i9efa54f8cda348dca7e1a84d2a2067d2_917" TargetMode="External"/><Relationship Id="rId203" Type="http://schemas.openxmlformats.org/officeDocument/2006/relationships/hyperlink" Target="https://www.sec.gov/Archives/edgar/data/723125/000072312522000072/a2023q1ex103-2007planterms.htm" TargetMode="External"/><Relationship Id="rId204" Type="http://schemas.openxmlformats.org/officeDocument/2006/relationships/hyperlink" Target="https://www.sec.gov/Archives/edgar/data/723125/000072312516000269/a2016q4ex1010nonstatutorys.htm" TargetMode="External"/><Relationship Id="rId205" Type="http://schemas.openxmlformats.org/officeDocument/2006/relationships/hyperlink" Target="https://www.sec.gov/Archives/edgar/data/723125/000072312516000269/a2016q4ex1011stockplanterm.htm" TargetMode="External"/><Relationship Id="rId206" Type="http://schemas.openxmlformats.org/officeDocument/2006/relationships/hyperlink" Target="https://www.sec.gov/Archives/edgar/data/723125/000072312525000009/ex105micron-newformofindem.htm" TargetMode="External"/><Relationship Id="rId207" Type="http://schemas.openxmlformats.org/officeDocument/2006/relationships/hyperlink" Target="https://www.sec.gov/Archives/edgar/data/723125/000072312507000113/exhibit_99-2.htm" TargetMode="External"/><Relationship Id="rId208" Type="http://schemas.openxmlformats.org/officeDocument/2006/relationships/hyperlink" Target="https://www.sec.gov/Archives/edgar/data/723125/000072312523000054/a2023q4ex1010-deferredcomp.htm" TargetMode="External"/><Relationship Id="rId209" Type="http://schemas.openxmlformats.org/officeDocument/2006/relationships/hyperlink" Target="https://www.sec.gov/Archives/edgar/data/723125/000072312522000048/a2022q4ex1011-arexecagtmeh.htm" TargetMode="External"/><Relationship Id="rId210" Type="http://schemas.openxmlformats.org/officeDocument/2006/relationships/hyperlink" Target="https://www.sec.gov/Archives/edgar/data/723125/000072312517000166/a2018q1ex10-70xssseverance.htm" TargetMode="External"/><Relationship Id="rId211" Type="http://schemas.openxmlformats.org/officeDocument/2006/relationships/hyperlink" Target="https://www.sec.gov/Archives/edgar/data/723125/000072312517000148/exhibit991formofamendmentt.htm" TargetMode="External"/><Relationship Id="rId212" Type="http://schemas.openxmlformats.org/officeDocument/2006/relationships/hyperlink" Target="https://www.sec.gov/Archives/edgar/data/723125/000072312517000166/a2018q1ex10-74xmbseverance.htm" TargetMode="External"/><Relationship Id="rId213" Type="http://schemas.openxmlformats.org/officeDocument/2006/relationships/hyperlink" Target="https://www.sec.gov/Archives/edgar/data/723125/000072312522000036/a2022q3ex101-employeestock.htm" TargetMode="External"/><Relationship Id="rId214" Type="http://schemas.openxmlformats.org/officeDocument/2006/relationships/hyperlink" Target="https://www.sec.gov/Archives/edgar/data/723125/000072312522000036/a2022q3ex103-benefitsforma.htm" TargetMode="External"/><Relationship Id="rId215" Type="http://schemas.openxmlformats.org/officeDocument/2006/relationships/hyperlink" Target="https://www.sec.gov/Archives/edgar/data/723125/000072312523000022/a2023q2ex105-formofconsent.htm" TargetMode="External"/><Relationship Id="rId216" Type="http://schemas.openxmlformats.org/officeDocument/2006/relationships/hyperlink" Target="https://www.sec.gov/Archives/edgar/data/723125/000072312523000077/a2024q1ex101cashseverancep.htm" TargetMode="External"/><Relationship Id="rId217" Type="http://schemas.openxmlformats.org/officeDocument/2006/relationships/hyperlink" Target="https://www.sec.gov/Archives/edgar/data/723125/000072312523000077/a2024q1ex102sanjaymehrotra.htm" TargetMode="External"/><Relationship Id="rId218" Type="http://schemas.openxmlformats.org/officeDocument/2006/relationships/hyperlink" Target="https://www.sec.gov/Archives/edgar/data/723125/000072312523000077/a2024q1ex103arseveranceagr.htm" TargetMode="External"/><Relationship Id="rId219" Type="http://schemas.openxmlformats.org/officeDocument/2006/relationships/hyperlink" Target="https://www.sec.gov/Archives/edgar/data/723125/000072312525000009/ex101micron2025tla-termloa.htm" TargetMode="External"/><Relationship Id="rId220" Type="http://schemas.openxmlformats.org/officeDocument/2006/relationships/hyperlink" Target="https://www.sec.gov/Archives/edgar/data/723125/000072312525000009/ex1042007equityincentivepl.htm" TargetMode="External"/><Relationship Id="rId221" Type="http://schemas.openxmlformats.org/officeDocument/2006/relationships/hyperlink" Target="https://www.sec.gov/Archives/edgar/data/723125/000072312525000009/ex1022025equityincentivepl.htm" TargetMode="External"/><Relationship Id="rId222" Type="http://schemas.openxmlformats.org/officeDocument/2006/relationships/hyperlink" Target="https://www.sec.gov/Archives/edgar/data/723125/000110465925004933/tm253613d1_ex99-2.htm" TargetMode="External"/><Relationship Id="rId223" Type="http://schemas.openxmlformats.org/officeDocument/2006/relationships/hyperlink" Target="https://www.sec.gov/Archives/edgar/data/723125/000072312525000009/ex106micron-directorcompen.htm" TargetMode="External"/><Relationship Id="rId224" Type="http://schemas.openxmlformats.org/officeDocument/2006/relationships/hyperlink" Target="https://www.sec.gov/Archives/edgar/data/723125/000072312525000009/ex107iddirectfundingagreem.htm" TargetMode="External"/><Relationship Id="rId226" Type="http://schemas.openxmlformats.org/officeDocument/2006/relationships/hyperlink" Target="https://www.sec.gov/Archives/edgar/data/723125/000072312525000009/ex108nydirectfundingagreem.htm" TargetMode="External"/><Relationship Id="rId227" Type="http://schemas.openxmlformats.org/officeDocument/2006/relationships/hyperlink" Target="https://www.sec.gov/Archives/edgar/data/723125/000072312525000009/ex109chips-micronsponsorgu.htm" TargetMode="External"/><Relationship Id="rId228" Type="http://schemas.openxmlformats.org/officeDocument/2006/relationships/hyperlink" Target="https://www.sec.gov/Archives/edgar/data/723125/000072312525000009/ex1010micron2025rcf-revolv.htm" TargetMode="External"/><Relationship Id="rId229" Type="http://schemas.openxmlformats.org/officeDocument/2006/relationships/hyperlink" Target="https://www.sec.gov/Archives/edgar/data/723125/000072312525000009/ex1011chips-micronidxamend.htm" TargetMode="External"/><Relationship Id="rId230" Type="http://schemas.openxmlformats.org/officeDocument/2006/relationships/hyperlink" Target="https://www.sec.gov/Archives/edgar/data/723125/000072312525000009/ex1012chips-micronnyxamend.htm" TargetMode="External"/><Relationship Id="rId231" Type="http://schemas.openxmlformats.org/officeDocument/2006/relationships/hyperlink" Target="https://www.sec.gov/Archives/edgar/data/723125/000072312523000054/a2023q4ex971-compensa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2025-10-03T13:51:21Z</dcterms:created>
  <dcterms:modified xsi:type="dcterms:W3CDTF">2025-10-03T13:51:21Z</dcterms:modified>
</cp:coreProperties>
</file>