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22,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Delaware</w:t>
            </w:r>
          </w:p>
        </w:tc>
        <w:tc>
          <w:tcPr>
            <w:tcW w:w="4360" w:type="dxa"/>
            <w:vAlign w:val="bottom"/>
          </w:tcPr>
          <w:p>
            <w:pPr>
              <w:jc w:val="right"/>
              <w:ind w:right="1910"/>
              <w:spacing w:after="0"/>
              <w:rPr>
                <w:sz w:val="20"/>
                <w:szCs w:val="20"/>
                <w:color w:val="auto"/>
              </w:rPr>
            </w:pPr>
            <w:r>
              <w:rPr>
                <w:rFonts w:ascii="Arial" w:cs="Arial" w:eastAsia="Arial" w:hAnsi="Arial"/>
                <w:sz w:val="18"/>
                <w:szCs w:val="18"/>
                <w:b w:val="1"/>
                <w:bCs w:val="1"/>
                <w:color w:val="auto"/>
              </w:rPr>
              <w:t>1-10658</w:t>
            </w:r>
          </w:p>
        </w:tc>
        <w:tc>
          <w:tcPr>
            <w:tcW w:w="3500" w:type="dxa"/>
            <w:vAlign w:val="bottom"/>
          </w:tcPr>
          <w:p>
            <w:pPr>
              <w:jc w:val="right"/>
              <w:ind w:right="12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jc w:val="center"/>
              <w:ind w:right="230"/>
              <w:spacing w:after="0"/>
              <w:rPr>
                <w:sz w:val="20"/>
                <w:szCs w:val="20"/>
                <w:color w:val="auto"/>
              </w:rPr>
            </w:pPr>
            <w:r>
              <w:rPr>
                <w:rFonts w:ascii="Arial" w:cs="Arial" w:eastAsia="Arial" w:hAnsi="Arial"/>
                <w:sz w:val="18"/>
                <w:szCs w:val="18"/>
                <w:color w:val="auto"/>
                <w:w w:val="93"/>
              </w:rPr>
              <w:t>(State or other jurisdiction of</w:t>
            </w:r>
          </w:p>
        </w:tc>
        <w:tc>
          <w:tcPr>
            <w:tcW w:w="436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5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3540" w:type="dxa"/>
            <w:vAlign w:val="bottom"/>
          </w:tcPr>
          <w:p>
            <w:pPr>
              <w:jc w:val="center"/>
              <w:ind w:right="230"/>
              <w:spacing w:after="0"/>
              <w:rPr>
                <w:sz w:val="20"/>
                <w:szCs w:val="20"/>
                <w:color w:val="auto"/>
              </w:rPr>
            </w:pPr>
            <w:r>
              <w:rPr>
                <w:rFonts w:ascii="Arial" w:cs="Arial" w:eastAsia="Arial" w:hAnsi="Arial"/>
                <w:sz w:val="18"/>
                <w:szCs w:val="18"/>
                <w:color w:val="auto"/>
                <w:w w:val="92"/>
              </w:rPr>
              <w:t>incorporation)</w:t>
            </w:r>
          </w:p>
        </w:tc>
        <w:tc>
          <w:tcPr>
            <w:tcW w:w="436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621"/>
        </w:trPr>
        <w:tc>
          <w:tcPr>
            <w:tcW w:w="35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00" w:type="dxa"/>
            <w:vAlign w:val="bottom"/>
          </w:tcPr>
          <w:p>
            <w:pPr>
              <w:spacing w:after="0"/>
              <w:rPr>
                <w:sz w:val="24"/>
                <w:szCs w:val="24"/>
                <w:color w:val="auto"/>
              </w:rPr>
            </w:pPr>
          </w:p>
        </w:tc>
      </w:tr>
      <w:tr>
        <w:trPr>
          <w:trHeight w:val="270"/>
        </w:trPr>
        <w:tc>
          <w:tcPr>
            <w:tcW w:w="3540" w:type="dxa"/>
            <w:vAlign w:val="bottom"/>
          </w:tcPr>
          <w:p>
            <w:pPr>
              <w:spacing w:after="0"/>
              <w:rPr>
                <w:sz w:val="23"/>
                <w:szCs w:val="23"/>
                <w:color w:val="auto"/>
              </w:rPr>
            </w:pP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00" w:type="dxa"/>
            <w:vAlign w:val="bottom"/>
          </w:tcPr>
          <w:p>
            <w:pPr>
              <w:spacing w:after="0"/>
              <w:rPr>
                <w:sz w:val="23"/>
                <w:szCs w:val="23"/>
                <w:color w:val="auto"/>
              </w:rPr>
            </w:pPr>
          </w:p>
        </w:tc>
      </w:tr>
      <w:tr>
        <w:trPr>
          <w:trHeight w:val="27"/>
        </w:trPr>
        <w:tc>
          <w:tcPr>
            <w:tcW w:w="354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500" w:type="dxa"/>
            <w:vAlign w:val="bottom"/>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00" w:type="dxa"/>
            <w:vAlign w:val="bottom"/>
          </w:tcPr>
          <w:p>
            <w:pPr>
              <w:spacing w:after="0"/>
              <w:rPr>
                <w:sz w:val="20"/>
                <w:szCs w:val="20"/>
                <w:color w:val="auto"/>
              </w:rPr>
            </w:pPr>
          </w:p>
        </w:tc>
      </w:tr>
    </w:tbl>
    <w:p>
      <w:pPr>
        <w:spacing w:after="0" w:line="38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34290</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its Quarterly Report on Form 10-Q for the third quarter of fiscal 2014 (“Recent Quarterly Report”), Micron Technology, Inc.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changed the presentation of its financial information to reflect its new organization structure that includes the following four reportable business segments:</w:t>
      </w:r>
    </w:p>
    <w:p>
      <w:pPr>
        <w:spacing w:after="0" w:line="23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Compute and Networking Business Unit</w:t>
      </w:r>
    </w:p>
    <w:p>
      <w:pPr>
        <w:spacing w:after="0" w:line="2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Storage Business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Embedded Business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Mobile Business Unit</w:t>
      </w:r>
    </w:p>
    <w:p>
      <w:pPr>
        <w:spacing w:after="0" w:line="21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is filing this current report on Form 8-K (“Current Report”) to provide segment reporting financial information for the above segments with respect to the historical financial information included in its Annual Report on Form 10-K for the year ended August 29, 2013 (the “Annual Report”) in order to make such historical financial information consistent with the segment presentation set forth in the Company’s Recent Quarterly Report and consistent with how the Company expects to present its financial information in its future filings.</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For ease of reference, the Company is presenting this additional segment reporting information for the following sections from its Annual Report: Item 1 (Business), Item 7 (Management’s Discussion and Analysis of Financial Condition and Results of Operations) and Item 8 (Financial Statements and Supplementary Data).</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additional information provided in this Current Report only reflects the Company’s new segment reporting structure and the Company has not revised its disclosures to reflect events that have occurred since the date of the Annual Report. Investors are encouraged to check the documents the Company files from time to time with the Securities and Exchange Commission for information related to the Company’s business and results of operations subsequent to the date of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attached herewith:</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460"/>
              <w:spacing w:after="0"/>
              <w:rPr>
                <w:sz w:val="20"/>
                <w:szCs w:val="20"/>
                <w:color w:val="auto"/>
              </w:rPr>
            </w:pPr>
            <w:r>
              <w:rPr>
                <w:rFonts w:ascii="Arial" w:cs="Arial" w:eastAsia="Arial" w:hAnsi="Arial"/>
                <w:sz w:val="18"/>
                <w:szCs w:val="18"/>
                <w:b w:val="1"/>
                <w:bCs w:val="1"/>
                <w:color w:val="auto"/>
              </w:rPr>
              <w:t>Exhibit</w:t>
            </w:r>
          </w:p>
        </w:tc>
        <w:tc>
          <w:tcPr>
            <w:tcW w:w="1200" w:type="dxa"/>
            <w:vAlign w:val="bottom"/>
          </w:tcPr>
          <w:p>
            <w:pPr>
              <w:spacing w:after="0"/>
              <w:rPr>
                <w:sz w:val="20"/>
                <w:szCs w:val="20"/>
                <w:color w:val="auto"/>
              </w:rPr>
            </w:pPr>
          </w:p>
        </w:tc>
        <w:tc>
          <w:tcPr>
            <w:tcW w:w="8600" w:type="dxa"/>
            <w:vAlign w:val="bottom"/>
          </w:tcPr>
          <w:p>
            <w:pPr>
              <w:ind w:left="32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0" w:type="dxa"/>
            <w:vAlign w:val="bottom"/>
            <w:tcBorders>
              <w:bottom w:val="single" w:sz="8" w:color="auto"/>
            </w:tcBorders>
            <w:gridSpan w:val="2"/>
          </w:tcPr>
          <w:p>
            <w:pPr>
              <w:spacing w:after="0"/>
              <w:rPr>
                <w:sz w:val="2"/>
                <w:szCs w:val="2"/>
                <w:color w:val="auto"/>
              </w:rPr>
            </w:pPr>
          </w:p>
        </w:tc>
      </w:tr>
      <w:tr>
        <w:trPr>
          <w:trHeight w:val="237"/>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p>
        </w:tc>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43"/>
        </w:trPr>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600" w:type="dxa"/>
            <w:vAlign w:val="bottom"/>
            <w:shd w:val="clear" w:color="auto" w:fill="CCEEFF"/>
          </w:tcPr>
          <w:p>
            <w:pPr>
              <w:spacing w:after="0"/>
              <w:rPr>
                <w:sz w:val="21"/>
                <w:szCs w:val="2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w w:val="92"/>
              </w:rPr>
              <w:t>Revised Item 1.</w:t>
            </w:r>
          </w:p>
        </w:tc>
        <w:tc>
          <w:tcPr>
            <w:tcW w:w="8600" w:type="dxa"/>
            <w:vAlign w:val="bottom"/>
          </w:tcPr>
          <w:p>
            <w:pPr>
              <w:ind w:left="40"/>
              <w:spacing w:after="0"/>
              <w:rPr>
                <w:sz w:val="20"/>
                <w:szCs w:val="20"/>
                <w:color w:val="auto"/>
              </w:rPr>
            </w:pPr>
            <w:r>
              <w:rPr>
                <w:rFonts w:ascii="Arial" w:cs="Arial" w:eastAsia="Arial" w:hAnsi="Arial"/>
                <w:sz w:val="18"/>
                <w:szCs w:val="18"/>
                <w:color w:val="auto"/>
              </w:rPr>
              <w:t>Business</w:t>
            </w:r>
          </w:p>
        </w:tc>
      </w:tr>
      <w:tr>
        <w:trPr>
          <w:trHeight w:val="243"/>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0" w:type="dxa"/>
            <w:vAlign w:val="bottom"/>
          </w:tcPr>
          <w:p>
            <w:pPr>
              <w:spacing w:after="0"/>
              <w:rPr>
                <w:sz w:val="21"/>
                <w:szCs w:val="21"/>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Revised Item 7.</w:t>
            </w:r>
          </w:p>
        </w:tc>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43"/>
        </w:trPr>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600" w:type="dxa"/>
            <w:vAlign w:val="bottom"/>
            <w:shd w:val="clear" w:color="auto" w:fill="CCEEFF"/>
          </w:tcPr>
          <w:p>
            <w:pPr>
              <w:spacing w:after="0"/>
              <w:rPr>
                <w:sz w:val="21"/>
                <w:szCs w:val="2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w w:val="92"/>
              </w:rPr>
              <w:t>Revised Item 8.</w:t>
            </w:r>
          </w:p>
        </w:tc>
        <w:tc>
          <w:tcPr>
            <w:tcW w:w="8600" w:type="dxa"/>
            <w:vAlign w:val="bottom"/>
          </w:tcPr>
          <w:p>
            <w:pPr>
              <w:ind w:left="40"/>
              <w:spacing w:after="0"/>
              <w:rPr>
                <w:sz w:val="20"/>
                <w:szCs w:val="20"/>
                <w:color w:val="auto"/>
              </w:rPr>
            </w:pPr>
            <w:r>
              <w:rPr>
                <w:rFonts w:ascii="Arial" w:cs="Arial" w:eastAsia="Arial" w:hAnsi="Arial"/>
                <w:sz w:val="18"/>
                <w:szCs w:val="18"/>
                <w:color w:val="auto"/>
                <w:w w:val="93"/>
              </w:rPr>
              <w:t>Financial Statements and Supplementary Data as of August 29, 2013 and August 30, 2012 and for the fiscal years</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ended August 29, 2013, August 30, 2012 and September 1, 2011</w:t>
            </w: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gridSpan w:val="2"/>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XBRL Instance Document</w:t>
            </w: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gridSpan w:val="2"/>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gridSpan w:val="2"/>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420"/>
          </w:cols>
          <w:pgMar w:left="240" w:top="796"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64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10"/>
        </w:trPr>
        <w:tc>
          <w:tcPr>
            <w:tcW w:w="3300" w:type="dxa"/>
            <w:vAlign w:val="bottom"/>
          </w:tcPr>
          <w:p>
            <w:pPr>
              <w:spacing w:after="0"/>
              <w:rPr>
                <w:sz w:val="20"/>
                <w:szCs w:val="20"/>
                <w:color w:val="auto"/>
              </w:rPr>
            </w:pPr>
            <w:r>
              <w:rPr>
                <w:rFonts w:ascii="Arial" w:cs="Arial" w:eastAsia="Arial" w:hAnsi="Arial"/>
                <w:sz w:val="18"/>
                <w:szCs w:val="18"/>
                <w:color w:val="auto"/>
              </w:rPr>
              <w:t>Date:  July 22, 2014</w:t>
            </w:r>
          </w:p>
        </w:tc>
        <w:tc>
          <w:tcPr>
            <w:tcW w:w="2400" w:type="dxa"/>
            <w:vAlign w:val="bottom"/>
          </w:tcPr>
          <w:p>
            <w:pPr>
              <w:ind w:left="1740"/>
              <w:spacing w:after="0"/>
              <w:rPr>
                <w:sz w:val="20"/>
                <w:szCs w:val="20"/>
                <w:color w:val="auto"/>
              </w:rPr>
            </w:pPr>
            <w:r>
              <w:rPr>
                <w:rFonts w:ascii="Arial" w:cs="Arial" w:eastAsia="Arial" w:hAnsi="Arial"/>
                <w:sz w:val="18"/>
                <w:szCs w:val="18"/>
                <w:color w:val="auto"/>
              </w:rPr>
              <w:t>By:</w:t>
            </w:r>
          </w:p>
        </w:tc>
        <w:tc>
          <w:tcPr>
            <w:tcW w:w="5240" w:type="dxa"/>
            <w:vAlign w:val="bottom"/>
          </w:tcPr>
          <w:p>
            <w:pPr>
              <w:ind w:left="60"/>
              <w:spacing w:after="0"/>
              <w:rPr>
                <w:sz w:val="20"/>
                <w:szCs w:val="20"/>
                <w:color w:val="auto"/>
              </w:rPr>
            </w:pPr>
            <w:r>
              <w:rPr>
                <w:rFonts w:ascii="Arial" w:cs="Arial" w:eastAsia="Arial" w:hAnsi="Arial"/>
                <w:sz w:val="18"/>
                <w:szCs w:val="18"/>
                <w:i w:val="1"/>
                <w:iCs w:val="1"/>
                <w:color w:val="auto"/>
              </w:rPr>
              <w:t>/s/ Ronald C. Foster</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0" w:type="dxa"/>
            <w:vAlign w:val="bottom"/>
            <w:vMerge w:val="restart"/>
          </w:tcPr>
          <w:p>
            <w:pPr>
              <w:ind w:left="1740"/>
              <w:spacing w:after="0"/>
              <w:rPr>
                <w:sz w:val="20"/>
                <w:szCs w:val="20"/>
                <w:color w:val="auto"/>
              </w:rPr>
            </w:pPr>
            <w:r>
              <w:rPr>
                <w:rFonts w:ascii="Arial" w:cs="Arial" w:eastAsia="Arial" w:hAnsi="Arial"/>
                <w:sz w:val="18"/>
                <w:szCs w:val="18"/>
                <w:color w:val="auto"/>
              </w:rPr>
              <w:t>Name:</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Ronald C. Foster</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400" w:type="dxa"/>
            <w:vAlign w:val="bottom"/>
          </w:tcPr>
          <w:p>
            <w:pPr>
              <w:ind w:left="174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Vice President of Finance</w:t>
            </w:r>
          </w:p>
        </w:tc>
        <w:tc>
          <w:tcPr>
            <w:tcW w:w="0" w:type="dxa"/>
            <w:vAlign w:val="bottom"/>
          </w:tcPr>
          <w:p>
            <w:pPr>
              <w:spacing w:after="0"/>
              <w:rPr>
                <w:sz w:val="1"/>
                <w:szCs w:val="1"/>
                <w:color w:val="auto"/>
              </w:rPr>
            </w:pPr>
          </w:p>
        </w:tc>
      </w:tr>
    </w:tbl>
    <w:p>
      <w:pPr>
        <w:sectPr>
          <w:pgSz w:w="11900" w:h="16838" w:orient="portrait"/>
          <w:cols w:equalWidth="0" w:num="1">
            <w:col w:w="10980"/>
          </w:cols>
          <w:pgMar w:left="240" w:top="580" w:right="6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CURRENT REPORT ON FORM 8-K DATED JULY 22,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rPr>
              <w:t>Exhibit</w:t>
            </w:r>
          </w:p>
        </w:tc>
        <w:tc>
          <w:tcPr>
            <w:tcW w:w="1200" w:type="dxa"/>
            <w:vAlign w:val="bottom"/>
          </w:tcPr>
          <w:p>
            <w:pPr>
              <w:spacing w:after="0"/>
              <w:rPr>
                <w:sz w:val="20"/>
                <w:szCs w:val="20"/>
                <w:color w:val="auto"/>
              </w:rPr>
            </w:pPr>
          </w:p>
        </w:tc>
        <w:tc>
          <w:tcPr>
            <w:tcW w:w="8720" w:type="dxa"/>
            <w:vAlign w:val="bottom"/>
          </w:tcPr>
          <w:p>
            <w:pPr>
              <w:ind w:left="33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244"/>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w w:val="92"/>
              </w:rPr>
              <w:t>Revised Item 1.</w:t>
            </w:r>
          </w:p>
        </w:tc>
        <w:tc>
          <w:tcPr>
            <w:tcW w:w="8720" w:type="dxa"/>
            <w:vAlign w:val="bottom"/>
          </w:tcPr>
          <w:p>
            <w:pPr>
              <w:ind w:left="40"/>
              <w:spacing w:after="0"/>
              <w:rPr>
                <w:sz w:val="20"/>
                <w:szCs w:val="20"/>
                <w:color w:val="auto"/>
              </w:rPr>
            </w:pPr>
            <w:r>
              <w:rPr>
                <w:rFonts w:ascii="Arial" w:cs="Arial" w:eastAsia="Arial" w:hAnsi="Arial"/>
                <w:sz w:val="18"/>
                <w:szCs w:val="18"/>
                <w:color w:val="auto"/>
              </w:rPr>
              <w:t>Business</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72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Revised Item 7.</w:t>
            </w:r>
          </w:p>
        </w:tc>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w w:val="92"/>
              </w:rPr>
              <w:t>Revised Item 8.</w:t>
            </w:r>
          </w:p>
        </w:tc>
        <w:tc>
          <w:tcPr>
            <w:tcW w:w="8720" w:type="dxa"/>
            <w:vAlign w:val="bottom"/>
          </w:tcPr>
          <w:p>
            <w:pPr>
              <w:ind w:left="40"/>
              <w:spacing w:after="0"/>
              <w:rPr>
                <w:sz w:val="20"/>
                <w:szCs w:val="20"/>
                <w:color w:val="auto"/>
              </w:rPr>
            </w:pPr>
            <w:r>
              <w:rPr>
                <w:rFonts w:ascii="Arial" w:cs="Arial" w:eastAsia="Arial" w:hAnsi="Arial"/>
                <w:sz w:val="18"/>
                <w:szCs w:val="18"/>
                <w:color w:val="auto"/>
                <w:w w:val="95"/>
              </w:rPr>
              <w:t>Financial Statements and Supplementary Data as of August 29, 2013 and August 30, 2012 and for the fiscal years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ended August 29, 2013, August 30, 2012 and September 1, 2011</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gridSpan w:val="2"/>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XBRL Instance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gridSpan w:val="2"/>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gridSpan w:val="2"/>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hereby consent to the incorporation by reference in the Registration Statement on Form S-3 (File Nos. 333-143026, 333-158473) and S-8 (File Nos. 333-17073, 333-50353, 333-71249, 333-102545, 333-103341, 333-111170, 333-120620, 333-133667, 333-135459, 333-140091, 333-148357, 333-159711, 333-167536, 333-167536a, 333-171717, 333-179592, 333-190010, 333-196293) of Micron Technology, Inc. of our report dated October 28, 2013, except with respect to our opinion on the consolidated financial statements insofar it relates to the effects of the change in reportable segments discussed in the Segment Information note, as to which the date is July 22, 2014, relating to the financial statements, financial statement schedules and the effectiveness of internal control over financial reporting, which appears in this Current Report on Form 8-K of Micron Technology, Inc. dated July 22, 2014.</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22, 2014</w:t>
      </w:r>
    </w:p>
    <w:p>
      <w:pPr>
        <w:sectPr>
          <w:pgSz w:w="11900" w:h="16838" w:orient="portrait"/>
          <w:cols w:equalWidth="0" w:num="1">
            <w:col w:w="11420"/>
          </w:cols>
          <w:pgMar w:left="240" w:top="58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the effect of the acquisition of Elpida on our market position; in "Products" regarding increased production of DDR4 products, growth in demand for NAND Flash products and solid-state drives; in "Manufacturing" regarding the transition to smaller line-width process technologies; in "Marketing and Customers" regarding the effect of the Elpida acquisition on market concentrations; and in "Employees" regarding restructure costs associated with our Israel facility. Our actual results could differ materially from our historical results and those discussed in the forward-looking statements. Factors that could cause actual results to differ materially include, but are not limited to, those identified in "Item 1A. Risk Factors." All period references are to our fiscal periods unless otherwise indicated.</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219" w:lineRule="exact"/>
        <w:rPr>
          <w:sz w:val="20"/>
          <w:szCs w:val="20"/>
          <w:color w:val="auto"/>
        </w:rPr>
      </w:pPr>
    </w:p>
    <w:p>
      <w:pPr>
        <w:ind w:right="100" w:firstLine="324"/>
        <w:spacing w:after="0" w:line="284" w:lineRule="auto"/>
        <w:rPr>
          <w:sz w:val="20"/>
          <w:szCs w:val="20"/>
          <w:color w:val="auto"/>
        </w:rPr>
      </w:pPr>
      <w:r>
        <w:rPr>
          <w:rFonts w:ascii="Arial" w:cs="Arial" w:eastAsia="Arial" w:hAnsi="Arial"/>
          <w:sz w:val="16"/>
          <w:szCs w:val="16"/>
          <w:color w:val="auto"/>
        </w:rPr>
        <w:t>Micron Technology, Inc., a Delaware corporation, was incorporated in 1978. As used herein, "we," "our," "us" and similar terms include Micron Technology, Inc. and its subsidiaries, unless the context indicates otherwise. Our executive offices are located at 8000 South Federal Way, Boise, Idaho 83716-9632 and our telephone number is (208) 368-4000. Information about us is available on the internet at www.micron.com. Copies of our Annual Report on Form 10-K, Quarterly Reports on Form 10-Q and Current Reports on Form 8-K, as well as any amendments to these reports, are available through our website as soon as reasonably practicable after they are electronically filed with or furnished to the Securities and Exchange Commission (the "SEC"). Materials filed by us with the SEC are also available at the SEC’s Public Reference Room at 100 F Street, NE, Washington, D.C.</w:t>
      </w:r>
    </w:p>
    <w:p>
      <w:pPr>
        <w:spacing w:after="0" w:line="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20549. Information on the operation of the Public Reference Room is available by calling (800) SEC-0330. Also available on our website are our: Corporate Governance Guidelines, Governance Committee Charter, Compensation Committee Charter, Audit Committee Charter and Code of Business Conduct and Ethics. Any amendments or waivers of our Code of Business Conduct and Ethics will also be posted on our website at www.micron.com within four business days of the amendment or waiver. Copies of these documents are available to shareholders upon request. Information contained or referenced on our website is not incorporated by reference and does not form a part of this Annual Report on Form 10-K.</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are one of the world's leading providers of advanced semiconductor solutions. Through our worldwide operations, we manufacture and market a full range of DRAM, NAND Flash and NOR Flash memory, as well as other innovative memory technologies, packaging solutions and semiconductor systems for use in leading-edge computing, consumer, networking, automotive, industrial, embedded and mobile products. We market our products through our internal sales force, independent sales representatives and distributors primarily to original equipment manufacturers ("OEMs") and retailers located around the world. Our success is largely dependent on the market acceptance of our diversified portfolio of semiconductor products, efficient utilization of our manufacturing infrastructure, successful ongoing development of advanced process technologies and generating a return on research and development ("R&amp;D") investments.</w:t>
      </w:r>
    </w:p>
    <w:p>
      <w:pPr>
        <w:spacing w:after="0" w:line="189"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obtain products from three primary sources: (1) production from our wholly-owned manufacturing facilities, (2) production from our joint venture manufacturing facilities, and (3) to a lesser degree, from third party manufacturers. In recent years, we have increased our manufacturing scale and product diversity through strategic acquisitions and various partnering arrangements, including joint ventures.</w:t>
      </w:r>
    </w:p>
    <w:p>
      <w:pPr>
        <w:sectPr>
          <w:pgSz w:w="11900" w:h="16838" w:orient="portrait"/>
          <w:cols w:equalWidth="0" w:num="1">
            <w:col w:w="11420"/>
          </w:cols>
          <w:pgMar w:left="240" w:top="585" w:right="239" w:bottom="1440" w:gutter="0" w:footer="0" w:header="0"/>
        </w:sectPr>
      </w:pPr>
    </w:p>
    <w:bookmarkStart w:id="6" w:name="page7"/>
    <w:bookmarkEnd w:id="6"/>
    <w:p>
      <w:pPr>
        <w:ind w:firstLine="324"/>
        <w:spacing w:after="0" w:line="253" w:lineRule="auto"/>
        <w:rPr>
          <w:sz w:val="20"/>
          <w:szCs w:val="20"/>
          <w:color w:val="auto"/>
        </w:rPr>
      </w:pPr>
      <w:r>
        <w:rPr>
          <w:rFonts w:ascii="Arial" w:cs="Arial" w:eastAsia="Arial" w:hAnsi="Arial"/>
          <w:sz w:val="18"/>
          <w:szCs w:val="18"/>
          <w:color w:val="auto"/>
        </w:rPr>
        <w:t>We make significant investments to develop the proprietary product and process technologies that are implemented in our worldwide manufacturing facilities and through our joint ventures. These investments enable our production of semiconductor products with increasing functionality and performance at lower costs. We generally reduce the manufacturing cost of each generation of product through advancements in product and process technology such as our leading-edge line-width process technology and innovative array architecture. We continue to introduce new generations of products that offer improved performance characteristics, such as higher data transfer rates, reduced package size, lower power consumption, improved read/ write reliability and increased memory density. To leverage our significant investments in R&amp;D, we have formed, and may continue to form, strategic joint ventures that allow us to share the costs of developing memory product and process technologies with joint venture partners. In addition, from time to time, we also sell and/or license technology to other parties. We continue to pursue additional opportunities to monetize our investment in intellectual property through partnering and other arrangements.</w:t>
      </w:r>
    </w:p>
    <w:p>
      <w:pPr>
        <w:spacing w:after="0" w:line="19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July 31, 2013, we completed the acquisition of Elpida Memory, Inc. ("Elpida"), a Japanese corporation, pursuant to the terms and conditions of an Agreement on Support for Reorganization Companies (as amended, the "Sponsor Agreement") that we entered into on July 2, 2012, with the trustees of Elpida and one of its subsidiaries, Akita Elpida Memory, Inc., a Japanese corporation ("Akita" and, together with Elpida, the "Elpida Companies") pursuant to and in connection with the Elpida Companies' corporate reorganization proceedings under the Corporate Reorganization Act of Japan. We paid $615 million for the acquisition of 100% of Elpida's equity. On July 31, 2013, we also acquired a 24% ownership interest in Rexchip Electronics Corporation ("Rexchip"), a Taiwanese corporation and manufacturing joint venture formed by Powerchip Technology Corporation ("Powerchip") and Elpida, from Powerchip and certain of its affiliates (the "Powerchip Group") pursuant to a share purchase agreement. We paid $334 million in cash for the shares. Elpida and its subsidiaries (the "Elpida Group") own approximately 65% of Rexchip's outstanding common stock. Therefore, as a result of the consummation of our acquisition of Elpida and the Rexchip shares from the Powerchip Group, we own approximately 89% of Rexchip's common stock. The provisional fair values of assets and liabilities acquired include, among other items, cash and restricted cash aggregating $1,618 million; inventories of $962 million; property, plant and equipment of $935 million; net deferred tax assets of $917 million and debt of $2,134 million.</w:t>
      </w:r>
    </w:p>
    <w:p>
      <w:pPr>
        <w:spacing w:after="0" w:line="1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Elpida's assets include, among others: a 300mm DRAM wafer fabrication facility located in Hiroshima, Japan; its approximate 65% ownership interest in Rexchip, whose assets include a 300mm DRAM wafer fabrication facility located in Taichung City, Taiwan; and a 100% ownership interest in Akita, whose assets include an assembly and test facility located in Akita, Japan.</w:t>
      </w:r>
    </w:p>
    <w:p>
      <w:pPr>
        <w:spacing w:after="0" w:line="18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Elpida's semiconductor memory products include Mobile DRAM, targeted toward mobile phones and tablets. We believe that combining the complementary product portfolios of Micron and Elpida will strengthen our position in the memory market and enable us to provide customers with a wider portfolio of high-quality memory solutions. We also believe that our acquisition of Elpida will strengthen our market position in the memory industry through increased research and development and manufacturing scale, improved access to core memory market segments, and additional wafer capacity to balance among our DRAM, NAND Flash and NOR Flash memory solutions. Elpida's operations are included primarily in the MBU and CNBU segments.</w:t>
      </w:r>
    </w:p>
    <w:p>
      <w:pPr>
        <w:spacing w:after="0" w:line="15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Elpida Companies are currently subject to corporate reorganization proceedings under the Corporate Reorganization Act of Japan. Because the plans of reorganization of the Elpida Companies provide for ongoing payments to creditors following the closing of the Elpida acquisition, these proceedings are continuing, and the Elpida Companies remain subject to the oversight of the Tokyo District Court (the "Japan Court") and of the trustees appointed by the Japan Court (including a trustee designated by us, who we refer to as the business trustee, and a trustee designated by the Japan Court, who we refer to as the legal trustee), pending completion of the reorganization proceedings. As a result of this oversight and related consent rights of the Japan Court and the legal trustee, our ability to effectively integrate the Elpida Companies as part of our global operations or to cause the Elpida Companies to take certain actions that we deem advisable for their businesses could be adversely affected if the Japan Court or the legal trustee is unwilling to consent to various actions. For more information, see "Part I, Item 1A. Risk Factors" and "Part I, Item 3. Legal Proceedings – Reorganization Proceedings of the Elpida Companies."</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Business Segments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the third quarter of 2014, we reorganized our business units. All prior period amounts reflect this reorganization. Factors used to identify our segments include, among others, markets, customers and products. Segment information reported herein is consistent with how it is reviewed and evaluated by our chief operating decision makers. We have the following four reportable segments:</w:t>
      </w:r>
    </w:p>
    <w:p>
      <w:pPr>
        <w:spacing w:after="0" w:line="181" w:lineRule="exact"/>
        <w:rPr>
          <w:sz w:val="20"/>
          <w:szCs w:val="20"/>
          <w:color w:val="auto"/>
        </w:rPr>
      </w:pPr>
    </w:p>
    <w:p>
      <w:pPr>
        <w:ind w:left="660" w:right="240" w:hanging="323"/>
        <w:spacing w:after="0" w:line="258" w:lineRule="auto"/>
        <w:rPr>
          <w:sz w:val="20"/>
          <w:szCs w:val="20"/>
          <w:color w:val="auto"/>
        </w:rPr>
      </w:pPr>
      <w:r>
        <w:rPr>
          <w:rFonts w:ascii="Arial" w:cs="Arial" w:eastAsia="Arial" w:hAnsi="Arial"/>
          <w:sz w:val="18"/>
          <w:szCs w:val="18"/>
          <w:b w:val="1"/>
          <w:bCs w:val="1"/>
          <w:i w:val="1"/>
          <w:iCs w:val="1"/>
          <w:color w:val="auto"/>
        </w:rPr>
        <w:t xml:space="preserve">Compute and Networking Business Unit ("CNBU"): </w:t>
      </w:r>
      <w:r>
        <w:rPr>
          <w:rFonts w:ascii="Arial" w:cs="Arial" w:eastAsia="Arial" w:hAnsi="Arial"/>
          <w:sz w:val="18"/>
          <w:szCs w:val="18"/>
          <w:color w:val="auto"/>
        </w:rPr>
        <w:t>Includes DRAM and NOR Flash products sold to the compute, networking, graphics, and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server markets, as well as NAND Flash products sold primarily into the networking market.</w:t>
      </w:r>
    </w:p>
    <w:p>
      <w:pPr>
        <w:spacing w:after="0" w:line="1" w:lineRule="exact"/>
        <w:rPr>
          <w:sz w:val="20"/>
          <w:szCs w:val="20"/>
          <w:color w:val="auto"/>
        </w:rPr>
      </w:pPr>
    </w:p>
    <w:p>
      <w:pPr>
        <w:ind w:left="660" w:right="180" w:hanging="323"/>
        <w:spacing w:after="0" w:line="265" w:lineRule="auto"/>
        <w:rPr>
          <w:sz w:val="20"/>
          <w:szCs w:val="20"/>
          <w:color w:val="auto"/>
        </w:rPr>
      </w:pPr>
      <w:r>
        <w:rPr>
          <w:rFonts w:ascii="Arial" w:cs="Arial" w:eastAsia="Arial" w:hAnsi="Arial"/>
          <w:sz w:val="17"/>
          <w:szCs w:val="17"/>
          <w:b w:val="1"/>
          <w:bCs w:val="1"/>
          <w:i w:val="1"/>
          <w:iCs w:val="1"/>
          <w:color w:val="auto"/>
        </w:rPr>
        <w:t xml:space="preserve">Storage Business Unit ("SBU"): </w:t>
      </w:r>
      <w:r>
        <w:rPr>
          <w:rFonts w:ascii="Arial" w:cs="Arial" w:eastAsia="Arial" w:hAnsi="Arial"/>
          <w:sz w:val="17"/>
          <w:szCs w:val="17"/>
          <w:color w:val="auto"/>
        </w:rPr>
        <w:t>Includes NAND Flash components and Solid State Drives ("SSDs") sold into enterprise and client storage, and cloud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removable storage markets. SBU also includes NAND Flash products sold to Intel through our IMFT joint venture.</w:t>
      </w:r>
    </w:p>
    <w:p>
      <w:pPr>
        <w:ind w:left="660" w:right="60" w:hanging="323"/>
        <w:spacing w:after="0" w:line="250" w:lineRule="auto"/>
        <w:rPr>
          <w:sz w:val="20"/>
          <w:szCs w:val="20"/>
          <w:color w:val="auto"/>
        </w:rPr>
      </w:pPr>
      <w:r>
        <w:rPr>
          <w:rFonts w:ascii="Arial" w:cs="Arial" w:eastAsia="Arial" w:hAnsi="Arial"/>
          <w:sz w:val="18"/>
          <w:szCs w:val="18"/>
          <w:b w:val="1"/>
          <w:bCs w:val="1"/>
          <w:i w:val="1"/>
          <w:iCs w:val="1"/>
          <w:color w:val="auto"/>
        </w:rPr>
        <w:t xml:space="preserve">Embedded Business Unit ("EBU"): </w:t>
      </w:r>
      <w:r>
        <w:rPr>
          <w:rFonts w:ascii="Arial" w:cs="Arial" w:eastAsia="Arial" w:hAnsi="Arial"/>
          <w:sz w:val="18"/>
          <w:szCs w:val="18"/>
          <w:color w:val="auto"/>
        </w:rPr>
        <w:t>Includes DRAM, NAND Flash and NOR Flash products sold into automotive and industrial applications,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connected home and consumer electronics markets.</w:t>
      </w:r>
    </w:p>
    <w:p>
      <w:pPr>
        <w:spacing w:after="0" w:line="1" w:lineRule="exact"/>
        <w:rPr>
          <w:sz w:val="20"/>
          <w:szCs w:val="20"/>
          <w:color w:val="auto"/>
        </w:rPr>
      </w:pPr>
    </w:p>
    <w:p>
      <w:pPr>
        <w:ind w:left="660" w:right="340" w:hanging="323"/>
        <w:spacing w:after="0" w:line="261" w:lineRule="auto"/>
        <w:rPr>
          <w:sz w:val="20"/>
          <w:szCs w:val="20"/>
          <w:color w:val="auto"/>
        </w:rPr>
      </w:pPr>
      <w:r>
        <w:rPr>
          <w:rFonts w:ascii="Arial" w:cs="Arial" w:eastAsia="Arial" w:hAnsi="Arial"/>
          <w:sz w:val="18"/>
          <w:szCs w:val="18"/>
          <w:b w:val="1"/>
          <w:bCs w:val="1"/>
          <w:i w:val="1"/>
          <w:iCs w:val="1"/>
          <w:color w:val="auto"/>
        </w:rPr>
        <w:t xml:space="preserve">Mobile Business Unit ("MBU"): </w:t>
      </w:r>
      <w:r>
        <w:rPr>
          <w:rFonts w:ascii="Arial" w:cs="Arial" w:eastAsia="Arial" w:hAnsi="Arial"/>
          <w:sz w:val="18"/>
          <w:szCs w:val="18"/>
          <w:color w:val="auto"/>
        </w:rPr>
        <w:t>Includes DRAM, NAND Flash, and NOR Flash products sold to the smartphone, feature phone, and tablet mobile-device markets.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other operations do not meet the thresholds of a reportable segment and are reported under All Other.</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For more information regarding our segments, see "Part I, Item 8. Financial Statements and Supplementary Data – Notes to Consolidated Financial Statements – Segment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Dynamic Random Access Memory ("DRAM")</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DRAM products are high-density, low-cost-per-bit, random access memory devices that provide high-speed data storage and retrieval. DRAM sales products were 48%, 39% and 41% of our total net sales in 2013, 2012 and 2011, respectively. DRAM products are sold by our CNBU, EBU and MBU segments and are used in computers, servers, tablets, mobile phones, communication equipment, computer peripherals, industrial, automotive and other electronic devices. We offer DRAM products with a variety of performance, pricing and other characteristics including high-volume DDR4, DDR3 and DDR2 products as well as specialty DRAM memory products including Mobile Low Power DRAM ("LPDRAM"), DDR, SDRAM, Reduced Latency DRAM ("RLDRAM") and Pseudo-static DRAM ("PSRAM").</w:t>
      </w:r>
    </w:p>
    <w:p>
      <w:pPr>
        <w:spacing w:after="0" w:line="189"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i w:val="1"/>
          <w:iCs w:val="1"/>
          <w:color w:val="auto"/>
        </w:rPr>
        <w:t>DDR4, DDR3 and DDR2</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DDR4, DDR3 and DDR2 are standardized, high-density, high-volume, DRAM products. DDR4, DDR3 and DDR2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offer high speed and high bandwidth at a relatively low cost. DDR3 sales were 31%, 20% and 21% of our total net sales in 2013, 2012 and 2011, respectively. DDR2 sales were 7%, 9% and 10% of our total net sales in 2013, 2012 and 2011, respectively. We began sampling DDR4 products in 2013 and expect to begin commercial production of DDR4 products in significant volumes during 2014.</w:t>
      </w:r>
    </w:p>
    <w:p>
      <w:pPr>
        <w:spacing w:after="0" w:line="18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2013, we offered DDR3 products in 1Gb, 2Gb and 4Gb densities and DDR2 products in 512 megabit ("Mb"), 1 gigabit ("Gb") and 2Gb densities. These densities enable us to meet customer demands for a broad array of products and we offered these products in multiple configurations, speeds and package types.</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Specialty DRAM products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offer DRAM memory products including DDR and DDR2 Mobile LPDRAM, DDR, SDRAM, RLDRAM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PSRAM in densities ranging from 64Mb to 4Gb. LPDRAM products are used primarily in mobile phones, tablets, embedded applications, ultra-thin laptop computers and other mobile consumer devices that require low power consumption. Our other specialty DRAM products are used primarily in networking devices, servers, consumer electronics, communications equipment, computer peripherals, automotive and industrial applications as well as computer memory upgrades. In September 2013, we began sampling Hybrid Memory Cube ("HMC") products, which are are semiconductor memory devices where vertical stacks of DRAM die that are connected using through-silicon-via interconnects are placed above a small, high-speed logic layer. HMC enables ultra-high system performance with significantly lower power-per-bit. Aggregate sales of LPDRAM and our other specialty DRAM products were 10% of our total net sales in 2013, 2012 and 2011.</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NAND Flash Memory</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NAND Flash products are electrically re-writeable, non-volatile semiconductor memory devices that retain content when power is turned off. NAND Flash sales were 40%, 44% and 36% of our total net sales in 2013, 2012 and 2011, respectively. NAND Flash products are sold by our SBU, MBU, EBU and CNBU segments. NAND Flash is ideal for mass-storage devices due to its fast erase and write times, high density and low cost per bit relative to other solid-state memories. Embedded NAND Flash-based storage devices are utilized in mobile phones, solid-state drives ("SSDs"), tablets, computers, industrial and automotive applications, MP3/4 players and other personal and consumer applications. Removable storage devices, such as USB and Flash memory cards, are used with applications such as PCs, digital still cameras, MP3/4 players and mobile phones. The market for NAND Flash products has grown rapidly and we expect it to continue to grow due to demand for these and other removable and embedded storage devices.</w:t>
      </w:r>
    </w:p>
    <w:p>
      <w:pPr>
        <w:spacing w:after="0" w:line="17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NAND Flash products feature a small cell structure that enables higher densities for demanding applications. We offer Single-Level Cell ("SLC") NAND Flash products as well as Multi-Level Cell ("MLC") and Triple-Level Cell ("TLC") NAND Flash products, which have two and three times, respectively, the bit density of SLC NAND Flash products. In 2013, we offered SLC NAND products in 1 Gb to 64Gb densities. In addition, we offered 8Gb to 128Gb 2-bit-per-cell MLC NAND Flash products and 32Gb to 128Gb 3-bit-per-cell TLC NAND Flash products. We offer high-speed NAND Flash products that are compatible with advanced interfaces.</w:t>
      </w:r>
    </w:p>
    <w:p>
      <w:pPr>
        <w:spacing w:after="0" w:line="18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offer client and enterprise SSDs which feature higher performance, reduced power consumption and enhanced reliability as compared to typical hard disk drives. Our client SSDs are targeted at notebook and other consumer applications. Using our NAND Flash process technology and a leading-edge SATA 6 Gb/s interface, our SSDs deliver read and write speeds that help improve boot and application load times and deliver higher performance than hard disk drives. Our client SSDs are offered in 2.5-inch and 1.8-inch form factors, with densities up to 960 gigabytes ("GB"). Our enterprise SSDs are targeted at server applications and incorporate our Extended Performance and Enhanced Reliability Technology (XPERT) architecture, which closely incorporates the storage and controller through highly optimized firmware algorithms and hardware enhancements. The end result is a set of market-focused enterprise features that deliver ultra-low latencies, improved data transfer time, power-loss protection and cost-effectiveness, along with higher capacities and power efficiency. We offer enterprise SSDs with capacities up to 1.4 terabytes. We expect that demand for both client and enterprise SSDs will continue to increase significantly over the next several years.</w:t>
      </w:r>
    </w:p>
    <w:p>
      <w:pPr>
        <w:spacing w:after="0" w:line="18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also offer managed NAND and NAND-based multichip packages ("MCPs") products, which incorporate our NAND Flash. Our managed NAND products combine NAND Flash with a logic controller that performs media management and error code correction ("ECC"), which provides reduced ECC complexity, better system performance, improved reliability, easy integration, and lower overall system costs. Our managed NAND products include e-MMC memory, embedded USB, and ClearNAND. Our NAND-based MCPs combine NAND Flash with DRAM and/or other memory devices in a single package, which improves overall functionality and performance while simplifying system design.</w:t>
      </w:r>
    </w:p>
    <w:p>
      <w:pPr>
        <w:spacing w:after="0" w:line="1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Through our Lexar® brand, we sell high-performance digital media products and other flash-based storage products through retail and OEM channels. Our digital media products include a variety of flash memory cards and JumpDrive™ products with a range of speeds, capacities and value-added features. We offer flash memory cards in a variety of speeds and capacities and in all major media formats, including: CompactFlash, Memory Stick and Secure Digital ("SD"). CompactFlash and Memory Stick products sold by us incorporate our patented controller technology. Other products, including SD memory cards and some JumpDrive products, incorporate third party controllers. We also manufacture products that are sold under other brand names and resell flash memory products that are purchased from other NAND Flash suppliers.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 Flash Memory</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NOR Flash products are electrically re-writeable, non-volatile semiconductor memory devices that retain content when power is turned off, offer fast read times due to random access capability and have execute-in-place ("XiP") capability that enables processors to read NOR Flash without first accessing RAM. These capabilities make NOR ideal for storing program code in wireless and embedded applications. Our NOR Flash sales were 9%, 12% and 18% of our total net sales for 2013, 2012 and 2011, respectively. NOR Flash products are sold by our MBU, EBU and CNBU segments.</w:t>
      </w:r>
    </w:p>
    <w:p>
      <w:pPr>
        <w:sectPr>
          <w:pgSz w:w="11900" w:h="16838" w:orient="portrait"/>
          <w:cols w:equalWidth="0" w:num="1">
            <w:col w:w="11400"/>
          </w:cols>
          <w:pgMar w:left="240" w:top="580" w:right="259" w:bottom="1440" w:gutter="0" w:footer="0" w:header="0"/>
        </w:sectPr>
      </w:pPr>
    </w:p>
    <w:bookmarkStart w:id="9" w:name="page10"/>
    <w:bookmarkEnd w:id="9"/>
    <w:p>
      <w:pPr>
        <w:ind w:right="60" w:firstLine="324"/>
        <w:spacing w:after="0" w:line="276" w:lineRule="auto"/>
        <w:rPr>
          <w:sz w:val="20"/>
          <w:szCs w:val="20"/>
          <w:color w:val="auto"/>
        </w:rPr>
      </w:pPr>
      <w:r>
        <w:rPr>
          <w:rFonts w:ascii="Arial" w:cs="Arial" w:eastAsia="Arial" w:hAnsi="Arial"/>
          <w:sz w:val="17"/>
          <w:szCs w:val="17"/>
          <w:color w:val="auto"/>
        </w:rPr>
        <w:t>We offer both parallel and serial interface NOR Flash products in a broad range of densities, packages and features. Our parallel NOR Flash products are constructed to meet the needs of the consumer electronics, industrial, wired and wireless communications, computing and automotive applications. These products offer high densities, XiP performance, architectural flexibility and proven reliability in rigorous industrial settings. Our serial NOR Flash products are designed to meet the needs of consumer electronics, industrial, automotive, wired and wireless communications and computing applications. These products offer industry-standard packaging, pinouts, command sets and chipset compatibility.</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Partnering Arrangements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partnering arrangements as of August 29, 2013: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jc w:val="center"/>
              <w:ind w:left="250"/>
              <w:spacing w:after="0"/>
              <w:rPr>
                <w:sz w:val="20"/>
                <w:szCs w:val="20"/>
                <w:color w:val="auto"/>
              </w:rPr>
            </w:pPr>
            <w:r>
              <w:rPr>
                <w:rFonts w:ascii="Arial" w:cs="Arial" w:eastAsia="Arial" w:hAnsi="Arial"/>
                <w:sz w:val="18"/>
                <w:szCs w:val="18"/>
                <w:b w:val="1"/>
                <w:bCs w:val="1"/>
                <w:color w:val="auto"/>
                <w:w w:val="98"/>
              </w:rPr>
              <w:t>Micron</w:t>
            </w:r>
          </w:p>
        </w:tc>
        <w:tc>
          <w:tcPr>
            <w:tcW w:w="10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Formed/</w:t>
            </w:r>
          </w:p>
        </w:tc>
        <w:tc>
          <w:tcPr>
            <w:tcW w:w="17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80" w:type="dxa"/>
            <w:vAlign w:val="bottom"/>
          </w:tcPr>
          <w:p>
            <w:pPr>
              <w:ind w:left="380"/>
              <w:spacing w:after="0"/>
              <w:rPr>
                <w:sz w:val="20"/>
                <w:szCs w:val="20"/>
                <w:color w:val="auto"/>
              </w:rPr>
            </w:pPr>
            <w:r>
              <w:rPr>
                <w:rFonts w:ascii="Arial" w:cs="Arial" w:eastAsia="Arial" w:hAnsi="Arial"/>
                <w:sz w:val="18"/>
                <w:szCs w:val="18"/>
                <w:b w:val="1"/>
                <w:bCs w:val="1"/>
                <w:color w:val="auto"/>
              </w:rPr>
              <w:t>Member or Partner</w:t>
            </w:r>
          </w:p>
        </w:tc>
        <w:tc>
          <w:tcPr>
            <w:tcW w:w="24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Ownership Interest</w:t>
            </w:r>
          </w:p>
        </w:tc>
        <w:tc>
          <w:tcPr>
            <w:tcW w:w="108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Acquired</w:t>
            </w:r>
          </w:p>
        </w:tc>
        <w:tc>
          <w:tcPr>
            <w:tcW w:w="1740" w:type="dxa"/>
            <w:vAlign w:val="bottom"/>
          </w:tcPr>
          <w:p>
            <w:pPr>
              <w:ind w:left="120"/>
              <w:spacing w:after="0"/>
              <w:rPr>
                <w:sz w:val="20"/>
                <w:szCs w:val="20"/>
                <w:color w:val="auto"/>
              </w:rPr>
            </w:pPr>
            <w:r>
              <w:rPr>
                <w:rFonts w:ascii="Arial" w:cs="Arial" w:eastAsia="Arial" w:hAnsi="Arial"/>
                <w:sz w:val="18"/>
                <w:szCs w:val="18"/>
                <w:b w:val="1"/>
                <w:bCs w:val="1"/>
                <w:color w:val="auto"/>
              </w:rPr>
              <w:t>Product Market</w:t>
            </w:r>
          </w:p>
        </w:tc>
      </w:tr>
      <w:tr>
        <w:trPr>
          <w:trHeight w:val="27"/>
        </w:trPr>
        <w:tc>
          <w:tcPr>
            <w:tcW w:w="2560" w:type="dxa"/>
            <w:vAlign w:val="bottom"/>
            <w:tcBorders>
              <w:bottom w:val="single" w:sz="8" w:color="auto"/>
            </w:tcBorders>
            <w:gridSpan w:val="2"/>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Entities</w:t>
            </w:r>
          </w:p>
        </w:tc>
        <w:tc>
          <w:tcPr>
            <w:tcW w:w="32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ind w:left="180"/>
              <w:spacing w:after="0"/>
              <w:rPr>
                <w:sz w:val="20"/>
                <w:szCs w:val="20"/>
                <w:color w:val="auto"/>
              </w:rPr>
            </w:pPr>
            <w:r>
              <w:rPr>
                <w:rFonts w:ascii="Arial" w:cs="Arial" w:eastAsia="Arial" w:hAnsi="Arial"/>
                <w:sz w:val="18"/>
                <w:szCs w:val="18"/>
                <w:color w:val="auto"/>
              </w:rPr>
              <w:t>IMFT</w:t>
            </w:r>
          </w:p>
        </w:tc>
        <w:tc>
          <w:tcPr>
            <w:tcW w:w="1400" w:type="dxa"/>
            <w:vAlign w:val="bottom"/>
          </w:tcPr>
          <w:p>
            <w:pPr>
              <w:jc w:val="right"/>
              <w:ind w:right="890"/>
              <w:spacing w:after="0"/>
              <w:rPr>
                <w:sz w:val="20"/>
                <w:szCs w:val="20"/>
                <w:color w:val="auto"/>
              </w:rPr>
            </w:pPr>
            <w:r>
              <w:rPr>
                <w:rFonts w:ascii="Arial" w:cs="Arial" w:eastAsia="Arial" w:hAnsi="Arial"/>
                <w:sz w:val="18"/>
                <w:szCs w:val="18"/>
                <w:color w:val="auto"/>
              </w:rPr>
              <w:t>(1)</w:t>
            </w:r>
          </w:p>
        </w:tc>
        <w:tc>
          <w:tcPr>
            <w:tcW w:w="3280" w:type="dxa"/>
            <w:vAlign w:val="bottom"/>
          </w:tcPr>
          <w:p>
            <w:pPr>
              <w:ind w:left="380"/>
              <w:spacing w:after="0"/>
              <w:rPr>
                <w:sz w:val="20"/>
                <w:szCs w:val="20"/>
                <w:color w:val="auto"/>
              </w:rPr>
            </w:pPr>
            <w:r>
              <w:rPr>
                <w:rFonts w:ascii="Arial" w:cs="Arial" w:eastAsia="Arial" w:hAnsi="Arial"/>
                <w:sz w:val="18"/>
                <w:szCs w:val="18"/>
                <w:color w:val="auto"/>
              </w:rPr>
              <w:t>Intel Corporation</w:t>
            </w:r>
          </w:p>
        </w:tc>
        <w:tc>
          <w:tcPr>
            <w:tcW w:w="2400" w:type="dxa"/>
            <w:vAlign w:val="bottom"/>
          </w:tcPr>
          <w:p>
            <w:pPr>
              <w:jc w:val="center"/>
              <w:ind w:left="250"/>
              <w:spacing w:after="0"/>
              <w:rPr>
                <w:sz w:val="20"/>
                <w:szCs w:val="20"/>
                <w:color w:val="auto"/>
              </w:rPr>
            </w:pPr>
            <w:r>
              <w:rPr>
                <w:rFonts w:ascii="Arial" w:cs="Arial" w:eastAsia="Arial" w:hAnsi="Arial"/>
                <w:sz w:val="18"/>
                <w:szCs w:val="18"/>
                <w:color w:val="auto"/>
                <w:w w:val="94"/>
              </w:rPr>
              <w:t>51%</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89"/>
              </w:rPr>
              <w:t>2006</w:t>
            </w:r>
          </w:p>
        </w:tc>
        <w:tc>
          <w:tcPr>
            <w:tcW w:w="1740" w:type="dxa"/>
            <w:vAlign w:val="bottom"/>
          </w:tcPr>
          <w:p>
            <w:pPr>
              <w:ind w:left="120"/>
              <w:spacing w:after="0"/>
              <w:rPr>
                <w:sz w:val="20"/>
                <w:szCs w:val="20"/>
                <w:color w:val="auto"/>
              </w:rPr>
            </w:pPr>
            <w:r>
              <w:rPr>
                <w:rFonts w:ascii="Arial" w:cs="Arial" w:eastAsia="Arial" w:hAnsi="Arial"/>
                <w:sz w:val="18"/>
                <w:szCs w:val="18"/>
                <w:color w:val="auto"/>
              </w:rPr>
              <w:t>NAND Flash</w:t>
            </w:r>
          </w:p>
        </w:tc>
      </w:tr>
      <w:tr>
        <w:trPr>
          <w:trHeight w:val="27"/>
        </w:trPr>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 Mask</w:t>
            </w:r>
          </w:p>
        </w:tc>
        <w:tc>
          <w:tcPr>
            <w:tcW w:w="14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(2)</w:t>
            </w:r>
          </w:p>
        </w:tc>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Photronics, Inc.</w:t>
            </w:r>
          </w:p>
        </w:tc>
        <w:tc>
          <w:tcPr>
            <w:tcW w:w="240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4"/>
              </w:rPr>
              <w:t>50%</w:t>
            </w:r>
          </w:p>
        </w:tc>
        <w:tc>
          <w:tcPr>
            <w:tcW w:w="108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2006</w:t>
            </w:r>
          </w:p>
        </w:tc>
        <w:tc>
          <w:tcPr>
            <w:tcW w:w="1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Photomasks</w:t>
            </w:r>
          </w:p>
        </w:tc>
      </w:tr>
      <w:tr>
        <w:trPr>
          <w:trHeight w:val="324"/>
        </w:trPr>
        <w:tc>
          <w:tcPr>
            <w:tcW w:w="2560" w:type="dxa"/>
            <w:vAlign w:val="bottom"/>
            <w:gridSpan w:val="2"/>
          </w:tcPr>
          <w:p>
            <w:pPr>
              <w:spacing w:after="0"/>
              <w:rPr>
                <w:sz w:val="24"/>
                <w:szCs w:val="24"/>
                <w:color w:val="auto"/>
              </w:rPr>
            </w:pPr>
          </w:p>
        </w:tc>
        <w:tc>
          <w:tcPr>
            <w:tcW w:w="3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Equity Method Investments</w:t>
            </w:r>
          </w:p>
        </w:tc>
        <w:tc>
          <w:tcPr>
            <w:tcW w:w="32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ind w:left="180"/>
              <w:spacing w:after="0"/>
              <w:rPr>
                <w:sz w:val="20"/>
                <w:szCs w:val="20"/>
                <w:color w:val="auto"/>
              </w:rPr>
            </w:pPr>
            <w:r>
              <w:rPr>
                <w:rFonts w:ascii="Arial" w:cs="Arial" w:eastAsia="Arial" w:hAnsi="Arial"/>
                <w:sz w:val="18"/>
                <w:szCs w:val="18"/>
                <w:color w:val="auto"/>
              </w:rPr>
              <w:t>Inotera</w:t>
            </w:r>
          </w:p>
        </w:tc>
        <w:tc>
          <w:tcPr>
            <w:tcW w:w="1400" w:type="dxa"/>
            <w:vAlign w:val="bottom"/>
          </w:tcPr>
          <w:p>
            <w:pPr>
              <w:jc w:val="right"/>
              <w:ind w:right="890"/>
              <w:spacing w:after="0"/>
              <w:rPr>
                <w:sz w:val="20"/>
                <w:szCs w:val="20"/>
                <w:color w:val="auto"/>
              </w:rPr>
            </w:pPr>
            <w:r>
              <w:rPr>
                <w:rFonts w:ascii="Arial" w:cs="Arial" w:eastAsia="Arial" w:hAnsi="Arial"/>
                <w:sz w:val="18"/>
                <w:szCs w:val="18"/>
                <w:color w:val="auto"/>
              </w:rPr>
              <w:t>(3)</w:t>
            </w:r>
          </w:p>
        </w:tc>
        <w:tc>
          <w:tcPr>
            <w:tcW w:w="3280" w:type="dxa"/>
            <w:vAlign w:val="bottom"/>
          </w:tcPr>
          <w:p>
            <w:pPr>
              <w:ind w:left="380"/>
              <w:spacing w:after="0"/>
              <w:rPr>
                <w:sz w:val="20"/>
                <w:szCs w:val="20"/>
                <w:color w:val="auto"/>
              </w:rPr>
            </w:pPr>
            <w:r>
              <w:rPr>
                <w:rFonts w:ascii="Arial" w:cs="Arial" w:eastAsia="Arial" w:hAnsi="Arial"/>
                <w:sz w:val="18"/>
                <w:szCs w:val="18"/>
                <w:color w:val="auto"/>
              </w:rPr>
              <w:t>Nanya Technology Corporation</w:t>
            </w:r>
          </w:p>
        </w:tc>
        <w:tc>
          <w:tcPr>
            <w:tcW w:w="2400" w:type="dxa"/>
            <w:vAlign w:val="bottom"/>
          </w:tcPr>
          <w:p>
            <w:pPr>
              <w:jc w:val="center"/>
              <w:ind w:left="250"/>
              <w:spacing w:after="0"/>
              <w:rPr>
                <w:sz w:val="20"/>
                <w:szCs w:val="20"/>
                <w:color w:val="auto"/>
              </w:rPr>
            </w:pPr>
            <w:r>
              <w:rPr>
                <w:rFonts w:ascii="Arial" w:cs="Arial" w:eastAsia="Arial" w:hAnsi="Arial"/>
                <w:sz w:val="18"/>
                <w:szCs w:val="18"/>
                <w:color w:val="auto"/>
                <w:w w:val="94"/>
              </w:rPr>
              <w:t>35%</w:t>
            </w:r>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89"/>
              </w:rPr>
              <w:t>2009</w:t>
            </w:r>
          </w:p>
        </w:tc>
        <w:tc>
          <w:tcPr>
            <w:tcW w:w="1740" w:type="dxa"/>
            <w:vAlign w:val="bottom"/>
          </w:tcPr>
          <w:p>
            <w:pPr>
              <w:ind w:left="120"/>
              <w:spacing w:after="0"/>
              <w:rPr>
                <w:sz w:val="20"/>
                <w:szCs w:val="20"/>
                <w:color w:val="auto"/>
              </w:rPr>
            </w:pPr>
            <w:r>
              <w:rPr>
                <w:rFonts w:ascii="Arial" w:cs="Arial" w:eastAsia="Arial" w:hAnsi="Arial"/>
                <w:sz w:val="18"/>
                <w:szCs w:val="18"/>
                <w:color w:val="auto"/>
              </w:rPr>
              <w:t>DRAM</w:t>
            </w:r>
          </w:p>
        </w:tc>
      </w:tr>
      <w:tr>
        <w:trPr>
          <w:trHeight w:val="27"/>
        </w:trPr>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Tera Probe</w:t>
            </w:r>
          </w:p>
        </w:tc>
        <w:tc>
          <w:tcPr>
            <w:tcW w:w="14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w:t>
            </w:r>
          </w:p>
        </w:tc>
        <w:tc>
          <w:tcPr>
            <w:tcW w:w="3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Various</w:t>
            </w:r>
          </w:p>
        </w:tc>
        <w:tc>
          <w:tcPr>
            <w:tcW w:w="24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4"/>
              </w:rPr>
              <w:t>40%</w:t>
            </w:r>
          </w:p>
        </w:tc>
        <w:tc>
          <w:tcPr>
            <w:tcW w:w="10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2013</w:t>
            </w:r>
          </w:p>
        </w:tc>
        <w:tc>
          <w:tcPr>
            <w:tcW w:w="1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Wafer Probe</w:t>
            </w:r>
          </w:p>
        </w:tc>
      </w:tr>
      <w:tr>
        <w:trPr>
          <w:trHeight w:val="27"/>
        </w:trPr>
        <w:tc>
          <w:tcPr>
            <w:tcW w:w="1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line="27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IMFT: </w:t>
      </w:r>
      <w:r>
        <w:rPr>
          <w:rFonts w:ascii="Arial" w:cs="Arial" w:eastAsia="Arial" w:hAnsi="Arial"/>
          <w:sz w:val="17"/>
          <w:szCs w:val="17"/>
          <w:color w:val="auto"/>
        </w:rPr>
        <w:t>We partner with Intel for the design, development and manufacture of NAND Flash and certain emerging memory products. In connection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therewith, we formed a joint venture with Intel, IM Flash Technologies, LLC ("IMFT"), to manufacture NAND Flash memory products for the exclusive use of the members. The members share the output of IMFT generally in proportion to their investment. We sell NAND Flash products to Intel through IMFT at long-term negotiated prices approximating cost. We generally share product design and other research and development costs for NAND Flash and certain emerging memory technologies equally with Intel. (See "Item 8. Financial Statements and Supplementary Data – Notes to Consolidated Financial Statements – Consolidated Variable Interest Entities – IM Flash" note.)</w:t>
      </w:r>
    </w:p>
    <w:p>
      <w:pPr>
        <w:spacing w:after="0" w:line="178" w:lineRule="exact"/>
        <w:rPr>
          <w:rFonts w:ascii="Arial" w:cs="Arial" w:eastAsia="Arial" w:hAnsi="Arial"/>
          <w:sz w:val="17"/>
          <w:szCs w:val="17"/>
          <w:color w:val="auto"/>
        </w:rPr>
      </w:pPr>
    </w:p>
    <w:p>
      <w:pPr>
        <w:ind w:left="660" w:right="36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MP Mask: </w:t>
      </w:r>
      <w:r>
        <w:rPr>
          <w:rFonts w:ascii="Arial" w:cs="Arial" w:eastAsia="Arial" w:hAnsi="Arial"/>
          <w:sz w:val="17"/>
          <w:szCs w:val="17"/>
          <w:color w:val="auto"/>
        </w:rPr>
        <w:t>We produce photomasks for leading-edge and advanced next generation semiconductors through MP Mask Technology Center,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("MP Mask"), a joint venture with Photronics, Inc. ("Photronics"). We and Photronics also have supply arrangements wherein we purchase a substantial majority of the reticles produced by MP Mask. (See "Item 8. Financial Statements and Supplementary Data – Notes to Consolidated Financial Statements – Consolidated Variable Interest Entities – MP Mask" note.)</w:t>
      </w:r>
    </w:p>
    <w:p>
      <w:pPr>
        <w:spacing w:after="0" w:line="171" w:lineRule="exact"/>
        <w:rPr>
          <w:rFonts w:ascii="Arial" w:cs="Arial" w:eastAsia="Arial" w:hAnsi="Arial"/>
          <w:sz w:val="17"/>
          <w:szCs w:val="17"/>
          <w:color w:val="auto"/>
        </w:rPr>
      </w:pPr>
    </w:p>
    <w:p>
      <w:pPr>
        <w:ind w:left="660" w:right="40" w:hanging="328"/>
        <w:spacing w:after="0" w:line="27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Inotera: </w:t>
      </w:r>
      <w:r>
        <w:rPr>
          <w:rFonts w:ascii="Arial" w:cs="Arial" w:eastAsia="Arial" w:hAnsi="Arial"/>
          <w:sz w:val="17"/>
          <w:szCs w:val="17"/>
          <w:color w:val="auto"/>
        </w:rPr>
        <w:t>We partner with Nanya Technology Corporation ("Nanya") for the manufacture of DRAM products, and through December 2012, the joint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of DRAM process technology. In connection therewith, we have partnered with Nanya in a DRAM memory company in Taiwan, Inotera Memories, Inc. ("Inotera"). Through December 2012, we had a supply agreement with Inotera and Nanya which gave us the right and obligation to purchase 50% of Inotera's semiconductor memory capacity subject to specific terms and conditions. Under the formula for this supply agreement, all parties' manufacturing costs related to wafers supplied by Inotera, as well as our and Nanya's revenue for the resale of products from wafers supplied by Inotera, were considered in determining costs for wafers purchased by us from Inotera. Effective beginning January 2013, we are obligated to purchase for an initial period through January 2016, substantially all of Inotera's output at a purchase price based on a discount from market prices for our comparable components.</w:t>
      </w:r>
    </w:p>
    <w:p>
      <w:pPr>
        <w:spacing w:after="0" w:line="178" w:lineRule="exact"/>
        <w:rPr>
          <w:rFonts w:ascii="Arial" w:cs="Arial" w:eastAsia="Arial" w:hAnsi="Arial"/>
          <w:sz w:val="17"/>
          <w:szCs w:val="17"/>
          <w:color w:val="auto"/>
        </w:rPr>
      </w:pPr>
    </w:p>
    <w:p>
      <w:pPr>
        <w:ind w:left="660" w:right="60"/>
        <w:spacing w:after="0" w:line="293" w:lineRule="auto"/>
        <w:rPr>
          <w:rFonts w:ascii="Arial" w:cs="Arial" w:eastAsia="Arial" w:hAnsi="Arial"/>
          <w:sz w:val="17"/>
          <w:szCs w:val="17"/>
          <w:color w:val="auto"/>
        </w:rPr>
      </w:pPr>
      <w:r>
        <w:rPr>
          <w:rFonts w:ascii="Arial" w:cs="Arial" w:eastAsia="Arial" w:hAnsi="Arial"/>
          <w:sz w:val="16"/>
          <w:szCs w:val="16"/>
          <w:color w:val="auto"/>
        </w:rPr>
        <w:t>In connection with the partnering agreement, we have also deployed and licensed certain intellectual property related to the manufacture of DRAM products to Nanya and licensed certain intellectual property from Nanya. Through December 2012, we partnered with Nanya to jointly develop process technology and designs to manufacture DRAM products under a cost-sharing arrangement effective beginning in April 2010, under which we shared DRAM development costs with Nanya. Effective beginning January 2013, Nanya ceased participating in the joint development program. We receive royalties from Nanya for sales of DRAM products manufactured by or for Nanya with technology developed prior to April 2010. (See "Item 8. Financial Statements and Supplementary Data – Notes to Consolidated Financial Statements – Equity Method Investments – Inotera" note.)</w:t>
      </w:r>
    </w:p>
    <w:p>
      <w:pPr>
        <w:sectPr>
          <w:pgSz w:w="11900" w:h="16838" w:orient="portrait"/>
          <w:cols w:equalWidth="0" w:num="1">
            <w:col w:w="11400"/>
          </w:cols>
          <w:pgMar w:left="240" w:top="584" w:right="259" w:bottom="1440" w:gutter="0" w:footer="0" w:header="0"/>
        </w:sectPr>
      </w:pPr>
    </w:p>
    <w:bookmarkStart w:id="10" w:name="page11"/>
    <w:bookmarkEnd w:id="10"/>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Tera Probe: </w:t>
      </w:r>
      <w:r>
        <w:rPr>
          <w:rFonts w:ascii="Arial" w:cs="Arial" w:eastAsia="Arial" w:hAnsi="Arial"/>
          <w:sz w:val="18"/>
          <w:szCs w:val="18"/>
          <w:color w:val="auto"/>
        </w:rPr>
        <w:t>We have an approximate 40% ownership in Tera Probe, Inc., an entity that provides semiconductor probe and test services. Tera Probe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wafer probe services for our Elpida and Rexchip subsidiaries.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21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manufacturing facilities are located in the United States, China, Israel, Japan, Malaysia, Puerto Rico, Singapore and Taiwan. Our Inotera joint venture also has a wafer fabrication facility in Taiwan. In September 2013, we entered into an agreement to sell our 200mm wafer fabrication equipment in Kiryat Gat, Israel to Intel and to terminate the related facility lease with Intel. If this transaction is completed, Intel will manufacture wafers for us at the Kiryat Gat facility through 2014 through a series of arrangements. In 2011, we sold our wafer fabrication facility in Japan to Tower Semiconductor Ltd. ("Tower") and entered into a supply agreement for Tower to manufacture products for us in the facility through approximately May 2014. Our manufacturing facilities generally operate 24 hours per day, 7 days per week. Semiconductor manufacturing is extremely capital intensive, requiring large investments in sophisticated facilities and equipment. A significant portion of our semiconductor equipment is replaced every three to five years with increasingly advanced equipment. NAND Flash, DRAM and NOR Flash products share common manufacturing processes, enabling us to leverage our product and process technologies and manufacturing infrastructure across these product lines.</w:t>
      </w:r>
    </w:p>
    <w:p>
      <w:pPr>
        <w:spacing w:after="0" w:line="182"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Our process for manufacturing semiconductor products is complex, involving a number of precise steps, including wafer fabrication, assembly and test. Efficient production of semiconductor products requires utilization of advanced semiconductor manufacturing techniques and effective deployment of these techniques across multiple facilities. The primary determinants of manufacturing cost are process line-width, number of mask layers, number of fabrication steps and number of good die produced on each wafer. Other factors that contribute to manufacturing costs are wafer size, cost and sophistication of manufacturing equipment, equipment utilization, process complexity, cost of raw materials, labor productivity, package type and cleanliness of the manufacturing environment. We continuously enhance our production processes, reducing die sizes and transitioning to higher density products. In 2013, the majority of our DRAM production was manufactured on 30nm line-width process technology. In connection with our acquisition of Elpida, we expect in 2014 that a significant portion of our DRAM production will be manufactured on 25nm line-width process technology. In the fourth quarter of 2013, a majority of our NAND Flash memory products were manufactured on our 20nm line-width process technology. We expect to begin transitioning our NAND Flash production to our 16nm line-width process technology in 2014. Our NOR Flash memory products in 2013 were manufactured on our 65nm and 45nm line-width process technologies. We manufacture all of our high-volume NAND Flash and DRAM products on 300mm wafers. In 2013, we manufactured NOR Flash, some specialty DRAM and non-memory products on 200mm wafers.</w:t>
      </w:r>
    </w:p>
    <w:p>
      <w:pPr>
        <w:spacing w:after="0" w:line="180"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Wafer fabrication occurs in a highly controlled, clean environment to minimize dust and other yield- and quality-limiting contaminants. Despite stringent manufacturing controls, equipment errors, minute impurities in materials, defects in photomasks, circuit design marginalities or defects and dust particles can lead to wafers being scrapped and individual circuits being nonfunctional. Success of our manufacturing operations depends largely on minimizing defects to maximize yield of high-quality circuits. In this regard, we employ rigorous quality controls throughout the manufacturing, screening and testing processes. We are able to recover certain devices by testing and grading them to their highest level of functionality.</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test our products at various stages in the manufacturing process, perform high temperature burn-in on finished products and conduct numerous quality control inspections throughout the entire production flow. In addition, we use our proprietary AMBYX™ line of intelligent test and burn-in systems to perform simultaneous circuit tests of semiconductor memory die during the burn-in process, capturing quality and reliability data and reducing testing time and cost.</w:t>
      </w:r>
    </w:p>
    <w:p>
      <w:pPr>
        <w:spacing w:after="0" w:line="18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sell semiconductor products in both packaged and unpackaged (i.e. "bare die") forms. Our packaged products include memory modules, MCP's, managed NAND, SSDs, memory cards and USB devices. We assemble many products in-house and, in some cases, we outsource assembly services where we can reduce costs and minimize our capital investment. We contract with independent foundries and assembly and testing organizations to manufacture NAND Flash media products such as memory cards and USB devices.</w:t>
      </w:r>
    </w:p>
    <w:p>
      <w:pPr>
        <w:spacing w:after="0" w:line="18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recent years, we have produced an increasingly broad portfolio of products, which enhances our ability to allocate resources to our most profitable products but also increases the complexity of our manufacturing operations. Although our product lines generally use similar manufacturing processes, our overall cost efficiency can be affected by frequent conversions to new products, the allocation of manufacturing capacity to more complex, smaller-volume parts and the reallocation of manufacturing capacity across various product lines.</w:t>
      </w:r>
    </w:p>
    <w:p>
      <w:pPr>
        <w:sectPr>
          <w:pgSz w:w="11900" w:h="16838" w:orient="portrait"/>
          <w:cols w:equalWidth="0" w:num="1">
            <w:col w:w="11400"/>
          </w:cols>
          <w:pgMar w:left="240" w:top="800" w:right="2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Availability of Raw Materials</w:t>
      </w:r>
    </w:p>
    <w:p>
      <w:pPr>
        <w:spacing w:after="0" w:line="21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operations require raw materials that meet exacting standards. We generally have multiple sources of supply for our raw materials. However, only a limited number of suppliers are capable of delivering certain raw materials that meet our standards. In some cases, materials are provided by a single supplier. Various factors could reduce the availability of raw materials such as silicon wafers, photomasks, chemicals, gases including helium, photoresist,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 and Customers</w:t>
      </w:r>
    </w:p>
    <w:p>
      <w:pPr>
        <w:spacing w:after="0" w:line="21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products are sold into computing, consumer, networking, telecommunications, automotive, industrial, and mobile markets. Market concentrations from 2013 net sales were approximately as follows: computing (including desktop PCs, servers, notebooks and workstations), 30%; mobile, 15%; consumer electronics, 15%; SSDs, 15% and networking and storage, 10%. Sales to Intel, primarily NAND Flash products through IM Flash, were 10% of our net sales in 2013, 12% of our net sales in 2012, and 10% of our net sales in 2011. Sales to Hewlett-Packard Company, primarily of DRAM, were 10% of our net sales in 2013, 8% of our net sales in 2012 and 9% of our net sales in 2011. We expect that our acquisition of Elpida will increase our concentration of sales to mobile, graphics and computing markets in 2014.</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semiconductor memory products are offered under the Micron, Lexar®, Crucial™, SpecTek® and Elpida brand names and private labels. We market our semiconductor memory products primarily through our own direct sales force and maintain sales or representative offices in our primary markets around the world. We sell Lexar-branded NAND Flash memory products primarily through retail channels and our Crucial-branded products through a web-based customer direct sales channel as well as channel and distribution partners. Our products are also offered through independent sales representatives and distributors. Independent sales representatives obtain orders subject to final acceptance by us and are compensated on a commission basis. We make shipments against these orders directly to the customer. Distributors carry our products in inventory and typically sell a variety of other semiconductor products, including competitors' products. We maintain inventory at locations in close proximity to certain key customers to facilitate rapid delivery of products. Many of our customers require a thorough review or qualification of semiconductor products, which may take several months.</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Backlog</w:t>
      </w:r>
    </w:p>
    <w:p>
      <w:pPr>
        <w:spacing w:after="0" w:line="21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Because of volatile industry conditions, customers are reluctant to enter into long-term, fixed-price contracts. Accordingly, new order volumes for our semiconductor products fluctuate significantly. We typically accept orders with acknowledgment that the terms may be adjusted to reflect market conditions at the date of shipment. For these reasons, we do not believe that our order backlog as of any particular date is a reliable indicator of actual sales for any succeeding period.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Warranty</w:t>
      </w:r>
    </w:p>
    <w:p>
      <w:pPr>
        <w:spacing w:after="0" w:line="21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Because the design and manufacturing process for semiconductor products is highly complex, it is possible that we may produce products that do not comply with customer specifications, contain defects or are otherwise incompatible with end uses. In accordance with industry practice, we generally provide a limited warranty that our products are in compliance with our specifications existing at the time of delivery. Under our general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general terms and conditions.</w:t>
      </w:r>
    </w:p>
    <w:p>
      <w:pPr>
        <w:sectPr>
          <w:pgSz w:w="11900" w:h="16838" w:orient="portrait"/>
          <w:cols w:equalWidth="0" w:num="1">
            <w:col w:w="11400"/>
          </w:cols>
          <w:pgMar w:left="240" w:top="585" w:right="25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Competition</w:t>
      </w:r>
    </w:p>
    <w:p>
      <w:pPr>
        <w:spacing w:after="0" w:line="21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Samsung Electronics Co., Ltd.; SanDisk Corporation; SK Hynix Inc.; Spansion Inc. and Toshiba Corporation.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resulting in significantly increased worldwide supply and downward pressure on prices. Many of our high-volume memory products are manufactured to industry standard specifications and as such have similar performance characteristics to those of our competitors. For these high-volume memory products, the principal competitive factors are generally price and performance characteristics including: operating speed, power consumption, reliability, compatibility, size and form factors. For our other memory products, the aforementioned performance characteristics generally take precedence to pricing.</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1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Our process technology R&amp;D efforts are focused primarily on development of successively smaller line-width process technologies, as well as new fundamentally different memory structures, materials and packages, which are designed to facilitate our transition to next generation memory products. Additional process technology R&amp;D efforts focus on the enablement of advanced computing and mobile memory architectures, the investigation of new opportunities that leverage our core semiconductor expertise and the development of new manufacturing materials. Product design and development efforts include our high density DDR3 and DDR4 DRAM and Mobile Low Power DDR DRAM products as well as high density and mobile NAND Flash memory (including MLC and TLC technologies), NOR Flash memory, specialty memory, SSDs</w:t>
      </w:r>
      <w:r>
        <w:rPr>
          <w:rFonts w:ascii="Arial" w:cs="Arial" w:eastAsia="Arial" w:hAnsi="Arial"/>
          <w:sz w:val="16"/>
          <w:szCs w:val="16"/>
          <w:b w:val="1"/>
          <w:bCs w:val="1"/>
          <w:color w:val="auto"/>
        </w:rPr>
        <w:t>,</w:t>
      </w:r>
      <w:r>
        <w:rPr>
          <w:rFonts w:ascii="Arial" w:cs="Arial" w:eastAsia="Arial" w:hAnsi="Arial"/>
          <w:sz w:val="16"/>
          <w:szCs w:val="16"/>
          <w:color w:val="auto"/>
        </w:rPr>
        <w:t xml:space="preserve"> hybrid memory cubes and other memory technologies and systems.</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R&amp;D expenses were $931 million, $918 million and $791 million in 2013, 2012 and 2011, respectively. We generally share R&amp;D process and design costs for NAND Flash with Intel. We also share R&amp;D costs for certain emerging memory technologies with Intel. We generally shared R&amp;D process and design costs for DRAM with Nanya through December 2012, when our cost-sharing agreement was terminated. As a result of reimbursements under our Intel and Nanya cost-sharing arrangements, our overall R&amp;D expenses were reduced by $146 million, $225 million and $236 million in 2013, 2012 and 2011, respectively.</w:t>
      </w:r>
    </w:p>
    <w:p>
      <w:pPr>
        <w:spacing w:after="0" w:line="188"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To compete in the semiconductor memory industry, we must continue to develop technologically advanced products and processes. We believe that expansion of our semiconductor product offerings is necessary to meet expected market demand for specific memory solutions. Our process, design and package development efforts occur at multiple locations across the world, with our largest R&amp;D centers located in Boise, Idaho and Hiroshima, Japan. Our largest design center is also located at our corporate headquarters in Boise, Idaho. We have several additional product design centers in other strategic locations around the world. In 2012, we commenced operation of our new R&amp;D facility in Boise, which was designed to accommodate 450mm wafer manufacturing. In addition, we develop photolithography mask technology at our MP Mask joint venture facility in Boise.</w:t>
      </w:r>
    </w:p>
    <w:p>
      <w:pPr>
        <w:spacing w:after="0" w:line="16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our products, we typically begin to process wafers before completion of performance and reliability testing. We deem development of a product complete once the product has been thoroughly reviewed and tested for performance and reliability. R&amp;D expenses can vary significantly depending on the timing of product qualification.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Information</w:t>
      </w:r>
    </w:p>
    <w:p>
      <w:pPr>
        <w:spacing w:after="0" w:line="21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Sales to customers outside the United States totaled $7.6 billion for 2013 and included $3.8 billion in sales in China, $980 million in sales in Taiwan, $820 million in sales in Europe, $193 million in sales in Malaysia and $1.3 billion in sales in the rest of the Asia Pacific region (excluding China, Malaysia and Taiwan). Sales to customers outside the United States totaled $7.0 billion for 2012 and $7.4 billion for 2011. As of August 29, 2013, we had net property, plant and equipment of $3.2 billion in Singapore, $3.0 billion in the United States, $615 million in Japan, $350 million in China, $307 million in Taiwan, $28 million in Israel, $18 million in Italy and $42 million in other countries. (See "Item 8. Financial Statements and Supplementary Data –Notes to Consolidated Financial Statements – Geographic Information" note and "Item 1A. Risk Factors.")</w:t>
      </w:r>
    </w:p>
    <w:p>
      <w:pPr>
        <w:sectPr>
          <w:pgSz w:w="11900" w:h="16838" w:orient="portrait"/>
          <w:cols w:equalWidth="0" w:num="1">
            <w:col w:w="11400"/>
          </w:cols>
          <w:pgMar w:left="240" w:top="585" w:right="25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Patents and Licenses</w:t>
      </w:r>
    </w:p>
    <w:p>
      <w:pPr>
        <w:spacing w:after="0" w:line="2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recent years, we have been recognized as a leader in per capita and quality of patents issued. As of August 29, 2013, we owned approximately 16,200 U.S. patents and 3,700 foreign patents. In addition, we have numerous U.S. and foreign patent applications pending. Our patents have various terms expiring through 2032.</w:t>
      </w:r>
    </w:p>
    <w:p>
      <w:pPr>
        <w:spacing w:after="0" w:line="181"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patent licenses or renew existing license agreements in the future and we may enter into additional sales or licenses of intellectual property and potential partnering arrangements. We are unable to predict whether these license agreements can be obtained or renewed on acceptable terms.</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1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of August 29, 2013, we had approximately 30,900 employees, of which approximately 19,600 were outside the United States, including approximately 7,500 in Singapore, 3,700 in Japan, 2,700 in China, 2,100 in Taiwan, 1,100 in Italy, 1,000 in Israel and 1,000 in Malaysia. Our employees include approximately 1,700 in our IMFT joint venture, primarily located in the United States and 5,700 from our acquisition of Elpida and Rexchip, primarily located in Japan and Taiwan. In September 2013, we entered into an agreement to sell our 200mm wafer fabrication equipment in Kiryat Gat, Israel to Intel and to terminate the related facility lease with Intel. If this transaction is completed, most of our employees in Israel will terminate their employment with us and be transferred to Intel. As of August 29, 2013, we do not anticipate incurring any significant additional costs for this restructure activity. Our employment levels can vary depending on market conditions and the level of our production, research and product and process development. Many of our employees are highly skilled and our continued success depends in part upon our ability to attract and retain such employees. The loss of key personnel could have a material adverse effect on our business, results of operations or financial condition.</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Compliance</w:t>
      </w:r>
    </w:p>
    <w:p>
      <w:pPr>
        <w:spacing w:after="0" w:line="21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Government regulations impose various environmental controls on raw materials and discharges, emissions and solid wastes from our manufacturing processes. In 2013, our wafer fabrication facilities continued to conform to the requirements of ISO 14001 certification. To continue certification, we met annual requirements in environmental policy, compliance, planning, management, structure and responsibility, training, communication, document control, operational control, emergency preparedness and response, record keeping and management review. While we have not experienced any material adverse effects to our operations from environmental regulations, changes in the regulations could necessitate additional capital expenditures, modification of our operations or other compliance actions.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Executive Officers of the Registrant</w:t>
      </w:r>
    </w:p>
    <w:p>
      <w:pPr>
        <w:spacing w:after="0" w:line="21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officers are appointed annually by the Board of Directors and our directors are elected annually by our shareholders.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ectPr>
          <w:pgSz w:w="11900" w:h="16838" w:orient="portrait"/>
          <w:cols w:equalWidth="0" w:num="1">
            <w:col w:w="11400"/>
          </w:cols>
          <w:pgMar w:left="240" w:top="1017" w:right="259" w:bottom="1440" w:gutter="0" w:footer="0" w:header="0"/>
        </w:sectPr>
      </w:pPr>
    </w:p>
    <w:bookmarkStart w:id="14" w:name="page15"/>
    <w:bookmarkEnd w:id="14"/>
    <w:p>
      <w:pPr>
        <w:ind w:right="580" w:firstLine="324"/>
        <w:spacing w:after="0" w:line="277" w:lineRule="auto"/>
        <w:rPr>
          <w:sz w:val="20"/>
          <w:szCs w:val="20"/>
          <w:color w:val="auto"/>
        </w:rPr>
      </w:pPr>
      <w:r>
        <w:rPr>
          <w:rFonts w:ascii="Arial" w:cs="Arial" w:eastAsia="Arial" w:hAnsi="Arial"/>
          <w:sz w:val="18"/>
          <w:szCs w:val="18"/>
          <w:color w:val="auto"/>
        </w:rPr>
        <w:t>As of August 29, 2013, the following executive officers and directors were subject to the reporting requirements of Section 16(a) of the Securities Exchange Act of 1934, as amended.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Scott J. DeBoer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1"/>
                <w:szCs w:val="21"/>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Vice President of Research &amp; Development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Mark Durcan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 and Chief Executive Officer</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Thomas T. Eby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1"/>
                <w:szCs w:val="21"/>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Vice President of Embedded Solutions</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Vice President of Finance and Chief Financial Officer</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Glen W. Hawk</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1"/>
                <w:szCs w:val="21"/>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Vice President of NAND Solutions</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Roderic W. Lewis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Vice President of Legal Affairs, General Counsel and Corporate Secretary</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Patrick T. Otte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1"/>
                <w:szCs w:val="21"/>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Vice President of Human Resources</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J. Rayfield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Vice President of Wireless Solutions</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Michael W. Sadler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Vice President of Corporate Development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J. Shields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Vice President of Worldwide Operations</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1"/>
                <w:szCs w:val="21"/>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Vice President of DRAM Solutions</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Vice President of Worldwide Sales and Corporate Marketing</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Robert L. Bailey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Beyer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Patrick J. Byrne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1"/>
                <w:szCs w:val="21"/>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Warren A. East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Lawrence N. Mondry</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21"/>
                <w:szCs w:val="21"/>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Chairman</w:t>
            </w:r>
          </w:p>
        </w:tc>
      </w:tr>
    </w:tbl>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i w:val="1"/>
          <w:iCs w:val="1"/>
          <w:color w:val="auto"/>
        </w:rPr>
        <w:t xml:space="preserve">Mark W. Adams </w:t>
      </w:r>
      <w:r>
        <w:rPr>
          <w:rFonts w:ascii="Arial" w:cs="Arial" w:eastAsia="Arial" w:hAnsi="Arial"/>
          <w:sz w:val="16"/>
          <w:szCs w:val="16"/>
          <w:color w:val="auto"/>
        </w:rPr>
        <w:t>joined us in June 2006 and served as our Vice President of Digital Media and Vice President of Worldwide Sales before being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our President in February 2012. From January 2006, until he joined us, Mr. Adams was the Chief Operating Officer of Lexar Media, Inc. Mr. Adams served as the Vice President of Sales and Marketing for Creative Labs, Inc. from December 2002 to January 2006. From March 2000 to September 2002, Mr. Adams was the Chief Executive Officer of Coresma, Inc. Mr. Adams holds a BA in Economics from Boston College and an MBA from Harvard Business School.</w:t>
      </w:r>
    </w:p>
    <w:p>
      <w:pPr>
        <w:spacing w:after="0" w:line="154"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i w:val="1"/>
          <w:iCs w:val="1"/>
          <w:color w:val="auto"/>
        </w:rPr>
        <w:t xml:space="preserve">Scott J. DeBoer </w:t>
      </w:r>
      <w:r>
        <w:rPr>
          <w:rFonts w:ascii="Arial" w:cs="Arial" w:eastAsia="Arial" w:hAnsi="Arial"/>
          <w:sz w:val="17"/>
          <w:szCs w:val="17"/>
          <w:color w:val="auto"/>
        </w:rPr>
        <w:t>joined us in February 1995 as a process development engineer and has served in various leadership positions since that time. Dr. DeBoer</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officer in May 2007 and in January 2013 he was appointed our Vice President of Research &amp; Development. Dr. DeBoer holds a PhD in Electrical Engineering and a MS in Physics from Iowa State University. He completed his undergraduate degree at Hastings College.</w:t>
      </w:r>
    </w:p>
    <w:p>
      <w:pPr>
        <w:spacing w:after="0" w:line="166"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us in June 1984 and has served in various positions since that time. Mr. Durcan was appointed our Chief Operating Officer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2006, President in June 2007 and Director and Chief Executive Officer in February 2012. Mr. Durcan has been an officer since 1996. Mr. Durcan holds a BS and MChE in Chemical Engineering from Rice University. Mr. Durcan has served on our Board of Directors since February 2012.</w:t>
      </w:r>
    </w:p>
    <w:p>
      <w:pPr>
        <w:spacing w:after="0" w:line="14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 xml:space="preserve">Thomas T. Eby </w:t>
      </w:r>
      <w:r>
        <w:rPr>
          <w:rFonts w:ascii="Arial" w:cs="Arial" w:eastAsia="Arial" w:hAnsi="Arial"/>
          <w:sz w:val="17"/>
          <w:szCs w:val="17"/>
          <w:color w:val="auto"/>
        </w:rPr>
        <w:t>joined us in September 2010 and serves as our Vice President of Embedded Solutions. Mr. Eby was with Spansion Inc. from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2005 to September 2010 where he held leading roles in strategy and communications, sales and marketing, and integration. He was also the General Manager and Executive Vice President of Spansion's embedded group. Mr. Eby previously held a variety of positions in sales and marketing and strategy with AMD. Mr. Eby holds a BS degree in Electrical Engineering and Computer Science from Princeton University.</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 xml:space="preserve">Ronald C. Foster </w:t>
      </w:r>
      <w:r>
        <w:rPr>
          <w:rFonts w:ascii="Arial" w:cs="Arial" w:eastAsia="Arial" w:hAnsi="Arial"/>
          <w:sz w:val="18"/>
          <w:szCs w:val="18"/>
          <w:color w:val="auto"/>
        </w:rPr>
        <w:t>joined us in April 2008 and is the Chief Financial Officer and Vice President of Finance. He was appointed to his current position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after serving as a member of the Company’s Board of Directors from June 2004 to April 2005. Before joining Micron, Mr. Foster was the Chief Financial Officer of FormFactor, Inc. He previously served as the Chief Financial Officer for JDS Uniphase, Inc., and Novell, Inc. Mr. Foster holds a BA in Economics from Whitman College and an MBA from the University of Chicago.</w:t>
      </w:r>
    </w:p>
    <w:p>
      <w:pPr>
        <w:spacing w:after="0" w:line="187"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i w:val="1"/>
          <w:iCs w:val="1"/>
          <w:color w:val="auto"/>
        </w:rPr>
        <w:t xml:space="preserve">Glen W. Hawk </w:t>
      </w:r>
      <w:r>
        <w:rPr>
          <w:rFonts w:ascii="Arial" w:cs="Arial" w:eastAsia="Arial" w:hAnsi="Arial"/>
          <w:sz w:val="16"/>
          <w:szCs w:val="16"/>
          <w:color w:val="auto"/>
        </w:rPr>
        <w:t>joined us in May 2010 and serves as our Vice President of NAND Solutions. Mr. Hawk served as the Vice President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Manager of the Embedded Business Group for Numonyx from 2008 to May 2010. Prior to Numonyx, Mr. Hawk served as General Manager of the Flash Product Group for Intel Corporation. Mr. Hawk holds a BS in Chemical Engineering from the University of California, Berkeley.</w:t>
      </w:r>
    </w:p>
    <w:p>
      <w:pPr>
        <w:sectPr>
          <w:pgSz w:w="11900" w:h="16838" w:orient="portrait"/>
          <w:cols w:equalWidth="0" w:num="1">
            <w:col w:w="11420"/>
          </w:cols>
          <w:pgMar w:left="240" w:top="584" w:right="239" w:bottom="1440" w:gutter="0" w:footer="0" w:header="0"/>
        </w:sectPr>
      </w:pPr>
    </w:p>
    <w:bookmarkStart w:id="15" w:name="page16"/>
    <w:bookmarkEnd w:id="15"/>
    <w:p>
      <w:pPr>
        <w:ind w:right="160" w:firstLine="324"/>
        <w:spacing w:after="0" w:line="264" w:lineRule="auto"/>
        <w:rPr>
          <w:sz w:val="20"/>
          <w:szCs w:val="20"/>
          <w:color w:val="auto"/>
        </w:rPr>
      </w:pPr>
      <w:r>
        <w:rPr>
          <w:rFonts w:ascii="Arial" w:cs="Arial" w:eastAsia="Arial" w:hAnsi="Arial"/>
          <w:sz w:val="18"/>
          <w:szCs w:val="18"/>
          <w:i w:val="1"/>
          <w:iCs w:val="1"/>
          <w:color w:val="auto"/>
        </w:rPr>
        <w:t xml:space="preserve">Roderic W. Lewis </w:t>
      </w:r>
      <w:r>
        <w:rPr>
          <w:rFonts w:ascii="Arial" w:cs="Arial" w:eastAsia="Arial" w:hAnsi="Arial"/>
          <w:sz w:val="18"/>
          <w:szCs w:val="18"/>
          <w:color w:val="auto"/>
        </w:rPr>
        <w:t>joined us in August 1991 and has served in various capacities since that time. Mr. Lewis has served as our Vice President of Legal</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General Counsel and Corporate Secretary since July 1996. Mr. Lewis holds a BA in Economics and Asian Studies from Brigham Young University and a JD from Columbia University School of Law.</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Patrick T. Otte </w:t>
      </w:r>
      <w:r>
        <w:rPr>
          <w:rFonts w:ascii="Arial" w:cs="Arial" w:eastAsia="Arial" w:hAnsi="Arial"/>
          <w:sz w:val="18"/>
          <w:szCs w:val="18"/>
          <w:color w:val="auto"/>
        </w:rPr>
        <w:t>joined us in 1987 and has served in various positions, including production and operations manager in several of our fabrication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site director for our facility in Manassas, Virginia. Mr. Otte has served as our Vice President of Human Resources since March 2007. Mr. Otte holds a BA in Religious Education from St. Paul Bible College.</w:t>
      </w:r>
    </w:p>
    <w:p>
      <w:pPr>
        <w:spacing w:after="0" w:line="181"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i w:val="1"/>
          <w:iCs w:val="1"/>
          <w:color w:val="auto"/>
        </w:rPr>
        <w:t xml:space="preserve">Michael J. Rayfield </w:t>
      </w:r>
      <w:r>
        <w:rPr>
          <w:rFonts w:ascii="Arial" w:cs="Arial" w:eastAsia="Arial" w:hAnsi="Arial"/>
          <w:sz w:val="16"/>
          <w:szCs w:val="16"/>
          <w:color w:val="auto"/>
        </w:rPr>
        <w:t>joined us in September 2012 and serves as our Vice President of Wireless Solutions. Mr. Rayfield served as the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of NVIDIA, Inc.'s Mobile Business Unit from September 2005 to August 2012. Mr. Rayfield also held executive positions at Stretch, Inc., Reshape, Inc., Cisco Systems, Growth Networks and Texas Instruments. Mr. Rayfield holds a BS in Electrical Engineering from the University of Vermont.</w:t>
      </w:r>
    </w:p>
    <w:p>
      <w:pPr>
        <w:spacing w:after="0" w:line="14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i w:val="1"/>
          <w:iCs w:val="1"/>
          <w:color w:val="auto"/>
        </w:rPr>
        <w:t xml:space="preserve">Michael W. Sadler </w:t>
      </w:r>
      <w:r>
        <w:rPr>
          <w:rFonts w:ascii="Arial" w:cs="Arial" w:eastAsia="Arial" w:hAnsi="Arial"/>
          <w:sz w:val="17"/>
          <w:szCs w:val="17"/>
          <w:color w:val="auto"/>
        </w:rPr>
        <w:t>joined us in September 1992 as a regional sales manager and has served in various leadership positions since that time, including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Worldwide Sales for us and Executive Vice President of Inotera Memories, Inc. In June 2010, Mr. Sadler was appointed our Vice President of Corporate Development. Mr. Sadler holds a BS in Decision Science and an MBA from the University of Santa Clara.</w:t>
      </w:r>
    </w:p>
    <w:p>
      <w:pPr>
        <w:spacing w:after="0" w:line="16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 xml:space="preserve">Brian J. Shields </w:t>
      </w:r>
      <w:r>
        <w:rPr>
          <w:rFonts w:ascii="Arial" w:cs="Arial" w:eastAsia="Arial" w:hAnsi="Arial"/>
          <w:sz w:val="18"/>
          <w:szCs w:val="18"/>
          <w:color w:val="auto"/>
        </w:rPr>
        <w:t>joined us in November 1986 and has served in various operational leadership positions since that time. Mr. Shields first became an</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in March 2003 and has served as our Vice President of Worldwide Operations since June 2010.</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Brian M. Shirley </w:t>
      </w:r>
      <w:r>
        <w:rPr>
          <w:rFonts w:ascii="Arial" w:cs="Arial" w:eastAsia="Arial" w:hAnsi="Arial"/>
          <w:sz w:val="18"/>
          <w:szCs w:val="18"/>
          <w:color w:val="auto"/>
        </w:rPr>
        <w:t>joined us in August 1992 and has served in various leadership positions since that time. Mr. Shirley became Vice President of Memory</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2006 and has served as Vice President of DRAM Solutions from June 2010. Mr. Shirley holds a BS in Electrical Engineering from Stanford University.</w:t>
      </w:r>
    </w:p>
    <w:p>
      <w:pPr>
        <w:spacing w:after="0" w:line="18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i w:val="1"/>
          <w:iCs w:val="1"/>
          <w:color w:val="auto"/>
        </w:rPr>
        <w:t xml:space="preserve">Steven L. Thorsen, Jr. </w:t>
      </w:r>
      <w:r>
        <w:rPr>
          <w:rFonts w:ascii="Arial" w:cs="Arial" w:eastAsia="Arial" w:hAnsi="Arial"/>
          <w:sz w:val="18"/>
          <w:szCs w:val="18"/>
          <w:color w:val="auto"/>
        </w:rPr>
        <w:t>joined us in September 1988 and has served in various leadership positions since that time including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Officer. Mr. Thorsen became Vice President of Worldwide Sales and Corporate Marketing in April 2012. Mr. Thorsen holds a BA in Business Administration from Washington State University.</w:t>
      </w:r>
    </w:p>
    <w:p>
      <w:pPr>
        <w:spacing w:after="0" w:line="181"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was the Chairman of the Board of Directors of PMC-Sierra ("PMC") from 2005 until May 2011 and also served as PMC's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2000 until February 2003. Mr. Bailey has served as a director of PMC since October 1996. He also served as the President and Chief Executive Officer of PMC Sierra, Ltd. from July 1997 until May 2008. PMC is a leading provider of broadband communication and semiconductor storage solutions for the next-generation Internet. Mr. Bailey currently serves on the Board of Directors of Entropic Communications. Mr. Bailey holds a BS in Electrical Engineering from the University of Bridgeport and an MBA from the University of Dallas. He has served on our Board of Directors since 2007.</w:t>
      </w:r>
    </w:p>
    <w:p>
      <w:pPr>
        <w:spacing w:after="0" w:line="1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Richard M. Beyer </w:t>
      </w:r>
      <w:r>
        <w:rPr>
          <w:rFonts w:ascii="Arial" w:cs="Arial" w:eastAsia="Arial" w:hAnsi="Arial"/>
          <w:sz w:val="18"/>
          <w:szCs w:val="18"/>
          <w:color w:val="auto"/>
        </w:rPr>
        <w:t>was Chairman and CEO of Freescale Semiconductor from 2008 through June 2012 and continues to serve as a Director with Freescale.</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Freescale, Mr. Beyer was President, Chief Executive Officer and Director of Intersil Corporation from 2002 to 2008. He has also previously served in executive management roles at FVC.com, VLSI Technology and National Semiconductor Corporation. He currently serves on the Board of Directors of Dialog Semiconductor. Mr. Beyer served three years as an officer in the United States Marine Corps. He holds a BA and a MA in Russian from Georgetown University and a MBA in Marketing and International Business from Columbia University Graduate School of Business. Mr. Beyer joined our Board of Directors in January 2013.</w:t>
      </w:r>
    </w:p>
    <w:p>
      <w:pPr>
        <w:spacing w:after="0" w:line="19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Patrick J. Byrne </w:t>
      </w:r>
      <w:r>
        <w:rPr>
          <w:rFonts w:ascii="Arial" w:cs="Arial" w:eastAsia="Arial" w:hAnsi="Arial"/>
          <w:sz w:val="17"/>
          <w:szCs w:val="17"/>
          <w:color w:val="auto"/>
        </w:rPr>
        <w:t>has been the Vice President of Strategy and Business Development and Chief Technical Officer of Danaher Corporation since November</w:t>
      </w:r>
      <w:r>
        <w:rPr>
          <w:rFonts w:ascii="Arial" w:cs="Arial" w:eastAsia="Arial" w:hAnsi="Arial"/>
          <w:sz w:val="17"/>
          <w:szCs w:val="17"/>
          <w:i w:val="1"/>
          <w:iCs w:val="1"/>
          <w:color w:val="auto"/>
        </w:rPr>
        <w:t xml:space="preserve"> </w:t>
      </w:r>
      <w:r>
        <w:rPr>
          <w:rFonts w:ascii="Arial" w:cs="Arial" w:eastAsia="Arial" w:hAnsi="Arial"/>
          <w:sz w:val="17"/>
          <w:szCs w:val="17"/>
          <w:color w:val="auto"/>
        </w:rPr>
        <w:t>1, 2012. Danaher Corporation designs, manufactures, and markets innovative products and services to professional, medical, industrial, and commercial customers. Prior to that, Mr. Byrne was the Director, President and Chief Executive Officer of Intermec, Inc. from 2007 to May 2012. Mr. Byrne was with Agilent Technologies, Inc. from 1999 to 2007 and served in various management positions. Mr. Byrne is also a member of the Board of Directors of Flow International Corporation. Mr. Byrne holds a BS in Electrical Engineering from the University of California, Berkeley, and an MS degree in Electrical Engineering from Stanford University. Mr. Byrne joined our Board of Directors in April 2011.</w:t>
      </w:r>
    </w:p>
    <w:p>
      <w:pPr>
        <w:sectPr>
          <w:pgSz w:w="11900" w:h="16838" w:orient="portrait"/>
          <w:cols w:equalWidth="0" w:num="1">
            <w:col w:w="11420"/>
          </w:cols>
          <w:pgMar w:left="240" w:top="584" w:right="239" w:bottom="1440" w:gutter="0" w:footer="0" w:header="0"/>
        </w:sectPr>
      </w:pPr>
    </w:p>
    <w:bookmarkStart w:id="16" w:name="page17"/>
    <w:bookmarkEnd w:id="16"/>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Warren East </w:t>
      </w:r>
      <w:r>
        <w:rPr>
          <w:rFonts w:ascii="Arial" w:cs="Arial" w:eastAsia="Arial" w:hAnsi="Arial"/>
          <w:sz w:val="18"/>
          <w:szCs w:val="18"/>
          <w:color w:val="auto"/>
        </w:rPr>
        <w:t>was the CEO of ARM Holdings PLC from October 2001 to July 2013. He originally joined ARM in 1994, and served in various roles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being appointed CEO. He currently serves on the board of De La Rule PLC, Inc. Mr. East is a chartered engineer, Distinguished Fellow of the British Computer Society, Fellow of the Institution of Engineering and Technology, Fellow of the Royal Academy of Engineering and a Companion of the Chartered Management Institute. Mr. East holds BA BSc(Eng) and MBA MEng in Engineering Science from Oxford University and an MBA and honorary doctorate from Cranfield University. Mr. East joined our Board of Directors in July 2013.</w:t>
      </w:r>
    </w:p>
    <w:p>
      <w:pPr>
        <w:spacing w:after="0" w:line="18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communications, industrial and consumer applications, from December 2005 to August 2008. She also served as the Senior Vice President, Finance, of Lam Research Corporation ("Lam") from June 2004 to January 2005 and as Lam's Chief Financial Officer from May 1997 to May 2004. Ms. Johnson holds a degree in Accounting from the University of Buenos Aires and currently serves on the Board of Directors for Intersil Corporation and Juniper Networks, Inc. Ms. Johnson is the Chairman of the Board's Audit Committee and has served on our Board of Directors since 2005.</w:t>
      </w:r>
    </w:p>
    <w:p>
      <w:pPr>
        <w:spacing w:after="0" w:line="15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has been the Chief Executive Officer of Flexi Compras Corporation, a rent-to-own retailer, since June 2013. Mr. Mondry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of CSK Auto Corporation ("CSK"), a specialty retailer of automotive aftermarket parts, from August 2007 to July 2008. Prior to his appointment at CSK, Mr. Mondry served as the Chief Executive Officer of CompUSA Inc. from November 2003 to May 2006. Mr. Mondry joined CompUSA in 1990. Mr. Mondry is the Chairman of the Board's Governance Committee and Compensation Committee. He has served on our Board of Directors since 2005.</w:t>
      </w:r>
    </w:p>
    <w:p>
      <w:pPr>
        <w:spacing w:after="0" w:line="18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Robert E. Switz </w:t>
      </w:r>
      <w:r>
        <w:rPr>
          <w:rFonts w:ascii="Arial" w:cs="Arial" w:eastAsia="Arial" w:hAnsi="Arial"/>
          <w:sz w:val="18"/>
          <w:szCs w:val="18"/>
          <w:color w:val="auto"/>
        </w:rPr>
        <w:t>was the Chairman, President and Chief Executive Officer of ADC Telecommunications, Inc., ("ADC"), a supplier of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products and services from August 2003 until December 2010, when Tyco Electronics Ltd. acquired ADC. Mr. Switz joined ADC in 1994 and throughout his career there held numerous leadership positions. Mr. Switz holds an MBA from the University of Bridgeport as well as a BS in Business Administration from Quinnipiac University. Mr. Switz also serves on the Board of Directors for Broadcom Corporation, Cyan Optics, Inc., GT Advanced Technologies and Leap Wireless International, Inc. He has served on our Board of Directors since 2006 and was appointed Chairman of the Board in February 2012.</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ectPr>
          <w:pgSz w:w="11900" w:h="16838" w:orient="portrait"/>
          <w:cols w:equalWidth="0" w:num="1">
            <w:col w:w="11420"/>
          </w:cols>
          <w:pgMar w:left="240" w:top="584" w:right="239" w:bottom="1440" w:gutter="0" w:footer="0" w:header="0"/>
        </w:sectPr>
      </w:pPr>
    </w:p>
    <w:bookmarkStart w:id="17" w:name="page18"/>
    <w:bookmarkEnd w:id="17"/>
    <w:p>
      <w:pPr>
        <w:ind w:left="10060"/>
        <w:spacing w:after="0"/>
        <w:rPr>
          <w:sz w:val="20"/>
          <w:szCs w:val="20"/>
          <w:color w:val="auto"/>
        </w:rPr>
      </w:pPr>
      <w:r>
        <w:rPr>
          <w:rFonts w:ascii="Arial" w:cs="Arial" w:eastAsia="Arial" w:hAnsi="Arial"/>
          <w:sz w:val="22"/>
          <w:szCs w:val="22"/>
          <w:b w:val="1"/>
          <w:bCs w:val="1"/>
          <w:color w:val="auto"/>
        </w:rPr>
        <w:t>EXHIBIT 99.2</w:t>
      </w:r>
    </w:p>
    <w:p>
      <w:pPr>
        <w:spacing w:after="0" w:line="260" w:lineRule="exact"/>
        <w:rPr>
          <w:sz w:val="20"/>
          <w:szCs w:val="20"/>
          <w:color w:val="auto"/>
        </w:rPr>
      </w:pPr>
    </w:p>
    <w:p>
      <w:pPr>
        <w:ind w:left="900" w:right="820" w:hanging="890"/>
        <w:spacing w:after="0" w:line="269"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62" w:lineRule="exact"/>
        <w:rPr>
          <w:sz w:val="20"/>
          <w:szCs w:val="20"/>
          <w:color w:val="auto"/>
        </w:rPr>
      </w:pPr>
    </w:p>
    <w:p>
      <w:pPr>
        <w:ind w:right="80" w:firstLine="324"/>
        <w:spacing w:after="0" w:line="267" w:lineRule="auto"/>
        <w:rPr>
          <w:sz w:val="20"/>
          <w:szCs w:val="20"/>
          <w:color w:val="auto"/>
        </w:rPr>
      </w:pPr>
      <w:r>
        <w:rPr>
          <w:rFonts w:ascii="Arial" w:cs="Arial" w:eastAsia="Arial" w:hAnsi="Arial"/>
          <w:sz w:val="17"/>
          <w:szCs w:val="17"/>
          <w:i w:val="1"/>
          <w:iCs w:val="1"/>
          <w:color w:val="auto"/>
        </w:rPr>
        <w:t>As used herein, "we," "our," "us" and similar terms include Micron Technology, Inc. and its subsidiaries, unless the context indicates otherwise. The following discussion contains trend information and other forward-looking statements that involve a number of risks and uncertainties. Forward-looking statements include, but are not limited to, statements such as those made in "Overview" regarding Elpida's wafer production and expectations related to Elpida's future cash flows; "Operating Results by Business Segment" regarding increases in sales of mobile DRAM for 2014 as a result of our acquisition of Elpida; in "Operating Results by Product" regarding the timing and effect of the transition of our Singapore DRAM facility to NAND Flash production, our increases in DRAM sales for 2014 as a result of our acquisition of Elpida and the effect of Elpida inventory adjustments in acquisition accounting on cost of sales in the first quarter of 2014; in "Selling, General and Administrative" regarding SG&amp;A costs for the first quarter of 2014; in "Research and Development" regarding R&amp;D costs for the first quarter of 2014; in "Liquidity and Capital Resources" regarding the sufficiency of our cash and investments, cash flows from operations and available financing to meet our requirements at least through 2014, regarding our pursuit of additional financing and capital spending in 2014, the timing of payments for certain contractual obligations, the timing of payments in connection with the Elpida transactions and conversions of our convertible notes; and in "Recently Issued Accounting Standards" regarding the impact of recently issued accounting pronouncements. Our actual results could differ materially from our historical results and those discussed in the forward-looking statements. Factors that could cause actual results to differ materially include, but are not limited to, those identified in "Item 1A. Risk Factors." This discussion should be read in conjunction with the Consolidated Financial Statements and accompanying notes for the year ended August 29, 2013. All period references are to our fiscal periods unless otherwise indicated. Our fiscal year is the 52 or 53-week period ending on the Thursday closest to August 31 and fiscal 2013, 2012 and 2011 each contained 52 weeks. All production data includes the production of our consolidated joint ventures and our other partnering arrangements. All tabular dollar amounts are in millions.</w:t>
      </w:r>
    </w:p>
    <w:p>
      <w:pPr>
        <w:spacing w:after="0" w:line="19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Management's Discussion and Analysis of Financial Condition and Results of Operations ("MD&amp;A") is provided in addition to the accompanying consolidated financial statements and notes to assist readers in understanding our results of operations, financial condition and cash flows. MD&amp;A is organized as follows:</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Highlights of key transactions and events.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Results of Operations: </w:t>
      </w:r>
      <w:r>
        <w:rPr>
          <w:rFonts w:ascii="Arial" w:cs="Arial" w:eastAsia="Arial" w:hAnsi="Arial"/>
          <w:sz w:val="18"/>
          <w:szCs w:val="18"/>
          <w:color w:val="auto"/>
        </w:rPr>
        <w:t>An analysis of our financial results consisting of the following: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Consolidated results;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Operating results by business segment;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Operating results by product;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Operating expenses and other.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Liquidity and Capital Resources: </w:t>
      </w:r>
      <w:r>
        <w:rPr>
          <w:rFonts w:ascii="Arial" w:cs="Arial" w:eastAsia="Arial" w:hAnsi="Arial"/>
          <w:sz w:val="18"/>
          <w:szCs w:val="18"/>
          <w:color w:val="auto"/>
        </w:rPr>
        <w:t>An analysis of changes in our balance sheet and cash flows and discussion of our financial condition and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sources of liquidity.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Contingent liabilities, commitments and off-balance sheet arrangements.</w:t>
      </w:r>
    </w:p>
    <w:p>
      <w:pPr>
        <w:spacing w:after="0" w:line="9" w:lineRule="exact"/>
        <w:rPr>
          <w:rFonts w:ascii="Arial" w:cs="Arial" w:eastAsia="Arial" w:hAnsi="Arial"/>
          <w:sz w:val="18"/>
          <w:szCs w:val="18"/>
          <w:color w:val="auto"/>
        </w:rPr>
      </w:pPr>
    </w:p>
    <w:p>
      <w:pPr>
        <w:ind w:left="660" w:right="7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Critical Accounting Estimates: </w:t>
      </w:r>
      <w:r>
        <w:rPr>
          <w:rFonts w:ascii="Arial" w:cs="Arial" w:eastAsia="Arial" w:hAnsi="Arial"/>
          <w:sz w:val="18"/>
          <w:szCs w:val="18"/>
          <w:color w:val="auto"/>
        </w:rPr>
        <w:t>Accounting estimates that we believe are most important to understanding the assumptions and judgments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in our reported financial results and forecasts. Also includes changes in accounting standards.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For an overview of our business, see "Item 1 – Business – Overview." In the third quarter of 2014, we reorganized our business units. All prior period amounts reflect this reorganization. Our results of operations for 2013 were affected by the following key transactions and events.</w:t>
      </w:r>
    </w:p>
    <w:p>
      <w:pPr>
        <w:sectPr>
          <w:pgSz w:w="11900" w:h="16838" w:orient="portrait"/>
          <w:cols w:equalWidth="0" w:num="1">
            <w:col w:w="11420"/>
          </w:cols>
          <w:pgMar w:left="240" w:top="58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Acquisition of Elpida Memory, Inc.</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July 31, 2013, we completed our acquisition of Elpida Memory, Inc. ("Elpida"), a Japanese corporation, pursuant to the terms and conditions of an Agreement on Support for Reorganization Companies (as amended, the "Sponsor Agreement") that we entered into on July 2, 2012 with the trustees of Elpida and one of its subsidiaries, Akita Elpida Memory, Inc., a Japanese corporation ("Akita" and, together with Elpida, the "Elpida Companies") pursuant to and in connection with the Elpida Companies' pending corporate reorganization proceedings under the Corporate Reorganization Act of Japan. We paid $615 million for the acquisition of 100% of Elpida's equity. On July 31, 2013, we also acquired a 24% ownership interest in Rexchip Electronics Corporation ("Rexchip''), a Taiwanese corporation and manufacturing joint venture formed by Powerchip Technology Corporation ("Powerchip") and Elpida, from Powerchip and certain of its affiliates (the "Powerchip Group") pursuant to a share purchase agreement. We paid $334 million in cash for the shares. Elpida and it's subsidiaries (the "Elpida Group") own approximately 65% of Rexchip's outstanding common stock. Therefore, as a result of the consummation of our acquisition of Elpida and the Rexchip shares from the Powerchip Group, we own approximately 89% of Rexchip's common stock. The provisional fair values of assets and liabilities acquired include, among other items, cash and restricted cash aggregating $1,618 million; inventories of $962 million; property, plant and equipment of $935 million; net deferred tax assets of $917 million and debt of $2,134 million.</w:t>
      </w:r>
    </w:p>
    <w:p>
      <w:pPr>
        <w:spacing w:after="0" w:line="17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Elpida's assets include, among others: a 300mm DRAM wafer fabrication facility located in Hiroshima, Japan; its ownership interest in Rexchip, whose assets include a 300mm DRAM wafer fabrication facility located in Taichung City, Taiwan; and an assembly and test facility located in Akita, Japan. The Elpida and Rexchip fabrication facilities together represent approximately one-third of our wafer capacity.</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Elpida's semiconductor memory products include Mobile DRAM, targeted toward mobile phones and tablets. We believe that combining the complementary product portfolios of Micron and Elpida strengthens our position in the memory market and enables us to provide customers with a wider portfolio of high-quality memory solutions. We also believe that the Elpida transaction strengthens our market position in the memory industry through increased research and development and manufacturing scale, improved access to core memory market segments, and additional wafer capacity to balance among our DRAM, NAND Flash and NOR Flash memory solutions. Elpida's operations are included primarily in the MBU and CNBU segments. Our results of operations for 2013 included approximately one month of operating results from the Elpida operations, which accounted for sales of $355 million and net income of $29 million.</w:t>
      </w:r>
    </w:p>
    <w:p>
      <w:pPr>
        <w:spacing w:after="0" w:line="18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Elpida Companies are currently subject to corporate reorganization proceedings under the Corporate Reorganization Act of Japan. Both of the Elpida Companies have adopted plans of reorganization which set forth the treatment of the Elpida Companies' pre-petition creditors and their claims, which plans were approved by the Elpida Companies' creditors and the Tokyo District Court in February 2013. The plans of reorganization provide for payments by the Elpida Companies to their secured and unsecured creditors in an aggregate amount of 200 billion yen (or the equivalent of approximately $2.05 billion as of August 29, 2013), less certain expenses of the reorganization proceedings and certain other items. The plans of reorganization provide for the Elpida Companies' pre-petition creditors to be paid in seven installments. The initial installment payment of 60 billion yen ($615 million as of August 29, 2013), which amount is subject to reduction for certain items specified in the Sponsor Agreement and plans of reorganization, was paid in October 2013. Substantially all of the $615 million that we paid in connection with the Elpida acquisition was deposited into accounts that are legally restricted for payment to the secured and unsecured creditors of Elpida in October 2013 and was presented as restricted cash in the amount of $556 million on our August 29, 2013 balance sheet. The remaining 140 billion yen (or the equivalent of approximately $1.43 billion as of August 29, 2013) of installment payments payable to the Elpida Companies' creditors are scheduled to be made by the Elpida Companies in six annual installments payable beginning on December 31, 2014. Pursuant to the terms of the Sponsor Agreement, we entered into a series of agreements with the Elpida Companies, including supply agreements, research and development services agreements and general services agreements, which are intended to generate more stable operating cash flows to meet the requirements of the Elpida Companies' businesses, including the funding of the installment payments to the Elpida Companies' creditors. We anticipate that, once fully in effect, payments made under these agreements will generally cover all of Elpida and Akita's costs.</w:t>
      </w:r>
    </w:p>
    <w:p>
      <w:pPr>
        <w:spacing w:after="0" w:line="16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To mitigate the risk from the effect of changes in foreign currency exchange rates on the proposed Elpida Acquisition, we entered into a series of currency exchange contracts to hedge our exposure to yen and New Taiwan Dollar payments (the "Elpida Hedges"). These currency exchange contracts were not designated for hedge accounting and were remeasured at fair value each period with gains and losses recognized in other operating (income) expense. As a result of mark-to-market adjustments for the Elpida Hedges, we recorded losses to other non-operating expense of $228 million in 2013. As of August 29, 2013, our cumulative loss on the Elpida Hedges was $220 million.</w:t>
      </w:r>
    </w:p>
    <w:p>
      <w:pPr>
        <w:sectPr>
          <w:pgSz w:w="11900" w:h="16838" w:orient="portrait"/>
          <w:cols w:equalWidth="0" w:num="1">
            <w:col w:w="11420"/>
          </w:cols>
          <w:pgMar w:left="240" w:top="580" w:right="239" w:bottom="1440" w:gutter="0" w:footer="0" w:header="0"/>
        </w:sectPr>
      </w:pPr>
    </w:p>
    <w:bookmarkStart w:id="19" w:name="page20"/>
    <w:bookmarkEnd w:id="19"/>
    <w:p>
      <w:pPr>
        <w:ind w:right="800" w:firstLine="324"/>
        <w:spacing w:after="0" w:line="277" w:lineRule="auto"/>
        <w:rPr>
          <w:sz w:val="20"/>
          <w:szCs w:val="20"/>
          <w:color w:val="auto"/>
        </w:rPr>
      </w:pPr>
      <w:r>
        <w:rPr>
          <w:rFonts w:ascii="Arial" w:cs="Arial" w:eastAsia="Arial" w:hAnsi="Arial"/>
          <w:sz w:val="18"/>
          <w:szCs w:val="18"/>
          <w:color w:val="auto"/>
        </w:rPr>
        <w:t>See "Item 8. Financial Statements - Notes to Consolidated Financial Statements - Acquisition of Elpida Memory, Inc." for further details of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Inotera Memories, Inc.</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January 17, 2013, we entered into agreements with Nanya Technology Corporation ("Nanya") to amend the joint venture relationship involving Inotera. The amendments included a new supply agreement (the "Inotera Supply Agreement"), retroactively beginning on January 1, 2013, between us and Inotera under which we are obligated to purchase for an initial three-year term substantially all of Inotera's output at a purchase price based on a discount from market prices for our comparable components. The Inotera Supply Agreement contemplates annual negotiations with respect to potential successive one-year extensions and if in any year the parties do not agree to an extension, the agreement will terminate following the end of the then-existing term plus a subsequent three-year wind-down period. Our share of Inotera's capacity would decline over the three year wind-down period. Effective through December 31, 2012, we had rights and obligations to purchase 50% of Inotera's wafer production capacity based on a margin-sharing formula among Nanya, Inotera and us. Our cost for product purchased from Inotera under the supply agreements was $1,260 million for 2013, $646 million for 2012 and $641 million for 2011.</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Under a cost-sharing arrangement effective through December 31, 2012, we generally shared DRAM process and design development costs with Nanya. As a result of the January 17, 2013 agreements, which were retroactively effective beginning on January 1, 2013, Nanya no longer participates in the joint development program. Pursuant to this cost-sharing arrangement, our R&amp;D costs were reduced by $19 million for 2013, $138 million for 2012 and $141 million for 2011.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20"/>
                <w:szCs w:val="20"/>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9,073</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8,234</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8,788</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7,226</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7,266</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7,030</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1,847</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97"/>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R&amp;D</w:t>
            </w:r>
          </w:p>
        </w:tc>
        <w:tc>
          <w:tcPr>
            <w:tcW w:w="2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791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70"/>
        </w:trPr>
        <w:tc>
          <w:tcPr>
            <w:tcW w:w="5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acquisition of Elpida</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1,484</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net loss of equity method investees</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57"/>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Micron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3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 the second quarter of 2013, we reclassified (gains) losses from changes in currency exchange rates from other operating (income) expense, net to other non-operating income (expense), net in the consolidated statements of income. As a result, segment operating income (loss) for the comparative periods presented no longer includes the (gains) losses from changes in currency exchange rates to conform to current period presentation. (See "Item 8. Financial Statements and Supplementary Data – Notes to Consolidated Financial Statements – Business and Basis of Presentation" and "Segment Information".)</w:t>
      </w:r>
    </w:p>
    <w:p>
      <w:pPr>
        <w:sectPr>
          <w:pgSz w:w="11900" w:h="16838" w:orient="portrait"/>
          <w:cols w:equalWidth="0" w:num="1">
            <w:col w:w="11420"/>
          </w:cols>
          <w:pgMar w:left="240" w:top="58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78"/>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24"/>
                <w:szCs w:val="24"/>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3,462</w:t>
            </w: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SBU</w:t>
            </w: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2,824</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2,842</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2,185</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EBU</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w:t>
            </w: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MBU</w:t>
            </w: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1,214</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1,944</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3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3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3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5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9,073</w:t>
            </w:r>
          </w:p>
        </w:tc>
        <w:tc>
          <w:tcPr>
            <w:tcW w:w="3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8,234</w:t>
            </w:r>
          </w:p>
        </w:tc>
        <w:tc>
          <w:tcPr>
            <w:tcW w:w="3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8,788</w:t>
            </w:r>
          </w:p>
        </w:tc>
        <w:tc>
          <w:tcPr>
            <w:tcW w:w="3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Total net sales for 2013 increased 10% as compared to 2012 reflecting increases in CNBU, EBU and MBU sales primarily due to higher levels of DRAM and NAND Flash gigabit sales volumes partially offset by declines in average selling prices. The increases in gigabit sales volumes for 2013 were primarily attributable to manufacturing efficiencies driven by improvements in product and process technology, increased DRAM supply from Inotera due to the restructuring of our supply agreement and $355 million of DRAM sales from Elpida since its acquisition on July 31, 2013.</w:t>
      </w:r>
    </w:p>
    <w:p>
      <w:pPr>
        <w:spacing w:after="0" w:line="17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Total net sales decreased 6% for 2012 as compared to 2011, reflecting declines in average selling prices across all reportable segments partially offset by increases in sales volumes. MBU sales decreased for 2012 as compared to 2011 primarily due to declines in average selling prices and in NOR Flash sales volumes, as a result of weakness in market demand and our customer group in particular, as well as a continued transition by customers from NOR Flash to NAND Flash. CNBU and EBU sales decreased primarily due to lower average selling prices partially offset by increases in sales volumes. SBU sales increased due to increases in sales volumes partially offset by declines in average selling prices.</w:t>
      </w:r>
    </w:p>
    <w:p>
      <w:pPr>
        <w:spacing w:after="0" w:line="173"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Sales for All Other segments, were primarily composed of sales of CMOS image sensors. On May 3, 2013, we sold Micron Technology Italia, S.r.l., ("MIT") a wholly-owned subsidiary, including its 200mm wafer fabrication facility assets in Avezzano, Italy, to LFoundry Marsica S.r.l. ("LFoundry"). In connection with the sale, we assigned to LFoundry our supply agreement with Aptina Imaging Corporation ("Aptina") for CMOS image sensors manufactured at the Avezzano facility. Since the sale, we have had no sales of CMOS image sensors. For 2013, 2012 and 2011, we recognized net sales of $182 million, $372 million and $349 million, respectively, from products sold to Aptina, and cost of goods sold of $219 million, $395 million and $358 million, respectively. (See "Item 8. Financial Statements and Supplementary Data – Notes to Consolidated Financial Statements – Restructure and Asset Impairments.")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overall gross margin percentage improved to 20% for 2013 from 12% for 2012 due to improvements in the gross margin percentage for CNBU, and to a lesser extent EBU, SBU and MBU, primarily due to manufacturing cost reductions partially offset by declines in average selling prices. Manufacturing cost reductions for 2013 primarily resulted from improvements in product and process technologies.</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overall gross margin percentage declined to 12% for 2012 from 20% for 2011 primarily due to decreases in the gross margin percentage for CNBU and MBU as a result of significant declines in average selling prices. Cost reductions from improvements in product and process technologies in 2012 mitigated the effect of significant declines in average selling prices for all reportable operating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Business Segments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Compute and Networking Business Unit ("CNBU")</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262</w:t>
            </w:r>
          </w:p>
        </w:tc>
      </w:tr>
    </w:tbl>
    <w:p>
      <w:pPr>
        <w:sectPr>
          <w:pgSz w:w="11900" w:h="16838" w:orient="portrait"/>
          <w:cols w:equalWidth="0" w:num="1">
            <w:col w:w="11420"/>
          </w:cols>
          <w:pgMar w:left="240" w:top="584" w:right="239" w:bottom="1440" w:gutter="0" w:footer="0" w:header="0"/>
        </w:sectPr>
      </w:pPr>
    </w:p>
    <w:bookmarkStart w:id="21" w:name="page22"/>
    <w:bookmarkEnd w:id="21"/>
    <w:p>
      <w:pPr>
        <w:ind w:right="60" w:firstLine="324"/>
        <w:spacing w:after="0" w:line="273" w:lineRule="auto"/>
        <w:rPr>
          <w:sz w:val="20"/>
          <w:szCs w:val="20"/>
          <w:color w:val="auto"/>
        </w:rPr>
      </w:pPr>
      <w:r>
        <w:rPr>
          <w:rFonts w:ascii="Arial" w:cs="Arial" w:eastAsia="Arial" w:hAnsi="Arial"/>
          <w:sz w:val="17"/>
          <w:szCs w:val="17"/>
          <w:color w:val="auto"/>
        </w:rPr>
        <w:t>CNBU sales and operating results track closely with our average selling prices, gigabit sales volumes and cost per gigabit for our consolidated sales of DRAM products. (See "Operating Results by Product – DRAM" for further detail.) CNBU sales for 2013 increased 30% as compared to 2012 primarily due to increases in gigabits sold partially offset by declines in average selling prices. CNBU's operating margin improved in 2013 from 2012 primarily due to manufacturing cost reductions as a result of improved product and process technologies partially offset by declines in average selling prices. CNBU results of operations for 2013 included sales of $153 million and operating income of $21 million from the acquired Elpida operations. CNBU sales and operating margins for 2012 were adversely impacted by a $58 million charge for a settlement with a customer.</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CNBU sales for 2012 decreased 14% as compared to 2011 primarily due to declines in average selling prices partially offset by increases in gigabits sold. CNBU's operating margin for 2012 declined from 2011 due to decreases in average selling prices mitigated by cost reductions as a result of improved product and process technologies. CNBU sales and operating margins for 2012 were adversely impacted by the $58 million charge for a settlement with a customer. In addition, CNBU operating income for 2011 benefited from a $75 million gain from an allocated portion of the Samsung patent cross-license agreement.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Storage Business Unit ("SBU")</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w:t>
            </w:r>
          </w:p>
        </w:tc>
      </w:tr>
    </w:tbl>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SBU sales and operating results track closely with our average selling prices, gigabit sales volumes and cost per gigabit for our consolidated sales of NAND Flash products. (See "Operating Results by Product – NAND Flash" for further detail.) SBU sales for 2013 were relatively unchanged from 2012 as increases in gigabits sold were partially offset by declines in average selling prices. Increases in gigabits sold for 2013 were primarily due to improvements in product and process technologies. SBU sells a portion of its products to Intel through our IM Flash joint venture at long-term negotiated prices approximating cost. All other SBU products are sold to OEMs, resellers, retailers and other customers (including Intel), which we collectively refer to as "trade customers."</w:t>
      </w:r>
    </w:p>
    <w:p>
      <w:pPr>
        <w:spacing w:after="0" w:line="1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April 6, 2012, we acquired Intel's remaining ownership interest in IMFS, a joint venture between us and Intel, which operated a wafer fabrication facility in Singapore. On April 6, 2012, we also acquired the assets of IMFT located at our Virginia fabrication facility and terminated the IMFS supply agreement. Accordingly, we now obtain all of the NAND Flash output from our Singapore and Virginia wafer fabrication facilities. Prior to these acquisitions, we sold a portion of the NAND Flash output from these facilities to Intel, through our consolidated IMFS and IMFT joint ventures, at long-term negotiated prices approximating cost. On April 6, 2012, we also entered into a new supply agreement with Intel under which we sell Intel NAND Flash products from us on a cost-plus basis. Aggregate SBU sales to Intel (including sales by IMFT at prices approximating cost and sales by us under the new cost-plus supply agreement) were $849 million for 2013, $986 million for 2012 and $884 million for 2011. As a result of these April 6, 2012 transactions, in 2013 SBU sales of NAND Flash products to trade customers increased and sales to Intel at long-term negotiated prices approximating cost decreased.</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SBU sales of NAND Flash products to trade customers increased 22% for 2013 as compared to 2012 primarily due to increases in gigabits sold partially offset by declines in average selling prices. SBU operating income for 2013 declined from 2012 primarily due to decreases in average selling prices and increases in R&amp;D costs mitigated by manufacturing cost reductions. Manufacturing cost reductions resulted primarily from improvements in product and process technologies.</w:t>
      </w:r>
    </w:p>
    <w:p>
      <w:pPr>
        <w:spacing w:after="0" w:line="18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SBU sales of NAND Flash products to trade customers increased 50% for 2012 as compared to 2011 primarily due to an increase in gigabits sold partially offset by declines in average selling prices. SBU operating income declined from 2011 to 2012 primarily due to decreases in average selling prices mitigated by cost reductions. Cost reductions resulted primarily from improvements in product and process technologies. SBU operating income for 2011 benefited from a $57 million gain from an allocated portion of the Samsung patent cross-license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Embedded Business Unit ("EBU")</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276</w:t>
            </w:r>
          </w:p>
        </w:tc>
      </w:tr>
    </w:tbl>
    <w:p>
      <w:pPr>
        <w:sectPr>
          <w:pgSz w:w="11900" w:h="16838" w:orient="portrait"/>
          <w:cols w:equalWidth="0" w:num="1">
            <w:col w:w="11420"/>
          </w:cols>
          <w:pgMar w:left="240" w:top="584" w:right="239" w:bottom="1440" w:gutter="0" w:footer="0" w:header="0"/>
        </w:sectPr>
      </w:pPr>
    </w:p>
    <w:bookmarkStart w:id="22" w:name="page23"/>
    <w:bookmarkEnd w:id="22"/>
    <w:p>
      <w:pPr>
        <w:ind w:right="40" w:firstLine="324"/>
        <w:spacing w:after="0" w:line="259" w:lineRule="auto"/>
        <w:rPr>
          <w:sz w:val="20"/>
          <w:szCs w:val="20"/>
          <w:color w:val="auto"/>
        </w:rPr>
      </w:pPr>
      <w:r>
        <w:rPr>
          <w:rFonts w:ascii="Arial" w:cs="Arial" w:eastAsia="Arial" w:hAnsi="Arial"/>
          <w:sz w:val="18"/>
          <w:szCs w:val="18"/>
          <w:color w:val="auto"/>
        </w:rPr>
        <w:t>In 2013, EBU sales were comprised of DRAM, NOR Flash and NAND Flash in decreasing order of revenue. EBU sales increased 16% for 2013 as compared to 2012 primarily due to increased sales volumes of DRAM, NAND Flash and NOR Flash products as EBU continued to expand its customer base, partially offset by declines in average selling prices. EBU operating income for 2013 improved from 2012 primarily due to manufacturing cost reductions and higher sales volumes partially offset by declines in average selling prices.</w:t>
      </w:r>
    </w:p>
    <w:p>
      <w:pPr>
        <w:spacing w:after="0" w:line="187"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2012, EBU sales were comprised of DRAM, NOR Flash and NAND Flash in decreasing order of revenue. The 4% decrease in EBU sales for 2012 as compared to 2011 was primarily due to declines in average selling prices partially offset by increased sales volume of DRAM, NAND Flash and NOR Flash products as EBU continued to expand its customer base. EBU operating income for 2012 declined as compared to 2011 due to decreases in average selling prices and higher costs associated with underutilized capacity in our NOR Flash facilities. In addition, EBU operating margin for 2011 benefited from a $33 million gain from an allocated portion of the Samsung patent cross-license agreement.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Mobile Business Unit ("MBU")</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bl>
    <w:p>
      <w:pPr>
        <w:spacing w:after="0" w:line="22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2013, MBU sales were comprised primarily of DRAM, NAND Flash and NOR Flash in decreasing order of revenue. MBU sales increased 3% for 2013 as compared to 2012 primarily due to higher sales of mobile DRAM products as a result of the acquisition of Elpida. We expect that MBU sales of mobile DRAM products will increase significantly in 2014 primarily due to our acquisition of Elpida. MBU results of operations for 2013 included sales of $192 million and operating income of $22 million from the acquired Elpida operations. Increases in MBU sales for 2013 from mobile DRAM were partially offset by declines in sales of wireless NOR Flash products as a result of weakness in market demand and our customer group in particular, as well as a continued transition by customers to NAND Flash. MBU sales in 2013 were also adversely impacted by lower sales of NAND Flash products. The improvement in MBU operating margin for 2013 from 2012 was primarily due to reductions in manufacturing, SG&amp;A and R&amp;D costs.</w:t>
      </w:r>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2012, MBU sales were comprised of NOR Flash, NAND Flash and DRAM in decreasing order of revenue. The 40% decrease in MBU sales for 2012 as compared to 2011 was primarily due to declines in sales of wireless NOR Flash products as a result of weakness in market demand and our customer group in particular, as well as a continued transition by customers to NAND Flash. MBU sales in 2012 were also adversely impacted by lower sales of NAND Flash products sold in multi-chip packages. The decline in MBU operating margin for 2012 from 2011 was primarily due to the reductions in average selling prices and in NOR Flash sales volumes. In addition, MBU operating margin for 2011 benefited from a $95 million gain from an allocated portion of the Samsung patent cross-license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Product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Sales by Product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20"/>
                <w:szCs w:val="20"/>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DRAM</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4,361</w:t>
            </w: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NAND Flash</w:t>
            </w: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3,589</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3,627</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3,193</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 Flash</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9,073</w:t>
            </w:r>
          </w:p>
        </w:tc>
        <w:tc>
          <w:tcPr>
            <w:tcW w:w="3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8,234</w:t>
            </w:r>
          </w:p>
        </w:tc>
        <w:tc>
          <w:tcPr>
            <w:tcW w:w="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8,788</w:t>
            </w:r>
          </w:p>
        </w:tc>
        <w:tc>
          <w:tcPr>
            <w:tcW w:w="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In order to balance our future product mix in anticipation of the closing of the Elpida transaction, in the fourth quarter of 2013 we began to transition production at our DRAM fabrication facility in Singapore from DRAM to NAND Flash. We expect this transition to NAND Flash production will occur over approximately four quarters, depending on market conditions and result in a marginal reduction in wafer production during the period of this transition.</w:t>
      </w:r>
    </w:p>
    <w:p>
      <w:pPr>
        <w:sectPr>
          <w:pgSz w:w="11900" w:h="16838" w:orient="portrait"/>
          <w:cols w:equalWidth="0" w:num="1">
            <w:col w:w="11420"/>
          </w:cols>
          <w:pgMar w:left="240" w:top="80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748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DRAM</w:t>
            </w:r>
          </w:p>
        </w:tc>
        <w:tc>
          <w:tcPr>
            <w:tcW w:w="27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94"/>
        </w:trPr>
        <w:tc>
          <w:tcPr>
            <w:tcW w:w="74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780" w:type="dxa"/>
            <w:vAlign w:val="bottom"/>
          </w:tcPr>
          <w:p>
            <w:pPr>
              <w:jc w:val="right"/>
              <w:ind w:right="155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ind w:right="6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7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w w:val="91"/>
              </w:rPr>
              <w:t>(percentage change from prior period)</w:t>
            </w:r>
          </w:p>
        </w:tc>
        <w:tc>
          <w:tcPr>
            <w:tcW w:w="1160" w:type="dxa"/>
            <w:vAlign w:val="bottom"/>
          </w:tcPr>
          <w:p>
            <w:pPr>
              <w:spacing w:after="0"/>
              <w:rPr>
                <w:sz w:val="20"/>
                <w:szCs w:val="20"/>
                <w:color w:val="auto"/>
              </w:rPr>
            </w:pP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78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37 %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Average selling prices per gigabit</w:t>
            </w:r>
          </w:p>
        </w:tc>
        <w:tc>
          <w:tcPr>
            <w:tcW w:w="2780" w:type="dxa"/>
            <w:vAlign w:val="bottom"/>
          </w:tcPr>
          <w:p>
            <w:pPr>
              <w:jc w:val="right"/>
              <w:ind w:right="810"/>
              <w:spacing w:after="0"/>
              <w:rPr>
                <w:sz w:val="20"/>
                <w:szCs w:val="20"/>
                <w:color w:val="auto"/>
              </w:rPr>
            </w:pPr>
            <w:r>
              <w:rPr>
                <w:rFonts w:ascii="Arial" w:cs="Arial" w:eastAsia="Arial" w:hAnsi="Arial"/>
                <w:sz w:val="18"/>
                <w:szCs w:val="18"/>
                <w:color w:val="auto"/>
              </w:rPr>
              <w:t>(11)%</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Gigabits sold</w:t>
            </w:r>
          </w:p>
        </w:tc>
        <w:tc>
          <w:tcPr>
            <w:tcW w:w="278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55 %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Cost per gigabit</w:t>
            </w:r>
          </w:p>
        </w:tc>
        <w:tc>
          <w:tcPr>
            <w:tcW w:w="2780" w:type="dxa"/>
            <w:vAlign w:val="bottom"/>
          </w:tcPr>
          <w:p>
            <w:pPr>
              <w:jc w:val="right"/>
              <w:ind w:right="810"/>
              <w:spacing w:after="0"/>
              <w:rPr>
                <w:sz w:val="20"/>
                <w:szCs w:val="20"/>
                <w:color w:val="auto"/>
              </w:rPr>
            </w:pPr>
            <w:r>
              <w:rPr>
                <w:rFonts w:ascii="Arial" w:cs="Arial" w:eastAsia="Arial" w:hAnsi="Arial"/>
                <w:sz w:val="18"/>
                <w:szCs w:val="18"/>
                <w:color w:val="auto"/>
              </w:rPr>
              <w:t>(25)%</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increase in gigabit sales of DRAM products for 2013 as compared to 2012 was primarily due to increased output obtained from our Inotera joint venture under the new supply agreement, improved product and process technologies and the acquisition of Elpida on July 31, 2013. Effective on January 1, 2013, we entered into the new Inotera Supply Agreement under which we purchase substantially all of Inotera's output at a purchase price based on a discount from market prices for our comparable components. Prior to the new Inotera Supply Agreement we had the right to purchase 50% of Inotera's wafer production capacity based on a margin-sharing formula among Nanya, Inotera and us. (See "Overview – Inotera Memories, Inc.") Our cost of product purchased from Inotera under these supply agreements was $1,260 million for 2013, $646 million for 2012, and $641 million for 2011. Our cost of product purchased from Inotera has increased since the beginning of calendar 2013 and was higher than our cost of similar products manufactured in our wholly-owned facilities in the fourth quarter of 2013.</w:t>
      </w:r>
    </w:p>
    <w:p>
      <w:pPr>
        <w:spacing w:after="0" w:line="19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DRAM products acquired from Inotera accounted for 54% of our DRAM gigabit production for 2013 as compared to 46% for 2012 and 33% for 2011. As of June 30, 2013, Inotera's current liabilities exceeded its current assets by $1.0 billion, which exposes Inotera to liquidity risk. Additionally, Inotera incurred net losses of $541 million for its fiscal year ended December 31, 2012. As of June 30, 2013, Inotera was not in compliance with certain of its loan covenants, and had not been in compliance for the past several years, which may result in its lenders requiring repayment of such loans during the next year. Inotera has applied for a waiver from complying with the June 30, 2013 financial covenants. Inotera's management has implemented plans to improve its liquidity and for Inotera's six-month period ended June 30, 2013, Inotera generated net income of $91 million; however, there can be no assurance that Inotera will be successful in sufficiently improving its liquidity and complying with their loan covenants, which may result in its lenders requiring repayment of such loans during the next year.</w:t>
      </w:r>
    </w:p>
    <w:p>
      <w:pPr>
        <w:spacing w:after="0" w:line="192"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Our gross margin percentage on sales of DRAM products for 2013 improved from 2012 primarily due to manufacturing cost reductions as a result of improvements in product and process technology partially offset by declines in average selling prices. DRAM sales and gross margins for 2012 were adversely impacted by the effects of the $58 million charge to revenue for a settlement with a customer.</w:t>
      </w:r>
    </w:p>
    <w:p>
      <w:pPr>
        <w:spacing w:after="0" w:line="1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that our gigabit production and sales volumes of DRAM products will increase significantly in 2014 due to our acquisition of Elpida. Elpida has 300mm wafer fabrication facilities in Japan and Taiwan that are dedicated to the production of DRAM products. We expect that DRAM products produced by the acquired Elpida facilities will constitute over half of our aggregate DRAM gigabit production in the first quarter of 2014 and result in significant increases in CNBU and MBU DRAM sales. In accounting for the Elpida acquisition, Elpida's inventories were recorded at fair value, based on their estimated future selling prices, estimated costs to complete and other factors, which was approximately $200 million higher than the cost of inventory recorded by Elpida prior to the acquisition. Of this amount, approximately $40 million was included in cost of goods sold for 2013 and a significant portion of the reminder is expected to be included in costs of goods sold in the first quarter of 2014.</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NAND Flash</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We sell a portion of our output of NAND Flash products to Intel through IM Flash at long-term negotiated prices approximating cost. (See "Operating Results by Business Segments – NAND Solutions Group" for further detail.) We sell the remainder of our NAND Flash products to trade customers.</w:t>
      </w:r>
    </w:p>
    <w:p>
      <w:pPr>
        <w:sectPr>
          <w:pgSz w:w="11900" w:h="16838" w:orient="portrait"/>
          <w:cols w:equalWidth="0" w:num="1">
            <w:col w:w="11420"/>
          </w:cols>
          <w:pgMar w:left="240" w:top="58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ind w:left="520"/>
              <w:spacing w:after="0"/>
              <w:rPr>
                <w:sz w:val="20"/>
                <w:szCs w:val="20"/>
                <w:color w:val="auto"/>
              </w:rPr>
            </w:pPr>
            <w:r>
              <w:rPr>
                <w:rFonts w:ascii="Arial" w:cs="Arial" w:eastAsia="Arial" w:hAnsi="Arial"/>
                <w:sz w:val="18"/>
                <w:szCs w:val="18"/>
                <w:b w:val="1"/>
                <w:bCs w:val="1"/>
                <w:color w:val="auto"/>
              </w:rPr>
              <w:t>For the year ended</w:t>
            </w:r>
          </w:p>
        </w:tc>
        <w:tc>
          <w:tcPr>
            <w:tcW w:w="2340" w:type="dxa"/>
            <w:vAlign w:val="bottom"/>
          </w:tcPr>
          <w:p>
            <w:pPr>
              <w:jc w:val="right"/>
              <w:ind w:right="1110"/>
              <w:spacing w:after="0"/>
              <w:rPr>
                <w:sz w:val="20"/>
                <w:szCs w:val="20"/>
                <w:color w:val="auto"/>
              </w:rPr>
            </w:pPr>
            <w:r>
              <w:rPr>
                <w:rFonts w:ascii="Arial" w:cs="Arial" w:eastAsia="Arial" w:hAnsi="Arial"/>
                <w:sz w:val="18"/>
                <w:szCs w:val="18"/>
                <w:b w:val="1"/>
                <w:bCs w:val="1"/>
                <w:color w:val="auto"/>
              </w:rPr>
              <w:t>2013</w:t>
            </w:r>
          </w:p>
        </w:tc>
        <w:tc>
          <w:tcPr>
            <w:tcW w:w="16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2012</w:t>
            </w:r>
          </w:p>
        </w:tc>
      </w:tr>
      <w:tr>
        <w:trPr>
          <w:trHeight w:val="27"/>
        </w:trPr>
        <w:tc>
          <w:tcPr>
            <w:tcW w:w="7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Borders>
              <w:bottom w:val="single" w:sz="8" w:color="auto"/>
            </w:tcBorders>
            <w:gridSpan w:val="2"/>
          </w:tcPr>
          <w:p>
            <w:pPr>
              <w:spacing w:after="0"/>
              <w:rPr>
                <w:sz w:val="2"/>
                <w:szCs w:val="2"/>
                <w:color w:val="auto"/>
              </w:rPr>
            </w:pPr>
          </w:p>
        </w:tc>
      </w:tr>
      <w:tr>
        <w:trPr>
          <w:trHeight w:val="237"/>
        </w:trPr>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gridSpan w:val="2"/>
          </w:tcPr>
          <w:p>
            <w:pPr>
              <w:jc w:val="right"/>
              <w:ind w:right="490"/>
              <w:spacing w:after="0"/>
              <w:rPr>
                <w:sz w:val="20"/>
                <w:szCs w:val="20"/>
                <w:color w:val="auto"/>
              </w:rPr>
            </w:pPr>
            <w:r>
              <w:rPr>
                <w:rFonts w:ascii="Arial" w:cs="Arial" w:eastAsia="Arial" w:hAnsi="Arial"/>
                <w:sz w:val="18"/>
                <w:szCs w:val="18"/>
                <w:color w:val="auto"/>
              </w:rPr>
              <w:t>(percentage change from prior period)</w:t>
            </w:r>
          </w:p>
        </w:tc>
      </w:tr>
      <w:tr>
        <w:trPr>
          <w:trHeight w:val="270"/>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Sales to trade customers:</w:t>
            </w:r>
          </w:p>
        </w:tc>
        <w:tc>
          <w:tcPr>
            <w:tcW w:w="23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23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7480" w:type="dxa"/>
            <w:vAlign w:val="bottom"/>
            <w:gridSpan w:val="2"/>
          </w:tcPr>
          <w:p>
            <w:pPr>
              <w:ind w:left="200"/>
              <w:spacing w:after="0"/>
              <w:rPr>
                <w:sz w:val="20"/>
                <w:szCs w:val="20"/>
                <w:color w:val="auto"/>
              </w:rPr>
            </w:pPr>
            <w:r>
              <w:rPr>
                <w:rFonts w:ascii="Arial" w:cs="Arial" w:eastAsia="Arial" w:hAnsi="Arial"/>
                <w:sz w:val="18"/>
                <w:szCs w:val="18"/>
                <w:color w:val="auto"/>
              </w:rPr>
              <w:t>Average selling prices per gigabit</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1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Gigabits sold</w:t>
            </w:r>
          </w:p>
        </w:tc>
        <w:tc>
          <w:tcPr>
            <w:tcW w:w="23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40 %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r>
      <w:tr>
        <w:trPr>
          <w:trHeight w:val="243"/>
        </w:trPr>
        <w:tc>
          <w:tcPr>
            <w:tcW w:w="7480" w:type="dxa"/>
            <w:vAlign w:val="bottom"/>
            <w:gridSpan w:val="2"/>
          </w:tcPr>
          <w:p>
            <w:pPr>
              <w:ind w:left="200"/>
              <w:spacing w:after="0"/>
              <w:rPr>
                <w:sz w:val="20"/>
                <w:szCs w:val="20"/>
                <w:color w:val="auto"/>
              </w:rPr>
            </w:pPr>
            <w:r>
              <w:rPr>
                <w:rFonts w:ascii="Arial" w:cs="Arial" w:eastAsia="Arial" w:hAnsi="Arial"/>
                <w:sz w:val="18"/>
                <w:szCs w:val="18"/>
                <w:color w:val="auto"/>
              </w:rPr>
              <w:t>Cost per gigabit</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160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Increases in NAND Flash gigabits sold to trade customers for 2013 as compared to 2012 were primarily due to improved product and process technologies, increased output available for sale to trade customers due to the restructure of our IM Flash agreement with Intel in April 2012 and the ramp-up of our fabrication facility in Singapore throughout 2012. Our gross margin percentage on sales of NAND Flash products for 2013 improved from 2012 as manufacturing cost reductions outpaced declines in average selling prices. Manufacturing cost reductions for 2013 as compared to 2012 reflect improvements in product and process technologies.</w:t>
      </w:r>
    </w:p>
    <w:p>
      <w:pPr>
        <w:spacing w:after="0" w:line="18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Increases in NAND Flash gigabits sold to trade customers for 2012 as compared to 2011 was primarily due to the ramp of the IMFS fabrication facility and improved product and process technologies. The new cost-plus supply agreement with Intel also contributed to the increase in gigabits sold to trade customers for 2012.</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 Flash</w:t>
      </w:r>
    </w:p>
    <w:p>
      <w:pPr>
        <w:spacing w:after="0" w:line="225"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Sales of NOR Flash products for 2013 declined as compared to 2012 primarily due to decreases in sales of wireless products as a result of weakness in demand from certain customers and the continued transition of wireless applications to NAND Flash products, which led to significant declines in average selling prices. Our gross margin percentage on sales of NOR Flash products for 2013 improved as compared to 2012 primarily due to cost reductions.</w:t>
      </w:r>
    </w:p>
    <w:p>
      <w:pPr>
        <w:spacing w:after="0" w:line="14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Sales of NOR Flash products for 2012 declined from 2011 primarily due to decreases in sales of wireless NOR Flash products, as a result of weakness in demand from certain customers and the continued transition of wireless applications to NAND Flash products that led to significant declines in average selling prices and sales volume. Our gross margin percentage on sales of NOR Flash products declined from 2011 to 2012 primarily due to decreases in average selling prices, inventory write-downs and costs of underutilized capacity.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Selling, general and administrative ("SG&amp;A") expenses for 2013 decreased 9% as compared to 2012 primarily due to a reduction in legal costs and lower variable pay costs partially offset by $50 million of consulting, legal and other costs incurred in connection with the acquisition of Elpida.</w:t>
      </w:r>
    </w:p>
    <w:p>
      <w:pPr>
        <w:spacing w:after="0" w:line="147" w:lineRule="exact"/>
        <w:rPr>
          <w:sz w:val="20"/>
          <w:szCs w:val="20"/>
          <w:color w:val="auto"/>
        </w:rPr>
      </w:pPr>
    </w:p>
    <w:p>
      <w:pPr>
        <w:ind w:right="620" w:firstLine="324"/>
        <w:spacing w:after="0" w:line="264" w:lineRule="auto"/>
        <w:rPr>
          <w:sz w:val="20"/>
          <w:szCs w:val="20"/>
          <w:color w:val="auto"/>
        </w:rPr>
      </w:pPr>
      <w:r>
        <w:rPr>
          <w:rFonts w:ascii="Arial" w:cs="Arial" w:eastAsia="Arial" w:hAnsi="Arial"/>
          <w:sz w:val="18"/>
          <w:szCs w:val="18"/>
          <w:color w:val="auto"/>
        </w:rPr>
        <w:t>SG&amp;A expenses for 2012 increased 5% as compared to 2011 primarily due to a $13 million contribution to a university program and stock-based compensation and other amounts related to the death benefits of our former Chief Executive Officer in 2012. We expect that SG&amp;A expenses will approximate $185 million to $195 million for the first quarter of 2014, which includes costs from Elpida.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R&amp;D expenses for 2013 increased 1% from 2012 primarily due to lower reimbursements from Nanya under partnering arrangements offset by lower payroll costs primarily resulting from the suspension of variable pay plans and a lower volume of development wafers processed.</w:t>
      </w:r>
    </w:p>
    <w:p>
      <w:pPr>
        <w:spacing w:after="0" w:line="147"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R&amp;D expenses for 2012 increased 16% from 2011 primarily due to a higher volume of development wafers processed, higher personnel costs associated with increased salary and wage rates and additional headcount for our expanded R&amp;D operations, and higher software and materials costs.</w:t>
      </w:r>
    </w:p>
    <w:p>
      <w:pPr>
        <w:sectPr>
          <w:pgSz w:w="11900" w:h="16838" w:orient="portrait"/>
          <w:cols w:equalWidth="0" w:num="1">
            <w:col w:w="11420"/>
          </w:cols>
          <w:pgMar w:left="240" w:top="742" w:right="239" w:bottom="1440" w:gutter="0" w:footer="0" w:header="0"/>
        </w:sectPr>
      </w:pPr>
    </w:p>
    <w:bookmarkStart w:id="25" w:name="page26"/>
    <w:bookmarkEnd w:id="25"/>
    <w:p>
      <w:pPr>
        <w:ind w:right="100" w:firstLine="324"/>
        <w:spacing w:after="0" w:line="273" w:lineRule="auto"/>
        <w:rPr>
          <w:sz w:val="20"/>
          <w:szCs w:val="20"/>
          <w:color w:val="auto"/>
        </w:rPr>
      </w:pPr>
      <w:r>
        <w:rPr>
          <w:rFonts w:ascii="Arial" w:cs="Arial" w:eastAsia="Arial" w:hAnsi="Arial"/>
          <w:sz w:val="17"/>
          <w:szCs w:val="17"/>
          <w:color w:val="auto"/>
        </w:rPr>
        <w:t>As a result of amounts reimbursable from Nanya under a DRAM R&amp;D cost-sharing arrangement, R&amp;D expenses were reduced by $19 million, $138 million and $141 million for 2013, 2012 and 2011, respectively. The April 6, 2012 agreements with Intel expanded our NAND Flash R&amp;D cost-sharing agreement to include certain emerging memory technologies, but did not change the cost-sharing percentage. As a result of amounts reimbursable from Intel, R&amp;D expenses were reduced by $127 million, $87 million and $95 million for 2013, 2012 and 2011, respectively. Effective January 1, 2013, Nanya ceased participating in the joint development program. We expect that R&amp;D expenses, net of amounts reimbursable from our R&amp;D partners, will be approximately $340 million to $350 million for the first quarter of 2014, which includes costs from Elpida.</w:t>
      </w:r>
    </w:p>
    <w:p>
      <w:pPr>
        <w:spacing w:after="0" w:line="17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Our process technology R&amp;D efforts are focused primarily on development of successively smaller line-width process technologies which are designed to facilitate our transition to next generation memory products. Additional process technology R&amp;D efforts focus on the enablement of advanced computing and mobile memory architectures, the investigation of new opportunities that leverage our core semiconductor expertise and the development of new manufacturing materials. Product design and development efforts include our high density DDR3 and DDR4 DRAM and Mobile Low Power DDR DRAM products as well as high density and mobile NAND Flash memory (including multi-level and triple-level cell technologies), NOR Flash memory, specialty memory, solid-state drives, Hybrid Memory Cubes and other memory technologies and systems.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Restructure and Asset Impairments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impairment of MIT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Loss on impairment of LED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restructure of ST consortium agreement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Gain on termination of lease to Transform</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from disposition of Japan Fabrication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We have taken actions to dispose of 200mm wafer manufacturing facilities and optimize operations including our workforce. For 2013, SBU, EBU, MBU, and CNBU recognized restructure and impairment costs of $20 million, $14 million, $12 million and $12 million, respectively. The remaining restructure and impairment costs for 2013 were allocated to segments that do not meet the quantitative thresholds of a reportable segment and are reported under All Other. As of August 29, 2013, the only significant remaining amount accrued but unpaid for these restructure activities was $12 million related to workforce optimization. As of August 29, 2013, we do not anticipate incurring any significant additional costs for these restructure activities. (See "Item 8. Financial Statements and Supplementary Data – Notes to Consolidated Financial Statements – Restructure and Asset Impairments.")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(Expense)</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Interest expense for 2013, 2012 and 2011, included aggregate amounts of amortization of debt discount and other interest amortization expense of $120 million, $95 million and $60 million, respectively. (See "Item 8. Financial Statements and Supplementary Data – Notes to Consolidated Financial Statements – Debt" note.)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 Net Loss of Equity Method Investees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recognize our share of earnings or losses from these entities under the equity method, generally on a two-month lag. Equity in net loss of equity method investees, net of tax, included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Inotera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ind w:right="40" w:firstLine="324"/>
        <w:spacing w:after="0" w:line="291" w:lineRule="auto"/>
        <w:rPr>
          <w:sz w:val="20"/>
          <w:szCs w:val="20"/>
          <w:color w:val="auto"/>
        </w:rPr>
      </w:pPr>
      <w:r>
        <w:rPr>
          <w:rFonts w:ascii="Arial" w:cs="Arial" w:eastAsia="Arial" w:hAnsi="Arial"/>
          <w:sz w:val="16"/>
          <w:szCs w:val="16"/>
          <w:color w:val="auto"/>
        </w:rPr>
        <w:t>Our equity in net income (loss) of Inotera improved for 2013 as compared to 2012 primarily due to Inotera's improved operating results as a result of higher average selling prices and lower manufacturing costs. On May 28, 2013, Inotera issued 634 million common shares to Nanya and certain of its affiliates in a private placement at a price equal to 9.47 New Taiwan dollars per common share (approximately $0.32 U.S. dollars as of May 28, 2013), which was in excess of our carrying value per share. As a result of the issuance, our ownership interest decreased from 40% to 35% and we recognized a gain of approximately $48 million in 2013. The change in ownership interest does not change our obligation to purchase substantially all of Inotera's output. Losses in 2012 for our other equity method investments were primarily attributable to Transform Solar Pty Ltd. which ceased operations in 2012 and has essentially been liquidated. (See "Item 8. Financial Statements and Supplementary Data – Notes to Consolidated Financial Statements – Equity Method Investments.")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Further discussion of other operating and non-operating income and expenses can be found in the following notes contained in "Item 8. Financial Statements and Supplementary Data – Notes to Consolidated Financial Statements":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Plans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Operating (Income) Expense,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Non-Operating Income (Expense),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Fair Values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Elpida Acquisition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provisional fair values of assets and liabilities acquired in the acquisition of Elpida is based on estimates using information available at the closing of the acquisition. We estimated the provisional fair value of the assets and liabilities of Elpida as of July 31, 2013 using an in-use model, which reflects its value through its use in combination with other assets as a group. These provisional amounts could change as additional information become available. These changes could result in material variances between the combined entity's future financial results including variances in fair values recorded, as well as expenses associated with these items.</w:t>
      </w:r>
    </w:p>
    <w:p>
      <w:pPr>
        <w:spacing w:after="0" w:line="18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Determination of provisional fair values for the assets and liabilities acquired in the Elpida acquisition required significant assumptions, estimates and judgments. Many of the measurements involved significant inputs that are not observable in the market and thus represent a Level 3 measurement as defined in ASC 820. Changes in assumptions, estimates and judgments could significantly impact the asset and liabilities recorded as well as the gain recognized in the acquisition. The items involving the most significant assumptions, estimates and judgments included determining the fair value of the following:</w:t>
      </w:r>
    </w:p>
    <w:p>
      <w:pPr>
        <w:spacing w:after="0" w:line="15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Property, plant and equipment, including determination of values in a continued-use model;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tax assets, including projections of future taxable income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including estimated future selling prices, timing of product sales and completion costs for work in process;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including discount rate and timing of payments.</w:t>
      </w:r>
    </w:p>
    <w:p>
      <w:pPr>
        <w:sectPr>
          <w:pgSz w:w="11900" w:h="16838" w:orient="portrait"/>
          <w:cols w:equalWidth="0" w:num="1">
            <w:col w:w="11380"/>
          </w:cols>
          <w:pgMar w:left="240" w:top="584" w:right="27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equivalents and short-term investments: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Bank deposits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Government securities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Certificates of deposit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2,559</w:t>
            </w:r>
          </w:p>
        </w:tc>
      </w:tr>
      <w:tr>
        <w:trPr>
          <w:trHeight w:val="67"/>
        </w:trPr>
        <w:tc>
          <w:tcPr>
            <w:tcW w:w="82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30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Long-term marketable investments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Noncurrent (included in "Other noncurrent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Cash and equivalents in the table above included $1,094 million held by Elpida and its subsidiaries as of August 29, 2013. Substantially all of the restricted cash in the table above is held by Elpida for its installment payments to its secured and unsecured creditors. Use of cash and equivalents and restricted cash held by Elpida is subject to limitations described below.</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a result of the Japan Proceedings, for so long as such proceedings are continuing, the Elpida Companies and their subsidiaries are subject to certain restrictions on dividends, loans and advances. The plans of reorganization of the Elpida Companies prohibit the Elpida Companies from paying dividends, including any cash dividends, to us and require that excess earnings be used in their businesses or to fund the Elpida Companies' installment payments. These prohibitions would also effectively prevent the subsidiaries of the Elpida Companies from paying cash dividends to us as any such dividends would have to be first paid to the Elpida Companies which are prohibited from repaying those amounts to us as dividends under the plans of reorganization. In addition, pursuant to an order of the Japan Court, the Elpida Companies cannot make loans or advances, other than certain ordinary course advances, to us without the consent of the Japan Court. Moreover, loans or advances by subsidiaries of the Elpida Companies may be considered outside of the ordinary course of business and subject to approval of the legal trustees and Japan Court. As a result, the assets of the Elpida Companies and their subsidiaries, while available to satisfy the Elpida Companies' installment payments and the other obligations, capital expenditures and other operating needs of the Elpida Companies and their subsidiaries, are not available for use by us in our other operations. Moreover, certain uses of the assets of the Elpida Companies, including investments in certain capital expenditures and in Rexchip, may require consent of Elpida's trustees and/or the Japan Court. (See "Item 8. Financial Statements and Supplementary Data – Notes to Consolidated Financial Statements – Acquisition of Elpida Memory, Inc.")</w:t>
      </w:r>
    </w:p>
    <w:p>
      <w:pPr>
        <w:spacing w:after="0" w:line="16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Cash and equivalents in the table above included $62 million held by IMFT as of August 29, 2013 and $157 million as of August 30, 2012. Our ability to access funds held by IMFT to finance our other operations is subject to agreement by the other member and contractual limitations. Amounts held by IMFT are not anticipated to be available to finance our other operations.</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August 29, 2013, $1,598 million of our cash and equivalents was held by foreign subsidiaries, of which $743 million was denominated in currencies other than the U.S. dollar. As of August 29, 2013, we had $1,362 million of cash and equivalents, including the $1,094 million at Elpida, that was held by foreign subsidiaries whose earnings were considered to be indefinitely reinvested and repatriation of these funds to the U.S. would subject these funds to U.S. federal income taxes.</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To mitigate credit risk, we invest through high-credit-quality financial institutions and, by policy, generally limit the concentration of credit exposure by restricting investments with any single obligor.</w:t>
      </w:r>
    </w:p>
    <w:p>
      <w:pPr>
        <w:sectPr>
          <w:pgSz w:w="11900" w:h="16838" w:orient="portrait"/>
          <w:cols w:equalWidth="0" w:num="1">
            <w:col w:w="11420"/>
          </w:cols>
          <w:pgMar w:left="240" w:top="585" w:right="239" w:bottom="1440" w:gutter="0" w:footer="0" w:header="0"/>
        </w:sectPr>
      </w:pPr>
    </w:p>
    <w:bookmarkStart w:id="28" w:name="page29"/>
    <w:bookmarkEnd w:id="28"/>
    <w:p>
      <w:pPr>
        <w:ind w:right="80" w:firstLine="324"/>
        <w:spacing w:after="0" w:line="270" w:lineRule="auto"/>
        <w:rPr>
          <w:sz w:val="20"/>
          <w:szCs w:val="20"/>
          <w:color w:val="auto"/>
        </w:rPr>
      </w:pPr>
      <w:r>
        <w:rPr>
          <w:rFonts w:ascii="Arial" w:cs="Arial" w:eastAsia="Arial" w:hAnsi="Arial"/>
          <w:sz w:val="17"/>
          <w:szCs w:val="17"/>
          <w:color w:val="auto"/>
        </w:rPr>
        <w:t>Cash generated by operations is our primary source of liquidity. Our liquidity is highly dependent on selling prices for our products and the timing and level of our capital expenditures, both of which can vary significantly from period to period. Depending on conditions in the semiconductor memory market, our cash flows from operations and current holdings of cash and investments may not be adequate to meet our needs for capital expenditures and operations. In 2013 we obtained $1,121 million of proceeds from issuance of debt and $126 million of proceeds from equipment sale-leaseback financing. As of August 29, 2013, we had credit facilities available that provides for up to $408 million of additional financing, subject to outstanding balances of trade receivables and other conditions (See "Item 8. Financial Statements and Supplementary Data – Notes to Consolidated Financial Statements – Debt – Revolving Credit Facilities"). We have in the past and expect in the future to continue to incur additional debt to finance our capital investments, including debt incurred in connection with asset-backed financing. We expect our cash and investments, cash flows from operations and available financing will be sufficient to meet our requirements at least through 2014.</w:t>
      </w:r>
    </w:p>
    <w:p>
      <w:pPr>
        <w:spacing w:after="0" w:line="18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Holders of our outstanding convertible notes can convert the notes during any calendar quarter if the closing price of our common stock for at least 20 trading days in the 30 consecutive trading days ending on the last trading day of the preceding calendar quarter is more than 130% of the conversion price. As of August 29, 2013, convertible notes with an aggregate principal amount of $1,465 million, contained contractual terms that require us to pay cash up to the principal amount of the notes upon conversion. These notes become convertible at the option of the holders if the closing price of our common stock for the required periods is above prices ranging from $12.35 to $14.21. None of these convertible notes met the conversion criteria through the calendar quarter ended June 30, 2013. Of the notes that require us to pay cash up to the principal amount upon conversion, only the 2031A and 2031B Notes, with an aggregate principle amount of $690 million and carrying value of $530 million as of August 29, 2013, met the conversion criteria during September 2013. Through October 28, 2013, none of the 2031A or 2031B Notes had been converted by holders. We do not believe the amounts converted, if any, would be significant since the note holders would forgo the time value of the embedded conversion option. We may elect in future periods to redeem convertible notes eligible for redemption.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Net cash provided by operating activities was $1,811 million for 2013, which reflected approximately $2,177 million generated from the production and sales of our products net of a $366 million effect from increases in the amount invested in net working capital. The increase in net working capital was primarily due to an increase in accounts receivable of $409 million as a result of increases in sales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Net cash used for investing activities was $1,712 million for 2013, which consisted primarily of cash expenditures of $1,244 million for property, plant and equipment, $246 million for the acquisition of available-for-sale securities (net of proceeds from sales and maturities of $678 million), and $226 million for the settlement of hedging activities (net of proceeds from the settlement of hedging activities of $27 million). We believe that to develop new product and process technologies, support future growth, achieve operating efficiencies and maintain product quality, we must continue to invest in manufacturing technologies, facilities and capital equipment and R&amp;D. We estimate that capital spending for 2014 will be approximately $2.6 billion to $3.2 billion. The actual amounts for 2014 will vary depending on market conditions. As of August 29, 2013, we had commitments of approximately $775 million for the acquisition of property, plant and equipment, substantially all of which is expected to be paid within one year.</w:t>
      </w:r>
    </w:p>
    <w:p>
      <w:pPr>
        <w:spacing w:after="0" w:line="178"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In connection with the sale of our 200mm Avezzano facility to LFoundry, on May 22, 2013, we entered into a short-term, interest-free, unsecured loan agreement with Aptina that allowed Aptina to borrow up to $45 million, drawn at their option, in three equal tranches through July 2013. Principal amounts drawn are due in three equal payments from September 2013 to January 2014. As of August 29, 2013, other current assets included $45 million for amounts due under the short-term loan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Net cash provided by financing activities was $322 million for 2013, which included $1,121 million of proceeds from issuance of debt, $126 million of proceeds from equipment sale-leaseback financing transactions partially offset by $743 million for repayments of debt, $214 million of payments on equipment purchase contracts and $26 million of net distributions to noncontrolling interests.</w:t>
      </w:r>
    </w:p>
    <w:p>
      <w:pPr>
        <w:sectPr>
          <w:pgSz w:w="11900" w:h="16838" w:orient="portrait"/>
          <w:cols w:equalWidth="0" w:num="1">
            <w:col w:w="11380"/>
          </w:cols>
          <w:pgMar w:left="240" w:top="584" w:right="279" w:bottom="1440" w:gutter="0" w:footer="0" w:header="0"/>
        </w:sectPr>
      </w:pPr>
    </w:p>
    <w:bookmarkStart w:id="29" w:name="page30"/>
    <w:bookmarkEnd w:id="29"/>
    <w:p>
      <w:pPr>
        <w:ind w:right="40" w:firstLine="324"/>
        <w:spacing w:after="0" w:line="257" w:lineRule="auto"/>
        <w:rPr>
          <w:sz w:val="20"/>
          <w:szCs w:val="20"/>
          <w:color w:val="auto"/>
        </w:rPr>
      </w:pPr>
      <w:r>
        <w:rPr>
          <w:rFonts w:ascii="Arial" w:cs="Arial" w:eastAsia="Arial" w:hAnsi="Arial"/>
          <w:sz w:val="18"/>
          <w:szCs w:val="18"/>
          <w:color w:val="auto"/>
        </w:rPr>
        <w:t>On February 12, 2013, we issued $300 million of 1.625% Convertible Senior Notes due 2033 (the "2033E Notes") and $300 million of 2.125% Convertible Senior Notes due 2033 (the "2033F Notes" and together with the 2033E Notes, the "2033 Notes") at face value. Issuance costs for the 2033 Notes totaled $16 million. Concurrently with the issuance of the 2033 Notes, we paid $48 million to purchase capped calls to partially offset the potentially dilutive effect if the 2033 Notes were converted into shares of our common stock. Additionally, on February 12, 2013, we repurchased $464 million of aggregate principal amount of our 1.875% Convertible Senior Notes due June 2014 for $477 million.</w:t>
      </w:r>
    </w:p>
    <w:p>
      <w:pPr>
        <w:spacing w:after="0" w:line="18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On August 27, 2013, we borrowed $312 million under a four-year term loan, collateralized by a security interest in certain production equipment. Principal is payable in equal quarterly installments, commencing on November 27, 2013. Interest accrues at a variable rate equal to the three-month LIBOR rate plus a margin of 3.25% per annum, payable quarterly in arrears. Also on August 27, 2013, we entered into a variable-for-fixed interest rate swap calculated on an aggregate notional amount equal to the scheduled outstanding balance of the loan. The interest rate swap effectively fixed the rate at 4.2% per annum. The facility agreement contains customary covenants, limitations or restrictions our ability to create liens or dispose of the equipment securing the facility agreement. The facility also contains a covenant requiring us to ensure that the ratio of the outstanding loan to the fair market value of the equipment that secures the loan does not exceed 0.8 to 1.0. If such ratio is exceeded, we would be required to grant a security interest in additional equipment and/or prepay the loan in an amount sufficient to reduce such ratio to 0.8 to 1.0 or less. The facility agreement also contains customary events of default which could result in the acceleration of all amounts and cancellation of all commitments under the facility agreement.</w:t>
      </w:r>
    </w:p>
    <w:p>
      <w:pPr>
        <w:spacing w:after="0" w:line="167"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On October 2, 2012, we entered into a facility agreement to obtain financing collateralized by semiconductor production equipment. Subject to customary conditions, we could draw up to $214 million under the facility agreement. Amounts drawn are payable in 10 equal semi-annual installments beginning six months after the draw date. On October 18, 2012, we drew $173 million with interest at 2.4% per annum. On January 31, 2013, we drew the remaining $41 million with interest at 2.4% per annum. The facility agreement contains customary covenants and events of default.</w:t>
      </w:r>
    </w:p>
    <w:p>
      <w:pPr>
        <w:spacing w:after="0" w:line="154" w:lineRule="exact"/>
        <w:rPr>
          <w:sz w:val="20"/>
          <w:szCs w:val="20"/>
          <w:color w:val="auto"/>
        </w:rPr>
      </w:pPr>
    </w:p>
    <w:p>
      <w:pPr>
        <w:ind w:left="60" w:firstLine="324"/>
        <w:spacing w:after="0" w:line="293" w:lineRule="auto"/>
        <w:rPr>
          <w:sz w:val="20"/>
          <w:szCs w:val="20"/>
          <w:color w:val="auto"/>
        </w:rPr>
      </w:pPr>
      <w:r>
        <w:rPr>
          <w:rFonts w:ascii="Arial" w:cs="Arial" w:eastAsia="Arial" w:hAnsi="Arial"/>
          <w:sz w:val="16"/>
          <w:szCs w:val="16"/>
          <w:color w:val="auto"/>
        </w:rPr>
        <w:t>On September 5, 2012, we entered into a three-year revolving credit facility. Under this credit facility, we can draw up to the lesser of $255 million or 80% of the net outstanding balance of a pool of certain trade receivables. Amounts drawn would be collateralized by a security interest in such receivables. The availability of the facility is subject to certain customary conditions, including the absence of any event or circumstance that has a material adverse effect on our business or financial condition. The revolving credit facility contains customary covenants and a repayment provision in the event that the maximum aging of the receivables exceeds a specified threshold. Interest is payable monthly on any outstanding principal balance at a variable rate equal to the 30-day Singapore Interbank Offering Rate plus 2.8% per annum. As of August 29, 2013, we had not drawn any amounts under this facility.</w:t>
      </w:r>
    </w:p>
    <w:p>
      <w:pPr>
        <w:spacing w:after="0" w:line="16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On June 27, 2013, we entered into a senior secured three-year revolving credit facility, collateralized by a security interest in certain trade receivables. Under this facility, we can draw up to 85% of the net outstanding balance of certain trade receivables, subject to certain adjustments, including an availability block that has the effect of limiting the maximum committed draw amount to approximately $153 million. The revolving credit facility contains customary covenants and conditions, including as a funding condition the absence of any event or circumstance that has a material adverse effect on our business or financial condition. Generally, interest is payable on any outstanding principal balance at a variable rate equal to the London Interbank Offered Rate (“LIBOR”) plus a spread from 1.5% to 2.0%, or at our option, at a rate equal to an alternate base rate (defined as the highest of (1) the prime rate, (2) one-month LIBOR plus 1.0% or (3) the Federal Funds Effective Rate) plus a spread from 0.5% to 1.0%. In either case, the spread added to the applicable interest rate basis varies depending upon the amount of the monthly average undrawn availability under the facility. As of August 29, 2013, we had not drawn any amounts under this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Elpida Memory, Inc.</w:t>
      </w:r>
    </w:p>
    <w:p>
      <w:pPr>
        <w:spacing w:after="0" w:line="22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On July 31, 2013, we completed the acquisition of Elpida and Rexchip and made payments at the closing date of approximately $615 million and $334 million, respectively. Substantially all of the $615 million we paid in connection with the acquisition of Elpida was deposited into accounts that are legally restricted for payment to the secured and unsecured creditors of Elpida in October 2013. Under their plans of reorganizations, the Elpida Companies are to make additional annual installment payments aggregating 140 billion yen (or the equivalent of approximately $1.43 billion), which are scheduled to occur from 2014 through 2019. In order to further the planned technology road maps for the Elpida and Rexchip operations, we will be required to make capital expenditures.</w:t>
      </w:r>
    </w:p>
    <w:p>
      <w:pPr>
        <w:sectPr>
          <w:pgSz w:w="11900" w:h="16838" w:orient="portrait"/>
          <w:cols w:equalWidth="0" w:num="1">
            <w:col w:w="11420"/>
          </w:cols>
          <w:pgMar w:left="240" w:top="584" w:right="239" w:bottom="1440" w:gutter="0" w:footer="0" w:header="0"/>
        </w:sectPr>
      </w:pPr>
    </w:p>
    <w:bookmarkStart w:id="30" w:name="page31"/>
    <w:bookmarkEnd w:id="30"/>
    <w:p>
      <w:pPr>
        <w:ind w:right="180" w:firstLine="324"/>
        <w:spacing w:after="0" w:line="257" w:lineRule="auto"/>
        <w:rPr>
          <w:sz w:val="20"/>
          <w:szCs w:val="20"/>
          <w:color w:val="auto"/>
        </w:rPr>
      </w:pPr>
      <w:r>
        <w:rPr>
          <w:rFonts w:ascii="Arial" w:cs="Arial" w:eastAsia="Arial" w:hAnsi="Arial"/>
          <w:sz w:val="18"/>
          <w:szCs w:val="18"/>
          <w:color w:val="auto"/>
        </w:rPr>
        <w:t>Pursuant to the Sponsor Agreement we agreed, subject to certain conditions, to provide certain support to Elpida with respect to obtaining financing for working capital purposes and capital expenditures. Under the Sponsor Agreement, we agreed, subject to certain conditions, to use reasonable best efforts to assist the Elpida Companies in financing up to 64 billion yen (or the equivalent of approximately $655 million) of eligible capital expenditures incurred through June 30, 2014, which may include us providing payment guarantees of third party financing under certain circumstances or direct financial support from Micron Technology, Inc. or one of its subsidiaries.</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As of August 29, 2013, we have provided payment guarantees related to financing of capital expenditures with an outstanding borrowing of 4 billion yen (or the equivalent of approximately $41 million), through December, 2014. We have entered into an omnibus reimbursement agreement with Elpida in connection with our financial support obligations under the Sponsor Agreement, whereby Elpida and certain of its subsidiaries have agreed, among other things, to reimburse us for any amounts that we are required to pay under or in connection with the payment guarantees. These obligations under the omnibus reimbursement agreement are collateralized by approximately 93% of the Rexchip shares held by Elpida and one of its subsidiaries. In the event we are required to make any payments to Elpida's lenders under the guarantees, our rights will be subrogated to those of the lenders, including any rights to exercise remedies with respect to collateral securing the underlying loans.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"Item 8. Financial Statements and Supplementary Data – Notes to Consolidated Financial Statements – Acquisition of Elpida Memory, Inc.")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60" w:type="dxa"/>
            <w:vAlign w:val="bottom"/>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More than 5</w:t>
            </w:r>
          </w:p>
        </w:tc>
      </w:t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August 29, 2013</w:t>
            </w: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4"/>
              </w:rPr>
              <w:t>Less than 1 year</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1-3 years</w:t>
            </w:r>
          </w:p>
        </w:tc>
        <w:tc>
          <w:tcPr>
            <w:tcW w:w="2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3-5 years</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years</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16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i w:val="1"/>
                <w:iCs w:val="1"/>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2,341</w:t>
            </w:r>
          </w:p>
        </w:tc>
      </w:tr>
      <w:tr>
        <w:trPr>
          <w:trHeight w:val="270"/>
        </w:trPr>
        <w:tc>
          <w:tcPr>
            <w:tcW w:w="51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25"/>
                <w:szCs w:val="25"/>
                <w:i w:val="1"/>
                <w:iCs w:val="1"/>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5"/>
                <w:szCs w:val="25"/>
                <w:i w:val="1"/>
                <w:iCs w:val="1"/>
                <w:color w:val="auto"/>
                <w:vertAlign w:val="superscript"/>
              </w:rPr>
              <w:t>(2) (3)</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9,310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 w:lineRule="exact"/>
        <w:rPr>
          <w:sz w:val="20"/>
          <w:szCs w:val="20"/>
          <w:color w:val="auto"/>
        </w:rPr>
      </w:pPr>
    </w:p>
    <w:p>
      <w:pPr>
        <w:jc w:val="both"/>
        <w:ind w:left="40" w:right="160" w:hanging="5"/>
        <w:spacing w:after="0" w:line="243" w:lineRule="auto"/>
        <w:tabs>
          <w:tab w:leader="none" w:pos="229"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Amounts includes Elpida Creditor Installment Payments, convertible notes and other notes and reflects principal and interest cash payments over the life of the obligations, including anticipated interest payments that are not recorded on our consolidated balance sheet. Any future redemption or conversion of convertible debt could impact our cash payments.</w:t>
      </w:r>
    </w:p>
    <w:p>
      <w:pPr>
        <w:spacing w:after="0" w:line="38" w:lineRule="exact"/>
        <w:rPr>
          <w:rFonts w:ascii="Arial" w:cs="Arial" w:eastAsia="Arial" w:hAnsi="Arial"/>
          <w:sz w:val="23"/>
          <w:szCs w:val="23"/>
          <w:i w:val="1"/>
          <w:iCs w:val="1"/>
          <w:color w:val="auto"/>
          <w:vertAlign w:val="superscript"/>
        </w:rPr>
      </w:pPr>
    </w:p>
    <w:p>
      <w:pPr>
        <w:ind w:left="40" w:right="240" w:hanging="5"/>
        <w:spacing w:after="0" w:line="232" w:lineRule="auto"/>
        <w:tabs>
          <w:tab w:leader="none" w:pos="229"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Amounts represent future cash payments to satisfy other long-term liabilities recorded on our consolidated balance sheet, including $155 million for the short-term portion of these long-term liabilities.</w:t>
      </w:r>
    </w:p>
    <w:p>
      <w:pPr>
        <w:spacing w:after="0" w:line="41" w:lineRule="exact"/>
        <w:rPr>
          <w:rFonts w:ascii="Arial" w:cs="Arial" w:eastAsia="Arial" w:hAnsi="Arial"/>
          <w:sz w:val="23"/>
          <w:szCs w:val="23"/>
          <w:i w:val="1"/>
          <w:iCs w:val="1"/>
          <w:color w:va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We are unable to reliably estimate the timing of future payments related to uncertain tax positions; therefore, $80 million of long-term income taxes payable has been excluded from the preceding table. However, long-term income taxes payable recorded on our consolidated balance sheet included these 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-1173480</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1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obligations disclosed above do not include contractual obligations recorded on our balance sheet as current liabilities except for the current portion of long-term debt. The expected timing of payment amounts of the obligations discussed above is estimated based on current information. Timing and actual amounts paid may differ depending on the timing of receipt of goods or services, market prices, changes to agreed-upon amounts or timing of certain events for some obligations.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 obligations include all commitments to purchase goods or services of either a fixed or minimum quantity that meet any of the following criteria:</w:t>
      </w:r>
    </w:p>
    <w:p>
      <w:pPr>
        <w:spacing w:after="0" w:line="46" w:lineRule="exact"/>
        <w:rPr>
          <w:sz w:val="20"/>
          <w:szCs w:val="20"/>
          <w:color w:val="auto"/>
        </w:rPr>
      </w:pPr>
    </w:p>
    <w:p>
      <w:pPr>
        <w:ind w:right="40" w:firstLine="8"/>
        <w:spacing w:after="0" w:line="253"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they are noncancellable, (2) we would incur a penalty if the agreement was canceled, or (3) we must make specified minimum payments even if we do not take delivery of the contracted products or services ("take-or-pay"). If the obligation to purchase goods or services is noncancellable, the entire value of the contract was included in the above table. If the obligation is cancellable, but we would incur a penalty if canceled, the dollar amount of the penalty was included as a purchase obligation. Contracted minimum amounts specified in take-or-pay contracts are also included in the above table as they represent the portion of each contract that is a firm commitment.</w:t>
      </w:r>
    </w:p>
    <w:p>
      <w:pPr>
        <w:sectPr>
          <w:pgSz w:w="11900" w:h="16838" w:orient="portrait"/>
          <w:cols w:equalWidth="0" w:num="1">
            <w:col w:w="11420"/>
          </w:cols>
          <w:pgMar w:left="240" w:top="584" w:right="239" w:bottom="1440" w:gutter="0" w:footer="0" w:header="0"/>
        </w:sectPr>
      </w:pPr>
    </w:p>
    <w:bookmarkStart w:id="31" w:name="page32"/>
    <w:bookmarkEnd w:id="31"/>
    <w:p>
      <w:pPr>
        <w:ind w:right="80" w:firstLine="324"/>
        <w:spacing w:after="0" w:line="253" w:lineRule="auto"/>
        <w:rPr>
          <w:sz w:val="20"/>
          <w:szCs w:val="20"/>
          <w:color w:val="auto"/>
        </w:rPr>
      </w:pPr>
      <w:r>
        <w:rPr>
          <w:rFonts w:ascii="Arial" w:cs="Arial" w:eastAsia="Arial" w:hAnsi="Arial"/>
          <w:sz w:val="18"/>
          <w:szCs w:val="18"/>
          <w:color w:val="auto"/>
        </w:rPr>
        <w:t>On January 17, 2013, we entered into a new supply agreement with Nanya and Inotera (the "Inotera Supply Agreement"), retroactively effective beginning on January 1, 2013. Under the Inotera Supply Agreement, we are obligated to purchase for an initial three-year term substantially all of Inotera's output at a purchase price based on a discount from market prices for our comparable components. The Inotera Supply Agreement contemplates annual negotiations with respect to potential successive one-year extensions and if in any year the parties do not agree to an extension, the agreement will terminate following the end of the then-existing term plus a subsequent three-year wind-down period. Our share of Inotera's capacity would decline over the three year wind-down period. We purchased $1,260 million of DRAM products from Inotera in 2013 under the Inotera Supply Agreement and a prior supply agreement with Inotera. The Inotera Supply Agreement does not contain a fixed or minimum purchase quantity as quantities are based on qualified production output and pricing fluctuates as it is based on market prices. Therefore, we did not include our obligations under the Inotera Supply Agreement in the contractual obligations table above.</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Off-Balance Sheet Arrangements</w:t>
      </w:r>
    </w:p>
    <w:p>
      <w:pPr>
        <w:spacing w:after="0" w:line="21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b w:val="1"/>
          <w:bCs w:val="1"/>
          <w:i w:val="1"/>
          <w:iCs w:val="1"/>
          <w:color w:val="auto"/>
        </w:rPr>
        <w:t xml:space="preserve">Issued and Outstanding Capped Calls: </w:t>
      </w:r>
      <w:r>
        <w:rPr>
          <w:rFonts w:ascii="Arial" w:cs="Arial" w:eastAsia="Arial" w:hAnsi="Arial"/>
          <w:sz w:val="18"/>
          <w:szCs w:val="18"/>
          <w:color w:val="auto"/>
        </w:rPr>
        <w:t>Concurrent with the offering of the 2031 Notes in July 2011, we entered into capped call transactions (the "2031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Capped Calls") that have an initial strike price of approximately $9.50 per share, subject to certain adjustments, which was set to the initial conversion price of the 2031 Notes. The 2031 Capped Calls are in four equal tranches, have cap prices of $11.40, $12.16, $12.67 and $13.17 per share, and cover, subject to anti-dilution adjustments similar to those contained in the 2031 Notes, an approximate combined total of 72.6 million shares of common stock. The 2031 Capped Calls expire on various dates between July 2014 and February 2016 and are intended to reduce the potential dilution upon conversion of the 2031 Notes.</w:t>
      </w:r>
    </w:p>
    <w:p>
      <w:pPr>
        <w:spacing w:after="0" w:line="193" w:lineRule="exact"/>
        <w:rPr>
          <w:sz w:val="20"/>
          <w:szCs w:val="20"/>
          <w:color w:val="auto"/>
        </w:rPr>
      </w:pPr>
    </w:p>
    <w:p>
      <w:pPr>
        <w:ind w:left="60" w:right="20" w:firstLine="324"/>
        <w:spacing w:after="0" w:line="272" w:lineRule="auto"/>
        <w:rPr>
          <w:sz w:val="20"/>
          <w:szCs w:val="20"/>
          <w:color w:val="auto"/>
        </w:rPr>
      </w:pPr>
      <w:r>
        <w:rPr>
          <w:rFonts w:ascii="Arial" w:cs="Arial" w:eastAsia="Arial" w:hAnsi="Arial"/>
          <w:sz w:val="17"/>
          <w:szCs w:val="17"/>
          <w:color w:val="auto"/>
        </w:rPr>
        <w:t>Concurrent with the offering of the 2032C and 2032D Notes in April 2012, we entered into the 2032C and 2032D Capped Call Transactions (collectively, the "2032 Capped Calls"). The 2032C Capped Calls have a range of cap prices from $14.26 to $15.69 and an initial strike price of, subject to certain adjustments, approximately $9.80, which is set slightly higher than the $9.63 conversion price of the 2032C Notes. The 2032D Capped Calls have a range of cap prices from $14.62 to $16.04 and an initial strike price of, subject to certain adjustments, approximately $10.16, which is set slightly higher than the $9.98 conversion price of the 2032D Notes. The 2032 Capped Calls cover, subject to anti-dilution adjustments similar to those contained in the 2032 Notes, an approximate combined total of 100.6 million shares of common stock. The 2032 Capped Calls expire on various dates between May 2016 and May 2018 and are intended to reduce the potential dilution upon conversion of the 2032C and 2032D Notes.</w:t>
      </w:r>
    </w:p>
    <w:p>
      <w:pPr>
        <w:spacing w:after="0" w:line="178" w:lineRule="exact"/>
        <w:rPr>
          <w:sz w:val="20"/>
          <w:szCs w:val="20"/>
          <w:color w:val="auto"/>
        </w:rPr>
      </w:pPr>
    </w:p>
    <w:p>
      <w:pPr>
        <w:ind w:left="60" w:firstLine="324"/>
        <w:spacing w:after="0" w:line="257" w:lineRule="auto"/>
        <w:rPr>
          <w:sz w:val="20"/>
          <w:szCs w:val="20"/>
          <w:color w:val="auto"/>
        </w:rPr>
      </w:pPr>
      <w:r>
        <w:rPr>
          <w:rFonts w:ascii="Arial" w:cs="Arial" w:eastAsia="Arial" w:hAnsi="Arial"/>
          <w:sz w:val="18"/>
          <w:szCs w:val="18"/>
          <w:color w:val="auto"/>
        </w:rPr>
        <w:t>Concurrent with the offering of the 2033 Notes in February 2013, we entered into the 2033 Capped Call Transactions. The 2033 Capped Calls have a cap price of $14.51 and an initial strike price of, subject to certain adjustments, approximately $10.93, which is equal to the conversion price of the 2033 Notes. The 2033 Capped Calls cover, subject to anti-dilution adjustments similar to those contained in the 2033 Notes, an approximate combined total of 55.0 million shares of common stock. The 2033 Capped Calls expire on various dates between January 2018 and February 2020 and are intended to reduce the potential dilution upon conversion of the 2033 Notes.</w:t>
      </w:r>
    </w:p>
    <w:p>
      <w:pPr>
        <w:spacing w:after="0" w:line="188"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Settlement of Capped Calls: </w:t>
      </w:r>
      <w:r>
        <w:rPr>
          <w:rFonts w:ascii="Arial" w:cs="Arial" w:eastAsia="Arial" w:hAnsi="Arial"/>
          <w:sz w:val="18"/>
          <w:szCs w:val="18"/>
          <w:color w:val="auto"/>
        </w:rPr>
        <w:t>Concurrent with the issuance in April 2009 of our 4.25% Convertible Senior Notes due 2013, we entered into capped call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(the "2013 Capped Calls") covering approximately 45.2 million shares of common stock with an initial strike price of approximately $5.08 per share and a cap price of $6.64 per share. The 2013 Capped Calls expired in October, 2012 and November, 2012. We elected cash settlement and received $24 million in 2013.</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Concurrent with the offering of the 2014 Notes, we purchased capped calls with a strike price of approximately $14.23 per share and various expiration dates between November 2011 and December 2012 (the "2014 Capped Calls"). In the first six months of 2012, 2014 Capped Calls covering 30.4 million shares expired according to their terms. In April 2012, we settled the remaining 2014 Capped Calls, covering 60.9 million shares, and received a de minimis payment.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"Item 8. Financial Statements and Supplementary Data – Notes to Consolidated Financial Statements – Shareholders' Equity – Capped Calls" note.)</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1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We evaluate our estimates and judgments on an ongoing basis. Our management believes the accounting policies below are critical in the portrayal of our financial condition and results of operations and requires management's most difficult, subjective or complex judgments.</w:t>
      </w:r>
    </w:p>
    <w:p>
      <w:pPr>
        <w:spacing w:after="0" w:line="154"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b w:val="1"/>
          <w:bCs w:val="1"/>
          <w:i w:val="1"/>
          <w:iCs w:val="1"/>
          <w:color w:val="auto"/>
        </w:rPr>
        <w:t>Business Acquisitions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for acquisitions requires us to estimate the fair value of consideration paid and the individual assets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which involves a number of judgments, assumptions and estimates that could materially affect the amount and timing of costs</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recognized. Accounting for acquisitions can also involve significant judgment to determine when control of the acquired entity is transferred. We typically obtain independent third party valuation studies to assist in determining fair values, including assistance in determining future cash flows, appropriate discount rates and comparable market values. The items involving the most significant assumptions, estimates and judgments included determining the fair value of the following:</w:t>
      </w:r>
    </w:p>
    <w:p>
      <w:pPr>
        <w:spacing w:after="0" w:line="19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Property, plant and equipment, including determination of values in a continued-use model;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tax assets, including projections of future taxable income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including estimated future selling prices, timing of product sales and completion costs for work in process;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including discount rate and timing of payments.</w:t>
      </w:r>
    </w:p>
    <w:p>
      <w:pPr>
        <w:spacing w:after="0" w:line="2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i w:val="1"/>
          <w:iCs w:val="1"/>
          <w:color w:val="auto"/>
        </w:rPr>
        <w:t>Consolidations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interests in joint venture entities that are Variable Interest Entities ("VIEs"). Determining whether to consolidate a VIE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 judgment in assessing (1) whether an entity is a VIE and (2) if we are the entity's primary beneficiary. To determine if we are the primary beneficiary of a VIE, we evaluate whether we have (a) the power to direct the activities that most significantly impact the VIE's economic performance and (b)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and financing and other applicable agreements and circumstances. Our assessment of whether we are the primary beneficiary of our VIEs requires significant assumptions and judgment.</w:t>
      </w:r>
    </w:p>
    <w:p>
      <w:pPr>
        <w:spacing w:after="0" w:line="17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b w:val="1"/>
          <w:bCs w:val="1"/>
          <w:i w:val="1"/>
          <w:iCs w:val="1"/>
          <w:color w:val="auto"/>
        </w:rPr>
        <w:t>Contingencies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the possibility of losses from various contingencies. Considerable judgment is necessary to estimate the probability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amount of any loss from such contingencies. An accrual is made when it is probable that a liability has been incurred or an asset has been impaired and the amount of loss can be reasonably estimated. We accrue a liability and charge operations for the estimated costs of adjudication or settlement of asserted and unasserted claims existing as of the balance sheet date.</w:t>
      </w:r>
    </w:p>
    <w:p>
      <w:pPr>
        <w:spacing w:after="0" w:line="18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required to estimate our provision for income taxes and amounts ultimately payable or recoverable in numerous tax jurisdictions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These estimates involve judgment and interpretations of regulations and are inherently complex. Resolution of income tax treatments in individual jurisdictions may not be known for many years after completion of any fiscal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w:t>
      </w:r>
    </w:p>
    <w:p>
      <w:pPr>
        <w:sectPr>
          <w:pgSz w:w="11900" w:h="16838" w:orient="portrait"/>
          <w:cols w:equalWidth="0" w:num="1">
            <w:col w:w="11380"/>
          </w:cols>
          <w:pgMar w:left="240" w:top="585" w:right="279" w:bottom="1440" w:gutter="0" w:footer="0" w:header="0"/>
        </w:sectPr>
      </w:pPr>
    </w:p>
    <w:bookmarkStart w:id="33" w:name="page34"/>
    <w:bookmarkEnd w:id="33"/>
    <w:p>
      <w:pPr>
        <w:ind w:firstLine="324"/>
        <w:spacing w:after="0" w:line="289" w:lineRule="auto"/>
        <w:rPr>
          <w:sz w:val="20"/>
          <w:szCs w:val="20"/>
          <w:color w:val="auto"/>
        </w:rPr>
      </w:pPr>
      <w:r>
        <w:rPr>
          <w:rFonts w:ascii="Arial" w:cs="Arial" w:eastAsia="Arial" w:hAnsi="Arial"/>
          <w:sz w:val="16"/>
          <w:szCs w:val="16"/>
          <w:b w:val="1"/>
          <w:bCs w:val="1"/>
          <w:i w:val="1"/>
          <w:iCs w:val="1"/>
          <w:color w:val="auto"/>
        </w:rPr>
        <w:t>Inventories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we review recent sales volumes, existing customer orders, current contract prices, industry analyses of supply and demand, seasonal factors, general economic trends and other information. When these analyses reflect estimated market values below our manufacturing costs, we record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our memory inventory by approximately $154 million as of August 29, 2013.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6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Our inventories have been generally categorized as DRAM, NAND Flash and NOR Flash memory. The major characteristics we consider in determining inventory categories are product type and markets.</w:t>
      </w:r>
    </w:p>
    <w:p>
      <w:pPr>
        <w:spacing w:after="0" w:line="1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review the carrying value of property, plant and equipment for impairment when events and circumstances indicate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us, including, but not limited to, future use of the assets for our operations versus sale or disposal of the assets, future selling prices for our products and future production and sales volumes. In addition, judgment is required in determining the groups of assets for which impairment tests are separately performed.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conceptual formulation and design of products and processes are expensed as R&amp;D as</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incurred. Determining when product development is complete requires judgment by us. We deem development of a product complete once the product has been thoroughly reviewed and tested for performance and reliability. Subsequent to product qualification, product costs are valued in inventory.</w:t>
      </w:r>
    </w:p>
    <w:p>
      <w:pPr>
        <w:spacing w:after="0" w:line="135"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is estimated at the grant date based on the fair-value of the award and is recognized as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the straight-line amortization method over the requisite service period. For performance-based stock awards, the expense recognized is dependent on the probability of the performance measure being achieved. We utilize forecasts of future performance to assess these probabilities and this assessment requires considerable judgment.</w:t>
      </w:r>
    </w:p>
    <w:p>
      <w:pPr>
        <w:spacing w:after="0" w:line="184"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Determining the appropriate fair-value model and calculating the fair value of stock-based awards at the grant date requires considerable judgment, including estimating stock price volatility, expected option life and forfeiture rates. We develop these estimates based on historical data and market information which can change significantly over time. A small change in the estimates used can result in a relatively large change in the estimated valuation. We use the Black-Scholes option valuation model to value employee stock awards. We estimate stock price volatility based on an average of its historical volatility and the implied volatility derived from traded options on our stock.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recently issued accounting pronouncements that have had or are expected to have a material impact on our financial statements.</w:t>
      </w:r>
    </w:p>
    <w:p>
      <w:pPr>
        <w:sectPr>
          <w:pgSz w:w="11900" w:h="16838" w:orient="portrait"/>
          <w:cols w:equalWidth="0" w:num="1">
            <w:col w:w="11420"/>
          </w:cols>
          <w:pgMar w:left="240" w:top="580" w:right="239" w:bottom="1440" w:gutter="0" w:footer="0" w:header="0"/>
        </w:sectPr>
      </w:pPr>
    </w:p>
    <w:bookmarkStart w:id="34" w:name="page35"/>
    <w:bookmarkEnd w:id="34"/>
    <w:p>
      <w:pPr>
        <w:ind w:left="10060"/>
        <w:spacing w:after="0"/>
        <w:rPr>
          <w:sz w:val="20"/>
          <w:szCs w:val="20"/>
          <w:color w:val="auto"/>
        </w:rPr>
      </w:pPr>
      <w:r>
        <w:rPr>
          <w:rFonts w:ascii="Arial" w:cs="Arial" w:eastAsia="Arial" w:hAnsi="Arial"/>
          <w:sz w:val="22"/>
          <w:szCs w:val="22"/>
          <w:b w:val="1"/>
          <w:bCs w:val="1"/>
          <w:color w:val="auto"/>
        </w:rPr>
        <w:t>EXHIBIT 99.3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spacing w:after="0"/>
              <w:rPr>
                <w:sz w:val="20"/>
                <w:szCs w:val="20"/>
                <w:color w:val="auto"/>
              </w:rPr>
            </w:pPr>
          </w:p>
        </w:tc>
        <w:tc>
          <w:tcPr>
            <w:tcW w:w="900" w:type="dxa"/>
            <w:vAlign w:val="bottom"/>
            <w:gridSpan w:val="5"/>
          </w:tcPr>
          <w:p>
            <w:pPr>
              <w:ind w:left="260"/>
              <w:spacing w:after="0"/>
              <w:rPr>
                <w:sz w:val="20"/>
                <w:szCs w:val="20"/>
                <w:color w:val="auto"/>
              </w:rPr>
            </w:pPr>
            <w:r>
              <w:rPr>
                <w:rFonts w:ascii="Arial" w:cs="Arial" w:eastAsia="Arial" w:hAnsi="Arial"/>
                <w:sz w:val="18"/>
                <w:szCs w:val="18"/>
                <w:b w:val="1"/>
                <w:bCs w:val="1"/>
                <w:color w:val="auto"/>
              </w:rPr>
              <w:t>Page</w:t>
            </w:r>
          </w:p>
        </w:tc>
      </w:tr>
      <w:tr>
        <w:trPr>
          <w:trHeight w:val="27"/>
        </w:trPr>
        <w:tc>
          <w:tcPr>
            <w:tcW w:w="10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64"/>
        </w:trPr>
        <w:tc>
          <w:tcPr>
            <w:tcW w:w="10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29"/>
        </w:trPr>
        <w:tc>
          <w:tcPr>
            <w:tcW w:w="10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Consolidated Financial Statements as of August 29, 2013 and August 30, 2012 and for the fiscal years ended August 29, 2013, August 30, 2012</w:t>
            </w: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7"/>
        </w:trPr>
        <w:tc>
          <w:tcPr>
            <w:tcW w:w="10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September 1, 2011:</w:t>
            </w:r>
          </w:p>
        </w:tc>
        <w:tc>
          <w:tcPr>
            <w:tcW w:w="3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r>
      <w:tr>
        <w:trPr>
          <w:trHeight w:val="270"/>
        </w:trPr>
        <w:tc>
          <w:tcPr>
            <w:tcW w:w="10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50"/>
        </w:trPr>
        <w:tc>
          <w:tcPr>
            <w:tcW w:w="10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Operations</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FF"/>
                <w:w w:val="99"/>
              </w:rPr>
            </w:pPr>
            <w:hyperlink w:anchor="page35">
              <w:r>
                <w:rPr>
                  <w:rFonts w:ascii="Arial" w:cs="Arial" w:eastAsia="Arial" w:hAnsi="Arial"/>
                  <w:sz w:val="18"/>
                  <w:szCs w:val="18"/>
                  <w:color w:val="0000FF"/>
                  <w:w w:val="99"/>
                </w:rPr>
                <w:t>2</w:t>
              </w:r>
            </w:hyperlink>
          </w:p>
        </w:tc>
        <w:tc>
          <w:tcPr>
            <w:tcW w:w="360" w:type="dxa"/>
            <w:vAlign w:val="bottom"/>
            <w:shd w:val="clear" w:color="auto" w:fill="CCEEFF"/>
          </w:tcPr>
          <w:p>
            <w:pPr>
              <w:spacing w:after="0"/>
              <w:rPr>
                <w:sz w:val="21"/>
                <w:szCs w:val="21"/>
                <w:color w:val="auto"/>
              </w:rPr>
            </w:pPr>
          </w:p>
        </w:tc>
      </w:tr>
      <w:tr>
        <w:trPr>
          <w:trHeight w:val="297"/>
        </w:trPr>
        <w:tc>
          <w:tcPr>
            <w:tcW w:w="105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10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FF"/>
                <w:w w:val="99"/>
              </w:rPr>
            </w:pPr>
            <w:hyperlink w:anchor="page36">
              <w:r>
                <w:rPr>
                  <w:rFonts w:ascii="Arial" w:cs="Arial" w:eastAsia="Arial" w:hAnsi="Arial"/>
                  <w:sz w:val="18"/>
                  <w:szCs w:val="18"/>
                  <w:color w:val="0000FF"/>
                  <w:w w:val="99"/>
                </w:rPr>
                <w:t>3</w:t>
              </w:r>
            </w:hyperlink>
          </w:p>
        </w:tc>
        <w:tc>
          <w:tcPr>
            <w:tcW w:w="360" w:type="dxa"/>
            <w:vAlign w:val="bottom"/>
            <w:shd w:val="clear" w:color="auto" w:fill="CCEEFF"/>
          </w:tcPr>
          <w:p>
            <w:pPr>
              <w:spacing w:after="0"/>
              <w:rPr>
                <w:sz w:val="21"/>
                <w:szCs w:val="21"/>
                <w:color w:val="auto"/>
              </w:rPr>
            </w:pPr>
          </w:p>
        </w:tc>
      </w:tr>
      <w:tr>
        <w:trPr>
          <w:trHeight w:val="270"/>
        </w:trPr>
        <w:tc>
          <w:tcPr>
            <w:tcW w:w="10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50"/>
        </w:trPr>
        <w:tc>
          <w:tcPr>
            <w:tcW w:w="10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Balance Sheets</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FF"/>
                <w:w w:val="99"/>
              </w:rPr>
            </w:pPr>
            <w:hyperlink w:anchor="page37">
              <w:r>
                <w:rPr>
                  <w:rFonts w:ascii="Arial" w:cs="Arial" w:eastAsia="Arial" w:hAnsi="Arial"/>
                  <w:sz w:val="18"/>
                  <w:szCs w:val="18"/>
                  <w:color w:val="0000FF"/>
                  <w:w w:val="99"/>
                </w:rPr>
                <w:t>4</w:t>
              </w:r>
            </w:hyperlink>
          </w:p>
        </w:tc>
        <w:tc>
          <w:tcPr>
            <w:tcW w:w="360" w:type="dxa"/>
            <w:vAlign w:val="bottom"/>
            <w:shd w:val="clear" w:color="auto" w:fill="CCEEFF"/>
          </w:tcPr>
          <w:p>
            <w:pPr>
              <w:spacing w:after="0"/>
              <w:rPr>
                <w:sz w:val="21"/>
                <w:szCs w:val="21"/>
                <w:color w:val="auto"/>
              </w:rPr>
            </w:pPr>
          </w:p>
        </w:tc>
      </w:tr>
      <w:tr>
        <w:trPr>
          <w:trHeight w:val="270"/>
        </w:trPr>
        <w:tc>
          <w:tcPr>
            <w:tcW w:w="10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50"/>
        </w:trPr>
        <w:tc>
          <w:tcPr>
            <w:tcW w:w="10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Changes in Equity</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FF"/>
                <w:w w:val="99"/>
              </w:rPr>
            </w:pPr>
            <w:hyperlink w:anchor="page38">
              <w:r>
                <w:rPr>
                  <w:rFonts w:ascii="Arial" w:cs="Arial" w:eastAsia="Arial" w:hAnsi="Arial"/>
                  <w:sz w:val="18"/>
                  <w:szCs w:val="18"/>
                  <w:color w:val="0000FF"/>
                  <w:w w:val="99"/>
                </w:rPr>
                <w:t>5</w:t>
              </w:r>
            </w:hyperlink>
          </w:p>
        </w:tc>
        <w:tc>
          <w:tcPr>
            <w:tcW w:w="360" w:type="dxa"/>
            <w:vAlign w:val="bottom"/>
            <w:shd w:val="clear" w:color="auto" w:fill="CCEEFF"/>
          </w:tcPr>
          <w:p>
            <w:pPr>
              <w:spacing w:after="0"/>
              <w:rPr>
                <w:sz w:val="21"/>
                <w:szCs w:val="21"/>
                <w:color w:val="auto"/>
              </w:rPr>
            </w:pPr>
          </w:p>
        </w:tc>
      </w:tr>
      <w:tr>
        <w:trPr>
          <w:trHeight w:val="270"/>
        </w:trPr>
        <w:tc>
          <w:tcPr>
            <w:tcW w:w="10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50"/>
        </w:trPr>
        <w:tc>
          <w:tcPr>
            <w:tcW w:w="10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Consolidated Statements of Cash Flows</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FF"/>
                <w:w w:val="99"/>
              </w:rPr>
            </w:pPr>
            <w:hyperlink w:anchor="page39">
              <w:r>
                <w:rPr>
                  <w:rFonts w:ascii="Arial" w:cs="Arial" w:eastAsia="Arial" w:hAnsi="Arial"/>
                  <w:sz w:val="18"/>
                  <w:szCs w:val="18"/>
                  <w:color w:val="0000FF"/>
                  <w:w w:val="99"/>
                </w:rPr>
                <w:t>6</w:t>
              </w:r>
            </w:hyperlink>
          </w:p>
        </w:tc>
        <w:tc>
          <w:tcPr>
            <w:tcW w:w="360" w:type="dxa"/>
            <w:vAlign w:val="bottom"/>
            <w:shd w:val="clear" w:color="auto" w:fill="CCEEFF"/>
          </w:tcPr>
          <w:p>
            <w:pPr>
              <w:spacing w:after="0"/>
              <w:rPr>
                <w:sz w:val="21"/>
                <w:szCs w:val="21"/>
                <w:color w:val="auto"/>
              </w:rPr>
            </w:pPr>
          </w:p>
        </w:tc>
      </w:tr>
      <w:tr>
        <w:trPr>
          <w:trHeight w:val="270"/>
        </w:trPr>
        <w:tc>
          <w:tcPr>
            <w:tcW w:w="10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50"/>
        </w:trPr>
        <w:tc>
          <w:tcPr>
            <w:tcW w:w="10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FF"/>
                <w:w w:val="99"/>
              </w:rPr>
            </w:pPr>
            <w:hyperlink w:anchor="page41">
              <w:r>
                <w:rPr>
                  <w:rFonts w:ascii="Arial" w:cs="Arial" w:eastAsia="Arial" w:hAnsi="Arial"/>
                  <w:sz w:val="18"/>
                  <w:szCs w:val="18"/>
                  <w:color w:val="0000FF"/>
                  <w:w w:val="99"/>
                </w:rPr>
                <w:t>7</w:t>
              </w:r>
            </w:hyperlink>
          </w:p>
        </w:tc>
        <w:tc>
          <w:tcPr>
            <w:tcW w:w="360" w:type="dxa"/>
            <w:vAlign w:val="bottom"/>
            <w:shd w:val="clear" w:color="auto" w:fill="CCEEFF"/>
          </w:tcPr>
          <w:p>
            <w:pPr>
              <w:spacing w:after="0"/>
              <w:rPr>
                <w:sz w:val="21"/>
                <w:szCs w:val="21"/>
                <w:color w:val="auto"/>
              </w:rPr>
            </w:pPr>
          </w:p>
        </w:tc>
      </w:tr>
      <w:tr>
        <w:trPr>
          <w:trHeight w:val="270"/>
        </w:trPr>
        <w:tc>
          <w:tcPr>
            <w:tcW w:w="10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50"/>
        </w:trPr>
        <w:tc>
          <w:tcPr>
            <w:tcW w:w="10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55</w:t>
              </w:r>
            </w:hyperlink>
          </w:p>
        </w:tc>
        <w:tc>
          <w:tcPr>
            <w:tcW w:w="360" w:type="dxa"/>
            <w:vAlign w:val="bottom"/>
            <w:shd w:val="clear" w:color="auto" w:fill="CCEEFF"/>
          </w:tcPr>
          <w:p>
            <w:pPr>
              <w:spacing w:after="0"/>
              <w:rPr>
                <w:sz w:val="21"/>
                <w:szCs w:val="21"/>
                <w:color w:val="auto"/>
              </w:rPr>
            </w:pPr>
          </w:p>
        </w:tc>
      </w:tr>
      <w:tr>
        <w:trPr>
          <w:trHeight w:val="270"/>
        </w:trPr>
        <w:tc>
          <w:tcPr>
            <w:tcW w:w="10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Statement Schedules:</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97"/>
        </w:trPr>
        <w:tc>
          <w:tcPr>
            <w:tcW w:w="10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10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Schedule I – Condensed Financial Information of the Registrant</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56</w:t>
              </w:r>
            </w:hyperlink>
          </w:p>
        </w:tc>
        <w:tc>
          <w:tcPr>
            <w:tcW w:w="360" w:type="dxa"/>
            <w:vAlign w:val="bottom"/>
            <w:shd w:val="clear" w:color="auto" w:fill="CCEEFF"/>
          </w:tcPr>
          <w:p>
            <w:pPr>
              <w:spacing w:after="0"/>
              <w:rPr>
                <w:sz w:val="21"/>
                <w:szCs w:val="21"/>
                <w:color w:val="auto"/>
              </w:rPr>
            </w:pPr>
          </w:p>
        </w:tc>
      </w:tr>
      <w:tr>
        <w:trPr>
          <w:trHeight w:val="270"/>
        </w:trPr>
        <w:tc>
          <w:tcPr>
            <w:tcW w:w="10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50"/>
        </w:trPr>
        <w:tc>
          <w:tcPr>
            <w:tcW w:w="10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Schedule II – Valuation and Qualifying Accounts</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62</w:t>
              </w:r>
            </w:hyperlink>
          </w:p>
        </w:tc>
        <w:tc>
          <w:tcPr>
            <w:tcW w:w="360" w:type="dxa"/>
            <w:vAlign w:val="bottom"/>
            <w:shd w:val="clear" w:color="auto" w:fill="CCEEFF"/>
          </w:tcPr>
          <w:p>
            <w:pPr>
              <w:spacing w:after="0"/>
              <w:rPr>
                <w:sz w:val="21"/>
                <w:szCs w:val="21"/>
                <w:color w:val="auto"/>
              </w:rPr>
            </w:pPr>
          </w:p>
        </w:tc>
      </w:tr>
      <w:tr>
        <w:trPr>
          <w:trHeight w:val="716"/>
        </w:trPr>
        <w:tc>
          <w:tcPr>
            <w:tcW w:w="105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September 1, 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7,030</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acquisition of Elpida</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67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income (loss) attributable to Micron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r>
      <w:tr>
        <w:trPr>
          <w:trHeight w:val="284"/>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Earnings (loss) per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988.0</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12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29, 2013</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30, 2012</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September 1, 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Gain (loss) on derivatives, net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Gain (loss) on investments, net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Pension liability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Micron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1,812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marketable investments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97"/>
        </w:trPr>
        <w:tc>
          <w:tcPr>
            <w:tcW w:w="83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19,118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14,328</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Deferred income</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purchase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3,038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Micron shareholders'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Common stock, $0.10 par value, 3,000 shares authorized, 1,044.4 shares issued and outstanding (1,017.7 as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of August 30, 2012)</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Additional capital</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Micron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8,417</w:t>
            </w:r>
          </w:p>
        </w:tc>
      </w:tr>
      <w:tr>
        <w:trPr>
          <w:trHeight w:val="25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14,328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94"/>
              </w:rPr>
              <w:t>Micron Shareholders</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40" w:type="dxa"/>
            <w:vAlign w:val="bottom"/>
          </w:tcPr>
          <w:p>
            <w:pPr>
              <w:spacing w:after="0"/>
              <w:rPr>
                <w:sz w:val="13"/>
                <w:szCs w:val="13"/>
                <w:color w:val="auto"/>
              </w:rPr>
            </w:pPr>
          </w:p>
        </w:tc>
        <w:tc>
          <w:tcPr>
            <w:tcW w:w="156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140" w:type="dxa"/>
            <w:vAlign w:val="bottom"/>
          </w:tcPr>
          <w:p>
            <w:pPr>
              <w:spacing w:after="0"/>
              <w:rPr>
                <w:sz w:val="9"/>
                <w:szCs w:val="9"/>
                <w:color w:val="auto"/>
              </w:rPr>
            </w:pPr>
          </w:p>
        </w:tc>
        <w:tc>
          <w:tcPr>
            <w:tcW w:w="1560" w:type="dxa"/>
            <w:vAlign w:val="bottom"/>
            <w:tcBorders>
              <w:bottom w:val="single" w:sz="8" w:color="auto"/>
            </w:tcBorders>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9"/>
                <w:szCs w:val="9"/>
                <w:color w:val="auto"/>
              </w:rPr>
            </w:pPr>
          </w:p>
        </w:tc>
        <w:tc>
          <w:tcPr>
            <w:tcW w:w="96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Total Micron</w:t>
            </w:r>
          </w:p>
        </w:tc>
        <w:tc>
          <w:tcPr>
            <w:tcW w:w="100" w:type="dxa"/>
            <w:vAlign w:val="bottom"/>
          </w:tcPr>
          <w:p>
            <w:pPr>
              <w:spacing w:after="0"/>
              <w:rPr>
                <w:sz w:val="9"/>
                <w:szCs w:val="9"/>
                <w:color w:val="auto"/>
              </w:rPr>
            </w:pPr>
          </w:p>
        </w:tc>
        <w:tc>
          <w:tcPr>
            <w:tcW w:w="106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Shareholders'</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Interests in</w:t>
            </w:r>
          </w:p>
        </w:tc>
        <w:tc>
          <w:tcPr>
            <w:tcW w:w="120" w:type="dxa"/>
            <w:vAlign w:val="bottom"/>
          </w:tcPr>
          <w:p>
            <w:pPr>
              <w:spacing w:after="0"/>
              <w:rPr>
                <w:sz w:val="14"/>
                <w:szCs w:val="14"/>
                <w:color w:val="auto"/>
              </w:rPr>
            </w:pPr>
          </w:p>
        </w:tc>
        <w:tc>
          <w:tcPr>
            <w:tcW w:w="600" w:type="dxa"/>
            <w:vAlign w:val="bottom"/>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2, 2010</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994.5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8,446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9,816</w:t>
            </w: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6"/>
                <w:szCs w:val="16"/>
                <w:color w:val="auto"/>
              </w:rPr>
              <w:t>Net income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 (loss), net</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w w:val="96"/>
              </w:rPr>
              <w:t>Issuance and repurchase of convertible notes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Contributions from noncontrolling interests</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Repurchase and retirement of common stock</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6"/>
                <w:szCs w:val="16"/>
                <w:color w:val="auto"/>
              </w:rPr>
              <w:t>Acquisition of noncontrolling interests in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40" w:type="dxa"/>
            <w:vAlign w:val="bottom"/>
          </w:tcPr>
          <w:p>
            <w:pPr>
              <w:ind w:left="180"/>
              <w:spacing w:after="0"/>
              <w:rPr>
                <w:sz w:val="20"/>
                <w:szCs w:val="20"/>
                <w:color w:val="auto"/>
              </w:rPr>
            </w:pPr>
            <w:r>
              <w:rPr>
                <w:rFonts w:ascii="Arial" w:cs="Arial" w:eastAsia="Arial" w:hAnsi="Arial"/>
                <w:sz w:val="16"/>
                <w:szCs w:val="16"/>
                <w:color w:val="auto"/>
              </w:rPr>
              <w:t>TECH</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capped calls</w:t>
            </w: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1, 2011</w:t>
            </w: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984.3</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8,610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8,470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1,382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9,852</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Other comprehensive income (loss), net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Contributions from noncontrolling interests</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Issuance of convertible notes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Conversion of 2013 Notes</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issued under stock plans</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6"/>
                <w:szCs w:val="16"/>
                <w:color w:val="auto"/>
              </w:rPr>
              <w:t>Acquisition of noncontrolling interest in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40" w:type="dxa"/>
            <w:vAlign w:val="bottom"/>
          </w:tcPr>
          <w:p>
            <w:pPr>
              <w:ind w:left="180"/>
              <w:spacing w:after="0"/>
              <w:rPr>
                <w:sz w:val="20"/>
                <w:szCs w:val="20"/>
                <w:color w:val="auto"/>
              </w:rPr>
            </w:pPr>
            <w:r>
              <w:rPr>
                <w:rFonts w:ascii="Arial" w:cs="Arial" w:eastAsia="Arial" w:hAnsi="Arial"/>
                <w:sz w:val="16"/>
                <w:szCs w:val="16"/>
                <w:color w:val="auto"/>
              </w:rPr>
              <w:t>IMFS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Purchase and settlement of capped calls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Repurchase and retirement of common stock</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Balance at August 30, 2012</w:t>
            </w: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3"/>
              </w:rPr>
              <w:t>1,017.7</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8,920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7,700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8,417</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Other comprehensive income (loss), net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of Elpida</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w w:val="96"/>
              </w:rPr>
              <w:t>Issuance and repurchase of convertible notes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Contributions from noncontrolling interests</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and settlement of capped calls</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w w:val="97"/>
              </w:rPr>
              <w:t>Repurchase and retirement of common stock</w:t>
            </w:r>
          </w:p>
        </w:tc>
        <w:tc>
          <w:tcPr>
            <w:tcW w:w="6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August 29, 2013</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1,044.4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10,006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600" w:top="580" w:right="57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8"/>
                <w:szCs w:val="18"/>
                <w:b w:val="1"/>
                <w:bCs w:val="1"/>
                <w:color w:val="auto"/>
                <w:w w:val="90"/>
              </w:rPr>
              <w:t>September 1,</w:t>
            </w:r>
          </w:p>
        </w:tc>
        <w:tc>
          <w:tcPr>
            <w:tcW w:w="0" w:type="dxa"/>
            <w:vAlign w:val="bottom"/>
          </w:tcPr>
          <w:p>
            <w:pPr>
              <w:spacing w:after="0"/>
              <w:rPr>
                <w:sz w:val="1"/>
                <w:szCs w:val="1"/>
                <w:color w:val="auto"/>
              </w:rPr>
            </w:pPr>
          </w:p>
        </w:tc>
      </w:tr>
      <w:tr>
        <w:trPr>
          <w:trHeight w:val="234"/>
        </w:trPr>
        <w:tc>
          <w:tcPr>
            <w:tcW w:w="66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20"/>
                <w:szCs w:val="20"/>
                <w:color w:val="auto"/>
              </w:rPr>
            </w:pPr>
          </w:p>
        </w:tc>
        <w:tc>
          <w:tcPr>
            <w:tcW w:w="1260" w:type="dxa"/>
            <w:vAlign w:val="bottom"/>
          </w:tcPr>
          <w:p>
            <w:pPr>
              <w:jc w:val="right"/>
              <w:ind w:right="479"/>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79"/>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9"/>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2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expense and 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80"/>
              <w:spacing w:after="0"/>
              <w:rPr>
                <w:sz w:val="20"/>
                <w:szCs w:val="20"/>
                <w:color w:val="auto"/>
              </w:rPr>
            </w:pPr>
            <w:r>
              <w:rPr>
                <w:rFonts w:ascii="Arial" w:cs="Arial" w:eastAsia="Arial" w:hAnsi="Arial"/>
                <w:sz w:val="16"/>
                <w:szCs w:val="16"/>
                <w:color w:val="auto"/>
              </w:rPr>
              <w:t>Amortization of debt discount and other costs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(Gains) losses from currency hedges,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80"/>
              <w:spacing w:after="0"/>
              <w:rPr>
                <w:sz w:val="20"/>
                <w:szCs w:val="20"/>
                <w:color w:val="auto"/>
              </w:rPr>
            </w:pPr>
            <w:r>
              <w:rPr>
                <w:rFonts w:ascii="Arial" w:cs="Arial" w:eastAsia="Arial" w:hAnsi="Arial"/>
                <w:sz w:val="16"/>
                <w:szCs w:val="16"/>
                <w:color w:val="auto"/>
              </w:rPr>
              <w:t>Noncash restructure and asset impairments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80"/>
              <w:spacing w:after="0"/>
              <w:rPr>
                <w:sz w:val="20"/>
                <w:szCs w:val="20"/>
                <w:color w:val="auto"/>
              </w:rPr>
            </w:pPr>
            <w:r>
              <w:rPr>
                <w:rFonts w:ascii="Arial" w:cs="Arial" w:eastAsia="Arial" w:hAnsi="Arial"/>
                <w:sz w:val="16"/>
                <w:szCs w:val="16"/>
                <w:color w:val="auto"/>
              </w:rPr>
              <w:t>Equity in net loss of equity method investees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80"/>
              <w:spacing w:after="0"/>
              <w:rPr>
                <w:sz w:val="20"/>
                <w:szCs w:val="20"/>
                <w:color w:val="auto"/>
              </w:rPr>
            </w:pPr>
            <w:r>
              <w:rPr>
                <w:rFonts w:ascii="Arial" w:cs="Arial" w:eastAsia="Arial" w:hAnsi="Arial"/>
                <w:sz w:val="16"/>
                <w:szCs w:val="16"/>
                <w:color w:val="auto"/>
              </w:rPr>
              <w:t>Gain from acquisition of Elpida</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 in operating assets and liabilities, net of amounts from Elpida acquisition: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480"/>
              <w:spacing w:after="0"/>
              <w:rPr>
                <w:sz w:val="20"/>
                <w:szCs w:val="20"/>
                <w:color w:val="auto"/>
              </w:rPr>
            </w:pPr>
            <w:r>
              <w:rPr>
                <w:rFonts w:ascii="Arial" w:cs="Arial" w:eastAsia="Arial" w:hAnsi="Arial"/>
                <w:sz w:val="16"/>
                <w:szCs w:val="16"/>
                <w:color w:val="auto"/>
              </w:rPr>
              <w:t>Receivables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37"/>
        </w:trPr>
        <w:tc>
          <w:tcPr>
            <w:tcW w:w="6620" w:type="dxa"/>
            <w:vAlign w:val="bottom"/>
            <w:gridSpan w:val="2"/>
          </w:tcPr>
          <w:p>
            <w:pPr>
              <w:ind w:left="48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Customer prepayments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6620" w:type="dxa"/>
            <w:vAlign w:val="bottom"/>
            <w:gridSpan w:val="2"/>
          </w:tcPr>
          <w:p>
            <w:pPr>
              <w:ind w:left="480"/>
              <w:spacing w:after="0"/>
              <w:rPr>
                <w:sz w:val="20"/>
                <w:szCs w:val="20"/>
                <w:color w:val="auto"/>
              </w:rPr>
            </w:pPr>
            <w:r>
              <w:rPr>
                <w:rFonts w:ascii="Arial" w:cs="Arial" w:eastAsia="Arial" w:hAnsi="Arial"/>
                <w:sz w:val="16"/>
                <w:szCs w:val="16"/>
                <w:color w:val="auto"/>
              </w:rPr>
              <w:t>Deferred income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Deferred income taxes,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352"/>
        </w:trPr>
        <w:tc>
          <w:tcPr>
            <w:tcW w:w="662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Expenditures for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Purchases of available-for-sale securities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Payments to settle hedging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Proceeds from sales and maturities of available-for-sale securities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acquired from acquisition of Elpida, net of cash paid</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Proceeds from sales of property, plant and equipment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Proceeds from settlement of hedging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Additions to equity method investments</w:t>
            </w: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Decrease in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Return of equity method investment</w:t>
            </w: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6620" w:type="dxa"/>
            <w:vAlign w:val="bottom"/>
            <w:gridSpan w:val="2"/>
          </w:tcPr>
          <w:p>
            <w:pPr>
              <w:ind w:left="16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33"/>
        </w:trPr>
        <w:tc>
          <w:tcPr>
            <w:tcW w:w="6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66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Proceeds from issuance of 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Proceeds from issuance of common stock under equity plans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Proceeds from equipment sale-leaseback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Cash received from noncontrolling interests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Repayments of 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Payments on equipment purchase contracts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paid for capped call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paid to purchase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Acquisition of noncontrolling interests</w:t>
            </w: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6620" w:type="dxa"/>
            <w:vAlign w:val="bottom"/>
            <w:gridSpan w:val="2"/>
          </w:tcPr>
          <w:p>
            <w:pPr>
              <w:ind w:left="16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increase (decrease) in cash and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Cash and equivalents at beginning of period</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2,913</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equivalents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6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Income taxes refunded (paid),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paid, net of amounts capitalized</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6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580" w:right="3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7"/>
        </w:trPr>
        <w:tc>
          <w:tcPr>
            <w:tcW w:w="59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Equipment acquisitions on contracts payable and capital leases</w:t>
            </w:r>
          </w:p>
        </w:tc>
        <w:tc>
          <w:tcPr>
            <w:tcW w:w="26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443</w:t>
            </w:r>
          </w:p>
        </w:tc>
        <w:tc>
          <w:tcPr>
            <w:tcW w:w="15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897</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w:t>
            </w:r>
          </w:p>
        </w:tc>
      </w:tr>
      <w:tr>
        <w:trPr>
          <w:trHeight w:val="237"/>
        </w:trPr>
        <w:tc>
          <w:tcPr>
            <w:tcW w:w="5980" w:type="dxa"/>
            <w:vAlign w:val="bottom"/>
          </w:tcPr>
          <w:p>
            <w:pPr>
              <w:ind w:left="160"/>
              <w:spacing w:after="0"/>
              <w:rPr>
                <w:sz w:val="20"/>
                <w:szCs w:val="20"/>
                <w:color w:val="auto"/>
              </w:rPr>
            </w:pPr>
            <w:r>
              <w:rPr>
                <w:rFonts w:ascii="Arial" w:cs="Arial" w:eastAsia="Arial" w:hAnsi="Arial"/>
                <w:sz w:val="16"/>
                <w:szCs w:val="16"/>
                <w:color w:val="auto"/>
              </w:rPr>
              <w:t>Conversion of notes to stock, net of unamortized issuance cost</w:t>
            </w:r>
          </w:p>
        </w:tc>
        <w:tc>
          <w:tcPr>
            <w:tcW w:w="26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79"/>
              <w:spacing w:after="0"/>
              <w:rPr>
                <w:sz w:val="20"/>
                <w:szCs w:val="20"/>
                <w:color w:val="auto"/>
              </w:rPr>
            </w:pPr>
            <w:r>
              <w:rPr>
                <w:rFonts w:ascii="Arial" w:cs="Arial" w:eastAsia="Arial" w:hAnsi="Arial"/>
                <w:sz w:val="16"/>
                <w:szCs w:val="16"/>
                <w:color w:val="auto"/>
              </w:rPr>
              <w:t>138</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Exchange of convertible notes</w:t>
            </w:r>
          </w:p>
        </w:tc>
        <w:tc>
          <w:tcPr>
            <w:tcW w:w="26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r>
      <w:tr>
        <w:trPr>
          <w:trHeight w:val="33"/>
        </w:trPr>
        <w:tc>
          <w:tcPr>
            <w:tcW w:w="59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60" w:top="130" w:right="3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Accounting Policies</w:t>
      </w:r>
    </w:p>
    <w:p>
      <w:pPr>
        <w:spacing w:after="0" w:line="215"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i w:val="1"/>
          <w:iCs w:val="1"/>
          <w:color w:val="auto"/>
        </w:rPr>
        <w:t>Basis of Presentation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one of the world's leading providers of advanced semiconductor solutions. Through our worldwide operations,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 and market a full range of DRAM, NAND Flash and NOR Flash memory, as well as other innovative memory technologies, packaging solutions and semiconductor systems for use in leading-edge computing, consumer, networking, automotive, industrial, embedded and mobile products. The accompanying consolidated financial statements include the accounts of Micron Technology, Inc. and its consolidated subsidiaries and have been prepared in accordance with accounting principles generally accepted in the United States of America.</w:t>
      </w:r>
    </w:p>
    <w:p>
      <w:pPr>
        <w:spacing w:after="0" w:line="17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the third quarter of 2014, we reorganized our business units. All prior period amounts reflect this reorganization. Factors used to identify our segments include, among others, markets, customers and products. Segment information reported herein is consistent with how it is reviewed and evaluated by our chief operating decision makers. We have the following four reportable segments:</w:t>
      </w:r>
    </w:p>
    <w:p>
      <w:pPr>
        <w:spacing w:after="0" w:line="181" w:lineRule="exact"/>
        <w:rPr>
          <w:sz w:val="20"/>
          <w:szCs w:val="20"/>
          <w:color w:val="auto"/>
        </w:rPr>
      </w:pPr>
    </w:p>
    <w:p>
      <w:pPr>
        <w:ind w:left="660" w:right="200" w:hanging="323"/>
        <w:spacing w:after="0" w:line="258" w:lineRule="auto"/>
        <w:rPr>
          <w:sz w:val="20"/>
          <w:szCs w:val="20"/>
          <w:color w:val="auto"/>
        </w:rPr>
      </w:pPr>
      <w:r>
        <w:rPr>
          <w:rFonts w:ascii="Arial" w:cs="Arial" w:eastAsia="Arial" w:hAnsi="Arial"/>
          <w:sz w:val="18"/>
          <w:szCs w:val="18"/>
          <w:b w:val="1"/>
          <w:bCs w:val="1"/>
          <w:i w:val="1"/>
          <w:iCs w:val="1"/>
          <w:color w:val="auto"/>
        </w:rPr>
        <w:t xml:space="preserve">Compute and Networking Business Unit ("CNBU"): </w:t>
      </w:r>
      <w:r>
        <w:rPr>
          <w:rFonts w:ascii="Arial" w:cs="Arial" w:eastAsia="Arial" w:hAnsi="Arial"/>
          <w:sz w:val="18"/>
          <w:szCs w:val="18"/>
          <w:color w:val="auto"/>
        </w:rPr>
        <w:t>Includes DRAM and NOR Flash products sold to the compute, networking, graphics, and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server markets, as well as NAND Flash products sold primarily into the networking market.</w:t>
      </w:r>
    </w:p>
    <w:p>
      <w:pPr>
        <w:spacing w:after="0" w:line="1" w:lineRule="exact"/>
        <w:rPr>
          <w:sz w:val="20"/>
          <w:szCs w:val="20"/>
          <w:color w:val="auto"/>
        </w:rPr>
      </w:pPr>
    </w:p>
    <w:p>
      <w:pPr>
        <w:ind w:left="660" w:right="140" w:hanging="323"/>
        <w:spacing w:after="0" w:line="265" w:lineRule="auto"/>
        <w:rPr>
          <w:sz w:val="20"/>
          <w:szCs w:val="20"/>
          <w:color w:val="auto"/>
        </w:rPr>
      </w:pPr>
      <w:r>
        <w:rPr>
          <w:rFonts w:ascii="Arial" w:cs="Arial" w:eastAsia="Arial" w:hAnsi="Arial"/>
          <w:sz w:val="17"/>
          <w:szCs w:val="17"/>
          <w:b w:val="1"/>
          <w:bCs w:val="1"/>
          <w:i w:val="1"/>
          <w:iCs w:val="1"/>
          <w:color w:val="auto"/>
        </w:rPr>
        <w:t xml:space="preserve">Storage Business Unit ("SBU"): </w:t>
      </w:r>
      <w:r>
        <w:rPr>
          <w:rFonts w:ascii="Arial" w:cs="Arial" w:eastAsia="Arial" w:hAnsi="Arial"/>
          <w:sz w:val="17"/>
          <w:szCs w:val="17"/>
          <w:color w:val="auto"/>
        </w:rPr>
        <w:t>Includes NAND Flash components and Solid State Drives ("SSDs") sold into enterprise and client storage, and cloud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removable storage markets. SBU also includes NAND Flash products sold to Intel through our IMFT joint venture.</w:t>
      </w:r>
    </w:p>
    <w:p>
      <w:pPr>
        <w:ind w:left="660" w:right="20" w:hanging="323"/>
        <w:spacing w:after="0" w:line="250" w:lineRule="auto"/>
        <w:rPr>
          <w:sz w:val="20"/>
          <w:szCs w:val="20"/>
          <w:color w:val="auto"/>
        </w:rPr>
      </w:pPr>
      <w:r>
        <w:rPr>
          <w:rFonts w:ascii="Arial" w:cs="Arial" w:eastAsia="Arial" w:hAnsi="Arial"/>
          <w:sz w:val="18"/>
          <w:szCs w:val="18"/>
          <w:b w:val="1"/>
          <w:bCs w:val="1"/>
          <w:i w:val="1"/>
          <w:iCs w:val="1"/>
          <w:color w:val="auto"/>
        </w:rPr>
        <w:t xml:space="preserve">Embedded Business Unit ("EBU"): </w:t>
      </w:r>
      <w:r>
        <w:rPr>
          <w:rFonts w:ascii="Arial" w:cs="Arial" w:eastAsia="Arial" w:hAnsi="Arial"/>
          <w:sz w:val="18"/>
          <w:szCs w:val="18"/>
          <w:color w:val="auto"/>
        </w:rPr>
        <w:t>Includes DRAM, NAND Flash and NOR Flash products sold into automotive and industrial applications,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connected home and consumer electronics markets.</w:t>
      </w:r>
    </w:p>
    <w:p>
      <w:pPr>
        <w:spacing w:after="0" w:line="1" w:lineRule="exact"/>
        <w:rPr>
          <w:sz w:val="20"/>
          <w:szCs w:val="20"/>
          <w:color w:val="auto"/>
        </w:rPr>
      </w:pPr>
    </w:p>
    <w:p>
      <w:pPr>
        <w:ind w:left="660" w:right="300" w:hanging="323"/>
        <w:spacing w:after="0" w:line="261" w:lineRule="auto"/>
        <w:rPr>
          <w:sz w:val="20"/>
          <w:szCs w:val="20"/>
          <w:color w:val="auto"/>
        </w:rPr>
      </w:pPr>
      <w:r>
        <w:rPr>
          <w:rFonts w:ascii="Arial" w:cs="Arial" w:eastAsia="Arial" w:hAnsi="Arial"/>
          <w:sz w:val="18"/>
          <w:szCs w:val="18"/>
          <w:b w:val="1"/>
          <w:bCs w:val="1"/>
          <w:i w:val="1"/>
          <w:iCs w:val="1"/>
          <w:color w:val="auto"/>
        </w:rPr>
        <w:t xml:space="preserve">Mobile Business Unit ("MBU"): </w:t>
      </w:r>
      <w:r>
        <w:rPr>
          <w:rFonts w:ascii="Arial" w:cs="Arial" w:eastAsia="Arial" w:hAnsi="Arial"/>
          <w:sz w:val="18"/>
          <w:szCs w:val="18"/>
          <w:color w:val="auto"/>
        </w:rPr>
        <w:t>Includes DRAM, NAND Flash, and NOR Flash products sold to the smartphone, feature phone, and tablet mobile-device markets.</w:t>
      </w:r>
    </w:p>
    <w:p>
      <w:pPr>
        <w:spacing w:after="0" w:line="18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Certain reclassifications have been made to prior period amounts to conform to current period presentation, including restructure and asset impairment activities prior to 2013 that were previously reported in other operating (income) expense, net. In 2013, we reclassified gains and losses from changes in currency exchange rates in order to improve comparability with our industry peers. As a result of the reclassification, $6 million of losses in both 2012 and 2011, were reclassified from the amounts previously reported in other operating (income) expense, net to other non-operating income (expense), net. Certain deferred tax assets and liabilities in prior years were corrected with corresponding changes in the valuation allowance, resulting in no change to net deferred tax assets. The change in these items was not material for any period presented.</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fiscal year is the 52 or 53-week period ending on the Thursday closest to August 31. Our fiscal years 2013, 2012 and 2011 each contained 52 weeks. All period references are to our fiscal periods unless otherwise indicated. Our recently acquired subsidiary, Elpida Memory, Inc., has been consolidated based on its fiscal year ending on August 31, 2013.</w:t>
      </w:r>
    </w:p>
    <w:p>
      <w:pPr>
        <w:spacing w:after="0" w:line="177"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financial statements and related disclosures in conformity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Product Warranty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generally provide a limited warranty that our products are in compliance with our specifications existing at the time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delivery. Under our general terms and conditions of sale, liability for certain failures of product during a stated warranty period is usually limited to repair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replacement of defective items or return of, or a credit with respect to, amounts paid for such items. Under certain circumstances, we provide more extensive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limited warranty coverage than that provided under our general terms and conditions. Our warranty obligations are not material.</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42" w:name="page43"/>
    <w:bookmarkEnd w:id="42"/>
    <w:p>
      <w:pPr>
        <w:ind w:right="60" w:firstLine="324"/>
        <w:spacing w:after="0" w:line="261"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recognize product or license revenue when persuasive evidence that a sales arrangement exists, delivery has occurred,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is fixed or determinable and collectability is reasonably assured. Since we are unable to estimate returns and changes in market price, and therefore the price is not fixed or determinable, sales made under agreements allowing pricing protection or rights of return (other than for product warranty) are deferred until customers have resold the product.</w:t>
      </w:r>
    </w:p>
    <w:p>
      <w:pPr>
        <w:spacing w:after="0" w:line="18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related to the conceptual formulation and design of products and processes are expensed as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incurred. Determining when product development is complete requires judgment. Development of a product is deemed complete once the product has been thoroughly reviewed and has passed tests for performance and reliability. Subsequent to product qualification, product costs are valued in</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inventory. Product design and other research and development costs for certain technologies are shared with our joint venture partners. Amounts receivable from these cost-sharing arrangements are reflected as a reduction of research and development expense. (See "Equity Method Investments" and "Consolidated Variable Interest Entities – IM Flash" notes.)</w:t>
      </w:r>
    </w:p>
    <w:p>
      <w:pPr>
        <w:spacing w:after="0" w:line="186" w:lineRule="exact"/>
        <w:rPr>
          <w:sz w:val="20"/>
          <w:szCs w:val="20"/>
          <w:color w:val="auto"/>
        </w:rPr>
      </w:pPr>
    </w:p>
    <w:p>
      <w:pPr>
        <w:jc w:val="both"/>
        <w:ind w:right="240" w:firstLine="324"/>
        <w:spacing w:after="0" w:line="266"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is measured at the grant date, based on the fair value of the award, and recognized as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straight-line attribution method over the requisite service period. We issue new shares upon the exercise of stock options or conversion of share units. (See "Equity Plans" note.)</w:t>
      </w:r>
    </w:p>
    <w:p>
      <w:pPr>
        <w:spacing w:after="0" w:line="176"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i w:val="1"/>
          <w:iCs w:val="1"/>
          <w:color w:val="auto"/>
        </w:rPr>
        <w:t>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repurchase and retire our common stock, any excess of the repurchase price paid over par value is allocated between paid-in capital and retained earnings.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Functional Currency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U.S. dollar is the functional currency for all of our consolidated operations.</w:t>
      </w:r>
    </w:p>
    <w:p>
      <w:pPr>
        <w:spacing w:after="0" w:line="225" w:lineRule="exact"/>
        <w:rPr>
          <w:sz w:val="20"/>
          <w:szCs w:val="20"/>
          <w:color w:val="auto"/>
        </w:rPr>
      </w:pPr>
    </w:p>
    <w:p>
      <w:pPr>
        <w:ind w:right="360" w:firstLine="324"/>
        <w:spacing w:after="0" w:line="281" w:lineRule="auto"/>
        <w:rPr>
          <w:sz w:val="20"/>
          <w:szCs w:val="20"/>
          <w:color w:val="auto"/>
        </w:rPr>
      </w:pPr>
      <w:r>
        <w:rPr>
          <w:rFonts w:ascii="Arial" w:cs="Arial" w:eastAsia="Arial" w:hAnsi="Arial"/>
          <w:sz w:val="17"/>
          <w:szCs w:val="17"/>
          <w:b w:val="1"/>
          <w:bCs w:val="1"/>
          <w:i w:val="1"/>
          <w:iCs w:val="1"/>
          <w:color w:val="auto"/>
        </w:rPr>
        <w:t>Financial Instruments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include highly liquid short-term investments with original maturities to us of three months or less, readily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convertible to known amounts of cash. Investments with original maturities greater than three months and remaining maturities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16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i w:val="1"/>
          <w:iCs w:val="1"/>
          <w:color w:val="auto"/>
        </w:rPr>
        <w:t>Derivative and Hedging Instruments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use derivative financial instruments to manage certain exposures to fluctuating currency exchange and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rates. Our derivatives consist primarily of forward and option currency contracts and interest rate swap contracts. We do not use derivative instruments for trading or speculative purposes. Derivative instruments are measured at their fair values and recognized as either assets or liabilities. The accounting for changes in the fair value of derivative instruments is based on the intended use of the derivative and the resulting designation. For derivative instruments that are not designated as hedges for accounting purpose, gains or losses from changes in fair values are recognized in other non-operating income (expense). For derivative instruments designated as cash-flow hedges, the effective portion of the gain or loss is included as a component of other comprehensive income (loss), and the ineffective or excluded portion of the gain or loss is included in other non-operating income (expense). The amounts in accumulated other comprehensive income (loss) for these cash flow hedges are reclassified into earnings in the same line items of the consolidated statements of operation and in the same periods in which the underlying transactions affect earnings. Effectiveness is measured by comparing the cumulative change in the fair value of the hedge contract with the cumulative change in the forecasted cash flows of the hedged item. For the effectiveness assessment of our cash-flow hedges, changes in the time value are excluded for forward contracts and included for options.</w:t>
      </w:r>
    </w:p>
    <w:p>
      <w:pPr>
        <w:spacing w:after="0" w:line="128"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seek to enter into master netting arrangements to mitigate credit risk in derivative transactions. These master netting arrangements allow us and our counterparties to net settle amounts owed to each other. Derivative assets and liabilities that can be net settled under these arrangements have been presented in our consolidated balance sheet on a net basis.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"Derivative Financial Instruments – Currency Derivatives with Hedge Accounting Designation" note.)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580" w:right="279" w:bottom="1440" w:gutter="0" w:footer="0" w:header="0"/>
        </w:sectPr>
      </w:pPr>
    </w:p>
    <w:bookmarkStart w:id="43" w:name="page44"/>
    <w:bookmarkEnd w:id="43"/>
    <w:p>
      <w:pPr>
        <w:ind w:firstLine="324"/>
        <w:spacing w:after="0" w:line="290" w:lineRule="auto"/>
        <w:rPr>
          <w:sz w:val="20"/>
          <w:szCs w:val="20"/>
          <w:color w:val="auto"/>
        </w:rPr>
      </w:pPr>
      <w:r>
        <w:rPr>
          <w:rFonts w:ascii="Arial" w:cs="Arial" w:eastAsia="Arial" w:hAnsi="Arial"/>
          <w:sz w:val="16"/>
          <w:szCs w:val="16"/>
          <w:b w:val="1"/>
          <w:bCs w:val="1"/>
          <w:i w:val="1"/>
          <w:iCs w:val="1"/>
          <w:color w:val="auto"/>
        </w:rPr>
        <w:t>Inventories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technology costs. Determining market values of inventories involves numerous judgments, including projecting average selling prices and sales volumes for future periods and costs to complete products in work in process inventories. When market values are below costs, we record a charge to cost of goods sold to write down inventories to their estimated market value in advance of when the inventories are actually sold. The major characteristics considered in determining inventory categories for purposes of determining the lower of cost or market value are product type and markets. Prior to the third quarter of 2013, inventory was categorized as memory (primarily DRAM and NAND Flash and NOR Flash) and imaging products for purposes of determining lower of average cost or market. Due to the sale on May 3, 2013 of Micron Technology Italia, S.r.l. ("MIT") and our assignment to LFoundry Marsica S.r.l. ("LFoundry") of our supply agreement with Aptina Imaging Corporation ("Aptina") for CMOS image sensors, we ceased manufacturing CMOS image sensors subsequent to that date and no longer have imagining inventory for purposes of determining lower of average cost or market.</w:t>
      </w:r>
    </w:p>
    <w:p>
      <w:pPr>
        <w:spacing w:after="0" w:line="160"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b w:val="1"/>
          <w:bCs w:val="1"/>
          <w:i w:val="1"/>
          <w:iCs w:val="1"/>
          <w:color w:val="auto"/>
        </w:rPr>
        <w:t>Product and Process Technology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incurred to acquire product and process technology or to patent technology are capitalized and amortized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straight-line basis over periods ranging up to 10 years. We capitalize a portion of costs incurred based on the historical and projected patents issued as a percent of patents we file. Capitalized product and process technology costs are amortized over the shorter of (i) the estimated useful life of the technology,</w:t>
      </w:r>
    </w:p>
    <w:p>
      <w:pPr>
        <w:spacing w:after="0" w:line="2" w:lineRule="exact"/>
        <w:rPr>
          <w:sz w:val="20"/>
          <w:szCs w:val="20"/>
          <w:color w:val="auto"/>
        </w:rPr>
      </w:pPr>
    </w:p>
    <w:p>
      <w:pPr>
        <w:ind w:right="120" w:firstLine="8"/>
        <w:spacing w:after="0" w:line="261"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patent term or (iii) the term of the technology agreement. Fully-amortized assets are removed from product and process technology and accumulated amortization.</w:t>
      </w:r>
    </w:p>
    <w:p>
      <w:pPr>
        <w:spacing w:after="0" w:line="18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plant and equipment are stated at cost and depreciated using the straight-line method over estimated useful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of generally 10 to 30 years for buildings, generally 5 to 7 years for equipment and 3 to 5 years for software. Assets held for sale are carried at the lower of cost or estimated fair value and are included in other noncurrent assets. When property or equipment is retired or otherwise disposed, the net book value of the asset is removed and we recognize any gain or loss in our results of operations.</w:t>
      </w:r>
    </w:p>
    <w:p>
      <w:pPr>
        <w:spacing w:after="0" w:line="18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capitalize interest on borrowings during the active construction period of capital projects. Capitalized interest is added to the cost of the underlying assets and amortized over the useful lives of the assets.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Variable Interest Entities</w:t>
      </w:r>
    </w:p>
    <w:p>
      <w:pPr>
        <w:spacing w:after="0" w:line="21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have interests in entities that are Variable Interest Entities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Unconsolidated Variable Interest Entities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i w:val="1"/>
          <w:iCs w:val="1"/>
          <w:color w:val="auto"/>
        </w:rPr>
        <w:t xml:space="preserve">Inotera: </w:t>
      </w:r>
      <w:r>
        <w:rPr>
          <w:rFonts w:ascii="Arial" w:cs="Arial" w:eastAsia="Arial" w:hAnsi="Arial"/>
          <w:sz w:val="17"/>
          <w:szCs w:val="17"/>
          <w:color w:val="auto"/>
        </w:rPr>
        <w:t>Inotera Memories, Inc. ("Inotera") is a VIE because its equity is not sufficient to permit it to finance its activities without additional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its shareholders. In the second quarter of 2013, we entered into agreements with Nanya Technology Corporation ("Nanya") and Inotera to amend the joint venture relationship involving Inotera, including a new supply agreement between us and Inotera. We have determined that we do not have the power to direct the activities of Inotera that most significantly impact its economic performance, primarily due to (1) limitations on our governance rights that require the consent of other parties for key operating decisions and (2) Inotera's dependence on Nanya for financing and the ability of Inotera to operate in Taiwan. Therefore, we do not consolidate Inotera and we account for our interest under the equity method.</w:t>
      </w:r>
    </w:p>
    <w:p>
      <w:pPr>
        <w:spacing w:after="0" w:line="17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b w:val="1"/>
          <w:bCs w:val="1"/>
          <w:i w:val="1"/>
          <w:iCs w:val="1"/>
          <w:color w:val="auto"/>
        </w:rPr>
        <w:t xml:space="preserve">Transform: </w:t>
      </w:r>
      <w:r>
        <w:rPr>
          <w:rFonts w:ascii="Arial" w:cs="Arial" w:eastAsia="Arial" w:hAnsi="Arial"/>
          <w:sz w:val="18"/>
          <w:szCs w:val="18"/>
          <w:color w:val="auto"/>
        </w:rPr>
        <w:t>Transform Solar Pty Ltd. ("Transform") is a VIE because its equity is not sufficient to permit it to finance its activities without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support from us or its parent, Origin Energy Limited ("Origin"). We have determined that we do not have the power to direct the activities of Transform that most significantly impact its economic performance, primarily due to limitations on our governance rights that require the consent of Origin for key operating decisions. Therefore, we do not consolidate Transform and we account for our interest under the equity method. As of August 30, 2012, Transform's operations were substantially discontinued.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0" w:right="25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For further information regarding our VIEs that we account for under the equity method, see "Equity Method Investments" note.</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i w:val="1"/>
          <w:iCs w:val="1"/>
          <w:color w:val="auto"/>
        </w:rPr>
        <w:t xml:space="preserve">EQUVO Entities: </w:t>
      </w:r>
      <w:r>
        <w:rPr>
          <w:rFonts w:ascii="Arial" w:cs="Arial" w:eastAsia="Arial" w:hAnsi="Arial"/>
          <w:sz w:val="16"/>
          <w:szCs w:val="16"/>
          <w:color w:val="auto"/>
        </w:rPr>
        <w:t>EQUVO HK Limited and EQUVA Capital 1 Pte. Ltd. (together, the "EQUVO Entities") are special purpose entities created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facilitate equipment sale-leaseback financing transactions between us and a consortium of financial institutions that fund the sale-leaseback transactions ("Financing Entities"). Neither we nor the Financing Entities have an equity interest in the EQUVO Entities. The EQUVO Entities are VIEs because their equity is not sufficient to permit them to finance their activities without additional support from the Financing Entities and because the third-party equity holder lacks characteristics of a controlling financial interest. By design, the arrangements with the EQUVO Entities are merely financing vehicles and we do not bear any significant risks from variable interests with the EQUVO Entities. Therefore, we have determined that we do not have the power to direct the activities of the EQUVO Entities that most significantly impact their economic performance and we do not consolidate the EQUVO Entities.</w:t>
      </w:r>
    </w:p>
    <w:p>
      <w:pPr>
        <w:spacing w:after="0" w:line="16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b w:val="1"/>
          <w:bCs w:val="1"/>
          <w:i w:val="1"/>
          <w:iCs w:val="1"/>
          <w:color w:val="auto"/>
        </w:rPr>
        <w:t>SC Hiroshima Energy Corporation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 Hiroshima Energy Corporation ("SCHE") is an entity created to construct and operate a cogeneration, electrical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plant to support our wafer manufacturing facility in Hiroshima, Japan. SCHE is a VIE due to the nature of its tolling agreements with us and our purchase and call options for SCHE's assets. We do not have an equity ownership interest in SCHE. We do not control the operation and maintenance of the plant, which we have determined are the activities of SCHE that most significantly impacts its economic performance. Therefore, we do not consolidate SCHE.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Variable Interest Entities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IMFT: </w:t>
      </w:r>
      <w:r>
        <w:rPr>
          <w:rFonts w:ascii="Arial" w:cs="Arial" w:eastAsia="Arial" w:hAnsi="Arial"/>
          <w:sz w:val="17"/>
          <w:szCs w:val="17"/>
          <w:color w:val="auto"/>
        </w:rPr>
        <w:t>IM Flash Technologies, LLC ("IMFT") is a VIE because all of its costs are passed to us and its other member, Intel Corporation ("Intel"),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purchase agreements and IMFT is dependent upon us or Intel for any additional cash requirements. We determined that we have the power to direct the activities of IMFT that most significantly impact its economic performance. The primary activities of IMFT are driven by the constant introduction of product and process technology. Because we perform a significant majority of the technology development, we have the power to direct its key activities. In addition, IMFT manufactures certain products exclusively for us using our technology. We also determined that we have the obligation to absorb losses and the right to receive benefits from IMFT that could potentially be significant to it. Therefore, we consolidate IMFT.</w:t>
      </w:r>
    </w:p>
    <w:p>
      <w:pPr>
        <w:spacing w:after="0" w:line="17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b w:val="1"/>
          <w:bCs w:val="1"/>
          <w:i w:val="1"/>
          <w:iCs w:val="1"/>
          <w:color w:val="auto"/>
        </w:rPr>
        <w:t xml:space="preserve">IMFS: </w:t>
      </w:r>
      <w:r>
        <w:rPr>
          <w:rFonts w:ascii="Arial" w:cs="Arial" w:eastAsia="Arial" w:hAnsi="Arial"/>
          <w:sz w:val="18"/>
          <w:szCs w:val="18"/>
          <w:color w:val="auto"/>
        </w:rPr>
        <w:t>Prior to April 6, 2012, IM Flash Singapore, LLP ("IMFS") was a VIE because all of its costs were passed to us and its other member, Intel,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product purchase agreements and IMFS was dependent upon us or Intel for any additional cash requirements. Prior to April 6, 2012, we determined that we had the power to direct the activities of IMFS that most significantly impacted its economic performance. Additionally, since 2010, we had significantly greater economic exposure than Intel as a result of our significantly higher ownership interest in IMFS. Therefore, we consolidated IMFS. On April 6, 2012, we acquired Intel's remaining interests in IMFS and it ceased to be a VIE.</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i w:val="1"/>
          <w:iCs w:val="1"/>
          <w:color w:val="auto"/>
        </w:rPr>
        <w:t xml:space="preserve">MP Mask: </w:t>
      </w:r>
      <w:r>
        <w:rPr>
          <w:rFonts w:ascii="Arial" w:cs="Arial" w:eastAsia="Arial" w:hAnsi="Arial"/>
          <w:sz w:val="18"/>
          <w:szCs w:val="18"/>
          <w:color w:val="auto"/>
        </w:rPr>
        <w:t>MP Mask Technology Center, LLC ("MP Mask") is a VIE because substantially all of its costs are passed to us and its other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Photronics, Inc. ("Photronics"), through product purchase agreements and MP Mask is dependent upon us or Photronics for any additional cash requirements. We determined that we have the power to direct the activities of MP Mask that most significantly impact its economic performance, primarily because (1) of our tie-breaking voting rights over key operating decisions and (2) nearly all key MP Mask activities are driven by our supply needs. We also determined that we have the obligation to absorb losses and the right to receive benefits from MP Mask that could potentially be significant to it. Therefore, we consolidate MP Mask.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information regarding our consolidated VIEs, see "Consolidated Variable Interest Entities" note.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recently issued accounting pronouncements that have had or are expected to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84" w:right="27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Acquisition of Elpida Memory, Inc.</w:t>
      </w:r>
    </w:p>
    <w:p>
      <w:pPr>
        <w:spacing w:after="0" w:line="26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July 31, 2013, we completed the acquisition of Elpida Memory, Inc., a Japanese corporation, pursuant to the terms and conditions of an Agreement on Support for Reorganization Companies (as amended, the "Sponsor Agreement") that we entered into on July 2, 2012, with the trustees of Elpida and one of its subsidiaries, Akita Elpida Memory, Inc., a Japanese corporation ("Akita" and, together with Elpida, the "Elpida Companies") pursuant to and in connection with the Elpida Companies' corporate reorganization proceedings under the Corporate Reorganization Act of Japan. We paid $615 million for the acquisition of Elpida, of which substantially all was deposited into accounts that are legally restricted for payment to the secured and unsecured creditors of the Elpida Companies in October 2013. As of August 29, 2013, the amount held in the restricted accounts was presented as restricted cash. Of the $615 million paid at closing, $18 million was applied from amounts we had deposited into an escrow account in July 2012 as a condition to the execution of the Sponsor Agreement.</w:t>
      </w:r>
    </w:p>
    <w:p>
      <w:pPr>
        <w:spacing w:after="0" w:line="19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On July 31, 2013, we also completed the acquisition of an additional 24% ownership interest in Rexchip Electronics Corporation ("Rexchip"), a Taiwanese corporation and manufacturing joint venture formed by Elpida and Powerchip Technology Corporation ("Powerchip") from Powerchip and certain of its affiliates (the "Powerchip Group") pursuant to a share purchase agreement. We paid $334 million in cash for the shares. Elpida owns, directly and indirectly through a subsidiary, approximately 65% of Rexchip's outstanding common stock. Therefore, as a result of the consummation of our acquisition of Elpida and the Rexchip shares from the Powerchip Group, we own approximately 89% ownership interest in Rexchip.</w:t>
      </w:r>
    </w:p>
    <w:p>
      <w:pPr>
        <w:spacing w:after="0" w:line="17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Elpida's assets include, among others: a 300mm DRAM wafer fabrication facility located in Hiroshima, Japan; its approximate 65% ownership interest in Rexchip, whose assets include a 300mm DRAM wafer fabrication facility located in Taichung City, Taiwan; and a 100% ownership interest in Akita, whose assets include an assembly and test facility located in Akita, Japan. Elpida's semiconductor memory products include mobile DRAM targeted toward mobile phones and tablets. We believe that combining the complementary product portfolios of Micron and Elpida strengthens our position in the memory market and enables us to provide customers with a wider portfolio of high-quality memory solutions. We also believe that our acquisition of Elpida strengthens our market position in the memory industry through increased research and development and manufacturing scale, improved access to core memory market segments, and additional wafer capacity to balance among our DRAM, NAND Flash and NOR Flash memory solutions.</w:t>
      </w:r>
    </w:p>
    <w:p>
      <w:pPr>
        <w:spacing w:after="0" w:line="16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Elpida Acquisition and Rexchip share purchase are treated as a single business combination because (1) the two transactions were entered into and closed contemporaneously and (2) the Rexchip share purchase was negotiated in contemplation of the Elpida acquisition and its completion was contingent on the closing of the Elpida acquisition.</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estimated the provisional fair value of the assets and liabilities of Elpida and it's subsidiaries (the "Elpida Group") as of the July 31, 2013 acquisition date using an in-use model, which reflects its value through its use in combination with other assets as a group. These provisional amounts could change as additional information becomes available.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5" w:right="239" w:bottom="1440" w:gutter="0" w:footer="0" w:header="0"/>
        </w:sectPr>
      </w:pPr>
    </w:p>
    <w:bookmarkStart w:id="46" w:name="page47"/>
    <w:bookmarkEnd w:id="46"/>
    <w:tbl>
      <w:tblPr>
        <w:tblLayout w:type="fixed"/>
        <w:tblInd w:w="20" w:type="dxa"/>
        <w:tblCellMar>
          <w:top w:w="0" w:type="dxa"/>
          <w:left w:w="0" w:type="dxa"/>
          <w:bottom w:w="0" w:type="dxa"/>
          <w:right w:w="0" w:type="dxa"/>
        </w:tblCellMar>
      </w:tblPr>
      <w:tr>
        <w:trPr>
          <w:trHeight w:val="230"/>
        </w:trPr>
        <w:tc>
          <w:tcPr>
            <w:tcW w:w="9920" w:type="dxa"/>
            <w:vAlign w:val="bottom"/>
          </w:tcPr>
          <w:p>
            <w:pPr>
              <w:ind w:left="320"/>
              <w:spacing w:after="0"/>
              <w:rPr>
                <w:sz w:val="20"/>
                <w:szCs w:val="20"/>
                <w:color w:val="auto"/>
              </w:rPr>
            </w:pPr>
            <w:r>
              <w:rPr>
                <w:rFonts w:ascii="Arial" w:cs="Arial" w:eastAsia="Arial" w:hAnsi="Arial"/>
                <w:sz w:val="18"/>
                <w:szCs w:val="18"/>
                <w:color w:val="auto"/>
              </w:rPr>
              <w:t>The consideration and provisional valuation of assets acquired and liabilities assumed are as follows: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94"/>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equivalents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697</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557</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935</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method investment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99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purchase contracts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99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Total net assets acquired</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2,601</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99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 in Elpida:</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168</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Consideration</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949</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99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Gain on acquisition</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1,484</w:t>
            </w:r>
          </w:p>
        </w:tc>
      </w:tr>
      <w:tr>
        <w:trPr>
          <w:trHeight w:val="20"/>
        </w:trPr>
        <w:tc>
          <w:tcPr>
            <w:tcW w:w="9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Because the fair value of the net assets acquired less noncontrolling interests exceeded the purchase price, we recognized a gain on the acquisition of $1,484 million. The yen-denominated purchase price was fixed on July 2, 2012 when we entered into the Sponsor Agreement. We believe the fair value exceeded the purchase price because of increases in working capital from improvements in market conditions in the DRAM industry between July 2, 2012 and July 31, 2013, when we completed the acquisition. These conditions resulted in significant increases in U.S. dollar equivalent net assets of Elpida.</w:t>
      </w:r>
    </w:p>
    <w:p>
      <w:pPr>
        <w:spacing w:after="0" w:line="15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fair value of the noncontrolling interest in the table above primarily relates to Rexchip and was derived based on the purchase price we paid the Powerchip Group for their 24% ownership interest.</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results of operations for 2013 include $355 million of net sales and $46 million of operating income (losses) from the Elpida operations after the July 31, 2013 acquisition date. Included in the selling, general and administrative expenses in the results of operations for 2013 are transaction costs of $50 million incurred in connection with this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47" w:name="page48"/>
    <w:bookmarkEnd w:id="47"/>
    <w:p>
      <w:pPr>
        <w:ind w:firstLine="324"/>
        <w:spacing w:after="0" w:line="287" w:lineRule="auto"/>
        <w:rPr>
          <w:sz w:val="20"/>
          <w:szCs w:val="20"/>
          <w:color w:val="auto"/>
        </w:rPr>
      </w:pPr>
      <w:r>
        <w:rPr>
          <w:rFonts w:ascii="Arial" w:cs="Arial" w:eastAsia="Arial" w:hAnsi="Arial"/>
          <w:sz w:val="16"/>
          <w:szCs w:val="16"/>
          <w:color w:val="auto"/>
        </w:rPr>
        <w:t>As a result of the Japan Proceedings, for so long as such proceedings are continuing, the Elpida Companies and their subsidiaries are subject to certain restrictions on dividends, loans and advances. The plans of reorganization of the Elpida Companies prohibit the Elpida Companies from paying dividends, including any cash dividends, to us and require that excess earnings be used in their businesses or to fund the Elpida Companies' installment payments. These prohibitions would also effectively prevent the subsidiaries of the Elpida Companies from paying cash dividends to us as any such dividends would have to be first paid to the Elpida Companies which are prohibited from repaying those amounts to us as dividends under the plans of reorganization. In addition, pursuant to an order of the Japan Court, the Elpida Companies cannot make loans or advances, other than certain ordinary course advances, to us without the consent of the Japan Court. Moreover, loans or advances by subsidiaries of the Elpida Companies may be considered outside of the ordinary course of business and subject to approval of the legal trustees and Japan Court. As a result, the assets of the Elpida Companies and their subsidiaries, while available to satisfy the Elpida Companies' installment payments and the other obligations, capital expenditures and other operating needs of the Elpida Companies and their subsidiaries, are not available for use by us in our other operations. Moreover, certain uses of the assets of the Elpida Companies, including investments in certain capital expenditures and in Rexchip, may require consent of Elpida's trustees and/or the Japan Court.</w:t>
      </w:r>
    </w:p>
    <w:p>
      <w:pPr>
        <w:spacing w:after="0" w:line="173" w:lineRule="exact"/>
        <w:rPr>
          <w:sz w:val="20"/>
          <w:szCs w:val="20"/>
          <w:color w:val="auto"/>
        </w:rPr>
      </w:pPr>
    </w:p>
    <w:p>
      <w:pPr>
        <w:jc w:val="both"/>
        <w:ind w:right="260" w:firstLine="324"/>
        <w:spacing w:after="0" w:line="302" w:lineRule="auto"/>
        <w:rPr>
          <w:sz w:val="20"/>
          <w:szCs w:val="20"/>
          <w:color w:val="auto"/>
        </w:rPr>
      </w:pPr>
      <w:r>
        <w:rPr>
          <w:rFonts w:ascii="Arial" w:cs="Arial" w:eastAsia="Arial" w:hAnsi="Arial"/>
          <w:sz w:val="16"/>
          <w:szCs w:val="16"/>
          <w:color w:val="auto"/>
        </w:rPr>
        <w:t>Total net assets, less noncontrolling interests, of the Elpida Companies and their subsidiaries as of August 29, 2013 were $2,460 million. As of August 29, 2013, the Elpida Companies held cash and equivalents of $1,094 million and $556 million of current restricted cash, none of which were available for cash dividends, loans or advances as a result of the above-described restrictions. The restricted cash was held in accounts that are controlled by the trustees and are legally restricted for payment of secured and unsecured creditors of the Elpida Companies pursuant to the plans of reorganization.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Unaudited Pro Forma Financial Information</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following unaudited pro forma financial information presents the combined results of operations as if the Elpida Acquisition had occurred on September 2, 2011. The pro forma financial information includes the accounting effects of the business combination, including adjustments to the amortization of intangible assets, depreciation of property, plant and equipment, interest expense and elimination of intercompany activities. The historical results of operations of the Elpida Group for the eleven months ended May 31, 2013 included a gain of $1,692 million for the forgiveness of debt related to liabilities subject to compromise upon approval of the bankruptcy by the creditors of the Tokyo District Court and for the year ended June 30, 2012 included a $2,828 million loss for impairment of long-lived assets. No adjustment was made to the unaudited pro forma financial information for these items, consistent with the requirements for preparation for the pro forma financial information. The unaudited pro forma financial information below is not necessarily indicative of either future results of operations or results that might have been achieved had the Elpida Acquisition occurred on September 2, 2011.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8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(4,422)</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Micron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r>
    </w:tbl>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unaudited pro forma financial information for 2013 includes our results for the year ended August 29, 2013, which includes one month of results from the Elpida Group following the closing of the Elpida Acquisition, and the results of the Elpida Group, including the adjustments described above, for the eleven months ended May 31, 2013. The pro forma information for 2012 includes our results for the year ended August 30, 2012 and the results of the Elpida Group, including the adjustments described above, for the year ended June 30, 2012.</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auto"/>
        </w:rPr>
        <w:t>Investments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29, 2013 and August 30, 2012, available-for-sale investments, including cash equivalents, were as follows: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0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4"/>
          </w:tcPr>
          <w:p>
            <w:pPr>
              <w:jc w:val="right"/>
              <w:ind w:right="81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Amortized</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Amortized</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Cost</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Cost</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4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w:t>
            </w:r>
          </w:p>
        </w:tc>
      </w:tr>
      <w:tr>
        <w:trPr>
          <w:trHeight w:val="243"/>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234</w:t>
            </w:r>
          </w:p>
        </w:tc>
      </w:tr>
      <w:tr>
        <w:trPr>
          <w:trHeight w:val="27"/>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Marketable 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37"/>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w:t>
            </w:r>
          </w:p>
        </w:tc>
      </w:tr>
      <w:tr>
        <w:trPr>
          <w:trHeight w:val="27"/>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August 29, 2013, no available-for-sale security had been in a loss position for longer than 12 months. During 2013 and 2012, we recognized other-than-temporary impairments of our marketable equity securities of $4 million and $11 million, respectively.</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table below presents the amortized cost and fair value of available-for-sale debt securities, including cash equivalents, as of August 29, 2013 by contractual maturity: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not due at a single maturity date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Due in 1 year or less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1 - 2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Due in 2 - 4 years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4 years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83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2,277</w:t>
            </w:r>
          </w:p>
        </w:tc>
      </w:tr>
      <w:tr>
        <w:trPr>
          <w:trHeight w:val="27"/>
        </w:trPr>
        <w:tc>
          <w:tcPr>
            <w:tcW w:w="8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Net unrealized holding gains reclassified out of accumulated other comprehensive income from sales of available-for-sale securities were $31 million for 2012 and were not significant for any other period presented. Proceeds from the sales of available-for-sale securities for 2013, 2012 and 2011 were</w:t>
      </w:r>
    </w:p>
    <w:p>
      <w:pPr>
        <w:ind w:right="200"/>
        <w:spacing w:after="0" w:line="261" w:lineRule="auto"/>
        <w:rPr>
          <w:sz w:val="20"/>
          <w:szCs w:val="20"/>
          <w:color w:val="auto"/>
        </w:rPr>
      </w:pPr>
      <w:r>
        <w:rPr>
          <w:rFonts w:ascii="Arial" w:cs="Arial" w:eastAsia="Arial" w:hAnsi="Arial"/>
          <w:sz w:val="18"/>
          <w:szCs w:val="18"/>
          <w:color w:val="auto"/>
        </w:rPr>
        <w:t>$526 million, $149 million and $1 million, respectively. Gross realized gains from sales of available-for-sale securities were $34 million for 2012 and gross realized gains and losses for all other periods presented were not significant.</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Receivables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receivables (net of allowance for doubtful accounts of $5 and $5, respectively)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and other taxes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Related party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1" w:right="239" w:bottom="1440" w:gutter="0" w:footer="0" w:header="0"/>
        </w:sectPr>
      </w:pPr>
    </w:p>
    <w:bookmarkStart w:id="49" w:name="page50"/>
    <w:bookmarkEnd w:id="49"/>
    <w:p>
      <w:pPr>
        <w:ind w:right="540" w:firstLine="324"/>
        <w:spacing w:after="0" w:line="277" w:lineRule="auto"/>
        <w:rPr>
          <w:sz w:val="20"/>
          <w:szCs w:val="20"/>
          <w:color w:val="auto"/>
        </w:rPr>
      </w:pPr>
      <w:r>
        <w:rPr>
          <w:rFonts w:ascii="Arial" w:cs="Arial" w:eastAsia="Arial" w:hAnsi="Arial"/>
          <w:sz w:val="18"/>
          <w:szCs w:val="18"/>
          <w:color w:val="auto"/>
        </w:rPr>
        <w:t>Related party receivables primarily included amounts due from Aptina related to certain manufacturing services agreements. (See "Equity Method Investments" note.)</w:t>
      </w:r>
    </w:p>
    <w:p>
      <w:pPr>
        <w:spacing w:after="0" w:line="17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As of August 29, 2013 and August 30, 2012, other receivables included $2 million and $63 million, respectively, from our currency hedges. As of August 29, 2013 and August 30, 2012, other receivables included $34 million and $34 million, respectively, due from Intel for amounts related to NAND Flash and certain emerging memory technologies product design and process development activities under cost-sharing agreements. As of August 30, 2012, other receivables also included $17 million due from Nanya for amounts related to DRAM product design and process development activities under a cost-sharing agreement. (See "Derivative Financial Instruments," "Consolidated Variable Interest Entities" and "Equity Method Investments" notes.)</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Buildings (includes $209 and $196, respectively, for capital leases)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(includes $1,305 and $919, respectively, for 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20,825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 (includes $463 and $253, respectively, for capital leases)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(13,722)</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7,626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7,103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Depreciation expense was $1,721 million, $2,053 million and $2,026 million for 2013, 2012 and 2011, respectively. Other noncurrent assets included buildings, equipment, and other assets classified as held for sale of $22 million as of August 29, 2013 and $25 million as of August 30, 2012 and land held for development of $54 million as of August 29, 2013.</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As of August 29, 2013, production equipment and buildings with a carrying value of $541 million were collateral under various notes payable. (See "Debt – Other Notes Payable" note.)</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Method Investments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gridSpan w:val="3"/>
          </w:tcPr>
          <w:p>
            <w:pPr>
              <w:jc w:val="right"/>
              <w:ind w:right="12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gridSpan w:val="3"/>
          </w:tcPr>
          <w:p>
            <w:pPr>
              <w:jc w:val="right"/>
              <w:ind w:right="12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Ownership</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Ownership</w:t>
            </w:r>
          </w:p>
        </w:tc>
      </w:tr>
      <w:tr>
        <w:trPr>
          <w:trHeight w:val="234"/>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Percentage</w:t>
            </w: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Inotera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8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35%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Tera Probe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Various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Various</w:t>
            </w:r>
          </w:p>
        </w:tc>
      </w:t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auto"/>
            </w:tcBorders>
          </w:tcPr>
          <w:p>
            <w:pPr>
              <w:spacing w:after="0"/>
              <w:rPr>
                <w:sz w:val="20"/>
                <w:szCs w:val="20"/>
                <w:color w:val="auto"/>
              </w:rPr>
            </w:pPr>
          </w:p>
        </w:tc>
        <w:tc>
          <w:tcPr>
            <w:tcW w:w="1760" w:type="dxa"/>
            <w:vAlign w:val="bottom"/>
            <w:gridSpan w:val="3"/>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65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0" w:name="page51"/>
    <w:bookmarkEnd w:id="50"/>
    <w:p>
      <w:pPr>
        <w:ind w:right="220" w:firstLine="324"/>
        <w:spacing w:after="0" w:line="277" w:lineRule="auto"/>
        <w:rPr>
          <w:sz w:val="20"/>
          <w:szCs w:val="20"/>
          <w:color w:val="auto"/>
        </w:rPr>
      </w:pPr>
      <w:r>
        <w:rPr>
          <w:rFonts w:ascii="Arial" w:cs="Arial" w:eastAsia="Arial" w:hAnsi="Arial"/>
          <w:sz w:val="18"/>
          <w:szCs w:val="18"/>
          <w:color w:val="auto"/>
        </w:rPr>
        <w:t>We recognize our share of earnings or losses from these entities under the equity method, generally on a two-month lag. Equity in net income (loss) of equity method investees, net of tax, included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Inotera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The summarized financial information in the tables below reflects aggregate amounts for all of our equity method investees. Financial information is presented as of the respective dates and for the periods through which we recorded our proportionate share of each investee's results of operations. Summarized results of operations are presented only for the periods subsequent to the acquisition of our ownership interest.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Noncurrent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3,024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years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w:t>
            </w:r>
          </w:p>
        </w:tc>
      </w:tr>
    </w:tbl>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Transform began using the liquidation basis of accounting in June 2012. Transform's statement of net assets (liabilities) in liquidation included $9 million of assets and $8 million of liabilities as of August 29, 2013 and $29 million of assets and $14 million of liabilities as of August 30, 2012, which were excluded from the table above. Additionally, Transform's statement of changes in net assets (liabilities) in liquidation for the fourth quarter of 2012 included a decrease in the estimated fair values of net assets of $67 million. Activity for 2013 was not significant. (See "Transform" below).</w:t>
      </w:r>
    </w:p>
    <w:p>
      <w:pPr>
        <w:spacing w:after="0" w:line="17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As of August 29, 2013, our maximum exposure to loss from our involvement with our equity method investments that were VIEs was $344 million and primarily included our Inotera investment balance. We may also incur losses in connection with our rights and obligations to purchase substantially all of Inotera's wafer production capacity under a supply agreement with Inotera.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Inotera</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have partnered with Nanya in Inotera, a Taiwanese DRAM memory company, since the first quarter of 2009. In March 2012, we contributed $170 million to Inotera, which increased our ownership percentage to 40%. On May 28, 2013, Inotera issued 634 million common shares to Nanya and certain of its affiliates in a private placement at a price equal to 9.47 New Taiwan dollars per share (approximately $0.32 U.S. dollars), which was in excess of our carrying value per share. As a result of the issuance, our ownership interest decreased to 35% and we recognized a gain of $48 million in 2013. As of August 29, 2013, we held a 35% ownership interest in Inotera, Nanya and certain of its affiliates held a 36% ownership interest and the remaining ownership interest was publicly held.</w:t>
      </w:r>
    </w:p>
    <w:p>
      <w:pPr>
        <w:spacing w:after="0" w:line="193"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As of August 29, 2013 the market value of our equity interest in Inotera was $854 million based on the closing trading price of its shares in an active market. As of August 29, 2013 and August 30, 2012, there were gains of $44 million and $49 million, respectively, in accumulated other comprehensive income (loss) for cumulative translation adjustments from our equity investment in Inotera.</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net carrying value of our initial and subsequent investments was less than our proportionate share of Inotera's equity at the time of those investments. These differences are being amortized as a net credit to earnings through equity in net income (loss) of equity method investees (the "Inotera Amortization"). For both 2012 and 2011, we recognized $48 million of Inotera Amortization. As of August 30, 2012, the remaining amount of unrecognized Inotera Amortization was not significant.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51" w:name="page52"/>
    <w:bookmarkEnd w:id="51"/>
    <w:p>
      <w:pPr>
        <w:ind w:firstLine="324"/>
        <w:spacing w:after="0" w:line="255" w:lineRule="auto"/>
        <w:rPr>
          <w:sz w:val="20"/>
          <w:szCs w:val="20"/>
          <w:color w:val="auto"/>
        </w:rPr>
      </w:pPr>
      <w:r>
        <w:rPr>
          <w:rFonts w:ascii="Arial" w:cs="Arial" w:eastAsia="Arial" w:hAnsi="Arial"/>
          <w:sz w:val="18"/>
          <w:szCs w:val="18"/>
          <w:color w:val="auto"/>
        </w:rPr>
        <w:t>As of June 30, 2013, Inotera's current liabilities exceeded its current assets by $1.0 billion, which exposes Inotera to liquidity risk. Additionally, Inotera incurred net losses of $541 million for its fiscal year ended December 31, 2012. As of June 30, 2013, Inotera was not in compliance with certain of its loan covenants, and had not been in compliance for the past several years, which may result in its lenders requiring repayment of such loans during the next year. Inotera has applied for a waiver from complying with the June 30, 2013 financial covenants. Inotera's management has implemented plans to improve its liquidity and for Inotera's six-month period ended June 30, 2013, Inotera generated net income of $91 million; however, there can be no assurance that Inotera will be successful in sufficiently improving its liquidity and complying with their loan covenants, which may result in its lenders requiring repayment of such loans during the next year.</w:t>
      </w:r>
    </w:p>
    <w:p>
      <w:pPr>
        <w:spacing w:after="0" w:line="18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In the second quarter of 2012, we loaned $133 million to Inotera under a 90-day note with a stated annual interest rate of 2% to facilitate the purchase of capital equipment necessary to implement new process technology. The loan was repaid to us with accrued interest in March 2012.</w:t>
      </w:r>
    </w:p>
    <w:p>
      <w:pPr>
        <w:spacing w:after="0" w:line="14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On January 17, 2013, we entered into agreements with Nanya and Inotera to amend the joint venture relationship involving Inotera. The amendments included a new supply agreement (the "Inotera Supply Agreement"), retroactively effective beginning on January 1, 2013, between us and Inotera under which we are obligated to purchase for an initial period through January, 2016, substantially all of Inotera's output at a purchase price based on a discount from market prices for our comparable components. The Inotera Supply Agreement contemplates annual negotiations with respect to potential successive one-year extensions and if in any year the parties do not agree to an extension, the agreement will terminate following the end of the then-existing term plus a subsequent three-year wind-down period. Our share of Inotera's capacity would decline over the three year wind-down period. Under applicable accounting guidance, the Inotera Supply Agreement is treated as containing an embedded operating lease with respect to Inotera's production assets during the initial three-year term of the lease. Effective through December 31, 2012, we had rights and obligations to purchase 50% of Inotera's wafer production capacity based on a margin-sharing formula among Nanya, Inotera and us. Under these agreements, we purchased $1,260 million, $646 million, and $641 million of DRAM products in 2013, 2012 and 2011 respectively. In 2012, we recognized losses on our purchase commitment under the Inotera Supply Agreement of $17 million, $19 million and $40 million in our fourth, second and first quarters, respectively. In 2011, we recognized purchase commitment losses of $28 million, $3 million, $12 million and $11 million in the fourth, third, second and first quarters, respectively.</w:t>
      </w:r>
    </w:p>
    <w:p>
      <w:pPr>
        <w:spacing w:after="0" w:line="16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Under a cost-sharing arrangement effective through December 31, 2012, we generally shared DRAM process and design development costs with Nanya. As a result of the January 17, 2013 agreements, which were retroactively effective beginning on January 1, 2013, Nanya no longer participates in the joint development program. Pursuant to the cost-sharing arrangement, our research and development ("R&amp;D") costs were reduced by $19 million, $138 million, and $141 million in 2013, 2012 and 2011, respectively. In addition, we recognized royalty revenue from Nanya of $3 million, $11 million, and $25 million in 2013, 2012 and 2011, respectively, for sales of DRAM products manufactured by or for Nanya on process nodes of 50nm or higher.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Tera Probe</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July 31, 2013, we acquired, as an asset of Elpida, a 40% interest in Tera Probe, Inc. ("Tera Probe"), a Japanese-based company mainly engaged in wafer testing and contract wafer-level package testing services. Our investment in Tera Probe was valued at $40 million, based on the aggregate trading price of the shares in an active market on the acquisition date (Level 1 fair value measurements). The net carrying value of our investment was less than our proportionate share of Tera Probe's equity at the time of our investment, and the difference is being amortized as a net credit to earnings through equity in net income (loss) of equity method investees (the "Tera Probe Amortization"). As of August 29, 2013, $35 million of unamortized Tera Probe Amortization was being recognized over a weighted-average period of 7 years.</w:t>
      </w:r>
    </w:p>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August 29, 2013, based on the closing trading price of Tera Probe's shares in an active market, the market value of our equity interest was $30 million. We evaluated our investment in Tera Probe and concluded that the decline in the market value below carrying value was not an other-than-temporary impairment primarily because of the limited amount of time the fair value was below the carrying value, the subsequent recovery and historical volatility of the stock price.</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Tera Probe performs probe services for certain of our manufacturing processes. Included in cost of goods sold for 2013 is $13 million for probe services performed by Tera Probe.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800"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Transform: </w:t>
      </w:r>
      <w:r>
        <w:rPr>
          <w:rFonts w:ascii="Arial" w:cs="Arial" w:eastAsia="Arial" w:hAnsi="Arial"/>
          <w:sz w:val="18"/>
          <w:szCs w:val="18"/>
          <w:color w:val="auto"/>
        </w:rPr>
        <w:t>In the second quarter of 2010, we acquired a 50% interest in Transform, a developer, manufacturer and marketer of photovoltaic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solar panels, from Origin. As of August 29, 2013, we and Origin each held a 50% ownership interest in Transform. As a result of the ongoing challenging global environment in the solar industry and unfavorable worldwide supply and demand conditions, on May 25, 2012, the Board of Directors of Transform approved a liquidation plan. As a result of the liquidation plan, we recognized a charge of $69 million in 2012. As of August 30, 2012, Transform's operations were substantially discontinued.</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Other noncurrent assets as of August 30, 2012 included $26 million for a portion of our Boise, Idaho manufacturing facilities leased to Transform and other noncurrent liabilities included $26 million for deferred rent revenue on the fully-paid lease. In 2013, Transform terminated the lease and, as a result, we recognized a gain of $25 million from the termination.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2012 and 2011, we and Origin each contributed $17 million and $30 million, respectively, of cash to Transform. We recognized net sales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 million and $20 million in 2012 and 2011, respectively, for transition services provided to Transform. Revenue on our sales to Transform approximated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 Revenue and associated costs for 2013 were not significant.</w:t>
      </w:r>
    </w:p>
    <w:p>
      <w:pPr>
        <w:spacing w:after="0" w:line="21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b w:val="1"/>
          <w:bCs w:val="1"/>
          <w:i w:val="1"/>
          <w:iCs w:val="1"/>
          <w:color w:val="auto"/>
        </w:rPr>
        <w:t xml:space="preserve">Aptina: </w:t>
      </w:r>
      <w:r>
        <w:rPr>
          <w:rFonts w:ascii="Arial" w:cs="Arial" w:eastAsia="Arial" w:hAnsi="Arial"/>
          <w:sz w:val="16"/>
          <w:szCs w:val="16"/>
          <w:color w:val="auto"/>
        </w:rPr>
        <w:t>Other equity method investments included a 31% equity interest in Aptina. The amount of cumulative loss we recognized from our investment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Aptina through the second quarter of 2012 reduced our investment balance to zero and we ceased recognizing our proportionate share of Aptina's losses.</w:t>
      </w:r>
    </w:p>
    <w:p>
      <w:pPr>
        <w:spacing w:after="0" w:line="12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Through May 3, 2013, we manufactured components for CMOS image sensors for Aptina under a wafer supply agreement. For 2013, 2012 and 2011, we recognized net sales of $182 million, $372 million and $349 million, respectively, from products sold to Aptina, and cost of goods sold of $219 million, $395 million and $358 million, respectively. On May 3, 2013, we assigned to LFoundry our supply agreement with Aptina to manufacture image sensors at our 200mm Avezzano facility. (See "Restructure and Asset Impairments - Micron Technology Italia, S.r.l." note.)</w:t>
      </w:r>
    </w:p>
    <w:p>
      <w:pPr>
        <w:spacing w:after="0" w:line="171"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In connection with the sale of our 200mm Avezzano facility to LFoundry, on May 22, 2013, we entered into a short-term, interest-free, unsecured loan agreement with Aptina that allowed Aptina to borrow up to $45 million, drawn at their option, in three equal tranches through July 2013. Principal amounts drawn are due in three equal payments from September 2013 to January 2014. As of August 29, 2013, other current assets included $45 million for amounts due under the short-term loan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08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1300" w:type="dxa"/>
            <w:vAlign w:val="bottom"/>
          </w:tcPr>
          <w:p>
            <w:pPr>
              <w:spacing w:after="0"/>
              <w:rPr>
                <w:sz w:val="20"/>
                <w:szCs w:val="20"/>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 and process technology</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769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During 2013 and 2012, we capitalized $100 million and $47 million, respectively, for product and process technology with weighted-average useful lives of 7 years and 10 years, respectively. Amortization expense was $83 million, $88 million and $79 million for 2013, 2012 and 2011, respectively. Annual amortization expense is estimated to be $90 million for 2014, $73 million for 2015, $65 million for 2016, $54 million for 2017 and $44 million for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Accounts Payable and Accrued Expenses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Related party payables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Customer advances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and other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As of August 29, 2013 and August 30, 2012, related party payables included $345 million and $130 million, respectively, due to Inotera primarily for the purchase of DRAM products under the Inotera Supply Agreement. As of August 29, 2013, related party payables also included $29 million due to Tera Probe for probe services performed. (See "Equity Method Investments" note.)</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August 29, 2013 and August 30, 2012, customer advances included $134 million and $139 million, respectively, for amounts received from Intel to be applied to Intel's future purchases under a NAND Flash supply agreement. In addition, as of August 30, 2012, other noncurrent liabilities included $120 million, respectively, from this agreement. (See "Consolidated Variable Interest Entities – IM Flash" note.)</w:t>
      </w:r>
    </w:p>
    <w:p>
      <w:pPr>
        <w:spacing w:after="0" w:line="181"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As of August 30, 2012, other accounts payable and accrued expenses included $51 million of liabilities associated with currency hedges executed in connection with the Sponsor Agreement and Rexchip Share Purchase Agreement. As of August 29, 2013 and August 30, 2012, other accounts payable and accrued expenses included $8 million and $14 million, respectively, due to Intel for NAND Flash product design and process development and licensing fees pursuant to cost-sharing agreements. (See "Derivative Financial Instruments" and "Consolidated Variable Interest Entities – IM Flash" notes.)</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As of</w:t>
            </w: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Elpida creditor installment payments</w:t>
            </w:r>
          </w:p>
        </w:tc>
        <w:tc>
          <w:tcPr>
            <w:tcW w:w="45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 convertible senior notes</w:t>
            </w:r>
          </w:p>
        </w:tc>
        <w:tc>
          <w:tcPr>
            <w:tcW w:w="4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2027 convertible senior notes</w:t>
            </w: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2031A convertible senior notes</w:t>
            </w:r>
          </w:p>
        </w:tc>
        <w:tc>
          <w:tcPr>
            <w:tcW w:w="4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2031B convertible senior notes</w:t>
            </w: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2032C convertible senior notes</w:t>
            </w:r>
          </w:p>
        </w:tc>
        <w:tc>
          <w:tcPr>
            <w:tcW w:w="4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2032D convertible senior notes</w:t>
            </w: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2033E convertible senior notes</w:t>
            </w:r>
          </w:p>
        </w:tc>
        <w:tc>
          <w:tcPr>
            <w:tcW w:w="4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2033F convertible senior notes</w:t>
            </w: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notes payable</w:t>
            </w:r>
          </w:p>
        </w:tc>
        <w:tc>
          <w:tcPr>
            <w:tcW w:w="4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p>
        </w:tc>
        <w:tc>
          <w:tcPr>
            <w:tcW w:w="422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4100" w:type="dxa"/>
            <w:vAlign w:val="bottom"/>
            <w:vMerge w:val="restart"/>
          </w:tcPr>
          <w:p>
            <w:pPr>
              <w:jc w:val="right"/>
              <w:ind w:right="23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1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4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5" w:right="239" w:bottom="1440" w:gutter="0" w:footer="0" w:header="0"/>
        </w:sectPr>
      </w:pPr>
    </w:p>
    <w:bookmarkStart w:id="54" w:name="page55"/>
    <w:bookmarkEnd w:id="54"/>
    <w:p>
      <w:pPr>
        <w:ind w:firstLine="324"/>
        <w:spacing w:after="0" w:line="255" w:lineRule="auto"/>
        <w:rPr>
          <w:sz w:val="20"/>
          <w:szCs w:val="20"/>
          <w:color w:val="auto"/>
        </w:rPr>
      </w:pPr>
      <w:r>
        <w:rPr>
          <w:rFonts w:ascii="Arial" w:cs="Arial" w:eastAsia="Arial" w:hAnsi="Arial"/>
          <w:sz w:val="18"/>
          <w:szCs w:val="18"/>
          <w:color w:val="auto"/>
        </w:rPr>
        <w:t>Our senior notes are unsecured obligations ranking equally in right of payment with all of our other existing and future unsecured indebtedness, and are effectively subordinated to all of our other existing and future secured indebtedness, to the extent of the value of the assets securing such indebtedness. The convertible notes and the Intel note of Micron Technology, Inc. ("MTI") of $2,531 million are structurally subordinated to $1,863 million of other notes payable of its subsidiaries and capital lease obligations. MTI guarantees certain debt obligations of its subsidiaries. MTI does not guarantee the Elpida creditor installment payments. MTI's guarantees of its subsidiary debt obligations are unsecured obligations ranking equally in right of payment with all of its other existing and future unsecured indebtedness.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Elpida Creditor Installment Payments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Elpida Companies are currently subject to corporate reorganization proceedings under the Corporate Reorganization Act of Japan. Both of the Elpida Companies have adopted plans of reorganization which set forth the treatment of the Elpida Companies' pre-petition creditors and their claims, which plans were approved by the Elpida Companies' creditors and the Tokyo District Court in February 2013. Under Elpida's plan of reorganization, secured creditors will recover 100% of the amount of their fixed claims and unsecured creditors will recover at least 17.4% of the amount of their fixed claims. The actual recovery of unsecured creditors will be higher, however, based on events and circumstances that occur following the plan approval. The remaining portion of the unsecured claims will be discharged, without payment, over the period that payments are made pursuant to the plans of reorganization. The plans of reorganization provide for the Elpida Companies' pre-petition creditors to be paid in seven installments. Elpida's secured creditors will be paid in full on or before the sixth installment payment date, while the unsecured creditors will be paid in seven installments. Akita's plan of reorganization provides that secured creditors will recover 100% of the amount of their claims, whereas unsecured creditors will recover at least 19% of the amount of their claims. The secured creditors of Akita will be paid in full on the first installment payment date, while the unsecured creditors will be paid in seven installments.</w:t>
      </w:r>
    </w:p>
    <w:p>
      <w:pPr>
        <w:spacing w:after="0" w:line="16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Under the terms and conditions of the Elpida Companies' respective plans of reorganization, the Elpida Companies are obligated to pay 200 billion yen (or the equivalent of $2.05 billion based on exchange rates as of August 29, 2013), less certain expenses of their reorganization proceedings and certain other items, to the secured and unsecured creditors (the "Elpida Creditor Installment Payments") in respect of the Elpida Companies' pre-petition creditors and their related claims. Substantially all of the $615 million we paid in connection with the acquisition of Elpida was deposited into accounts that are legally restricted for payment to the secured and unsecured creditors of Elpida in October 2013. The remaining 140 billion yen is due in six annual installments payable at the end of each calendar year beginning in 2014, with payments of 20 billion yen in each of 2014 through 2017, and payments of 30 billion yen in each of 2018 and 2019. Pursuant to the terms of the Sponsor Agreement, we entered into a series of agreements with the Elpida Companies, including supply agreements, research and development services agreements and general services agreements, which are intended to generate more stable operating cash flows to meet the requirements of the Elpida Companies' businesses, including the funding of the Elpida Creditor Installment Payments.</w:t>
      </w:r>
    </w:p>
    <w:p>
      <w:pPr>
        <w:spacing w:after="0" w:line="167"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The remaining 140 billion yen of installment payments are also to be deposited into accounts that are legally restricted for settlement of the Elpida Creditor Installment Payments and will be directed by the trustees of the Elpida Companies to the secured and unsecured creditors of the Elpida Companies. A portion of the amounts are also subject to adjustment for certain expenses of the reorganization proceedings and certain other items. Additionally, settlements of certain pre-petition intercompany obligations between Elpida, Akita and Rexchip are included in the amounts scheduled to be deposited into the restricted cash account, but are eliminated in consolidation and therefore are excluded from our consolidated obligation to the secured and unsecured creditors of the Elpida Group. Also, a portion of each installment amount payable to the creditors of the Elpida Companies will continue to be restricted by the trustees of the Elpida Companies in the event that any outstanding claims, which were not treated as fixed claims under the plans of reorganization at the time the plans were filed with the Japan Court, become fixed claims. These fixed claims will be paid under the plans of reorganization in the same manner as the fixed claims of other creditors. To the extent the aggregate amounts reserved from the installment payments exceed the aggregate amounts payable with respect to these unfixed claims once they become fixed, the excess amounts reserved will be distributed to unsecured creditors with respect to their fixed claims, resulting in an increased recovery for the unsecured creditors out of the installment payments. To the extent the aggregate amounts reserved are less than the aggregate amounts payable with respect to these unfixed claims once they become fixed, the Elpida Companies would be responsible to fund any shortfall to ensure that the creditors receive the minimum recovery to which they are entitled under the plans of reorganization with respect to these claims. As a result, there is a possibility that the total amount payable by the Elpida Companies to their creditors under the plans of reorganization will exceed 200 billion yen. In addition, certain of these unfixed claims may be resolved pursuant to settlement arrangements or other post-petition agreements and a substantial portion of the amounts payable under such agreements may have to be funded by the Elpida Companies outside of the plans of reorganization.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55" w:name="page56"/>
    <w:bookmarkEnd w:id="55"/>
    <w:p>
      <w:pPr>
        <w:ind w:right="80" w:firstLine="324"/>
        <w:spacing w:after="0" w:line="259" w:lineRule="auto"/>
        <w:rPr>
          <w:sz w:val="20"/>
          <w:szCs w:val="20"/>
          <w:color w:val="auto"/>
        </w:rPr>
      </w:pPr>
      <w:r>
        <w:rPr>
          <w:rFonts w:ascii="Arial" w:cs="Arial" w:eastAsia="Arial" w:hAnsi="Arial"/>
          <w:sz w:val="18"/>
          <w:szCs w:val="18"/>
          <w:color w:val="auto"/>
        </w:rPr>
        <w:t>The Elpida Creditor Installment Payments were recognized at the acquisition date fair value, which reflects the present value of the Elpida Creditor Installment Payments, discounted using a rate based on indices of leveraged loan markets, adjusted for security-specific risks of the installment payments. As of August 29, 2013, the discount is being accreted to interest expense over the remaining term of the Elpida Creditor Installment Payments, resulting in an effective interest rate of 6.25%.</w:t>
      </w:r>
    </w:p>
    <w:p>
      <w:pPr>
        <w:spacing w:after="0" w:line="18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following table presents the amounts scheduled under the Sponsor Agreement to be restricted for settlement of the Elpida Creditor Installment Payments, the estimated amounts payable to the secured and unsecured creditors of the Elpida Companies (stated in Japanese yen and U.S. dollars) and the amount of unamortized discount.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Scheduled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Deposits of</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Restricted</w:t>
            </w:r>
          </w:p>
        </w:tc>
        <w:tc>
          <w:tcPr>
            <w:tcW w:w="260" w:type="dxa"/>
            <w:vAlign w:val="bottom"/>
          </w:tcPr>
          <w:p>
            <w:pPr>
              <w:spacing w:after="0"/>
              <w:rPr>
                <w:sz w:val="18"/>
                <w:szCs w:val="18"/>
                <w:color w:val="auto"/>
              </w:rPr>
            </w:pPr>
          </w:p>
        </w:tc>
        <w:tc>
          <w:tcPr>
            <w:tcW w:w="28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Estimated Payments to Elpida</w:t>
            </w:r>
          </w:p>
        </w:tc>
        <w:tc>
          <w:tcPr>
            <w:tcW w:w="0" w:type="dxa"/>
            <w:vAlign w:val="bottom"/>
          </w:tcPr>
          <w:p>
            <w:pPr>
              <w:spacing w:after="0"/>
              <w:rPr>
                <w:sz w:val="1"/>
                <w:szCs w:val="1"/>
                <w:color w:val="auto"/>
              </w:rPr>
            </w:pP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August 29, 2013</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Cash</w:t>
            </w:r>
          </w:p>
        </w:tc>
        <w:tc>
          <w:tcPr>
            <w:tcW w:w="260" w:type="dxa"/>
            <w:vAlign w:val="bottom"/>
          </w:tcPr>
          <w:p>
            <w:pPr>
              <w:spacing w:after="0"/>
              <w:rPr>
                <w:sz w:val="20"/>
                <w:szCs w:val="20"/>
                <w:color w:val="auto"/>
              </w:rPr>
            </w:pPr>
          </w:p>
        </w:tc>
        <w:tc>
          <w:tcPr>
            <w:tcW w:w="19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Creditors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52,270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20,135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19,871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32,242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193,296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40"/>
              <w:spacing w:after="0"/>
              <w:rPr>
                <w:sz w:val="20"/>
                <w:szCs w:val="20"/>
                <w:color w:val="auto"/>
              </w:rPr>
            </w:pPr>
            <w:r>
              <w:rPr>
                <w:rFonts w:ascii="Arial" w:cs="Arial" w:eastAsia="Arial" w:hAnsi="Arial"/>
                <w:sz w:val="18"/>
                <w:szCs w:val="18"/>
                <w:color w:val="auto"/>
              </w:rPr>
              <w:t>Less unamortized discount</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line="20" w:lineRule="exact"/>
              <w:rPr>
                <w:sz w:val="1"/>
                <w:szCs w:val="1"/>
                <w:color w:val="auto"/>
              </w:rPr>
            </w:pPr>
          </w:p>
        </w:tc>
      </w:tr>
      <w:tr>
        <w:trPr>
          <w:trHeight w:val="230"/>
        </w:trPr>
        <w:tc>
          <w:tcPr>
            <w:tcW w:w="7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Elpida Creditor Installment Payments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Lease Obligations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have various capital lease obligations due in periodic installments with a weighted-average remaining term of 4.0 years and weighted-average effective interest rates of 4.1% as of 2013 and 4.9% as of 2012. In 2013, we received $126 million in proceeds from equipment sale-leaseback transactions and as a result recorded capital lease obligations aggregating $126 million at a weighted-average effective interest rate of 4.3%, payable in periodic installments through July 2017. On July 31, 2013, in connection with our acquisition of the Elpida Companies and purchase of the Rexchip shares from Powerchip, we recorded $377 million of capital lease obligations at a weighted-average effective interest rate of 3.2%, payable in periodic installments with a weighted-average remaining term of 5.5 years. In 2012, we received $609 million in proceeds from equipment sale-leaseback transactions and as a result recorded capital lease obligations aggregating $609 million at a weighted-average effective interest rate of 4.2%, payable in periodic installments through August,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Notes With Debt and Equity Components</w:t>
      </w:r>
    </w:p>
    <w:p>
      <w:pPr>
        <w:spacing w:after="0" w:line="229"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The accounting standards for convertible debt instruments that may be fully or partially settled in cash upon conversion require the debt and equity components to be separately accounted for in a manner that reflects our nonconvertible borrowing rate when interest expense is recognized in subsequent periods. The amount recorded as debt is based on the fair value of the debt component as a standalone instrument, determined using an average interest rate for similar nonconvertible debt issued by entities with credit ratings comparable to ours at the time of issuance. The difference between the debt recorded at inception and its principal amount is to be accreted to principal through interest expense through the estimated life of the note.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color w:val="auto"/>
        </w:rPr>
        <w:t>Conversion prices per share and the conversion value in excess of principal for our convertible notes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89"/>
              </w:rPr>
              <w:t>Conversion Value</w:t>
            </w:r>
          </w:p>
        </w:tc>
      </w:tr>
      <w:tr>
        <w:trPr>
          <w:trHeight w:val="261"/>
        </w:trPr>
        <w:tc>
          <w:tcPr>
            <w:tcW w:w="19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Initial Conversion</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Conversion Price</w:t>
            </w:r>
          </w:p>
        </w:tc>
        <w:tc>
          <w:tcPr>
            <w:tcW w:w="3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jc w:val="center"/>
              <w:ind w:right="230"/>
              <w:spacing w:after="0" w:line="247" w:lineRule="exact"/>
              <w:rPr>
                <w:sz w:val="20"/>
                <w:szCs w:val="20"/>
                <w:color w:val="auto"/>
              </w:rPr>
            </w:pPr>
            <w:r>
              <w:rPr>
                <w:rFonts w:ascii="Arial" w:cs="Arial" w:eastAsia="Arial" w:hAnsi="Arial"/>
                <w:sz w:val="18"/>
                <w:szCs w:val="18"/>
                <w:b w:val="1"/>
                <w:bCs w:val="1"/>
                <w:color w:val="auto"/>
                <w:w w:val="87"/>
              </w:rPr>
              <w:t>in Excess of Principal</w:t>
            </w:r>
            <w:r>
              <w:rPr>
                <w:rFonts w:ascii="Arial" w:cs="Arial" w:eastAsia="Arial" w:hAnsi="Arial"/>
                <w:sz w:val="25"/>
                <w:szCs w:val="25"/>
                <w:b w:val="1"/>
                <w:bCs w:val="1"/>
                <w:color w:val="auto"/>
                <w:w w:val="87"/>
                <w:vertAlign w:val="superscript"/>
              </w:rPr>
              <w:t>(3)</w:t>
            </w:r>
          </w:p>
        </w:tc>
      </w:tr>
      <w:tr>
        <w:trPr>
          <w:trHeight w:val="218"/>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Outstanding</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 Share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1"/>
        </w:trPr>
        <w:tc>
          <w:tcPr>
            <w:tcW w:w="1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Principal</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Price Per Share</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10"/>
              <w:spacing w:after="0" w:line="262" w:lineRule="exact"/>
              <w:rPr>
                <w:sz w:val="20"/>
                <w:szCs w:val="20"/>
                <w:color w:val="auto"/>
              </w:rPr>
            </w:pPr>
            <w:r>
              <w:rPr>
                <w:rFonts w:ascii="Arial" w:cs="Arial" w:eastAsia="Arial" w:hAnsi="Arial"/>
                <w:sz w:val="18"/>
                <w:szCs w:val="18"/>
                <w:b w:val="1"/>
                <w:bCs w:val="1"/>
                <w:color w:val="auto"/>
              </w:rPr>
              <w:t>Shares</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Threshold</w:t>
            </w:r>
            <w:r>
              <w:rPr>
                <w:rFonts w:ascii="Arial" w:cs="Arial" w:eastAsia="Arial" w:hAnsi="Arial"/>
                <w:sz w:val="25"/>
                <w:szCs w:val="25"/>
                <w:b w:val="1"/>
                <w:bCs w:val="1"/>
                <w:color w:val="auto"/>
                <w:w w:val="87"/>
                <w:vertAlign w:val="superscript"/>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2012</w:t>
            </w: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Notes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2027 Notes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2031A Notes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2031B Notes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2032C Notes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2032D Notes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2033E Notes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2033F Notes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bl>
    <w:p>
      <w:pPr>
        <w:ind w:left="340"/>
        <w:spacing w:after="0" w:line="199" w:lineRule="auto"/>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Shares issuable, upon conversion, for the principal amount of the notes.</w:t>
      </w:r>
    </w:p>
    <w:p>
      <w:pPr>
        <w:spacing w:after="0" w:line="1" w:lineRule="exact"/>
        <w:rPr>
          <w:sz w:val="20"/>
          <w:szCs w:val="20"/>
          <w:color w:val="auto"/>
        </w:rPr>
      </w:pPr>
    </w:p>
    <w:p>
      <w:pPr>
        <w:ind w:left="340" w:right="160"/>
        <w:spacing w:after="0" w:line="220" w:lineRule="auto"/>
        <w:rPr>
          <w:sz w:val="20"/>
          <w:szCs w:val="20"/>
          <w:color w:val="auto"/>
        </w:rPr>
      </w:pPr>
      <w:r>
        <w:rPr>
          <w:rFonts w:ascii="Arial" w:cs="Arial" w:eastAsia="Arial" w:hAnsi="Arial"/>
          <w:sz w:val="24"/>
          <w:szCs w:val="24"/>
          <w:i w:val="1"/>
          <w:iCs w:val="1"/>
          <w:color w:val="auto"/>
          <w:vertAlign w:val="superscript"/>
        </w:rPr>
        <w:t>(2)</w:t>
      </w:r>
      <w:r>
        <w:rPr>
          <w:rFonts w:ascii="Arial" w:cs="Arial" w:eastAsia="Arial" w:hAnsi="Arial"/>
          <w:sz w:val="17"/>
          <w:szCs w:val="17"/>
          <w:i w:val="1"/>
          <w:iCs w:val="1"/>
          <w:color w:val="auto"/>
        </w:rPr>
        <w:t>Holders may convert their notes during any calendar quarter if the closing price of our common stock for at least 20 trading days in a 30 trading day period ending on the last trading day of the immediately preceding calendar quarter is 130% of the initial conversion price per share.</w:t>
      </w:r>
    </w:p>
    <w:p>
      <w:pPr>
        <w:ind w:left="340"/>
        <w:spacing w:after="0"/>
        <w:rPr>
          <w:sz w:val="20"/>
          <w:szCs w:val="20"/>
          <w:color w:val="auto"/>
        </w:rPr>
      </w:pPr>
      <w:r>
        <w:rPr>
          <w:rFonts w:ascii="Arial" w:cs="Arial" w:eastAsia="Arial" w:hAnsi="Arial"/>
          <w:sz w:val="25"/>
          <w:szCs w:val="25"/>
          <w:i w:val="1"/>
          <w:iCs w:val="1"/>
          <w:color w:val="auto"/>
          <w:vertAlign w:val="superscript"/>
        </w:rPr>
        <w:t>(3)</w:t>
      </w:r>
      <w:r>
        <w:rPr>
          <w:rFonts w:ascii="Arial" w:cs="Arial" w:eastAsia="Arial" w:hAnsi="Arial"/>
          <w:sz w:val="18"/>
          <w:szCs w:val="18"/>
          <w:i w:val="1"/>
          <w:iCs w:val="1"/>
          <w:color w:val="auto"/>
        </w:rPr>
        <w:t>Based on our closing share price of $13.57 and $6.18 as of August 29, 2013 and August 30, 2012, respectively.</w:t>
      </w:r>
    </w:p>
    <w:p>
      <w:pPr>
        <w:spacing w:after="0" w:line="13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debt and equity components of all of our convertible notes outstanding as of August 29, 2013 were required to be accounted for separately. Principal and carrying amounts of the liability components for our convertible notes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left="7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Unamortized</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Carrying</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Unamortized</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Net Carrying</w:t>
            </w:r>
          </w:p>
        </w:tc>
      </w:tr>
      <w:tr>
        <w:trPr>
          <w:trHeight w:val="261"/>
        </w:trPr>
        <w:tc>
          <w:tcPr>
            <w:tcW w:w="1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ind w:left="70"/>
              <w:spacing w:after="0" w:line="262" w:lineRule="exact"/>
              <w:rPr>
                <w:sz w:val="20"/>
                <w:szCs w:val="20"/>
                <w:color w:val="auto"/>
              </w:rPr>
            </w:pPr>
            <w:r>
              <w:rPr>
                <w:rFonts w:ascii="Arial" w:cs="Arial" w:eastAsia="Arial" w:hAnsi="Arial"/>
                <w:sz w:val="18"/>
                <w:szCs w:val="18"/>
                <w:b w:val="1"/>
                <w:bCs w:val="1"/>
                <w:color w:val="auto"/>
                <w:w w:val="85"/>
              </w:rPr>
              <w:t>(Years)</w:t>
            </w:r>
            <w:r>
              <w:rPr>
                <w:rFonts w:ascii="Arial" w:cs="Arial" w:eastAsia="Arial" w:hAnsi="Arial"/>
                <w:sz w:val="25"/>
                <w:szCs w:val="25"/>
                <w:b w:val="1"/>
                <w:bCs w:val="1"/>
                <w:color w:val="auto"/>
                <w:w w:val="85"/>
                <w:vertAlign w:val="superscript"/>
              </w:rPr>
              <w:t>(1)</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Principal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Discount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Principal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Discount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44"/>
        </w:trPr>
        <w:tc>
          <w:tcPr>
            <w:tcW w:w="2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2014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2400" w:type="dxa"/>
            <w:vAlign w:val="bottom"/>
            <w:gridSpan w:val="3"/>
          </w:tcPr>
          <w:p>
            <w:pPr>
              <w:ind w:left="40"/>
              <w:spacing w:after="0"/>
              <w:rPr>
                <w:sz w:val="20"/>
                <w:szCs w:val="20"/>
                <w:color w:val="auto"/>
              </w:rPr>
            </w:pPr>
            <w:r>
              <w:rPr>
                <w:rFonts w:ascii="Arial" w:cs="Arial" w:eastAsia="Arial" w:hAnsi="Arial"/>
                <w:sz w:val="18"/>
                <w:szCs w:val="18"/>
                <w:color w:val="auto"/>
              </w:rPr>
              <w:t>2027 Notes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2031A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2400" w:type="dxa"/>
            <w:vAlign w:val="bottom"/>
            <w:gridSpan w:val="3"/>
          </w:tcPr>
          <w:p>
            <w:pPr>
              <w:ind w:left="40"/>
              <w:spacing w:after="0"/>
              <w:rPr>
                <w:sz w:val="20"/>
                <w:szCs w:val="20"/>
                <w:color w:val="auto"/>
              </w:rPr>
            </w:pPr>
            <w:r>
              <w:rPr>
                <w:rFonts w:ascii="Arial" w:cs="Arial" w:eastAsia="Arial" w:hAnsi="Arial"/>
                <w:sz w:val="18"/>
                <w:szCs w:val="18"/>
                <w:color w:val="auto"/>
              </w:rPr>
              <w:t>2031B Notes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2032C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r>
      <w:tr>
        <w:trPr>
          <w:trHeight w:val="243"/>
        </w:trPr>
        <w:tc>
          <w:tcPr>
            <w:tcW w:w="2400" w:type="dxa"/>
            <w:vAlign w:val="bottom"/>
            <w:gridSpan w:val="3"/>
          </w:tcPr>
          <w:p>
            <w:pPr>
              <w:ind w:left="40"/>
              <w:spacing w:after="0"/>
              <w:rPr>
                <w:sz w:val="20"/>
                <w:szCs w:val="20"/>
                <w:color w:val="auto"/>
              </w:rPr>
            </w:pPr>
            <w:r>
              <w:rPr>
                <w:rFonts w:ascii="Arial" w:cs="Arial" w:eastAsia="Arial" w:hAnsi="Arial"/>
                <w:sz w:val="18"/>
                <w:szCs w:val="18"/>
                <w:color w:val="auto"/>
              </w:rPr>
              <w:t>2032D Notes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2033E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400" w:type="dxa"/>
            <w:vAlign w:val="bottom"/>
            <w:gridSpan w:val="3"/>
          </w:tcPr>
          <w:p>
            <w:pPr>
              <w:ind w:left="40"/>
              <w:spacing w:after="0"/>
              <w:rPr>
                <w:sz w:val="20"/>
                <w:szCs w:val="20"/>
                <w:color w:val="auto"/>
              </w:rPr>
            </w:pPr>
            <w:r>
              <w:rPr>
                <w:rFonts w:ascii="Arial" w:cs="Arial" w:eastAsia="Arial" w:hAnsi="Arial"/>
                <w:sz w:val="18"/>
                <w:szCs w:val="18"/>
                <w:color w:val="auto"/>
              </w:rPr>
              <w:t>2033F Notes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ind w:left="340"/>
        <w:spacing w:after="0"/>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Expected term for amortization of the remaining debt discount as of August 29, 2013.</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Carrying amounts of the equity components for our convertible notes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As of</w:t>
            </w:r>
          </w:p>
        </w:tc>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330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Notes</w:t>
            </w:r>
          </w:p>
        </w:tc>
        <w:tc>
          <w:tcPr>
            <w:tcW w:w="5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2027 Notes</w:t>
            </w:r>
          </w:p>
        </w:tc>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3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2031A Notes</w:t>
            </w:r>
          </w:p>
        </w:tc>
        <w:tc>
          <w:tcPr>
            <w:tcW w:w="4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2031B Notes</w:t>
            </w:r>
          </w:p>
        </w:tc>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3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2032C Notes</w:t>
            </w:r>
          </w:p>
        </w:tc>
        <w:tc>
          <w:tcPr>
            <w:tcW w:w="4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2032D Notes</w:t>
            </w:r>
          </w:p>
        </w:tc>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33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2033E Notes</w:t>
            </w:r>
          </w:p>
        </w:tc>
        <w:tc>
          <w:tcPr>
            <w:tcW w:w="4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2033F Notes</w:t>
            </w:r>
          </w:p>
        </w:tc>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702"/>
        </w:trPr>
        <w:tc>
          <w:tcPr>
            <w:tcW w:w="3300" w:type="dxa"/>
            <w:vAlign w:val="bottom"/>
          </w:tcPr>
          <w:p>
            <w:pPr>
              <w:spacing w:after="0"/>
              <w:rPr>
                <w:sz w:val="24"/>
                <w:szCs w:val="24"/>
                <w:color w:val="auto"/>
              </w:rPr>
            </w:pPr>
          </w:p>
        </w:tc>
        <w:tc>
          <w:tcPr>
            <w:tcW w:w="4940" w:type="dxa"/>
            <w:vAlign w:val="bottom"/>
          </w:tcPr>
          <w:p>
            <w:pPr>
              <w:jc w:val="right"/>
              <w:ind w:right="23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Interest expense for our convertible notes was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Contractual interest expense: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2014 Notes, stated rate of 1.875%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2027 Notes, stated rate of 1.875%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2031A Notes, stated rate of 1.5%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2031B Notes, stated rate of 1.875%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2032C Notes, stated rate of 2.375%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2032D Notes, stated rate of 3.125%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2033E Notes, stated rate of 1.625%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2033F Notes, stated rate of 2.125%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91"/>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discount and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2014 Notes, effective rate of 7.9%</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2027 Notes, effective rate of 6.9%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2031A Notes, effective rate of 6.5%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2031B Notes, effective rate of 7.0%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2032C Notes, effective rate of 6.0%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2032D Notes, effective rate of 6.3%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2033E Notes, effective rate of 4.5%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2033F Notes, effective rate of 4.9%</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Notes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May 2007, we issued $1.3 billion of aggregate principal amount of the 2014 Notes due June 2014, of which $464 million was repurchased on February 12, 2013 and $351 million was extinguished in 2011 in connection with debt restructures (see "Debt Restructure" below). The initial conversion rate of the 2014 Notes is 70.2679 shares of common stock per $1,000 principal amount, or approximately $14.23 per share. Interest is payable in June and December of each year.</w:t>
      </w:r>
    </w:p>
    <w:p>
      <w:pPr>
        <w:spacing w:after="0" w:line="18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 Holders may convert their 2014 Notes under the following circumstances: (1) during any calendar quarter if the closing price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for at least 20 trading days in the 30 consecutive trading days ending on the last trading day of the immediately preceding calendar quarter is more than 130% of the conversion price of the 2014 Notes (approximately $18.50 per share); (2) if the 2014 Notes have been called for redemption; (3) if specified distributions or corporate events occur, as set forth in the indenture for the 2014 Notes; (4) if the trading price of the 2014 Notes is less than 98% of the product of the closing price of our common stock and the conversion rate of the 2014 Notes during the periods specified in the indenture; or (5) at any time on or after March 1, 2014.</w:t>
      </w:r>
    </w:p>
    <w:p>
      <w:pPr>
        <w:spacing w:after="0" w:line="193"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We have the option to pay cash, issue shares of common stock or any combination thereof for the aggregate amount due upon conversion. It is our intent to settle the principal amount of the 2014 Notes in cash upon conversion. As a result, upon conversion of the 2014 Notes, only the amounts payable in excess of the principal amounts of the 2014 Notes are considered in diluted earnings per share under the treasury stock method.</w:t>
      </w:r>
    </w:p>
    <w:p>
      <w:pPr>
        <w:spacing w:after="0" w:line="166"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b w:val="1"/>
          <w:bCs w:val="1"/>
          <w:i w:val="1"/>
          <w:iCs w:val="1"/>
          <w:color w:val="auto"/>
        </w:rPr>
        <w:t>Cash Redemption at Our Option</w:t>
      </w:r>
      <w:r>
        <w:rPr>
          <w:rFonts w:ascii="Arial" w:cs="Arial" w:eastAsia="Arial" w:hAnsi="Arial"/>
          <w:sz w:val="18"/>
          <w:szCs w:val="18"/>
          <w:color w:val="auto"/>
        </w:rPr>
        <w:t>: We may redeem for cash the 2014 Notes if the last reported sale price of our common stock has been at least 130%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conversion price (approximately $18.50 per share) for at least 20 trading days during any 30 consecutive trading-day period. The redemption price is the principal amount to be redeemed, plus accrued and unpaid interest.</w:t>
      </w:r>
    </w:p>
    <w:p>
      <w:pPr>
        <w:spacing w:after="0" w:line="181" w:lineRule="exact"/>
        <w:rPr>
          <w:sz w:val="20"/>
          <w:szCs w:val="20"/>
          <w:color w:val="auto"/>
        </w:rPr>
      </w:pPr>
    </w:p>
    <w:p>
      <w:pPr>
        <w:jc w:val="both"/>
        <w:ind w:right="140" w:firstLine="324"/>
        <w:spacing w:after="0" w:line="342" w:lineRule="auto"/>
        <w:rPr>
          <w:sz w:val="20"/>
          <w:szCs w:val="20"/>
          <w:color w:val="auto"/>
        </w:rPr>
      </w:pPr>
      <w:r>
        <w:rPr>
          <w:rFonts w:ascii="Arial" w:cs="Arial" w:eastAsia="Arial" w:hAnsi="Arial"/>
          <w:sz w:val="16"/>
          <w:szCs w:val="16"/>
          <w:b w:val="1"/>
          <w:bCs w:val="1"/>
          <w:i w:val="1"/>
          <w:iCs w:val="1"/>
          <w:color w:val="auto"/>
        </w:rPr>
        <w:t>Cash Repurchase at the Option of the Holder</w:t>
      </w:r>
      <w:r>
        <w:rPr>
          <w:rFonts w:ascii="Arial" w:cs="Arial" w:eastAsia="Arial" w:hAnsi="Arial"/>
          <w:sz w:val="16"/>
          <w:szCs w:val="16"/>
          <w:color w:val="auto"/>
        </w:rPr>
        <w:t>: Upon a change in control or a termination of trading, as defined in the indenture, holders may require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repurchase for cash all or a portion of their 2014 Notes at a repurchase price equal to the principal amount, plus accrued and unpaid interest, if any.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2027 Notes</w:t>
      </w:r>
    </w:p>
    <w:p>
      <w:pPr>
        <w:spacing w:after="0" w:line="229"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 connection with a debt restructure in 2011 (see "Debt Restructure" below), we issued $175 million of the 2027 Notes due June 2027. The initial conversion rate is 91.7431 shares of common stock per $1,000 principal amount or approximately $10.90 per share, and is subject to adjustment upon the occurrence of certain events specified in the indenture.</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 Holders may convert their 2027 Notes under the following circumstances: (1) during any calendar quarter if the closing price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for at least 20 trading days in the 30 consecutive trading days ending on the last trading day of the immediately preceding calendar quarter is more than 130% of the conversion price (approximately $14.17 per share); (2) if the 2027 Notes have been called for redemption; (3) if specified distributions or corporate events occur; (4) if the trading price of the 2027 Notes is less than 98% of the product of the closing price of our common stock and the conversion rate of the 2027 Notes during the period specified in the indenture; (5) upon our election to terminate the conversion right of the 2027 Notes; or (6) after March 1, 2027.</w:t>
      </w:r>
    </w:p>
    <w:p>
      <w:pPr>
        <w:spacing w:after="0" w:line="19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Upon conversion, we will pay cash up to the aggregate principal amount and shares of common stock or cash, at our option, for any remaining conversion obligation. As a result of the conversion provisions in the indenture, upon conversion of the 2027 Notes, only the amounts payable in excess of the principal amounts of the 2027 Notes are considered in diluted earnings per share under the treasury stock method.</w:t>
      </w:r>
    </w:p>
    <w:p>
      <w:pPr>
        <w:spacing w:after="0" w:line="16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Cash Redemption at Our Option</w:t>
      </w:r>
      <w:r>
        <w:rPr>
          <w:rFonts w:ascii="Arial" w:cs="Arial" w:eastAsia="Arial" w:hAnsi="Arial"/>
          <w:sz w:val="18"/>
          <w:szCs w:val="18"/>
          <w:color w:val="auto"/>
        </w:rPr>
        <w:t>: We may redeem for cash the 2027 Notes on or after June 1, 2014 at a price equal to the principal amount plus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unpaid interest.</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Cash Repurchase at the Option of the Holder</w:t>
      </w:r>
      <w:r>
        <w:rPr>
          <w:rFonts w:ascii="Arial" w:cs="Arial" w:eastAsia="Arial" w:hAnsi="Arial"/>
          <w:sz w:val="18"/>
          <w:szCs w:val="18"/>
          <w:color w:val="auto"/>
        </w:rPr>
        <w:t>: We may be required by the holders of the 2027 Notes to repurchase for cash the 2027 Notes on June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The repurchase price is equal to the principal amount, plus accrued and unpaid interest. Upon a change in control or a termination of trading, as defined in the indenture, we may be required by the holders of the 2027 Notes to repurchase for cash all or a portion of their 2027 Notes at a repurchase price equal to the principal amount plus accrued and unpaid interest.</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b w:val="1"/>
          <w:bCs w:val="1"/>
          <w:i w:val="1"/>
          <w:iCs w:val="1"/>
          <w:color w:val="auto"/>
        </w:rPr>
        <w:t>Termination of Conversion Rights</w:t>
      </w:r>
      <w:r>
        <w:rPr>
          <w:rFonts w:ascii="Arial" w:cs="Arial" w:eastAsia="Arial" w:hAnsi="Arial"/>
          <w:sz w:val="17"/>
          <w:szCs w:val="17"/>
          <w:color w:val="auto"/>
        </w:rPr>
        <w:t>: We may elect to terminate the conversion right of the 2027 Notes if the daily volume weighted average price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is greater than or equal to 130% of the conversion price (approximately $14.17 per share) for at least 20 trading days during any 30 consecutive trading day period. If we terminate the conversion right prior to June 1, 2014 and any 2027 Notes are converted in connection with the termination, we will pay a make-whole premium equal to the accrued interest as of the conversion date plus the present value of remaining interest that would have been paid through June 1, 2014, discounted using a U.S. Treasury bond with an equivalent term. Subject to the terms of the indenture, we may, at our election, deliver shares of common stock in lieu of cash with respect to this make-whole payment.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2031A and 2031B Notes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On July 26, 2011, we issued $345 million of the 2031A Notes and $345 million of 2031B Notes (collectively referred to as the "2031 Notes"), each due August 2031. The initial conversion rate for the 2031 Notes is 105.2632 shares of common stock per $1,000 principal amount, equivalent to an initial conversion price of approximately $9.50 per share of common stock. Interest is payable in February and August of each year.</w:t>
      </w:r>
    </w:p>
    <w:p>
      <w:pPr>
        <w:spacing w:after="0" w:line="16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 Holders may convert their 2031 Notes under the following circumstances: (1) during any calendar quarter if the closing price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for at least 20 trading days in the 30 consecutive trading days ending on the last trading day of the preceding calendar quarter is more than 130% of the conversion price of the 2031 Notes (approximately $12.35 per share); (2) if the 2031 Notes are called for redemption; (3) if specified distributions or corporate events occur, as set forth in the indenture for the 2031 Notes; (4) if the trading price of the 2031 Notes is less than 98% of the product of the closing price of our common stock and the conversion rate of the 2031 Notes during the periods specified in the indenture; or (5) at any time after May 1, 2031.</w:t>
      </w:r>
    </w:p>
    <w:p>
      <w:pPr>
        <w:spacing w:after="0" w:line="19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Upon conversion, we will pay cash up to the lesser of the aggregate principal amount and the conversion value and cash, shares of common stock or a combination of cash and shares of common stock, at our option, for any remaining conversion obligations. As a result of the conversion provisions in the indenture, upon conversion of the 2031 Notes, only the amounts payable in excess of the principal amounts of the 2031 Notes are considered in diluted earnings per share under the treasury stock method.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0" w:right="259" w:bottom="1440" w:gutter="0" w:footer="0" w:header="0"/>
        </w:sectPr>
      </w:pPr>
    </w:p>
    <w:bookmarkStart w:id="59" w:name="page60"/>
    <w:bookmarkEnd w:id="59"/>
    <w:p>
      <w:pPr>
        <w:ind w:firstLine="324"/>
        <w:spacing w:after="0" w:line="273" w:lineRule="auto"/>
        <w:rPr>
          <w:sz w:val="20"/>
          <w:szCs w:val="20"/>
          <w:color w:val="auto"/>
        </w:rPr>
      </w:pPr>
      <w:r>
        <w:rPr>
          <w:rFonts w:ascii="Arial" w:cs="Arial" w:eastAsia="Arial" w:hAnsi="Arial"/>
          <w:sz w:val="17"/>
          <w:szCs w:val="17"/>
          <w:b w:val="1"/>
          <w:bCs w:val="1"/>
          <w:i w:val="1"/>
          <w:iCs w:val="1"/>
          <w:color w:val="auto"/>
        </w:rPr>
        <w:t>Cash Redemption at Our Option</w:t>
      </w:r>
      <w:r>
        <w:rPr>
          <w:rFonts w:ascii="Arial" w:cs="Arial" w:eastAsia="Arial" w:hAnsi="Arial"/>
          <w:sz w:val="17"/>
          <w:szCs w:val="17"/>
          <w:color w:val="auto"/>
        </w:rPr>
        <w:t>: We may redeem for cash the 2031A Notes on or after August 5, 2013 and the 2031B Notes on or after August 5,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the last reported sale price of our common stock has been at least 130% of the conversion price (approximately $12.35 per share) for at least 20 trading days during any 30 consecutive trading day period. The redemption price will equal the principal amount plus accrued and unpaid interest. If we redeem the 2031A Notes prior to August 5, 2015, or the 2031B Notes prior to August 5, 2016, we will also pay a make-whole premium in cash equal to the present value of all remaining scheduled payments of interest on the 2031 Notes from the redemption date to August 5, 2015 for the 2031A Notes and through August 5, 2016 for the 2031B Notes, using a discount rate equal to 150 basis points.</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b w:val="1"/>
          <w:bCs w:val="1"/>
          <w:i w:val="1"/>
          <w:iCs w:val="1"/>
          <w:color w:val="auto"/>
        </w:rPr>
        <w:t>Cash Repurchase at the Option of the Holder</w:t>
      </w:r>
      <w:r>
        <w:rPr>
          <w:rFonts w:ascii="Arial" w:cs="Arial" w:eastAsia="Arial" w:hAnsi="Arial"/>
          <w:sz w:val="16"/>
          <w:szCs w:val="16"/>
          <w:color w:val="auto"/>
        </w:rPr>
        <w:t>: We may be required by the holders of the 2031 Notes to repurchase for cash all or a portion of the 2031A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on August 1, 2018 and all or a portion of the 2031B Notes on August 1, 2020. The repurchase price is equal to the principal amount, plus accrued and unpaid interest. Upon a change in control or a termination of trading, as defined in the indenture, we may be required by the holders of the 2031 Notes to repurchase for cash all or a portion of their 2031 Notes at a repurchase price equal to the principal amount plus accrued and unpaid interest.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2032C and 2032D Notes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April 18, 2012, we issued $550 million of the 2032C Notes and $450 million of the 2032D Notes (collectively referred to as the "2032 Notes"), each due May 2032. The initial conversion rate for the 2032C Notes is 103.8907 shares of common stock per $1,000 principal amount, equivalent to an initial conversion price of approximately $9.63 per share of common stock. The initial conversion rate for the 2032D Notes is 100.1803 shares of common stock per $1,000 principal amount, equivalent to an initial conversion price of approximately $9.98 per share of common stock. Interest is payable in May and November of each year.</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i w:val="1"/>
          <w:iCs w:val="1"/>
          <w:color w:val="auto"/>
        </w:rPr>
        <w:t>Conversion Rights</w:t>
      </w:r>
      <w:r>
        <w:rPr>
          <w:rFonts w:ascii="Arial" w:cs="Arial" w:eastAsia="Arial" w:hAnsi="Arial"/>
          <w:sz w:val="17"/>
          <w:szCs w:val="17"/>
          <w:color w:val="auto"/>
        </w:rPr>
        <w:t>: Holders may convert their 2032 Notes under the following circumstances: (1) if the 2032 Notes are called for redemption; (2)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calendar quarter if the closing price of our common stock for at least 20 trading days in the 30 consecutive trading days ending on the last trading day of the preceding calendar quarter is more than 130% of the conversion price (approximately $12.52 per share for the 2032C Notes and $12.97 per share for the 2032D Notes) of the 2032C or 2032D Notes; (3) if the trading price of the 2032C or 2032D Notes is less than 98% of the product of the closing price of our common stock and the conversion rate of the 2032C or 2032D Notes during the periods specified in the indenture; (4) if specified distributions or corporate events occur, as set forth in the indenture for the 2032 Notes; or (5) at any time after February 1, 2032.</w:t>
      </w:r>
    </w:p>
    <w:p>
      <w:pPr>
        <w:spacing w:after="0" w:line="178"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We have the option to pay cash, issue shares of common stock or any combination thereof for the aggregate amount due upon conversion. It is our intent to settle the principal amount of the 2032 Notes in cash upon conversion. As a result, upon conversion of the 2032 Notes, only the amounts payable in excess of the principal amounts of the 2032 Notes are considered in diluted earnings per share under the treasury stock method.</w:t>
      </w:r>
    </w:p>
    <w:p>
      <w:pPr>
        <w:spacing w:after="0" w:line="16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i w:val="1"/>
          <w:iCs w:val="1"/>
          <w:color w:val="auto"/>
        </w:rPr>
        <w:t>Cash Redemption at Our Option</w:t>
      </w:r>
      <w:r>
        <w:rPr>
          <w:rFonts w:ascii="Arial" w:cs="Arial" w:eastAsia="Arial" w:hAnsi="Arial"/>
          <w:sz w:val="17"/>
          <w:szCs w:val="17"/>
          <w:color w:val="auto"/>
        </w:rPr>
        <w:t>: We may redeem for cash the 2032C Notes on or after May 1, 2016 and the 2032D Notes on or after May 1, 2017 if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 weighted average price of our common stock has been at least 130% of the conversion price (approximately $12.52 per share for the 2032C Notes and $12.97 per share for the 2032D Notes) for at least 20 trading days during any 30 consecutive trading day period. The redemption price will equal the principal amount plus accrued and unpaid interest. If we redeem the 2032C Notes prior to May 4, 2019, or the 2032D Notes prior to May 4, 2021, we will also pay a make-whole premium in cash equal to the present value of all remaining scheduled payments of interest from the redemption date to May 4, 2019 for the 2032C Notes, or to May 4, 2021 for the 2032D Notes, using a discount rate equal to 150 basis points.</w:t>
      </w:r>
    </w:p>
    <w:p>
      <w:pPr>
        <w:spacing w:after="0" w:line="178"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b w:val="1"/>
          <w:bCs w:val="1"/>
          <w:i w:val="1"/>
          <w:iCs w:val="1"/>
          <w:color w:val="auto"/>
        </w:rPr>
        <w:t>Cash Repurchase at the Option of the Holder</w:t>
      </w:r>
      <w:r>
        <w:rPr>
          <w:rFonts w:ascii="Arial" w:cs="Arial" w:eastAsia="Arial" w:hAnsi="Arial"/>
          <w:sz w:val="17"/>
          <w:szCs w:val="17"/>
          <w:color w:val="auto"/>
        </w:rPr>
        <w:t>: We may be required by the holders of the 2032 Notes to repurchase for cash all or a portion of the 2032C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Notes on May 1, 2019 and all or a portion of the 2032D Notes on May 1, 2021. The repurchase price is equal to the principal amount plus accrued and unpaid interest. Upon a change in control or a termination of trading, as defined in the indenture, holders of the 2032 Notes may require us to repurchase for cash all or a portion of their 2032 Notes at a repurchase price equal to the principal amount plus accrued and unpaid interest.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auto"/>
        </w:rPr>
        <w:t>2033E and 2033F Notes</w:t>
      </w:r>
    </w:p>
    <w:p>
      <w:pPr>
        <w:spacing w:after="0" w:line="229" w:lineRule="exact"/>
        <w:rPr>
          <w:sz w:val="20"/>
          <w:szCs w:val="20"/>
          <w:color w:val="auto"/>
        </w:rPr>
      </w:pPr>
    </w:p>
    <w:p>
      <w:pPr>
        <w:jc w:val="both"/>
        <w:ind w:right="280" w:firstLine="324"/>
        <w:spacing w:after="0" w:line="279" w:lineRule="auto"/>
        <w:rPr>
          <w:sz w:val="20"/>
          <w:szCs w:val="20"/>
          <w:color w:val="auto"/>
        </w:rPr>
      </w:pPr>
      <w:r>
        <w:rPr>
          <w:rFonts w:ascii="Arial" w:cs="Arial" w:eastAsia="Arial" w:hAnsi="Arial"/>
          <w:sz w:val="17"/>
          <w:szCs w:val="17"/>
          <w:color w:val="auto"/>
        </w:rPr>
        <w:t>On February 12, 2013, we issued $300 million of Convertible Senior Notes due February 2033 (the "2033E Notes") and $300 million of Convertible Senior Notes due February 2033 (the "2033F Notes" and together with the 2033E Notes, the "2033 Notes"). Issuance costs for the 2033 Notes totaled $16 million. The initial conversion rate for the 2033 Notes is 91.4808 shares of common stock per $1,000 principal amount, equivalent to an initial conversion price of approximately $10.93 per share of common stock. Interest is payable in February and August of each year.</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Upon issuance of the 2033 Notes, we recorded $526 million of debt, $72 million of additional capital and $14 million of deferred debt issuance costs (included in other noncurrent assets). The amount recorded as debt was based on the fair value of the debt component as a standalone instrument and was determined using an average interest rate for similar nonconvertible debt issued by entities with credit ratings comparable to ours at the time of issuance (Level 2 fair value measurements). The difference between the debt recorded at inception and the principal amount ($31 million for the 2033E Notes and $43 million for the 2033F Notes) is being accreted to principal as interest expense through February 2018 for the 2033E Notes and February 2020 for the 2033F Notes, the expected life of the notes.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 Holders may convert their 2033 Notes under the following circumstances: (1) if the 2033 Notes are called for redemption; (2)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calendar quarter if the closing price of our common stock for at least 20 trading days in the 30 consecutive trading days ending on the last trading day of the preceding calendar quarter is more than 130% of the conversion price (approximately $14.21 per share) of the 2033 Notes; (3) if the trading price of the 2033 Notes is less than 98% of the product of the closing price of our common stock and the conversion rate of the 2033 Notes during the periods specified in the indenture; (4) if specified distributions or corporate events occur, as set forth in the indenture for the 2033 Notes; or (5) at any time after November 15, 2032.</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Upon conversion, we will pay cash equal to the lesser of the aggregate principal amount and the conversion value of the notes being converted and cash, shares of common stock or a combination of cash and shares of common stock, at our option, for any remaining conversion obligation. As a result, upon conversion of the 2033 Notes, only the amounts payable in excess of the principal amounts of the 2033 Notes are considered in diluted earnings per share under the treasury stock method.</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Cash Redemption at Our Option</w:t>
      </w:r>
      <w:r>
        <w:rPr>
          <w:rFonts w:ascii="Arial" w:cs="Arial" w:eastAsia="Arial" w:hAnsi="Arial"/>
          <w:sz w:val="18"/>
          <w:szCs w:val="18"/>
          <w:color w:val="auto"/>
        </w:rPr>
        <w:t>: We may redeem for cash the 2033E Notes on or after February 20, 2018 and the 2033F Notes on or after February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The redemption price will equal the principal amount plus accrued and unpaid interest.</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b w:val="1"/>
          <w:bCs w:val="1"/>
          <w:i w:val="1"/>
          <w:iCs w:val="1"/>
          <w:color w:val="auto"/>
        </w:rPr>
        <w:t>Cash Repurchase at the Option of the Holder</w:t>
      </w:r>
      <w:r>
        <w:rPr>
          <w:rFonts w:ascii="Arial" w:cs="Arial" w:eastAsia="Arial" w:hAnsi="Arial"/>
          <w:sz w:val="18"/>
          <w:szCs w:val="18"/>
          <w:color w:val="auto"/>
        </w:rPr>
        <w:t>: We may be required by the holders of the 2033 Notes to repurchase for cash all or a portion of the 2033E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on February 15, 2018 and on February 15, 2023 and all or a portion of the 2033F Notes on February 15, 2020 and on February 15, 2023. The repurchase price is equal to the principal amount plus accrued and unpaid interest. Upon a change in control or a termination of trading, as defined in the indenture, holders of the 2033 Notes may require us to repurchase for cash all or a portion of their 2033 Notes at a repurchase price equal to the principal amount plus accrued and unpaid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Notes Payable</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August 27, 2013, we borrowed $312 million under a four-year term loan, collateralized by a security interest in certain production equipment. Principal is payable in equal quarterly installments, commencing on November 27, 2013. Interest accrues at a variable rate equal to the three-month London Interbank Offered Rate (“LIBOR”) rate plus a margin of 3.25% per annum, payable quarterly in arrears. Also on August 27, 2013, we entered into a variable-for-fixed interest rate swap calculated on an aggregate notional amount equal to the scheduled outstanding balance of the loan. The interest rate swap effectively fixed the rate at 4.2% per annum. The facility agreement contains customary covenants, limitations or restrictions our ability to create liens or dispose of the equipment securing the facility agreement. The facility also contains a covenant requiring us to ensure that the ratio of the outstanding loan to the fair market value of the equipment that secures the loan does not exceed 0.8 to 1.0. If such ratio is exceeded, we are required to grant a charge over additional equipment and/or prepay the loan in an amount sufficient to reduce such ratio to 0.8 to 1.0 or less. The facility agreement also contains customary events of default which could result in the acceleration of all amounts and cancellation of all commitments under the facility agreement. As of August 29, 2013, the outstanding balance was $309 million.</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0" w:right="259" w:bottom="1440" w:gutter="0" w:footer="0" w:header="0"/>
        </w:sectPr>
      </w:pPr>
    </w:p>
    <w:bookmarkStart w:id="61" w:name="page62"/>
    <w:bookmarkEnd w:id="61"/>
    <w:p>
      <w:pPr>
        <w:ind w:right="180" w:firstLine="324"/>
        <w:spacing w:after="0" w:line="257" w:lineRule="auto"/>
        <w:rPr>
          <w:sz w:val="20"/>
          <w:szCs w:val="20"/>
          <w:color w:val="auto"/>
        </w:rPr>
      </w:pPr>
      <w:r>
        <w:rPr>
          <w:rFonts w:ascii="Arial" w:cs="Arial" w:eastAsia="Arial" w:hAnsi="Arial"/>
          <w:sz w:val="18"/>
          <w:szCs w:val="18"/>
          <w:color w:val="auto"/>
        </w:rPr>
        <w:t>On October 2, 2012, we entered into a facility agreement to obtain financing collateralized by semiconductor production equipment. Subject to customary conditions, we could draw up to $214 million under the facility agreement. Amounts drawn are payable in 10 equal semi-annual installments beginning six months after the draw date. On October 18, 2012, we drew $173 million with interest at 2.4% per annum. On January 31, 2013, we drew the remaining $41 million with interest at 2.4% per annum. The facility agreement contains customary covenants and events of default. As of August 29, 2013, the outstanding balance was $191 million.</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July 31, 2013, in connection with our acquisition of the Elpida Companies and purchase of the Rexchip shares from Powerchip, we recorded a note payable of $120 million, which is collateralized by building and certain production equipment. The note is denominated in New Taiwan dollars. Principal on the note is payable in equal quarterly installments through May 2016 and accrued interest is payable monthly. Interest accrues at a variable rate of 0.85% above the secondary market rate for 90-day New Taiwan dollar commercial paper, subject to a minimum interest rate of 2.50% per annum. As of August 29, 2013, the outstanding balance was $110 million.</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connection with the IM Flash joint venture agreements, on April 6, 2012, we borrowed $65 million under a two-year senior unsecured promissory note from Intel, payable in approximately equal quarterly installments with interest at a rate of three-month LIBOR minus 50 basis points. The proceeds of the loan are to be used to fund purchases of equipment relating to the research and development or manufacturing of certain emerging memory technologies. As of August 29, 2013, the outstanding balance was $25 million. (See "Consolidated Variable Interest Entities – IM Flash" note.)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Facilities</w:t>
      </w:r>
    </w:p>
    <w:p>
      <w:pPr>
        <w:spacing w:after="0" w:line="22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On September 5, 2012, we entered into a three-year revolving credit facility. Under this credit facility, we can draw up to the lesser of $255 million or 80% of the net outstanding balance of certain trade receivables. Amounts drawn would be collateralized by a security interest in such receivables. The availability of the facility is subject to certain customary conditions, including the absence of any event or circumstance that has a material adverse effect on our business or financial condition. The revolving credit facility contains customary covenants and a repayment provision in the event that the maximum aging of the receivables exceeds a specified threshold. Interest is payable monthly on any outstanding principal balance at a variable rate equal to the 30-day Singapore Interbank Offering Rate plus 2.8% per annum. As of August 29, 2013, we had not drawn any of the $255 million available under this facility.</w:t>
      </w:r>
    </w:p>
    <w:p>
      <w:pPr>
        <w:spacing w:after="0" w:line="165"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On June 27, 2013, we entered into a senior secured three-year revolving credit facility, collateralized by a security interest in certain trade receivables. Under this facility, we can draw up to 85% of the net outstanding balance of certain trade receivables, subject to certain adjustments, including an availability block that has the effect of limiting the maximum committed draw amount to approximately $153 million. The revolving credit facility contains customary covenants and conditions, including as a funding condition the absence of any event or circumstance that has a material adverse effect on our business or financial condition. Generally, interest is payable on any outstanding principal balance at a variable rate equal to the LIBOR plus a spread from 1.5% to</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 or at our option, at a rate equal to an alternate base rate (defined as the highest of (1) the prime rate, (2) one-month LIBOR plus 1.0% or (3) the Federal Funds Effective Rate) plus a spread from 0.5% to 1.0%. In either case, the spread added to the applicable interest rate basis varies depending upon the amount of the monthly average undrawn availability under the facility. As of August 29, 2013, we had not drawn any of the $153 million available under this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2013 Notes Conversion</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2012, we provided a written notice that we would redeem our 2013 convertible senior notes on June 4, 2012. As of June 4, 2012, the entire $139 million of principal amount of the 2013 Notes had been converted by holders into 27.3 million shares. We were required to pay a make-whole premium of $9 million, which is reflected in interest expense.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auto"/>
        </w:rPr>
        <w:t>Debt Restructure</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February 12, 2013, we repurchased $464 million of aggregate principal amount of our 2014 Notes for $477 million in privately negotiated transactions. The liability and equity components of the 2014 Notes were stated separately pursuant to the accounting standards for convertible debt instruments that may be fully or partially settled in cash upon conversion. Accordingly, the repurchase resulted in the derecognition of $431 million in debt for the principal amount (net of $33 million of debt discount) and $15 million in additional capital for the equity component. We recognized a charge of $31 million associated with the early repurchase, based on the estimated $462 million fair value of the debt component and the $431 million carrying value (net of unamortized discount) of the notes repurchased. The fair value of the debt component was estimated using an interest rate for non-convertible debt, with terms similar to the debt component of the 2014 Notes on a stand-alone basis issued by entities with credit ratings similar to ours at the repurchase date (Level 2 fair value measurements).</w:t>
      </w:r>
    </w:p>
    <w:p>
      <w:pPr>
        <w:spacing w:after="0" w:line="19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the first quarter of 2011, in connection with a series of debt restructure transactions with certain holders of our convertible notes, we recognized a loss of $111 million as follows:</w:t>
      </w:r>
    </w:p>
    <w:p>
      <w:pPr>
        <w:spacing w:after="0" w:line="170" w:lineRule="exact"/>
        <w:rPr>
          <w:sz w:val="20"/>
          <w:szCs w:val="20"/>
          <w:color w:val="auto"/>
        </w:rPr>
      </w:pPr>
    </w:p>
    <w:p>
      <w:pPr>
        <w:ind w:left="660" w:right="4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 million on the exchange of $175 million in aggregate principal amount of our 2014 Notes for $175 million in aggregate principal amount of new 2027 Notes;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 million (including transaction fees) on the repurchase of $176 million in aggregate principal amount of our 2014 Notes for $171 million in cash; and</w:t>
      </w: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$79 million (including transaction fees) on the repurchase of $91 million in aggregate principal amount of our 2013 Notes for $166 million in cash.</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Maturities of Notes Payable and Future Minimum Lease Payments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As of August 29, 2013, maturities of notes payable, including the Elpida Creditor Installment Payments, and future minimum lease payments under capital lease obligations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Capital Lease</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August 29, 2013</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Notes Payable</w:t>
            </w:r>
          </w:p>
        </w:tc>
        <w:tc>
          <w:tcPr>
            <w:tcW w:w="18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Obligations</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2019 and thereafter</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Discounts and interest, respectively</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t>Commitments</w:t>
      </w:r>
    </w:p>
    <w:p>
      <w:pPr>
        <w:spacing w:after="0" w:line="21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August 29, 2013, we had commitments of approximately $775 million for the acquisition of property, plant and equipment. We lease certain facilities and equipment under operating leases. Total rental expense was $41 million, $48 million and $69 million for 2013, 2012 and 2011, respectively. As of August 29, 2013, minimum future rental commitments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Operating Lease</w:t>
            </w:r>
          </w:p>
        </w:tc>
      </w:tr>
      <w:tr>
        <w:trPr>
          <w:trHeight w:val="234"/>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August 29, 2013</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Commitments</w:t>
            </w:r>
          </w:p>
        </w:tc>
      </w:tr>
      <w:tr>
        <w:trPr>
          <w:trHeight w:val="27"/>
        </w:trPr>
        <w:tc>
          <w:tcPr>
            <w:tcW w:w="9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2019 and thereafter</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Contingencies</w:t>
      </w:r>
    </w:p>
    <w:p>
      <w:pPr>
        <w:spacing w:after="0" w:line="21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is expected to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 Matters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their intellectual property rights.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are engaged in litigation with Rambus, Inc. ("Rambus") relating to certain of Rambus' patents and certain of our claims and defenses. Our lawsuits with Rambus related to patent matters are pending in the U.S. District Court for the District of Delaware, U.S. District Court for the Northern District of California, Germany, France, and Italy. On August 28, 2000, we filed a complaint against Rambus in the U.S. District Court for the District of Delaware seeking declaratory and injunctive relief. The complaint alleges, among other things, various anticompetitive activities and also seeks a declaratory judgment that certain Rambus patents are invalid and/or unenforceable. Rambus subsequently filed an answer and counterclaim in Delaware alleging, among other things, infringement of twelve Rambus patents and seeking monetary damages and injunctive relief. We subsequently added claims and defenses based on Rambus' alleged spoliation of evidence and litigation misconduct. The spoliation and litigation misconduct claims and defenses were heard in a bench trial before Judge Robinson in October 2007. On January 9, 2009, Judge Robinson entered an opinion in our favor holding that Rambus had engaged in spoliation and that the twelve Rambus patents in the suit were unenforceable against us. Rambus subsequently appealed the decision to the U.S. Court of Appeals for the Federal Circuit. On May 13, 2011, the Federal Circuit affirmed Judge Robinson's finding of spoliation, but vacated the dismissal sanction and remanded the case to the Delaware District Court for analysis of the remedy based on the Federal Circuit's decision. On January 2, 2013, Judge Robinson entered a new opinion in our favor holding that Rambus had engaged in spoliation, that Rambus' spoliation was done in bad faith, that the spoliation prejudiced us, and that the appropriate sanction was to declare the twelve Rambus patents in the suit unenforceable against us. On March 27, 2013, Rambus filed a notice of appeal to the U.S. Court of Appeals for the Federal Circuit. Separately, on January 13, 2006, Rambus filed a lawsuit against us in the U.S. District Court for the Northern District of California alleging that certain of our DDR2, DDR3, RLDRAM and RLDRAM II products infringe as many as fourteen Rambus patents and seeking monetary damages, treble damages, and injunctive relief. The Northern District of California Court stayed the trial of the patent phase of the Northern District of California case upon appeal of the Delaware spoliation issue to the Federal Circuit.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5" w:right="239" w:bottom="1440" w:gutter="0" w:footer="0" w:header="0"/>
        </w:sectPr>
      </w:pPr>
    </w:p>
    <w:bookmarkStart w:id="64" w:name="page65"/>
    <w:bookmarkEnd w:id="64"/>
    <w:p>
      <w:pPr>
        <w:ind w:right="120" w:firstLine="324"/>
        <w:spacing w:after="0" w:line="272" w:lineRule="auto"/>
        <w:rPr>
          <w:sz w:val="20"/>
          <w:szCs w:val="20"/>
          <w:color w:val="auto"/>
        </w:rPr>
      </w:pPr>
      <w:r>
        <w:rPr>
          <w:rFonts w:ascii="Arial" w:cs="Arial" w:eastAsia="Arial" w:hAnsi="Arial"/>
          <w:sz w:val="17"/>
          <w:szCs w:val="17"/>
          <w:color w:val="auto"/>
        </w:rPr>
        <w:t>On September 1, 2011, HSM Portfolio LLC and Technology Properties Limited LLC filed a patent infringement action in the U.S. District Court for the District of Delaware against us and seventeen other defendants, including Elpida Memory, Inc. and Elpida Memory (USA) Inc. (collectively "Elpida"). The complaint alleges that certain of our DRAM and image sensor products infringe two U.S. patents and that certain Elpida DRAM products infringe two U.S. patents and seeks damages, attorneys' fees, and costs. On March 23, 2012, Elpida filed a Notice of Filing and Hearing on Petition Under Chapter 15 of the U.S. Bankruptcy Code and Issuance of Provisional Relief that included an order of the U.S. Bankruptcy Court for the District of Delaware staying judicial proceedings against Elpida. Accordingly, the plaintiffs' case against Elpida is stayed. On August 21, 2013, the Court granted a motion by the plaintiffs to amend the complaint to assert two additional patents against us and one additional patent against Elpida.</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September 9, 2011, Advanced Data Access LLC filed a patent infringement action in the U.S. District Court for the Eastern District of Texas (Tyler) against us and seven other defendants. On November 16, 2011, Advanced Data Access filed an amended complaint. The amended complaint alleged that certain of our DRAM products infringed two U.S. patents and sought injunctive relief, damages, attorneys' fees, and costs. On March 20, 2013, we executed a settlement agreement resolving this litigation. The settlement amount did not have a material effect on our business, results of operations or financial condition.</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September 14, 2011, Smart Memory Solutions LLC filed a patent infringement action in the U.S. District Court for the District of Delaware against us and Winbond Electronics Corporation of America. The complaint alleged that certain of our NOR Flash products infringed a single U.S. patent and sought injunctive relief, damages, attorneys' fees, and costs. On March 20, 2013, we executed a settlement agreement resolving this litigation. The settlement amount did not have a material effect on our business, results of operations or financial condition.</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 xml:space="preserve">On December 5, 2011, the Board of Trustees for the University of Illinois filed a patent infringement action against us in the U.S. District Court for the Central District of Illinois. The complaint alleges that unspecified semiconductor products of ours infringe three U.S. patents and seeks injunctive relief, damages, attorneys' fees, and costs. We have filed three petitions for </w:t>
      </w:r>
      <w:r>
        <w:rPr>
          <w:rFonts w:ascii="Arial" w:cs="Arial" w:eastAsia="Arial" w:hAnsi="Arial"/>
          <w:sz w:val="17"/>
          <w:szCs w:val="17"/>
          <w:i w:val="1"/>
          <w:iCs w:val="1"/>
          <w:color w:val="auto"/>
        </w:rPr>
        <w:t>inter-partes</w:t>
      </w:r>
      <w:r>
        <w:rPr>
          <w:rFonts w:ascii="Arial" w:cs="Arial" w:eastAsia="Arial" w:hAnsi="Arial"/>
          <w:sz w:val="17"/>
          <w:szCs w:val="17"/>
          <w:color w:val="auto"/>
        </w:rPr>
        <w:t xml:space="preserve"> review by the Patent and Trademark Office, challenging the validity of each of the patents in suit. The District Court has stayed the litigation pending the outcome of the </w:t>
      </w:r>
      <w:r>
        <w:rPr>
          <w:rFonts w:ascii="Arial" w:cs="Arial" w:eastAsia="Arial" w:hAnsi="Arial"/>
          <w:sz w:val="17"/>
          <w:szCs w:val="17"/>
          <w:i w:val="1"/>
          <w:iCs w:val="1"/>
          <w:color w:val="auto"/>
        </w:rPr>
        <w:t>inter-partes</w:t>
      </w:r>
      <w:r>
        <w:rPr>
          <w:rFonts w:ascii="Arial" w:cs="Arial" w:eastAsia="Arial" w:hAnsi="Arial"/>
          <w:sz w:val="17"/>
          <w:szCs w:val="17"/>
          <w:color w:val="auto"/>
        </w:rPr>
        <w:t xml:space="preserve"> review by the Patent Office.</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March 26, 2012, Semiconductor Technologies, LLC filed a patent infringement action in the U.S. District Court for the Eastern District of Texas (Marshall) against us. The complaint alleged that certain of our DRAM products infringed five U.S. patents and sought injunctive relief, damages, attorneys' fees, and costs. On March 20, 2013, we executed a settlement agreement resolving this litigation. The settlement amount did not have a material effect on our business, results of operations or financial condition.</w:t>
      </w:r>
    </w:p>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April 27, 2012, Semcon Tech, LLC filed a patent infringement action against us in the U.S. District Court for the District of Delaware. The complaint alleges that our use of various chemical mechanical planarization systems purchased from Applied Materials and others infringes a single U.S. patent and seeks injunctive relief, damages, attorneys' fees, and costs. On September 24, 2013, the Court entered an order staying our case pending the resolution of co-pending cases brought by Semcon Tech, LLC against Applied Materials and Ebara Technologies, Inc.</w:t>
      </w:r>
    </w:p>
    <w:p>
      <w:pPr>
        <w:spacing w:after="0" w:line="17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December 7, 2007, Tessera, Inc. filed a patent infringement against Elpida Memory, Inc., Elpida Memory (USA) Inc. (collectively "Elpida"), and numerous other defendants, in the United States District Court for the Eastern District of Texas. The complaint alleges that certain Elpida products infringe four U.S. patents and seeks injunctive relief, damages, attorneys' fees, and costs. Prior to answering the complaint, Elpida and other defendants filed motions to stay the case pending final resolution of a case before the International Trade Commission ("ITC") against Elpida and other respondents, alleging infringement of the same patents asserted in the Eastern District of Texas case (In The Matter of Certain Semiconductor Chips with Minimized Chip Package Size and Products Containing Same (III), ITC No. 337-TA-630 (the "ITC Action")). On February 25, 2008, the Eastern District of Texas Court granted the defendants' motion to stay the action. On December 29, 2009, the ITC issued a Notice of Final Determination in the ITC Action finding no violation by Elpida. Tessera Inc. subsequently appealed the matter to the U.S. Court of Appeals for the Federal Circuit. On May 23, 2011, the Federal Circuit affirmed the ITC's Final Determination. The Eastern District of Texas case currently remains stayed.</w:t>
      </w:r>
    </w:p>
    <w:p>
      <w:pPr>
        <w:spacing w:after="0" w:line="18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Among other things, the above lawsuits pertain to certain of our SDRAM, DDR, DDR2, DDR3, RLDRAM, NAND Flash, NOR Flash and image sensor products, which account for a significant portion of our net sales.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65" w:name="page66"/>
    <w:bookmarkEnd w:id="65"/>
    <w:p>
      <w:pPr>
        <w:ind w:right="60" w:firstLine="324"/>
        <w:spacing w:after="0" w:line="257" w:lineRule="auto"/>
        <w:rPr>
          <w:sz w:val="20"/>
          <w:szCs w:val="20"/>
          <w:color w:val="auto"/>
        </w:rPr>
      </w:pPr>
      <w:r>
        <w:rPr>
          <w:rFonts w:ascii="Arial" w:cs="Arial" w:eastAsia="Arial" w:hAnsi="Arial"/>
          <w:sz w:val="18"/>
          <w:szCs w:val="18"/>
          <w:color w:val="auto"/>
        </w:rPr>
        <w:t>We are unable to predict the outcome of assertions of infringement made against us and therefore cannot estimate the range of possible loss, except as noted in the discussion of the Advanced Data Access LLC, Smart Memory Solutions LLC and Semiconductor Technologies, LLC matters above. A court determination that our products or manufacturing processes infringe the intellectual property rights of others could result in significant liability and/or require us to make material changes to our products and/or manufacturing processes. Any of the foregoing could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Antitrust Matters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us and other DRAM suppliers which alleged that the defendants harmed Rambus by engaging in concerted and unlawful efforts affecting Rambus DRAM by eliminating competition and stifling innovation in the market for computer memory technology and computer memory chips. Rambus' complaint alleged various causes of action under California state law including, among other things, a conspiracy to restrict output and fix prices, a conspiracy to monopolize, intentional interference with prospective economic advantage, and unfair competition. Rambus sought a judgment for damages of approximately $3.9 billion, joint and several liability, trebling of damages awarded, punitive damages, a permanent injunction enjoining the defendants from the conduct alleged in the complaint, interest, and attorneys' fees and costs. Trial began on June 20, 2011, and the case went to the jury on September 21, 2011. On November 16, 2011, the jury found for us on all claims. On April 2, 2012, Rambus filed a notice of appeal to the California 1st District Court of Appeal.</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At least sixty-eight purported class action price-fixing lawsuits have been filed against us and other DRAM suppliers in various federal and state courts in the United States and in Puerto Rico on behalf of indirect purchasers alleging a conspiracy to increase DRAM prices in violation of federal and state antitrust laws and state unfair competition law, and/or unjust enrichment relating to the sale and pricing of DRAM products during the period from April 1999 through at least June 2002. The complaints seek joint and several damages, trebled, in addition to restitution, costs and attorneys' fees. A number of these cases were removed to federal court and transferred to the U.S. District Court for the Northern District of California for consolidated pre-trial proceedings. In July, 2006, the Attorneys General for approximately forty U.S. states and territories filed suit in the U.S. District Court for the Northern District of California. The complaints allege, among other things, violations of the Sherman Act, Cartwright Act, and certain other states' consumer protection and antitrust laws and seek joint and several damages, trebled, as well as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On June 23, 2010, we executed a settlement agreement resolving these purported class-action indirect purchaser cases and the pending cases of the Attorneys General relating to alleged DRAM price-fixing in the United States. Subject to certain conditions, including final court approval of the class settlements, we agreed to pay approximately $67 million in aggregate in three equal installments over a two-year period. We had paid the full amount into an escrow account by the end of the first quarter of 2013 in accordance with the settlement agreement.</w:t>
      </w:r>
    </w:p>
    <w:p>
      <w:pPr>
        <w:spacing w:after="0" w:line="17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Three putative class action lawsuits alleging price-fixing of DRAM products also have been filed against us in Quebec, Ontario, and British Columbia, Canada, on behalf of direct and indirect purchasers, asserting violations of the Canadian Competition Act and other common law claims (collectively the "Canadian Cases"). The claims were initiated between December 2004 (British Columbia) and June 2006 (Quebec). The plaintiffs seek monetary damages, restitution, costs, and attorneys' fees. The substantive allegations in these cases are similar to those asserted in the DRAM antitrust cases filed in the United States. Plaintiffs' motion for class certification was denied in the British Columbia and Quebec cases in May and June 2008, respectively. Plaintiffs subsequently filed an appeal of each of those decisions. On November 12, 2009, the British Columbia Court of Appeal reversed, and on November 16, 2011, the Quebec Court of Appeal also reversed the denial of class certification and remanded the cases for further proceedings. On October 16, 2012, we entered into a settlement agreement resolving these three putative class action cases subject to certain conditions including final court approval of the settlement. The settlement amount did not have a material effect on our business, results of operations or financial condition.</w:t>
      </w:r>
    </w:p>
    <w:p>
      <w:pPr>
        <w:spacing w:after="0" w:line="16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June 21, 2010, the Brazil Secretariat of Economic Law of the Ministry of Justice ("SDE") announced that it had initiated an investigation relating to alleged anticompetitive activities within the DRAM industry. The SDE's Notice of Investigation names various DRAM manufacturers and certain executives, including us, and focuses on the period from July 1998 to June 2002.</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except as noted in the U.S. indirect purchaser cases and the Canadian Cases above. The final resolution of these alleged violations of antitrust laws could result in significant liability and could have a material adverse effect on our business, results of operations or financial condition.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Securities Matters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July 12, 2013, seven former shareholders of Elpida Memory, Inc. (“Elpida”) filed a complaint against Messrs. Sakamoto, Adachi, Gomi, Shirai, Tsay-Jiu, Wataki, Kinoshita, and Takahasi in their capacity as members of the board of directors of Elpida as of February 2013. The complaint alleges that the defendants engaged in various acts and misrepresentations to hide the financial condition of Elpida and deceive shareholders prior to Elpida filing a petition for corporate reorganization on February 27, 2013. The plaintiffs seek joint and several damages equal to the market value of shares owned by each of the plaintiffs on February 23, 2013, along with attorneys’ fees and interest. At a hearing on September 25, 2013, the plaintiffs withdrew the complaint against Mr. Tsay-Jiu.</w:t>
      </w:r>
    </w:p>
    <w:p>
      <w:pPr>
        <w:spacing w:after="0" w:line="193"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We are unable to predict the outcome of this matter and therefore cannot estimate the range of possible loss. The final resolution of this matter could result in significant liability and could have a material adverse effect on our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 Matters</w:t>
      </w:r>
    </w:p>
    <w:p>
      <w:pPr>
        <w:spacing w:after="0" w:line="22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On January 20, 2011, Dr. Michael Jaffé, administrator for Qimonda AG ("Qimonda") insolvency proceedings, filed suit against us and Micron Semiconductor B.V., our Netherlands subsidiary, in the District Court of Munich, Civil Chamber. The complaint seeks to void under Section 133 of the German Insolvency Act a share purchase agreement between us and Qimonda signed in fall 2008 pursuant to which we purchased all of Qimonda's shares of Inotera Memories, Inc. and seeks an order requiring us to retransfer the Inotera shares purchased from Qimonda to the Qimonda estate. The complaint also seeks to terminate under Sections 103 or 133 of the German Insolvency Code a patent cross license between us and Qimonda entered into at the same time as the share purchase agreement. A three-judge panel will render a decision after a series of hearings with pleadings, arguments and witnesses. Hearings were held on September 25, 2012, February 5, 2013, June 11, 2013 and July 2, 2013. An additional hearing is scheduled for November 12, 2013. We are unable to predict the outcome of this lawsuit and therefore cannot estimate the range of possible loss. The final resolution of this lawsuit could result in the loss of the Inotera shares or equivalent monetary damages and the termination of the patent cross license, which could have a material adverse effect on our business, results of operation or financial condition. As of August 29, 2013, the Inotera shares purchased from Qimonda had a carrying value of $190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796" w:right="27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Shareholders' Equity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Repurchase of 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26, 2011, we paid $150 million to repurchase 19.7 million shares of our common stock at $7.60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Capped Calls</w:t>
      </w:r>
    </w:p>
    <w:p>
      <w:pPr>
        <w:spacing w:after="0" w:line="22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b w:val="1"/>
          <w:bCs w:val="1"/>
          <w:i w:val="1"/>
          <w:iCs w:val="1"/>
          <w:color w:val="auto"/>
        </w:rPr>
        <w:t xml:space="preserve">Issued and Outstanding Capped Calls: </w:t>
      </w:r>
      <w:r>
        <w:rPr>
          <w:rFonts w:ascii="Arial" w:cs="Arial" w:eastAsia="Arial" w:hAnsi="Arial"/>
          <w:sz w:val="17"/>
          <w:szCs w:val="17"/>
          <w:color w:val="auto"/>
        </w:rPr>
        <w:t>In July 2011, we entered into capped call transactions (the "2031 Capped Calls") that have an initial strike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was set to equal, subject to certain adjustments, the initial conversion price of the 2031 Notes. The 2031 Capped Calls are in four equal tranches. In April 2012, we entered into capped call transactions (the "2032C Capped Calls" and "2032D Capped Calls," collectively the "2032 Capped Calls") that have an initial strike price which was set to be, subject to certain adjustments, slightly higher than the initial conversion prices of the 2032C Notes and the 2032D Notes. The 2032C and 2032D Capped Calls are each in four tranches. On February 6, 2013 and February 12, 2013, we entered into capped call transactions (the "2033E Capped Calls" and "2033F Capped Calls," collectively the "2033 Capped Calls") that have an initial strike price which was set to equal, subject to certain adjustments, the initial conversion price of the 2033 Notes. We paid $57 million, $103 million and $48 million, to purchase the 2031, 2032 and 2033 Capped Calls, respectively. The capped calls transactions are considered capital transactions and the related cost was recorded as a charge to additional capital. The 2031, 2032 and 2033 Capped Calls are intended to reduce the effect of potential dilution upon conversion of the 2031, 2032 and 2033 Notes, respectively and may be settled in shares or cash, at our election.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related to the issued and outstanding capped calls as of August 29, 2013</w:t>
      </w:r>
      <w:r>
        <w:rPr>
          <w:rFonts w:ascii="Arial" w:cs="Arial" w:eastAsia="Arial" w:hAnsi="Arial"/>
          <w:sz w:val="18"/>
          <w:szCs w:val="18"/>
          <w:b w:val="1"/>
          <w:bCs w:val="1"/>
          <w:i w:val="1"/>
          <w:iCs w:val="1"/>
          <w:color w:val="auto"/>
        </w:rPr>
        <w: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300"/>
              <w:spacing w:after="0"/>
              <w:rPr>
                <w:sz w:val="20"/>
                <w:szCs w:val="20"/>
                <w:color w:val="auto"/>
              </w:rPr>
            </w:pPr>
            <w:r>
              <w:rPr>
                <w:rFonts w:ascii="Arial" w:cs="Arial" w:eastAsia="Arial" w:hAnsi="Arial"/>
                <w:sz w:val="18"/>
                <w:szCs w:val="18"/>
                <w:b w:val="1"/>
                <w:bCs w:val="1"/>
                <w:color w:val="auto"/>
              </w:rPr>
              <w:t>Cap Price Range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24"/>
                <w:szCs w:val="24"/>
                <w:color w:val="auto"/>
              </w:rPr>
            </w:pPr>
          </w:p>
        </w:tc>
        <w:tc>
          <w:tcPr>
            <w:tcW w:w="2420" w:type="dxa"/>
            <w:vAlign w:val="bottom"/>
            <w:gridSpan w:val="4"/>
          </w:tcPr>
          <w:p>
            <w:pPr>
              <w:ind w:left="340"/>
              <w:spacing w:after="0"/>
              <w:rPr>
                <w:sz w:val="20"/>
                <w:szCs w:val="20"/>
                <w:color w:val="auto"/>
              </w:rPr>
            </w:pPr>
            <w:r>
              <w:rPr>
                <w:rFonts w:ascii="Arial" w:cs="Arial" w:eastAsia="Arial" w:hAnsi="Arial"/>
                <w:sz w:val="18"/>
                <w:szCs w:val="18"/>
                <w:b w:val="1"/>
                <w:bCs w:val="1"/>
                <w:color w:val="auto"/>
              </w:rPr>
              <w:t>Value at Expiration</w:t>
            </w:r>
            <w:r>
              <w:rPr>
                <w:rFonts w:ascii="Arial" w:cs="Arial" w:eastAsia="Arial" w:hAnsi="Arial"/>
                <w:sz w:val="25"/>
                <w:szCs w:val="25"/>
                <w:b w:val="1"/>
                <w:bCs w:val="1"/>
                <w:color w:val="auto"/>
                <w:vertAlign w:val="superscript"/>
              </w:rPr>
              <w:t>2</w:t>
            </w:r>
          </w:p>
        </w:tc>
        <w:tc>
          <w:tcPr>
            <w:tcW w:w="0" w:type="dxa"/>
            <w:vAlign w:val="bottom"/>
          </w:tcPr>
          <w:p>
            <w:pPr>
              <w:spacing w:after="0"/>
              <w:rPr>
                <w:sz w:val="1"/>
                <w:szCs w:val="1"/>
                <w:color w:val="auto"/>
              </w:rPr>
            </w:pPr>
          </w:p>
        </w:tc>
      </w:tr>
      <w:tr>
        <w:trPr>
          <w:trHeight w:val="81"/>
        </w:trPr>
        <w:tc>
          <w:tcPr>
            <w:tcW w:w="1040" w:type="dxa"/>
            <w:vAlign w:val="bottom"/>
            <w:gridSpan w:val="2"/>
            <w:vMerge w:val="restart"/>
          </w:tcPr>
          <w:p>
            <w:pPr>
              <w:ind w:left="160"/>
              <w:spacing w:after="0" w:line="184" w:lineRule="exact"/>
              <w:rPr>
                <w:sz w:val="20"/>
                <w:szCs w:val="20"/>
                <w:color w:val="auto"/>
              </w:rPr>
            </w:pPr>
            <w:r>
              <w:rPr>
                <w:rFonts w:ascii="Arial" w:cs="Arial" w:eastAsia="Arial" w:hAnsi="Arial"/>
                <w:sz w:val="18"/>
                <w:szCs w:val="18"/>
                <w:b w:val="1"/>
                <w:bCs w:val="1"/>
                <w:color w:val="auto"/>
              </w:rPr>
              <w:t>Capped</w:t>
            </w:r>
          </w:p>
        </w:tc>
        <w:tc>
          <w:tcPr>
            <w:tcW w:w="10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gridSpan w:val="2"/>
            <w:vMerge w:val="restart"/>
          </w:tcPr>
          <w:p>
            <w:pPr>
              <w:jc w:val="center"/>
              <w:ind w:right="100"/>
              <w:spacing w:after="0" w:line="184" w:lineRule="exact"/>
              <w:rPr>
                <w:sz w:val="20"/>
                <w:szCs w:val="20"/>
                <w:color w:val="auto"/>
              </w:rPr>
            </w:pPr>
            <w:r>
              <w:rPr>
                <w:rFonts w:ascii="Arial" w:cs="Arial" w:eastAsia="Arial" w:hAnsi="Arial"/>
                <w:sz w:val="18"/>
                <w:szCs w:val="18"/>
                <w:b w:val="1"/>
                <w:bCs w:val="1"/>
                <w:color w:val="auto"/>
                <w:w w:val="83"/>
              </w:rPr>
              <w:t>Shares</w:t>
            </w: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Calls</w:t>
            </w:r>
          </w:p>
        </w:tc>
        <w:tc>
          <w:tcPr>
            <w:tcW w:w="120" w:type="dxa"/>
            <w:vAlign w:val="bottom"/>
            <w:tcBorders>
              <w:bottom w:val="single" w:sz="8" w:color="CCEEFF"/>
            </w:tcBorders>
          </w:tcPr>
          <w:p>
            <w:pPr>
              <w:spacing w:after="0"/>
              <w:rPr>
                <w:sz w:val="22"/>
                <w:szCs w:val="22"/>
                <w:color w:val="auto"/>
              </w:rPr>
            </w:pPr>
          </w:p>
        </w:tc>
        <w:tc>
          <w:tcPr>
            <w:tcW w:w="254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Expiration Dates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right"/>
              <w:ind w:right="10"/>
              <w:spacing w:after="0" w:line="262" w:lineRule="exact"/>
              <w:rPr>
                <w:sz w:val="20"/>
                <w:szCs w:val="20"/>
                <w:color w:val="auto"/>
              </w:rPr>
            </w:pPr>
            <w:r>
              <w:rPr>
                <w:rFonts w:ascii="Arial" w:cs="Arial" w:eastAsia="Arial" w:hAnsi="Arial"/>
                <w:sz w:val="18"/>
                <w:szCs w:val="18"/>
                <w:b w:val="1"/>
                <w:bCs w:val="1"/>
                <w:color w:val="auto"/>
                <w:w w:val="95"/>
              </w:rPr>
              <w:t>Strike Price</w:t>
            </w:r>
            <w:r>
              <w:rPr>
                <w:rFonts w:ascii="Arial" w:cs="Arial" w:eastAsia="Arial" w:hAnsi="Arial"/>
                <w:sz w:val="25"/>
                <w:szCs w:val="25"/>
                <w:b w:val="1"/>
                <w:bCs w:val="1"/>
                <w:color w:val="auto"/>
                <w:w w:val="95"/>
                <w:vertAlign w:val="superscript"/>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Covered</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Minimum</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44"/>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 2014</w:t>
            </w:r>
          </w:p>
        </w:tc>
        <w:tc>
          <w:tcPr>
            <w:tcW w:w="1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Feb 2016</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2032C</w:t>
            </w:r>
          </w:p>
        </w:tc>
        <w:tc>
          <w:tcPr>
            <w:tcW w:w="1040" w:type="dxa"/>
            <w:vAlign w:val="bottom"/>
          </w:tcPr>
          <w:p>
            <w:pPr>
              <w:ind w:left="40"/>
              <w:spacing w:after="0"/>
              <w:rPr>
                <w:sz w:val="20"/>
                <w:szCs w:val="20"/>
                <w:color w:val="auto"/>
              </w:rPr>
            </w:pPr>
            <w:r>
              <w:rPr>
                <w:rFonts w:ascii="Arial" w:cs="Arial" w:eastAsia="Arial" w:hAnsi="Arial"/>
                <w:sz w:val="18"/>
                <w:szCs w:val="18"/>
                <w:color w:val="auto"/>
              </w:rPr>
              <w:t>May 2016</w:t>
            </w:r>
          </w:p>
        </w:tc>
        <w:tc>
          <w:tcPr>
            <w:tcW w:w="1500" w:type="dxa"/>
            <w:vAlign w:val="bottom"/>
          </w:tcPr>
          <w:p>
            <w:pPr>
              <w:ind w:left="260"/>
              <w:spacing w:after="0"/>
              <w:rPr>
                <w:sz w:val="20"/>
                <w:szCs w:val="20"/>
                <w:color w:val="auto"/>
              </w:rPr>
            </w:pPr>
            <w:r>
              <w:rPr>
                <w:rFonts w:ascii="Arial" w:cs="Arial" w:eastAsia="Arial" w:hAnsi="Arial"/>
                <w:sz w:val="18"/>
                <w:szCs w:val="18"/>
                <w:color w:val="auto"/>
              </w:rPr>
              <w:t>- Nov 2017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2032D</w:t>
            </w:r>
          </w:p>
        </w:tc>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 2016</w:t>
            </w:r>
          </w:p>
        </w:tc>
        <w:tc>
          <w:tcPr>
            <w:tcW w:w="1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May 2018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2033E</w:t>
            </w:r>
          </w:p>
        </w:tc>
        <w:tc>
          <w:tcPr>
            <w:tcW w:w="1040" w:type="dxa"/>
            <w:vAlign w:val="bottom"/>
          </w:tcPr>
          <w:p>
            <w:pPr>
              <w:ind w:left="40"/>
              <w:spacing w:after="0"/>
              <w:rPr>
                <w:sz w:val="20"/>
                <w:szCs w:val="20"/>
                <w:color w:val="auto"/>
              </w:rPr>
            </w:pPr>
            <w:r>
              <w:rPr>
                <w:rFonts w:ascii="Arial" w:cs="Arial" w:eastAsia="Arial" w:hAnsi="Arial"/>
                <w:sz w:val="18"/>
                <w:szCs w:val="18"/>
                <w:color w:val="auto"/>
              </w:rPr>
              <w:t>Jan 2018</w:t>
            </w:r>
          </w:p>
        </w:tc>
        <w:tc>
          <w:tcPr>
            <w:tcW w:w="1500" w:type="dxa"/>
            <w:vAlign w:val="bottom"/>
          </w:tcPr>
          <w:p>
            <w:pPr>
              <w:ind w:left="260"/>
              <w:spacing w:after="0"/>
              <w:rPr>
                <w:sz w:val="20"/>
                <w:szCs w:val="20"/>
                <w:color w:val="auto"/>
              </w:rPr>
            </w:pPr>
            <w:r>
              <w:rPr>
                <w:rFonts w:ascii="Arial" w:cs="Arial" w:eastAsia="Arial" w:hAnsi="Arial"/>
                <w:sz w:val="18"/>
                <w:szCs w:val="18"/>
                <w:color w:val="auto"/>
              </w:rPr>
              <w:t>- Feb 2018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2033F</w:t>
            </w:r>
          </w:p>
        </w:tc>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 2020</w:t>
            </w:r>
          </w:p>
        </w:tc>
        <w:tc>
          <w:tcPr>
            <w:tcW w:w="1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Feb 2020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20" w:hanging="188"/>
        <w:spacing w:after="0" w:line="233" w:lineRule="auto"/>
        <w:tabs>
          <w:tab w:leader="none" w:pos="520" w:val="left"/>
        </w:tabs>
        <w:numPr>
          <w:ilvl w:val="0"/>
          <w:numId w:val="1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Initial strike prices are subject to certain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-142240</wp:posOffset>
            </wp:positionV>
            <wp:extent cx="250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660" w:hanging="328"/>
        <w:spacing w:after="0" w:line="242" w:lineRule="auto"/>
        <w:tabs>
          <w:tab w:leader="none" w:pos="660" w:val="left"/>
        </w:tabs>
        <w:numPr>
          <w:ilvl w:val="0"/>
          <w:numId w:val="13"/>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Settlement in cash on the respective expiration dates would result in us receiving an amount ranging from zero, if the market price per share of our common stock is at or below the respective low strike price, to the respective maximum amount if the market price per share of our common stock is at or above the respective high cap price. If share settlement were elected, the number of shares repurchased would be determined by the value of the capped calls at the time of settlement divided by the share price on the settlement date.</w:t>
      </w:r>
    </w:p>
    <w:p>
      <w:pPr>
        <w:spacing w:after="0" w:line="20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Settlement of Capped Calls: </w:t>
      </w:r>
      <w:r>
        <w:rPr>
          <w:rFonts w:ascii="Arial" w:cs="Arial" w:eastAsia="Arial" w:hAnsi="Arial"/>
          <w:sz w:val="18"/>
          <w:szCs w:val="18"/>
          <w:color w:val="auto"/>
        </w:rPr>
        <w:t>Concurrent with the issuance in April 2009 of our 4.25% Convertible Senior Notes due 2013, we entered into capped call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(the "2013 Capped Calls") covering approximately 45.2 million shares of common stock with an initial strike price of approximately $5.08 per share and a cap price of $6.64 per share. The 2013 Capped Calls expired in October 2012 and November 2012. We elected cash settlement and received $24 million in 2013.</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Concurrent with the offering of the 2014 Notes, we purchased capped calls with a strike price of approximately $14.23 per share and various expiration dates between November 2011 and December 2012 (the "2014 Capped Calls"). In the first six months of 2012, 2014 Capped Calls covering 30.4 million shares expired according to their terms. In April 2012, we settled the remaining 2014 Capped Calls, covering 60.9 million shares, and received a de minimis payment.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5"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auto"/>
        </w:rPr>
        <w:t>Accumulated Other Comprehensive Income (Loss)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components of accumulated other comprehensive income (loss), net of tax, attributable to Micron shareholders at the end of each year, as well as other comprehensive income for the year ended August 29, 2013,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Arial" w:cs="Arial" w:eastAsia="Arial" w:hAnsi="Arial"/>
                <w:sz w:val="18"/>
                <w:szCs w:val="18"/>
                <w:b w:val="1"/>
                <w:bCs w:val="1"/>
                <w:color w:val="auto"/>
              </w:rPr>
              <w:t>As of August 30,</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Comprehensive</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As of August 29,</w:t>
            </w:r>
          </w:p>
        </w:tc>
      </w:tr>
      <w:tr>
        <w:trPr>
          <w:trHeight w:val="234"/>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foreign currency translation adjustments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Gain (loss) on derivatives,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investments,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Pension liability adjustments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Financial Instruments</w:t>
      </w:r>
    </w:p>
    <w:p>
      <w:pPr>
        <w:spacing w:after="0" w:line="21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are exposed to currency exchange rate risk for monetary assets and liabilities held or denominated in foreign currencies, primarily the euro, shekel, Singapore dollar and yen. We are also exposed to currency exchange rate risk for capital expenditures and operating cash flows, primarily denominated in the euro and yen. In connection with the Elpida Installment Payments, we are exposed to significant currency exchange rate risk for the yen. Additionally, we are exposed to interest rate fluctuation risk on our four-year note payable, under which we borrowed $312 million on August 27, 2013 at a variable interest rate. We use derivative instruments to manage a portion of our exposures to changes in currency exchange rates and variable interest rates. For exposures associated with our monetary assets and liabilities, our primary objective in entering into currency derivatives is to reduce the volatility that changes in currency exchange rates have on our earnings. For exposures associated with our capital expenditures and operating cash flows, our primary objective of entering into currency derivatives is to reduce the volatility that changes in currency exchange rates have on future cash flows. For exposures associated with our yen-denominated Elpida Installment Payments, our primary objective for entering into currency derivatives is to mitigate risks if those currencies strengthen relative to the U.S. dollar, while preserving some ability for us to benefit if those currencies weaken. For exposures associated with our variable-rate debt, our primary objective is to reduce the volatility that changes in interest rates have on interest expense.</w:t>
      </w:r>
    </w:p>
    <w:p>
      <w:pPr>
        <w:spacing w:after="0" w:line="17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Our currency derivatives consist primarily of forward contracts and currency options and our interest rate derivative consists of interest rate swap agreements. These derivatives expose us to credit risk to the extent the counterparties may be unable to meet the terms of the derivative instrument. As of August 29, 2013, our maximum exposure to loss due to credit risk if counterparties fail completely to perform according to the terms of the contracts, was generally equal to the fair value of our assets for these contracts as listed in the tables below. We seek to mitigate such risk by limiting our counterparties to major financial institutions and by spreading risk across multiple major financial institutions. In addition, we monitor the potential risk of loss with any one counterparty resulting from this type of credit risk on an ongoing basis. We also seek to mitigate risk through master netting arrangements (see "Master Netting Arrangements" below).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the following risk management programs: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without Hedge Accounting Designation</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utilize a rolling hedge strategy with currency forward contracts that generally mature within 35 days to hedge our exposure to changes in currency exchange rates from our monetary assets and liabilities. At the end of each reporting period, monetary assets and liabilities held or denominated in currencies other than the U.S. dollar are remeasured in U.S. dollars and the associated outstanding forward contracts are marked-to-market. Currency forward contracts are valued at fair values based on the middle of bid and ask prices of dealers or exchange quotations (Level 2 fair value measurements). Currency options are valued at their fair value using a modified Black-Scholes option valuation model using inputs of the current spot rate, strike price, risk-free interest rate, maturity, volatility and credit-risk spread (Level 2 fair value measurements). These options are marked-to-market at the end of each reporting period. Realized and unrealized gains and losses on derivative instruments without hedge accounting designation as well as the change in the underlying monetary assets and liabilities due to changes in currency exchange rates are included in other non-operating income (expense).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69" w:name="page70"/>
    <w:bookmarkEnd w:id="69"/>
    <w:p>
      <w:pPr>
        <w:ind w:right="60" w:firstLine="324"/>
        <w:spacing w:after="0" w:line="255" w:lineRule="auto"/>
        <w:rPr>
          <w:sz w:val="20"/>
          <w:szCs w:val="20"/>
          <w:color w:val="auto"/>
        </w:rPr>
      </w:pPr>
      <w:r>
        <w:rPr>
          <w:rFonts w:ascii="Arial" w:cs="Arial" w:eastAsia="Arial" w:hAnsi="Arial"/>
          <w:sz w:val="18"/>
          <w:szCs w:val="18"/>
          <w:color w:val="auto"/>
        </w:rPr>
        <w:t>In connection with the currency exchange rate risk associated with our acquisition of Elpida and the Rexchip shares from the Powerchip Group, we entered into currency exchange transactions (the "Elpida Hedges" and the "Rexchip Hedges" and, together, the "Elpida Acquisition Hedges"). The Elpida Acquisition Hedges were not designated for hedge accounting and were remeasured at fair value each period with gains and losses reflected in other non-operating income (expense). We recorded losses from the Elpida Acquisition Hedges in 2013 of $228 million and gains in 2012 of $8 million. To mitigate the risk that increases in exchange rates have on the payments due in 2014 and 2015, we entered into forward contracts to purchase 20 billion yen on November 28, 2014 and 10 billion yen on November 27, 2015.</w:t>
      </w:r>
    </w:p>
    <w:p>
      <w:pPr>
        <w:spacing w:after="0" w:line="19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entered into interest rate swap contracts that mature in 4 years to hedge against the variability of future interest payments due on our $312 million floating rate debt. We designated 80% of the swaps as cash flow hedges and the remaining 20% were not designated for hedge accounting treatment. Changes in the fair value of the undesignated portion are included in interest income (expense). The fair values of the interest rate swaps are calculated by discounting the expected future cash flows based on inputs that are readily available in publicly quoted markets (Level 2 fair value measurements).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gross notional amounts and fair values for currency derivatives and interest rate swaps without hedge accounting designation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 of</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Notional Amount</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Noncurrent</w:t>
            </w:r>
          </w:p>
        </w:tc>
        <w:tc>
          <w:tcPr>
            <w:tcW w:w="20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(Current</w:t>
            </w:r>
          </w:p>
        </w:tc>
      </w:tr>
      <w:tr>
        <w:trPr>
          <w:trHeight w:val="261"/>
        </w:trPr>
        <w:tc>
          <w:tcPr>
            <w:tcW w:w="4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 U.S. Dollars)</w:t>
            </w:r>
          </w:p>
        </w:tc>
        <w:tc>
          <w:tcPr>
            <w:tcW w:w="3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spacing w:after="0" w:line="262" w:lineRule="exact"/>
              <w:rPr>
                <w:sz w:val="20"/>
                <w:szCs w:val="20"/>
                <w:color w:val="auto"/>
              </w:rPr>
            </w:pPr>
            <w:r>
              <w:rPr>
                <w:rFonts w:ascii="Arial" w:cs="Arial" w:eastAsia="Arial" w:hAnsi="Arial"/>
                <w:sz w:val="18"/>
                <w:szCs w:val="18"/>
                <w:b w:val="1"/>
                <w:bCs w:val="1"/>
                <w:color w:val="auto"/>
                <w:w w:val="92"/>
              </w:rPr>
              <w:t>Current Assets</w:t>
            </w:r>
            <w:r>
              <w:rPr>
                <w:rFonts w:ascii="Arial" w:cs="Arial" w:eastAsia="Arial" w:hAnsi="Arial"/>
                <w:sz w:val="25"/>
                <w:szCs w:val="25"/>
                <w:b w:val="1"/>
                <w:bCs w:val="1"/>
                <w:color w:val="auto"/>
                <w:w w:val="92"/>
                <w:vertAlign w:val="superscript"/>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78"/>
              </w:rPr>
              <w:t>Assets</w:t>
            </w:r>
            <w:r>
              <w:rPr>
                <w:rFonts w:ascii="Arial" w:cs="Arial" w:eastAsia="Arial" w:hAnsi="Arial"/>
                <w:sz w:val="25"/>
                <w:szCs w:val="25"/>
                <w:b w:val="1"/>
                <w:bCs w:val="1"/>
                <w:color w:val="auto"/>
                <w:w w:val="78"/>
                <w:vertAlign w:val="superscript"/>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w w:val="93"/>
              </w:rPr>
              <w:t>Liabilities)</w:t>
            </w:r>
            <w:r>
              <w:rPr>
                <w:rFonts w:ascii="Arial" w:cs="Arial" w:eastAsia="Arial" w:hAnsi="Arial"/>
                <w:sz w:val="25"/>
                <w:szCs w:val="25"/>
                <w:b w:val="1"/>
                <w:bCs w:val="1"/>
                <w:color w:val="auto"/>
                <w:w w:val="93"/>
                <w:vertAlign w:val="superscript"/>
              </w:rPr>
              <w:t>(3)</w:t>
            </w: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 of August 29, 2013</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Currency forward contracts: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Yen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Singapore dollar</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Euro</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Shekel</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Currency options: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New Taiwan dollar</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1,262</w:t>
            </w:r>
          </w:p>
        </w:tc>
        <w:tc>
          <w:tcPr>
            <w:tcW w:w="34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67"/>
        </w:trPr>
        <w:tc>
          <w:tcPr>
            <w:tcW w:w="48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August 30, 2012</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Forward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Singapore dollar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Euro</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Shekel</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Yen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Currency options: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Yen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5,050</w:t>
            </w:r>
          </w:p>
        </w:tc>
        <w:tc>
          <w:tcPr>
            <w:tcW w:w="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(4 )</w:t>
            </w: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New Taiwan dollar</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5,899</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ind w:left="340" w:hanging="332"/>
        <w:spacing w:after="0" w:line="202" w:lineRule="auto"/>
        <w:tabs>
          <w:tab w:leader="none" w:pos="340" w:val="left"/>
        </w:tabs>
        <w:numPr>
          <w:ilvl w:val="0"/>
          <w:numId w:val="1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Included in receivables - other.</w:t>
      </w:r>
    </w:p>
    <w:p>
      <w:pPr>
        <w:spacing w:after="0" w:line="2" w:lineRule="exact"/>
        <w:rPr>
          <w:rFonts w:ascii="Arial" w:cs="Arial" w:eastAsia="Arial" w:hAnsi="Arial"/>
          <w:sz w:val="25"/>
          <w:szCs w:val="25"/>
          <w:i w:val="1"/>
          <w:iCs w:val="1"/>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other noncurrent assets.</w:t>
      </w:r>
    </w:p>
    <w:p>
      <w:pPr>
        <w:spacing w:after="0" w:line="2" w:lineRule="exact"/>
        <w:rPr>
          <w:rFonts w:ascii="Arial" w:cs="Arial" w:eastAsia="Arial" w:hAnsi="Arial"/>
          <w:sz w:val="24"/>
          <w:szCs w:val="24"/>
          <w:i w:val="1"/>
          <w:iCs w:val="1"/>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accounts payable and accrued expenses - other.</w:t>
      </w:r>
    </w:p>
    <w:p>
      <w:pPr>
        <w:spacing w:after="0" w:line="2" w:lineRule="exact"/>
        <w:rPr>
          <w:rFonts w:ascii="Arial" w:cs="Arial" w:eastAsia="Arial" w:hAnsi="Arial"/>
          <w:sz w:val="24"/>
          <w:szCs w:val="24"/>
          <w:i w:val="1"/>
          <w:iCs w:val="1"/>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Notional amount includes purchased options of $2,527 million and sold options of $2,523 million for the Elpida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-556260</wp:posOffset>
            </wp:positionV>
            <wp:extent cx="4124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18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For currency forward contracts and options without hedge accounting designation, we recognized net losses of $222 million for 2013, net losses of $17 million for 2012 and net gains of $21 million for 2011, which were included in other non-operating income (expense).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Derivatives with Cash Flow Hedge Accounting Designation</w:t>
      </w:r>
    </w:p>
    <w:p>
      <w:pPr>
        <w:spacing w:after="0" w:line="229" w:lineRule="exact"/>
        <w:rPr>
          <w:sz w:val="20"/>
          <w:szCs w:val="20"/>
          <w:color w:val="auto"/>
        </w:rPr>
      </w:pPr>
    </w:p>
    <w:p>
      <w:pPr>
        <w:ind w:right="100" w:firstLine="324"/>
        <w:spacing w:after="0" w:line="274" w:lineRule="auto"/>
        <w:rPr>
          <w:sz w:val="20"/>
          <w:szCs w:val="20"/>
          <w:color w:val="auto"/>
        </w:rPr>
      </w:pPr>
      <w:r>
        <w:rPr>
          <w:rFonts w:ascii="Arial" w:cs="Arial" w:eastAsia="Arial" w:hAnsi="Arial"/>
          <w:sz w:val="17"/>
          <w:szCs w:val="17"/>
          <w:color w:val="auto"/>
        </w:rPr>
        <w:t>We utilize currency forward contracts that generally mature within 12 months and currency options that generally mature from 12 to 18 months to hedge our exposure to changes in cash flows from changes in currency exchange rates for certain capital expenditures and forecasted operating cash</w:t>
      </w:r>
    </w:p>
    <w:p>
      <w:pPr>
        <w:ind w:right="40"/>
        <w:spacing w:after="0" w:line="290" w:lineRule="auto"/>
        <w:rPr>
          <w:sz w:val="20"/>
          <w:szCs w:val="20"/>
          <w:color w:val="auto"/>
        </w:rPr>
      </w:pPr>
      <w:r>
        <w:rPr>
          <w:rFonts w:ascii="Arial" w:cs="Arial" w:eastAsia="Arial" w:hAnsi="Arial"/>
          <w:sz w:val="16"/>
          <w:szCs w:val="16"/>
          <w:color w:val="auto"/>
        </w:rPr>
        <w:t>flows. Currency forward contracts are valued at their fair values based on market-based observable inputs including currency exchange spot and forward rates, interest rate and credit risk spread (Level 2 fair value measurements). Currency options are valued at their fair value using a modified Black-Scholes option valuation model using inputs of the current spot rate, strike price, risk-free interest rate, maturity, volatility and credit-risk spread (Level 2 fair value measurements). We entered into interest rate swap contracts that mature in 4 years to hedge against the variability in future interest payments due on our $312 million floating rate debt and designated 80% of the swaps as cash flow hedges. The fair values of the interest rate swaps have been calculated by discounting the expected future cash flows based on inputs that are readily available in publicly quoted markets (Level 2 fair value measurements).</w:t>
      </w:r>
    </w:p>
    <w:p>
      <w:pPr>
        <w:spacing w:after="0" w:line="16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For derivatives designated as cash flow hedges, the effective portion of the realized and unrealized gain or loss on the derivatives is included as a component of accumulated other comprehensive income (loss). For derivatives hedging capital expenditures, the amounts in accumulated other comprehensive income (loss) for these cash flow hedges are reclassified into earnings in the same line items of the consolidated statements of operation and in the same periods in which the underlying transactions affect earnings. Amounts in accumulated other comprehensive income (loss) for inventory purchases are reclassified to earnings when inventory is sold. Amounts in accumulated other comprehensive income (loss) for interest rate swaps are reclassified to earnings when the related interest payments affect earnings. The ineffective or excluded portion of the realized and unrealized gain or loss is included in other non-operating income (expense). Total gross notional amounts and fair values for derivatives with cash flow hedge accounting designation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8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Notional Amount</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(Current</w:t>
            </w:r>
          </w:p>
        </w:tc>
        <w:tc>
          <w:tcPr>
            <w:tcW w:w="0" w:type="dxa"/>
            <w:vAlign w:val="bottom"/>
          </w:tcPr>
          <w:p>
            <w:pPr>
              <w:spacing w:after="0"/>
              <w:rPr>
                <w:sz w:val="1"/>
                <w:szCs w:val="1"/>
                <w:color w:val="auto"/>
              </w:rPr>
            </w:pPr>
          </w:p>
        </w:tc>
      </w:tr>
      <w:tr>
        <w:trPr>
          <w:trHeight w:val="261"/>
        </w:trPr>
        <w:tc>
          <w:tcPr>
            <w:tcW w:w="6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(in U.S. Dollars)</w:t>
            </w:r>
          </w:p>
        </w:tc>
        <w:tc>
          <w:tcPr>
            <w:tcW w:w="100" w:type="dxa"/>
            <w:vAlign w:val="bottom"/>
          </w:tcPr>
          <w:p>
            <w:pPr>
              <w:spacing w:after="0"/>
              <w:rPr>
                <w:sz w:val="22"/>
                <w:szCs w:val="22"/>
                <w:color w:val="auto"/>
              </w:rPr>
            </w:pPr>
          </w:p>
        </w:tc>
        <w:tc>
          <w:tcPr>
            <w:tcW w:w="1480" w:type="dxa"/>
            <w:vAlign w:val="bottom"/>
            <w:tcBorders>
              <w:bottom w:val="single" w:sz="8" w:color="auto"/>
            </w:tcBorders>
            <w:gridSpan w:val="2"/>
          </w:tcPr>
          <w:p>
            <w:pPr>
              <w:jc w:val="right"/>
              <w:spacing w:after="0" w:line="262" w:lineRule="exact"/>
              <w:rPr>
                <w:sz w:val="20"/>
                <w:szCs w:val="20"/>
                <w:color w:val="auto"/>
              </w:rPr>
            </w:pPr>
            <w:r>
              <w:rPr>
                <w:rFonts w:ascii="Arial" w:cs="Arial" w:eastAsia="Arial" w:hAnsi="Arial"/>
                <w:sz w:val="18"/>
                <w:szCs w:val="18"/>
                <w:b w:val="1"/>
                <w:bCs w:val="1"/>
                <w:color w:val="auto"/>
                <w:w w:val="92"/>
              </w:rPr>
              <w:t>Current Assets</w:t>
            </w:r>
            <w:r>
              <w:rPr>
                <w:rFonts w:ascii="Arial" w:cs="Arial" w:eastAsia="Arial" w:hAnsi="Arial"/>
                <w:sz w:val="25"/>
                <w:szCs w:val="25"/>
                <w:b w:val="1"/>
                <w:bCs w:val="1"/>
                <w:color w:val="auto"/>
                <w:w w:val="92"/>
                <w:vertAlign w:val="superscript"/>
              </w:rPr>
              <w:t>(1)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w w:val="93"/>
              </w:rPr>
              <w:t>Liabilities)</w:t>
            </w:r>
            <w:r>
              <w:rPr>
                <w:rFonts w:ascii="Arial" w:cs="Arial" w:eastAsia="Arial" w:hAnsi="Arial"/>
                <w:sz w:val="25"/>
                <w:szCs w:val="25"/>
                <w:b w:val="1"/>
                <w:bCs w:val="1"/>
                <w:color w:val="auto"/>
                <w:w w:val="93"/>
                <w:vertAlign w:val="superscript"/>
              </w:rPr>
              <w:t>(2)</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August 29, 2013</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Currency forward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Yen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Euro</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20"/>
              <w:spacing w:after="0"/>
              <w:rPr>
                <w:sz w:val="20"/>
                <w:szCs w:val="20"/>
                <w:color w:val="auto"/>
              </w:rPr>
            </w:pPr>
            <w:r>
              <w:rPr>
                <w:rFonts w:ascii="Arial" w:cs="Arial" w:eastAsia="Arial" w:hAnsi="Arial"/>
                <w:sz w:val="18"/>
                <w:szCs w:val="18"/>
                <w:color w:val="auto"/>
              </w:rPr>
              <w:t>Currency options: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Yen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20"/>
              <w:spacing w:after="0"/>
              <w:rPr>
                <w:sz w:val="20"/>
                <w:szCs w:val="20"/>
                <w:color w:val="auto"/>
              </w:rPr>
            </w:pPr>
            <w:r>
              <w:rPr>
                <w:rFonts w:ascii="Arial" w:cs="Arial" w:eastAsia="Arial" w:hAnsi="Arial"/>
                <w:sz w:val="18"/>
                <w:szCs w:val="18"/>
                <w:color w:val="auto"/>
              </w:rPr>
              <w:t>Interest swap contracts: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As of August 30, 2012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Currency forward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Yen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Euro</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20"/>
              <w:spacing w:after="0"/>
              <w:rPr>
                <w:sz w:val="20"/>
                <w:szCs w:val="20"/>
                <w:color w:val="auto"/>
              </w:rPr>
            </w:pPr>
            <w:r>
              <w:rPr>
                <w:rFonts w:ascii="Arial" w:cs="Arial" w:eastAsia="Arial" w:hAnsi="Arial"/>
                <w:sz w:val="18"/>
                <w:szCs w:val="18"/>
                <w:color w:val="auto"/>
              </w:rPr>
              <w:t>Currency options: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Yen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17145</wp:posOffset>
            </wp:positionV>
            <wp:extent cx="2958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340" w:hanging="332"/>
        <w:spacing w:after="0" w:line="236" w:lineRule="auto"/>
        <w:tabs>
          <w:tab w:leader="none" w:pos="340" w:val="left"/>
        </w:tabs>
        <w:numPr>
          <w:ilvl w:val="0"/>
          <w:numId w:val="1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Included in receivables - other.</w:t>
      </w:r>
    </w:p>
    <w:p>
      <w:pPr>
        <w:spacing w:after="0" w:line="2" w:lineRule="exact"/>
        <w:rPr>
          <w:rFonts w:ascii="Arial" w:cs="Arial" w:eastAsia="Arial" w:hAnsi="Arial"/>
          <w:sz w:val="25"/>
          <w:szCs w:val="25"/>
          <w:i w:val="1"/>
          <w:iCs w:val="1"/>
          <w:color w:val="auto"/>
          <w:vertAlign w:val="superscript"/>
        </w:rPr>
      </w:pPr>
    </w:p>
    <w:p>
      <w:pPr>
        <w:ind w:left="340" w:hanging="332"/>
        <w:spacing w:after="0" w:line="186" w:lineRule="auto"/>
        <w:tabs>
          <w:tab w:leader="none" w:pos="340" w:val="left"/>
        </w:tabs>
        <w:numPr>
          <w:ilvl w:val="0"/>
          <w:numId w:val="1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accounts payable and accrued expenses -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-281940</wp:posOffset>
            </wp:positionV>
            <wp:extent cx="2958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8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For 2013, 2012 and 2011, we recognized $8 million of net pre-tax derivative losses, $9 million of net derivative losses and $49 million of net derivative gains, respectively, in accumulated other comprehensive income (loss) from the effective portion of cash flow hedges. The ineffective and excluded portions of cash flow hedges recognized in other non-operating income (expense) were not significant in 2013, 2012 or 2011. In 2013 and 2012, $1 million and $9 million, respectively, of net gains were reclassified from accumulated other comprehensive income (loss) to earnings. As of August 29, 2013, the amount of pre-tax net derivative gains included in accumulated other accumulated comprehensive income (loss) expected to be reclassified into earnings in the next 12 months was $4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auto"/>
        </w:rPr>
        <w:t>Master Netting Arrangements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seek to enter into master netting arrangements to mitigate credit risk in derivative transactions. These master netting arrangements allow us and our counterparties to net settle amounts owed to each other. Derivative assets and liabilities that can be net settled under these arrangements have been presented in our consolidated balance sheet on a net basis. The following table presents the gross amounts of our derivative assets and liabilities and the net amounts recorded in our consolidated balance sheet: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w w:val="99"/>
              </w:rPr>
              <w:t>Current Assets</w:t>
            </w:r>
            <w:r>
              <w:rPr>
                <w:rFonts w:ascii="Arial" w:cs="Arial" w:eastAsia="Arial" w:hAnsi="Arial"/>
                <w:sz w:val="25"/>
                <w:szCs w:val="25"/>
                <w:b w:val="1"/>
                <w:bCs w:val="1"/>
                <w:color w:val="auto"/>
                <w:w w:val="99"/>
                <w:vertAlign w:val="superscript"/>
              </w:rPr>
              <w:t>(1)</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Noncurrent</w:t>
            </w:r>
          </w:p>
        </w:tc>
        <w:tc>
          <w:tcPr>
            <w:tcW w:w="18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(Current</w:t>
            </w:r>
          </w:p>
        </w:tc>
        <w:tc>
          <w:tcPr>
            <w:tcW w:w="0" w:type="dxa"/>
            <w:vAlign w:val="bottom"/>
          </w:tcPr>
          <w:p>
            <w:pPr>
              <w:spacing w:after="0"/>
              <w:rPr>
                <w:sz w:val="1"/>
                <w:szCs w:val="1"/>
                <w:color w:val="auto"/>
              </w:rPr>
            </w:pPr>
          </w:p>
        </w:tc>
      </w:tr>
      <w:tr>
        <w:trPr>
          <w:trHeight w:val="180"/>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August 29, 2013</w:t>
            </w:r>
          </w:p>
        </w:tc>
        <w:tc>
          <w:tcPr>
            <w:tcW w:w="100" w:type="dxa"/>
            <w:vAlign w:val="bottom"/>
            <w:vMerge w:val="restart"/>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ind w:right="330"/>
              <w:spacing w:after="0" w:line="262"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5"/>
                <w:szCs w:val="25"/>
                <w:b w:val="1"/>
                <w:bCs w:val="1"/>
                <w:color w:val="auto"/>
                <w:vertAlign w:val="superscript"/>
              </w:rPr>
              <w:t>(2)</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ind w:right="150"/>
              <w:spacing w:after="0" w:line="262" w:lineRule="exact"/>
              <w:rPr>
                <w:sz w:val="20"/>
                <w:szCs w:val="20"/>
                <w:color w:val="auto"/>
              </w:rPr>
            </w:pPr>
            <w:r>
              <w:rPr>
                <w:rFonts w:ascii="Arial" w:cs="Arial" w:eastAsia="Arial" w:hAnsi="Arial"/>
                <w:sz w:val="18"/>
                <w:szCs w:val="18"/>
                <w:b w:val="1"/>
                <w:bCs w:val="1"/>
                <w:color w:val="auto"/>
                <w:w w:val="93"/>
              </w:rPr>
              <w:t>Liabilities)</w:t>
            </w:r>
            <w:r>
              <w:rPr>
                <w:rFonts w:ascii="Arial" w:cs="Arial" w:eastAsia="Arial" w:hAnsi="Arial"/>
                <w:sz w:val="25"/>
                <w:szCs w:val="25"/>
                <w:b w:val="1"/>
                <w:bCs w:val="1"/>
                <w:color w:val="auto"/>
                <w:w w:val="93"/>
                <w:vertAlign w:val="superscript"/>
              </w:rPr>
              <w:t>(3)</w:t>
            </w:r>
          </w:p>
        </w:tc>
        <w:tc>
          <w:tcPr>
            <w:tcW w:w="0" w:type="dxa"/>
            <w:vAlign w:val="bottom"/>
          </w:tcPr>
          <w:p>
            <w:pPr>
              <w:spacing w:after="0"/>
              <w:rPr>
                <w:sz w:val="1"/>
                <w:szCs w:val="1"/>
                <w:color w:val="auto"/>
              </w:rPr>
            </w:pPr>
          </w:p>
        </w:tc>
      </w:tr>
      <w:tr>
        <w:trPr>
          <w:trHeight w:val="81"/>
        </w:trPr>
        <w:tc>
          <w:tcPr>
            <w:tcW w:w="65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amount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Gross amounts offset in the statement of financial position</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amounts presented in the statement of financial position</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ind w:left="200" w:hanging="192"/>
        <w:spacing w:after="0" w:line="220"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i w:val="1"/>
          <w:iCs w:val="1"/>
          <w:color w:val="auto"/>
        </w:rPr>
        <w:t>Included in receivables - other.</w:t>
      </w:r>
    </w:p>
    <w:p>
      <w:pPr>
        <w:spacing w:after="0" w:line="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i w:val="1"/>
          <w:iCs w:val="1"/>
          <w:color w:val="auto"/>
        </w:rPr>
        <w:t>Included in other noncurrent assets.</w:t>
      </w:r>
    </w:p>
    <w:p>
      <w:pPr>
        <w:spacing w:after="0" w:line="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i w:val="1"/>
          <w:iCs w:val="1"/>
          <w:color w:val="auto"/>
        </w:rPr>
        <w:t>Included in accounts payable and accrued expenses -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-419100</wp:posOffset>
            </wp:positionV>
            <wp:extent cx="29159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240" w:top="580" w:right="37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auto"/>
        </w:rPr>
        <w:t>Fair Value Measurements</w:t>
      </w:r>
    </w:p>
    <w:p>
      <w:pPr>
        <w:spacing w:after="0" w:line="21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Accounting standards establish three levels of inputs that may be used to measure fair value: quoted prices in active markets for identical assets or liabilities (referred to as Level 1),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 on a Recurring Basis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All marketable debt and equity investments are classified as available-for-sale and are carried at fair value. Assets measured at fair value on a recurring basis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420" w:type="dxa"/>
            <w:vAlign w:val="bottom"/>
            <w:gridSpan w:val="2"/>
            <w:vMerge w:val="restart"/>
          </w:tcPr>
          <w:p>
            <w:pPr>
              <w:ind w:left="40"/>
              <w:spacing w:after="0"/>
              <w:rPr>
                <w:sz w:val="20"/>
                <w:szCs w:val="20"/>
                <w:color w:val="auto"/>
              </w:rPr>
            </w:pPr>
            <w:r>
              <w:rPr>
                <w:rFonts w:ascii="Arial" w:cs="Arial" w:eastAsia="Arial" w:hAnsi="Arial"/>
                <w:sz w:val="18"/>
                <w:szCs w:val="18"/>
                <w:color w:val="auto"/>
              </w:rPr>
              <w:t>Cash equivalents:</w:t>
            </w: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Government securities</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Government securities</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Government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Marketable equity</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Government securities consist of securities issued directly by or deemed to be guaranteed by government entities such as U.S and non U.S. agency securities, government bonds and treasury securities. Level 2 securities are valued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our pricing services. As of August 29, 2013, no adjustments were made to such pricing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 on a Nonrecurring Basis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non-marketable securities, equity method investments, and non-financial assets such as intellectual property and property, plant and equipment are carried at cost unless impairment is deemed to have occurred.</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85" w:right="239" w:bottom="1440" w:gutter="0" w:footer="0" w:header="0"/>
          <w:type w:val="continuous"/>
        </w:sectPr>
      </w:pPr>
    </w:p>
    <w:bookmarkStart w:id="73" w:name="page74"/>
    <w:bookmarkEnd w:id="73"/>
    <w:p>
      <w:pPr>
        <w:ind w:firstLine="324"/>
        <w:spacing w:after="0" w:line="255" w:lineRule="auto"/>
        <w:rPr>
          <w:sz w:val="20"/>
          <w:szCs w:val="20"/>
          <w:color w:val="auto"/>
        </w:rPr>
      </w:pPr>
      <w:r>
        <w:rPr>
          <w:rFonts w:ascii="Arial" w:cs="Arial" w:eastAsia="Arial" w:hAnsi="Arial"/>
          <w:sz w:val="18"/>
          <w:szCs w:val="18"/>
          <w:color w:val="auto"/>
        </w:rPr>
        <w:t>During the third quarter of 2012, the Board of Directors of Transform approved a liquidation plan. As a result, we impaired our investment in Transform to the estimated liquidation values for its assets and liabilities measured using unobservable inputs (Level 3). Transform's primary assets were semiconductor equipment and a manufacturing facility. The fair values for semiconductor equipment were based on quotations obtained from equipment dealers, which consider the remaining useful life and configuration of the equipment. Fair value for the facility was determined based on sales of similar facilities and properties in comparable markets. Based on our valuation of Transform's net assets, we recognized an other-than-temporary impairment charge of $69 million in equity in net income (losses) of equity method investees.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of Financial Instruments</w:t>
      </w:r>
    </w:p>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Amounts reported as cash and equivalents, receivables, and accounts payable and accrued expenses approximate fair value. The estimated fair value and carrying value of debt instruments (carrying value excludes the equity components of our convertible notes classified in equity)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0"/>
                <w:szCs w:val="20"/>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spacing w:after="0"/>
              <w:rPr>
                <w:sz w:val="20"/>
                <w:szCs w:val="20"/>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2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7"/>
        </w:trPr>
        <w:tc>
          <w:tcPr>
            <w:tcW w:w="5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2,321</w:t>
            </w: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Elpida creditor installment payments and other notes</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jc w:val="both"/>
        <w:ind w:right="200" w:firstLine="324"/>
        <w:spacing w:after="0" w:line="257" w:lineRule="auto"/>
        <w:rPr>
          <w:sz w:val="20"/>
          <w:szCs w:val="20"/>
          <w:color w:val="auto"/>
        </w:rPr>
      </w:pPr>
      <w:r>
        <w:rPr>
          <w:rFonts w:ascii="Arial" w:cs="Arial" w:eastAsia="Arial" w:hAnsi="Arial"/>
          <w:sz w:val="18"/>
          <w:szCs w:val="18"/>
          <w:color w:val="auto"/>
        </w:rPr>
        <w:t>The fair values of our convertible debt instruments were determined based on inputs that are observable in the market or that could be derived from, or corroborated with, observable market data, including our stock price and interest rates based on similar debt issued by parties with credit ratings similar to ours (Level 2). The fair value of our other debt instruments was estimated based on discounted cash flows using inputs that are observable in the market or that could be derived from, or corroborated with, observable market data, including interest rates based on similar debt issued by parties with credit ratings similar to ours (Level 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Plans</w:t>
      </w:r>
    </w:p>
    <w:p>
      <w:pPr>
        <w:spacing w:after="0" w:line="219"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As of August 29, 2013, we had an aggregate of 160.2 million shares of common stock reserved for the issuance of stock options and restricted stock awards, of which 83.8 million shares were subject to outstanding awards and 76.4 million shares were available for future awards. Awards are subject to terms and conditions as determined by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9" w:lineRule="exact"/>
        <w:rPr>
          <w:sz w:val="20"/>
          <w:szCs w:val="20"/>
          <w:color w:val="auto"/>
        </w:rPr>
      </w:pPr>
    </w:p>
    <w:p>
      <w:pPr>
        <w:jc w:val="both"/>
        <w:ind w:right="420" w:firstLine="324"/>
        <w:spacing w:after="0" w:line="342" w:lineRule="auto"/>
        <w:rPr>
          <w:sz w:val="20"/>
          <w:szCs w:val="20"/>
          <w:color w:val="auto"/>
        </w:rPr>
      </w:pPr>
      <w:r>
        <w:rPr>
          <w:rFonts w:ascii="Arial" w:cs="Arial" w:eastAsia="Arial" w:hAnsi="Arial"/>
          <w:sz w:val="16"/>
          <w:szCs w:val="16"/>
          <w:color w:val="auto"/>
        </w:rPr>
        <w:t>Our stock options are generally exercisable in increments of either one-fourth or one-third per year beginning one year from the date of grant. Stock options issued after September 2004 generally expire six years from the date of grant. All other options expire ten years from the grant date.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for 2013 is summarized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Exercise Price Per</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Aggregate Intrinsic</w:t>
            </w:r>
          </w:p>
        </w:tc>
      </w:tr>
      <w:tr>
        <w:trPr>
          <w:trHeight w:val="210"/>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6"/>
                <w:szCs w:val="16"/>
                <w:b w:val="1"/>
                <w:bCs w:val="1"/>
                <w:color w:val="auto"/>
                <w:w w:val="97"/>
              </w:rPr>
              <w:t>Number of Shares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Share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Years)</w:t>
            </w:r>
          </w:p>
        </w:tc>
        <w:tc>
          <w:tcPr>
            <w:tcW w:w="32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33"/>
        </w:trPr>
        <w:tc>
          <w:tcPr>
            <w:tcW w:w="5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August 30, 2012</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Cancelled or 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August 29, 2013</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84"/>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Exercisable at August 29, 2013</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Expected to vest after August 29, 2013</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255</w:t>
            </w:r>
          </w:p>
        </w:tc>
      </w:tr>
      <w:tr>
        <w:trPr>
          <w:trHeight w:val="486"/>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7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74" w:name="page75"/>
    <w:bookmarkEnd w:id="74"/>
    <w:p>
      <w:pPr>
        <w:ind w:right="80" w:firstLine="324"/>
        <w:spacing w:after="0" w:line="308" w:lineRule="auto"/>
        <w:rPr>
          <w:sz w:val="20"/>
          <w:szCs w:val="20"/>
          <w:color w:val="auto"/>
        </w:rPr>
      </w:pPr>
      <w:r>
        <w:rPr>
          <w:rFonts w:ascii="Arial" w:cs="Arial" w:eastAsia="Arial" w:hAnsi="Arial"/>
          <w:sz w:val="17"/>
          <w:szCs w:val="17"/>
          <w:color w:val="auto"/>
        </w:rPr>
        <w:t>The weighted-average grant-date fair value per share was $3.34, $3.18 and $4.46 for options granted during 2013, 2012 and 2011, respectively. The total intrinsic value was $103 million, $6 million, and $35 million for options exercised during 2013, 2012 and 2011, respectively.</w:t>
      </w:r>
    </w:p>
    <w:p>
      <w:pPr>
        <w:spacing w:after="0" w:line="147"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The fair values of option awards were estimated at each grant date using the Black-Scholes option valuation model. The Black-Scholes model requires the input of assumptions, including the expected stock-price volatility and estimated option life. The expected volatilities utilized were based on implied volatilities from traded options on our stock and on historical volatility. The expected lives of options granted were based, in part, on historical experience and on the terms and conditions of the options. The risk-free interest rates utilized were based on the U.S. Treasury yield in effect at each grant date. No dividends were assumed in estimated option values. Assumptions used in the Black-Scholes model are presented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60" w:type="dxa"/>
            <w:vAlign w:val="bottom"/>
          </w:tcPr>
          <w:p>
            <w:pPr>
              <w:jc w:val="right"/>
              <w:ind w:right="830"/>
              <w:spacing w:after="0"/>
              <w:rPr>
                <w:sz w:val="20"/>
                <w:szCs w:val="20"/>
                <w:color w:val="auto"/>
              </w:rPr>
            </w:pPr>
            <w:r>
              <w:rPr>
                <w:rFonts w:ascii="Arial" w:cs="Arial" w:eastAsia="Arial" w:hAnsi="Arial"/>
                <w:sz w:val="18"/>
                <w:szCs w:val="18"/>
                <w:b w:val="1"/>
                <w:bCs w:val="1"/>
                <w:color w:val="auto"/>
              </w:rPr>
              <w:t>2012</w:t>
            </w: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r>
      <w:tr>
        <w:trPr>
          <w:trHeight w:val="27"/>
        </w:trPr>
        <w:tc>
          <w:tcPr>
            <w:tcW w:w="6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life in years</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5.1</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Weighted-average expected 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66%</w:t>
            </w: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and Restricted Stock Units ("Restricted Stock Awards")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August 29, 2013, there were 13.0 million shares of Restricted Stock Awards outstanding, of which 3.4 million were performance-based Restricted Stock Awards. For service-based Restricted Stock Awards, restrictions generally lapse in one-fourth increments during each year of employment after the grant date. For performance-based Restricted Stock Awards, vesting is contingent upon meeting certain performance goals. Restricted Stock Awards activity for 2013 is summarized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7"/>
              </w:rPr>
              <w:t>Number of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w w:val="91"/>
              </w:rPr>
              <w:t>Value Per Share</w:t>
            </w:r>
          </w:p>
        </w:tc>
      </w:tr>
      <w:tr>
        <w:trPr>
          <w:trHeight w:val="33"/>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August 30, 2012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6.23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Restrictions lapsed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7.29</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August 29, 2013</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to vest after August 29, 2013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r>
      <w:tr>
        <w:trPr>
          <w:trHeight w:val="432"/>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Restricted Stock Awards granted for 2013, 2012 and 2011 were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9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Service-based awards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Performance-based awards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aggregate fair value at the lapse date of awards for which restrictions lapsed during 2013, 2012 and 2011 was $17 million, $32 million and $43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Stock-based Compensation Expense</w:t>
            </w:r>
          </w:p>
        </w:tc>
        <w:tc>
          <w:tcPr>
            <w:tcW w:w="398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15"/>
        </w:trPr>
        <w:tc>
          <w:tcPr>
            <w:tcW w:w="676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27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Stock-based compensation expense by caption: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6760" w:type="dxa"/>
            <w:vAlign w:val="bottom"/>
            <w:gridSpan w:val="3"/>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2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Other operating (income)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7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7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type of award: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3"/>
          </w:tcPr>
          <w:p>
            <w:pPr>
              <w:ind w:left="180"/>
              <w:spacing w:after="0"/>
              <w:rPr>
                <w:sz w:val="20"/>
                <w:szCs w:val="20"/>
                <w:color w:val="auto"/>
              </w:rPr>
            </w:pPr>
            <w:r>
              <w:rPr>
                <w:rFonts w:ascii="Arial" w:cs="Arial" w:eastAsia="Arial" w:hAnsi="Arial"/>
                <w:sz w:val="18"/>
                <w:szCs w:val="18"/>
                <w:color w:val="auto"/>
              </w:rPr>
              <w:t>Stock options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2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stock awards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27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2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Stock-based compensation expense of $6 million and $5 million was capitalized and remained in inventory as of August 29, 2013 and August 30, 2012, respectively. As of August 29, 2013, $136 million of total unrecognized compensation costs, net of estimated forfeitures, related to non-vested awards was expected to be recognized through the fourth quarter of 2017, resulting in a weighted-average period of 1.2 years. Stock-based compensation expense in the above presentation does not reflect any significant income tax benefits, which is consistent with our treatment of income or loss from our U.S. operations. (See "Income Taxes" note.)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 Plans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employee retirement plans at our U.S. and international sites. Details of the more significant plans are discussed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Savings Plan for U.S. Employees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401(k) retirement plans ("RAM Plans") under which U.S. employees may contribute up to 75% of their eligible pay (subject to IRS annual contribution limits) to various savings alternatives, none of which include direct investment in our common stock. We match in cash eligible contributions from employees up to 5% of the employee's annual eligible earnings. Contribution expense for the RAM Plans was $41 million, $41 million and $26 million in 2013, 2012 and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We have pension plans in various countries worldwide. The pension plans are only available to local employees and are generally government mandated. We have determined that these pension plans are not material for separate disclosure.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67"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Restructure and Asset Impairments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impairment of MIT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Loss on impairment of LED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restructure of ST consortium agreement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Gain on termination of lease to Transform</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from disposition of Japan Fabrication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order to optimize operations, improve efficiency and increase our focus on our core memory operations, we have entered into various restructure activities. For 2013, restructure and asset impairment charges of $20 million, $14 million, $12 million and $12 million were recorded by our SBU, EBU, MBU and CNBU operating segments. For 2012, restructure and asset impairment charges of $6 million and $2 million were recorded by our MBU and EBU operating segments and a gain of $1 million was recorded by our CNBU operating segment. For 2011, restructure and asset impairment gains of $25 million, $24 million, $23 million and $4 million were recorded by our SBU, CNBU, MBU and EBU operating segments. Our other segments that do not meet the quantitative thresholds of a reportable segment are reported under All Other and recorded the remaining restructure and asset impairment charges. (See "Segments" note.) As of August 29, 2013, we had accrued $12 million for unpaid other restructure activities related to our workforce optimization activity. As of August 29, 2013, we do not anticipate incurring any significant additional costs for these restructure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Micron Technology Italia, S.r.l. ("MIT")</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May 3, 2013, we sold MIT, a wholly-owned subsidiary, including its 200mm wafer fabrication facility assets in Avezzano, Italy, to LFoundry. In exchange for the shares of MIT, we received consideration from LFoundry valued at $35 million, substantially all of which was under a 7-year, non-interest bearing term note. Under the terms of the agreements, we assigned to LFoundry our supply agreement with Aptina for CMOS image sensors manufactured at the Avezzano facility.</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assets and liabilities of MIT, and related imager inventories, were classified as held for sale in 2013 and we recorded an impairment loss of $62 million to write down the assets and liabilities to their estimated fair values. The fair values were determined primarily based on the estimated fair value of proceeds from the sale to LFoundry (Level 3 fair value measurement). The carrying values of the MIT assets and liabilities sold, after the effects of the write down,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99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Light-emitting Diode ("LED")</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2013, we discontinued the development activities of our LED operations. In connection therewith, we recognized a charge of $33 million primarily to write down certain production assets used in the development of LED technology to the expected proceeds from their sale. Fair value for these assets was based on quotations obtained from equipment dealers, which consider the remaining useful life and configuration of the equipment (Level 3 fair value measurement).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STMicroelectronics S.r.l. ("ST") Consortium Agreement</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In 2013, we restructured a consortium agreement with ST whereby certain assets and approximately 500 employees from our Agrate, Italy fabrication facility were transferred to ST. The consortium agreement supports the R&amp;D activities of us and ST and the manufacturing of semi-finished and advanced commercial semiconductor devices. In connection therewith, we recognized a restructure charge of $26 million for 2013, primarily from transfers of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 to Transform</w:t>
      </w:r>
    </w:p>
    <w:p>
      <w:pPr>
        <w:sectPr>
          <w:pgSz w:w="11900" w:h="16838" w:orient="portrait"/>
          <w:cols w:equalWidth="0" w:num="1">
            <w:col w:w="11420"/>
          </w:cols>
          <w:pgMar w:left="240" w:top="585"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5" w:right="239" w:bottom="1440" w:gutter="0" w:footer="0" w:header="0"/>
          <w:type w:val="continuous"/>
        </w:sectPr>
      </w:pPr>
    </w:p>
    <w:bookmarkStart w:id="77" w:name="page78"/>
    <w:bookmarkEnd w:id="77"/>
    <w:p>
      <w:pPr>
        <w:ind w:right="100" w:firstLine="324"/>
        <w:spacing w:after="0" w:line="277" w:lineRule="auto"/>
        <w:rPr>
          <w:sz w:val="20"/>
          <w:szCs w:val="20"/>
          <w:color w:val="auto"/>
        </w:rPr>
      </w:pPr>
      <w:r>
        <w:rPr>
          <w:rFonts w:ascii="Arial" w:cs="Arial" w:eastAsia="Arial" w:hAnsi="Arial"/>
          <w:sz w:val="18"/>
          <w:szCs w:val="18"/>
          <w:color w:val="auto"/>
        </w:rPr>
        <w:t>In May 2012, the Board of Directors of Transform approved a liquidation plan. In connection therewith, Transform terminated a lease to a portion of our manufacturing facilities in Boise, Idaho and we recognized a gain of $25 million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 Fabrication Facility</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June 2, 2011, we sold our wafer fabrication facility in Japan (the "Japan Fab") to Tower Semiconductor Ltd. ("Tower"). Under the arrangement, Tower paid $40 million in cash, approximately 1.3 million ordinary shares of Tower (subsequent to a 1 for 15 reverse stock split on August 6, 2012), and $20 million in installment payments, which we received in 2012. The net carrying value of assets sold and liabilities transferred to Tower on the transaction date prior to the effects of the transaction was $23 million and we recorded a gain of $54 million (net of transaction costs of $3 million) in connection with the sale of the Japan Fab. We also recorded a tax provision of $74 million related to the gain on the sale and to write down certain deferred tax assets associated with the Japan Fab. In connection with the sale of the Japan Fab, we entered into a supply agreement for Tower to manufacture products for us in the facility through approximately May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Restructure and Asset Impairment Activities</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order to improve efficiency, labor productivity and competitiveness, we initiated certain limited activities for workforce optimization in 2013. In connection therewith, we incurred charges of $17 million for severance and other employee-related costs in 2013.</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September 2013, we entered into an agreement to sell our 200mm wafer fabrication equipment in Kiryat Gat, Israel to Intel and to terminate the related facility lease with Intel. Through a series of arrangements, Intel will continue to manufacture wafers for us through 2014. We recognized an impairment charge of $14 million in 2013 to write down the value of these assets to their estimated fair values. The fair value of $38 million was determined primarily based on the expected proceeds of the sale and the fair value of a supply agreement to manufacture NOR flash memory at the facility (Level 3 fair value measurement).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loss on disposition of property, plant and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Samsung patent cross-license agreement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 2011, we entered into a 10-year patent cross-license agreement with Samsung Electronics Co. Ltd. ("Samsung"). Other operating income for 2011 included gains of $275 million for cash received from Samsung under the agreement. The license is a life-of-patents license for existing patents and applications, and a 10-year term license for all other patents.</w:t>
      </w:r>
    </w:p>
    <w:p>
      <w:pPr>
        <w:spacing w:after="0" w:line="19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Other operating expense for 2012 included $17 million from the termination of a lease with IMFT, and a charge of $10 million to write off a receivable in connection with resolution of certain prior year tax matters.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auto"/>
        </w:rPr>
        <w:t>Other Non-Operating Income (Expense), Net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(loss) from changes in currency exchange rates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(loss) from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Gain from issuance of Inotera shares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Loss on extinguishment of debt for 2013 resulted from the early repurchase of a portion of our 2014 Notes. Loss on extinguishment of debt for 2011 included $111 million recognized in connection with a series of debt restructure transactions with certain holders of our convertible notes. (See "Debt" note.)</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Other non-operating income for 2011 included $15 million for the termination of our debt guarantee obligation that we recorded in connection with our acquisition of Numonyx.</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ind w:left="40"/>
              <w:spacing w:after="0"/>
              <w:rPr>
                <w:sz w:val="20"/>
                <w:szCs w:val="20"/>
                <w:color w:val="auto"/>
              </w:rPr>
            </w:pPr>
            <w:r>
              <w:rPr>
                <w:rFonts w:ascii="Arial" w:cs="Arial" w:eastAsia="Arial" w:hAnsi="Arial"/>
                <w:sz w:val="18"/>
                <w:szCs w:val="18"/>
                <w:color w:val="auto"/>
                <w:w w:val="98"/>
              </w:rPr>
              <w:t>Income (loss) before taxes, net income attributable to noncontrolling interests and equity in net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income (loss) of equity method investees: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U.S. federal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Deferred:</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7440" w:type="dxa"/>
            <w:vAlign w:val="bottom"/>
            <w:gridSpan w:val="2"/>
          </w:tcPr>
          <w:p>
            <w:pPr>
              <w:ind w:left="5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6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4" w:right="23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color w:val="auto"/>
        </w:rPr>
        <w:t>Income tax (provision) benefit computed using the U.S. federal statutory rate reconciled to income tax (provision) benefit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income tax (provision) benefit at statutory rate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5"/>
              </w:rPr>
              <w:t>(373)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Transaction costs to acquire Elpida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Gain on acquisition of Elpida</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Tax credits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Debt repurchase premium</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57"/>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bases of assets and liabilities for financial reporting and income tax purposes. Deferred tax assets and liabilities consist of the following as of the end of the periods shown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operating loss and credit carryforwards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w:t>
            </w:r>
          </w:p>
        </w:tc>
      </w:tr>
      <w:tr>
        <w:trPr>
          <w:trHeight w:val="243"/>
        </w:trPr>
        <w:tc>
          <w:tcPr>
            <w:tcW w:w="8800" w:type="dxa"/>
            <w:vAlign w:val="bottom"/>
            <w:gridSpan w:val="2"/>
          </w:tcPr>
          <w:p>
            <w:pPr>
              <w:ind w:left="20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Accrued salaries, wages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8800" w:type="dxa"/>
            <w:vAlign w:val="bottom"/>
            <w:gridSpan w:val="2"/>
          </w:tcPr>
          <w:p>
            <w:pPr>
              <w:ind w:left="200"/>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37"/>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Gross deferred tax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37"/>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Deferred tax assets, net of valuation allowance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8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8800" w:type="dxa"/>
            <w:vAlign w:val="bottom"/>
            <w:gridSpan w:val="2"/>
          </w:tcPr>
          <w:p>
            <w:pPr>
              <w:ind w:left="200"/>
              <w:spacing w:after="0"/>
              <w:rPr>
                <w:sz w:val="20"/>
                <w:szCs w:val="20"/>
                <w:color w:val="auto"/>
              </w:rPr>
            </w:pPr>
            <w:r>
              <w:rPr>
                <w:rFonts w:ascii="Arial" w:cs="Arial" w:eastAsia="Arial" w:hAnsi="Arial"/>
                <w:sz w:val="18"/>
                <w:szCs w:val="18"/>
                <w:color w:val="auto"/>
              </w:rPr>
              <w:t>Unremitted earnings on certain subsidiaries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Product and process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88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91"/>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00"/>
              <w:spacing w:after="0"/>
              <w:rPr>
                <w:sz w:val="20"/>
                <w:szCs w:val="20"/>
                <w:color w:val="auto"/>
              </w:rPr>
            </w:pPr>
            <w:r>
              <w:rPr>
                <w:rFonts w:ascii="Arial" w:cs="Arial" w:eastAsia="Arial" w:hAnsi="Arial"/>
                <w:sz w:val="18"/>
                <w:szCs w:val="18"/>
                <w:color w:val="auto"/>
              </w:rPr>
              <w:t>Current deferred tax assets (included in 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Noncurrent 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8800" w:type="dxa"/>
            <w:vAlign w:val="bottom"/>
            <w:gridSpan w:val="2"/>
          </w:tcPr>
          <w:p>
            <w:pPr>
              <w:ind w:left="200"/>
              <w:spacing w:after="0"/>
              <w:rPr>
                <w:sz w:val="20"/>
                <w:szCs w:val="20"/>
                <w:color w:val="auto"/>
              </w:rPr>
            </w:pPr>
            <w:r>
              <w:rPr>
                <w:rFonts w:ascii="Arial" w:cs="Arial" w:eastAsia="Arial" w:hAnsi="Arial"/>
                <w:sz w:val="18"/>
                <w:szCs w:val="18"/>
                <w:color w:val="auto"/>
              </w:rPr>
              <w:t>Current deferred tax liabilities (included in accounts payable and accrued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Noncurrent deferred tax liabilities (included in 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valuation allowance is based on our assessment that it is more likely than not that certain deferred tax assets will not be realized. We have a valuation allowance against substantially all U.S. net deferred tax assets as well as $1.5 billion related to our foreign subsidiaries. Elpida represents $912 million of the net deferred tax assets.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84" w:right="239" w:bottom="1440" w:gutter="0" w:footer="0" w:header="0"/>
          <w:type w:val="continuous"/>
        </w:sectPr>
      </w:pPr>
    </w:p>
    <w:bookmarkStart w:id="80" w:name="page81"/>
    <w:bookmarkEnd w:id="80"/>
    <w:p>
      <w:pPr>
        <w:ind w:right="180" w:firstLine="324"/>
        <w:spacing w:after="0" w:line="312" w:lineRule="auto"/>
        <w:rPr>
          <w:sz w:val="20"/>
          <w:szCs w:val="20"/>
          <w:color w:val="auto"/>
        </w:rPr>
      </w:pPr>
      <w:r>
        <w:rPr>
          <w:rFonts w:ascii="Arial" w:cs="Arial" w:eastAsia="Arial" w:hAnsi="Arial"/>
          <w:sz w:val="16"/>
          <w:szCs w:val="16"/>
          <w:color w:val="auto"/>
        </w:rPr>
        <w:t>As of August 29, 2013, our federal and state net operating loss carryforwards were $4.2 billion and $2.2 billion, respectively. If not utilized our federal and state net operating loss carryforwards will expire at various dates through 2033. As of August 29, 2013, our federal and state tax credit carryforwards were $238 million and $203 million, respectively. If not utilized our federal and state tax credit carryforwards will expire at various dates through 2033.</w:t>
      </w:r>
    </w:p>
    <w:p>
      <w:pPr>
        <w:spacing w:after="0" w:line="14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 of August 29, 2013, our foreign net operating loss carryforwards were $7.0 billion, of which $5.9 billion pertains to Elpida. Our foreign net operating loss carryforwards will expire at various dates through 2023. We have placed a valuation allowance against $4.7 billion of these foreign net operating loss carryforwards, of which $3.8 billion pertains to Elpida. This partial valuation allowance against foreign net operating loss carryforwards, which is primarily attributable to Elpida, results from our current projections of taxable income, being more likely than not, insufficient to utilize the full amount of the net operating loss deferred tax assets.</w:t>
      </w:r>
    </w:p>
    <w:p>
      <w:pPr>
        <w:spacing w:after="0" w:line="18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approximately $67 million of net tax benefits related to excess stock compensation benefits, which are not recorded as deferred tax assets. These excess stock compensation benefits will be credited to additional paid-in capital when recognized. We use the "with and without" method, as described in ASC 740, for purposes of determining when excess tax benefits have been realized.</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changes in valuation allowance of $1,693 million and $315 million in 2013 and 2012, respectively, are primarily due to uncertainties of realizing certain U.S. and foreign net operating losses and certain tax credit carryforwards. Elpida represents $1,292 million of the change in the valuation allowance during 2013.</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Remaining undistributed earnings of $1.8 billion as of August 29, 2013 have been indefinitely reinvested; therefore, no provision has been made for taxes due upon remittance of these earnings. Determination of the amount of unrecognized deferred tax liability on these unremitted earnings is not practicable.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the beginning and ending amount of unrecognized tax benefits: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unrecognized tax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Settlements with tax authorities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Decreases related to tax positions from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increases (decreases) to tax positions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related to tax positions taken during 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related to tax positions from prior years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Unrecognized tax benefits acquired in current year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Ending unrecognized tax benefits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Included in the unrecognized tax benefits balance as of August 29, 2013, August 30, 2012 and September 1, 2011 were $63 million, $66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$113 million, respectively, of unrecognized income tax benefits, which if recognized, would affect our effective tax rate. We recognize interest and penalties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income tax matters within income tax expense. As of August 29, 2013, August 30, 2012 and September 1, 2011, accrued interest and penalties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uncertain tax positions was $16 million, $12 million and $16 million, respectively.</w:t>
      </w:r>
    </w:p>
    <w:p>
      <w:pPr>
        <w:spacing w:after="0" w:line="211"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We are unable to reasonably estimate possible increases or decreases in uncertain tax positions that may occur within the next 12 months due to the uncertainty of the timing of the resolution and/or closure on audits. However, we do not anticipate any such change would be significant.</w:t>
      </w:r>
    </w:p>
    <w:p>
      <w:pPr>
        <w:spacing w:after="0" w:line="12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currently operate in several tax jurisdictions where we have arrangements that allow us to compute our tax provision at rates below the local statutory rates that expire in whole or in part at various dates through 2026. These arrangements benefitted our tax provision in 2013, 2012 and 2011 by $141 million ($0.13 per diluted share), $52 million ($0.05 per diluted share) and $72 million ($0.07 per diluted share),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81" w:name="page82"/>
    <w:bookmarkEnd w:id="81"/>
    <w:p>
      <w:pPr>
        <w:ind w:right="180" w:firstLine="324"/>
        <w:spacing w:after="0" w:line="276" w:lineRule="auto"/>
        <w:rPr>
          <w:sz w:val="20"/>
          <w:szCs w:val="20"/>
          <w:color w:val="auto"/>
        </w:rPr>
      </w:pPr>
      <w:r>
        <w:rPr>
          <w:rFonts w:ascii="Arial" w:cs="Arial" w:eastAsia="Arial" w:hAnsi="Arial"/>
          <w:sz w:val="17"/>
          <w:szCs w:val="17"/>
          <w:color w:val="auto"/>
        </w:rPr>
        <w:t>We and our subsidiaries file income tax returns with the U.S. federal government, various U.S. states and various foreign jurisdictions throughout the world. Our federal and state tax returns remain open to examination for 2009 through 2013. In addition, tax years open to examination in multiple foreign taxing jurisdictions range from 2005 to 2013. We are currently under examination in various taxing jurisdictions in which we conduct business operations. We believe that adequate amounts of taxes and related interest and penalties have been provided for, and any adjustments as a result of the examinations are not expected to materially adversely affect our business, results of operations or financial condition.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available to Micron shareholders – 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effect of dilutive equity awards, convertible notes and escrow shares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1,007.5</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Listed below are the potential common shares, as of the end of the periods shown, that could dilute basic earnings per share in the future that were not included in the computation of diluted earnings per share because to do so would have been antidilutive: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Employee stock plans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r>
      <w:tr>
        <w:trPr>
          <w:trHeight w:val="24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182.7</w:t>
            </w:r>
          </w:p>
        </w:tc>
      </w:tr>
    </w:tbl>
    <w:p>
      <w:pPr>
        <w:spacing w:after="0" w:line="226" w:lineRule="exact"/>
        <w:rPr>
          <w:sz w:val="20"/>
          <w:szCs w:val="20"/>
          <w:color w:val="auto"/>
        </w:rPr>
      </w:pPr>
    </w:p>
    <w:p>
      <w:pPr>
        <w:ind w:right="180" w:firstLine="324"/>
        <w:spacing w:after="0" w:line="263" w:lineRule="auto"/>
        <w:rPr>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ur 2027 Notes, 2031 Notes and 2033 Notes contain terms that upon conversion require us to settle the aggregate principal amount in cash and the</w:t>
      </w:r>
      <w:r>
        <w:rPr>
          <w:rFonts w:ascii="Arial" w:cs="Arial" w:eastAsia="Arial" w:hAnsi="Arial"/>
          <w:sz w:val="20"/>
          <w:szCs w:val="20"/>
          <w:color w:val="auto"/>
        </w:rPr>
        <w:t xml:space="preserve"> </w:t>
      </w:r>
      <w:r>
        <w:rPr>
          <w:rFonts w:ascii="Arial" w:cs="Arial" w:eastAsia="Arial" w:hAnsi="Arial"/>
          <w:sz w:val="18"/>
          <w:szCs w:val="18"/>
          <w:color w:val="auto"/>
        </w:rPr>
        <w:t>remainder of our conversion obligation amount in either shares of our common stock or cash, at our election. Our 2014 Notes and 2032 Notes contain terms that upon conversion provide us the option to pay cash, issue shares of common stock or any combination thereof for the aggregate amount due. It is our current intent to settle the principal amount of the 2014 Notes and 2032 Notes in cash upon conversion. As a result of these conversion terms, the 279.8 million shares underlying the 2014 Notes, 2027 Notes, 2031 Notes, 2032 Notes and 2033 Notes are considered in diluted earnings per share under the treasury stock method. (See "Debt" note.)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Variable Interest Entities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 Flash</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partnered with Intel to form IMFT in 2006 and IMFS in 2007 to manufacture NAND Flash memory products for the exclusive use of the members. IMFT (and IMFS prior to April 6, 2012) is governed by a Board of Managers. The number of managers appointed by each member to the board varies based on the members' respective ownership interests. The members' ownership percentage is based on contributions to the partnership. We have owned 51% of IMFT from inception through August 29, 2013. Our ownership percentage of IMFS had increased from 51% at inception to 82% as of April 6, 2012 due to a series of contributions by us that were not fully matched by Intel.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82" w:name="page83"/>
    <w:bookmarkEnd w:id="82"/>
    <w:p>
      <w:pPr>
        <w:ind w:right="80" w:firstLine="324"/>
        <w:spacing w:after="0" w:line="276" w:lineRule="auto"/>
        <w:rPr>
          <w:sz w:val="20"/>
          <w:szCs w:val="20"/>
          <w:color w:val="auto"/>
        </w:rPr>
      </w:pPr>
      <w:r>
        <w:rPr>
          <w:rFonts w:ascii="Arial" w:cs="Arial" w:eastAsia="Arial" w:hAnsi="Arial"/>
          <w:sz w:val="17"/>
          <w:szCs w:val="17"/>
          <w:color w:val="auto"/>
        </w:rPr>
        <w:t>On April 6, 2012, we entered into a series of agreements with Intel to restructure IM Flash. We acquired Intel's remaining 18% interest in IMFS for $466 million. In addition, we acquired IMFT's assets located at our Virginia wafer fabrication facility, for which Intel received a distribution from IMFT of $139 million. For both transactions, the amounts Intel received approximated the book values of Intel's interests in the assets acquired. Additionally, we received a $300 million deposit from Intel which may be applied either to Intel's purchases of NAND Flash under a supply agreement or, under certain circumstances, refunded. As of August 29, 2013, $134 million of the deposit remained to be applied or refunded.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agreements also provided for the following:</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the scope of the IMFT joint venture to include certain emerging memory technologies;</w:t>
      </w:r>
    </w:p>
    <w:p>
      <w:pPr>
        <w:spacing w:after="0" w:line="23"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supply of NAND Flash memory products and certain emerging memory products to Intel on a cost-plus basis and termination of IMFS's supply agreement with us and Intel;</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extension of IMFT's joint venture agreement through 2024;</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buy-sell rights, commencing in 2015, pursuant to which Intel may elect to sell to us, or we may elect to purchase from Intel, Intel’s interest in IMFT (if Intel so elects, we would set the closing date of the transaction within two years following such election and could elect to receive financing from Intel for one to two years);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financing of $65 million provided by Intel to us under a two-year senior unsecured promissory note, payable with interest in approximately equal quarterly installments (as of August 29, 2013, $25 million of the note was outstanding); and</w:t>
      </w:r>
    </w:p>
    <w:p>
      <w:pPr>
        <w:ind w:left="660" w:right="22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of IMFT's lease to use approximately 50% of our Virginia fabrication facility, which resulted in a charge to other operating expense of $17 million in 2012.</w:t>
      </w:r>
    </w:p>
    <w:p>
      <w:pPr>
        <w:spacing w:after="0" w:line="18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IM Flash's distributions to and contributions from its members ("IM Flash" includes both IMFT and IMFS for all periods prior to April 6, 2012 and includes only IMFT for the period after April 6, 2012):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IM Flash distributions to Micron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IM Flash distributions to Intel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Micron contributions to IM Flash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43"/>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Intel contributions to IM Flash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IM Flash sells products to the joint venture members generally in proportion to their ownership interests at long-term negotiated prices approximating cost. Due to the changes in ownership, our share of IMFS output grew from 51% in the first quarter of 2011 to 78% in the second quarter of 2012. As a result of our restructuring of IM Flash on April 6, 2012, Intel has no continuing rights to the output from the IMFS and Virginia facilities. Intel continues to receive output from IMFT in proportion to its ownership interest at long-term negotiated prices approximating cost and, subsequent to April 6, 2012, also purchases NAND Flash products from us under a cost-plus supply arrangement. Aggregate sales of NAND Flash products to Intel (including sales by IMFT at prices approximating cost and sales by us under the cost-plus supply agreement) were $849 million, $986 million and $884 million for 2013, 2012 and 2011, respectively. Receivables from Intel for sales of NAND Flash products as of August 29, 2013 and August 30, 2012, were $198 million and $103 million, respectively.</w:t>
      </w:r>
    </w:p>
    <w:p>
      <w:pPr>
        <w:spacing w:after="0" w:line="192"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As a result of changes to the timing of the passage of title in the IMFT supply agreement with Intel, effective April 6, 2012, sales are now recognized upon completion of wafer fabrication, rather than after backend assembly and test are completed. As a result, we sold $97 million of backend inventories, which generated a one-time increase in NAND sales and reduction in work in process inventories in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83" w:name="page84"/>
    <w:bookmarkEnd w:id="83"/>
    <w:p>
      <w:pPr>
        <w:ind w:left="340"/>
        <w:spacing w:after="0"/>
        <w:rPr>
          <w:sz w:val="20"/>
          <w:szCs w:val="20"/>
          <w:color w:val="auto"/>
        </w:rPr>
      </w:pPr>
      <w:r>
        <w:rPr>
          <w:rFonts w:ascii="Arial" w:cs="Arial" w:eastAsia="Arial" w:hAnsi="Arial"/>
          <w:sz w:val="17"/>
          <w:szCs w:val="17"/>
          <w:color w:val="auto"/>
        </w:rPr>
        <w:t>The following table presents the assets and liabilities of IMFT included in our consolidated balance sheets, excluding intercompany balances: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97"/>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1,685</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Deferred income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purchase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5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8890</wp:posOffset>
            </wp:positionV>
            <wp:extent cx="1946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-130175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Our ability to access IMFT's cash and other assets through cash dividends, loans or advances, including to finance our other operations, is subject to agreement by Intel. Creditors of IMFT have recourse only to its assets and do not have recourse to any other of our assets.</w:t>
      </w:r>
    </w:p>
    <w:p>
      <w:pPr>
        <w:spacing w:after="0" w:line="1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IM Flash manufactures NAND Flash memory products using designs and technology we develop with Intel. We generally share product design and other NAND Flash R&amp;D costs with Intel. The April 6, 2012 agreements with Intel expanded our NAND Flash R&amp;D cost-sharing agreement with Intel to include certain emerging memory technologies, but did not change the cost-sharing percentage. R&amp;D expenses were reduced by reimbursements from Intel of $127 million, $87 million and $95 million for 2013, 2012 and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MP Mask</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2006, we formed a joint venture with Photronics to produce photomasks for leading-edge and advanced next generation semiconductors. At inception and through August 29, 2013, we owned 50.01% and Photronics owned 49.99% of MP Mask. We contributed $21 million to MP Mask and Photronics contributed $20 million to MP Mask in 2012. In connection with the formation of the joint venture, we received $72 million in 2006 in exchange for entering into a license agreement with Photronics, which is being recognized over the term of the 10-year agreement. Deferred income and other noncurrent liabilities included an aggregate of $19 million and $26 million as of August 29, 2013 and August 30, 2012, respectively, related to this agreement. We purchase a substantial majority of the reticles produced by MP Mask pursuant to a supply arrangement.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MP Mask assets and liabilities included in our consolidated balance sheets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2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Noncurrent assets (primarily property, plant and equipment)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61"/>
        </w:trPr>
        <w:tc>
          <w:tcPr>
            <w:tcW w:w="8240" w:type="dxa"/>
            <w:vAlign w:val="bottom"/>
            <w:gridSpan w:val="2"/>
          </w:tcPr>
          <w:p>
            <w:pPr>
              <w:jc w:val="right"/>
              <w:ind w:right="235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84" w:name="page85"/>
    <w:bookmarkEnd w:id="84"/>
    <w:p>
      <w:pPr>
        <w:ind w:left="340"/>
        <w:spacing w:after="0"/>
        <w:rPr>
          <w:sz w:val="20"/>
          <w:szCs w:val="20"/>
          <w:color w:val="auto"/>
        </w:rPr>
      </w:pPr>
      <w:r>
        <w:rPr>
          <w:rFonts w:ascii="Arial" w:cs="Arial" w:eastAsia="Arial" w:hAnsi="Arial"/>
          <w:sz w:val="18"/>
          <w:szCs w:val="18"/>
          <w:color w:val="auto"/>
        </w:rPr>
        <w:t>Creditors of MP Mask have recourse only to the assets of MP Mask and do not have recourse to any other of our assets.</w:t>
      </w:r>
    </w:p>
    <w:p>
      <w:pPr>
        <w:spacing w:after="0" w:line="225"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Through February 24, 2012, we leased to Photronics a facility to produce photomasks under an operating lease. On February 24, 2012, we sold the facility to Photronics for $35 million. The proceeds were equal to our net carrying value and no gain or loss was realized from the sale.</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Information</w:t>
      </w:r>
    </w:p>
    <w:p>
      <w:pPr>
        <w:spacing w:after="0" w:line="21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the third quarter of 2014, we reorganized our business units. All prior period amounts reflect this reorganization. Factors used to identify our segments include, among others, markets, customers and products. Segment information reported herein is consistent with how it is reviewed and evaluated by our chief operating decision makers. We have the following four reportable segments:</w:t>
      </w:r>
    </w:p>
    <w:p>
      <w:pPr>
        <w:spacing w:after="0" w:line="181" w:lineRule="exact"/>
        <w:rPr>
          <w:sz w:val="20"/>
          <w:szCs w:val="20"/>
          <w:color w:val="auto"/>
        </w:rPr>
      </w:pPr>
    </w:p>
    <w:p>
      <w:pPr>
        <w:ind w:left="660" w:right="240" w:hanging="323"/>
        <w:spacing w:after="0" w:line="258" w:lineRule="auto"/>
        <w:rPr>
          <w:sz w:val="20"/>
          <w:szCs w:val="20"/>
          <w:color w:val="auto"/>
        </w:rPr>
      </w:pPr>
      <w:r>
        <w:rPr>
          <w:rFonts w:ascii="Arial" w:cs="Arial" w:eastAsia="Arial" w:hAnsi="Arial"/>
          <w:sz w:val="18"/>
          <w:szCs w:val="18"/>
          <w:b w:val="1"/>
          <w:bCs w:val="1"/>
          <w:i w:val="1"/>
          <w:iCs w:val="1"/>
          <w:color w:val="auto"/>
        </w:rPr>
        <w:t xml:space="preserve">Compute and Networking Business Unit ("CNBU"): </w:t>
      </w:r>
      <w:r>
        <w:rPr>
          <w:rFonts w:ascii="Arial" w:cs="Arial" w:eastAsia="Arial" w:hAnsi="Arial"/>
          <w:sz w:val="18"/>
          <w:szCs w:val="18"/>
          <w:color w:val="auto"/>
        </w:rPr>
        <w:t>Includes DRAM and NOR Flash products sold to the compute, networking, graphics, and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server markets, as well as NAND Flash products sold primarily into the networking market.</w:t>
      </w:r>
    </w:p>
    <w:p>
      <w:pPr>
        <w:spacing w:after="0" w:line="1" w:lineRule="exact"/>
        <w:rPr>
          <w:sz w:val="20"/>
          <w:szCs w:val="20"/>
          <w:color w:val="auto"/>
        </w:rPr>
      </w:pPr>
    </w:p>
    <w:p>
      <w:pPr>
        <w:ind w:left="660" w:right="180" w:hanging="323"/>
        <w:spacing w:after="0" w:line="265" w:lineRule="auto"/>
        <w:rPr>
          <w:sz w:val="20"/>
          <w:szCs w:val="20"/>
          <w:color w:val="auto"/>
        </w:rPr>
      </w:pPr>
      <w:r>
        <w:rPr>
          <w:rFonts w:ascii="Arial" w:cs="Arial" w:eastAsia="Arial" w:hAnsi="Arial"/>
          <w:sz w:val="17"/>
          <w:szCs w:val="17"/>
          <w:b w:val="1"/>
          <w:bCs w:val="1"/>
          <w:i w:val="1"/>
          <w:iCs w:val="1"/>
          <w:color w:val="auto"/>
        </w:rPr>
        <w:t xml:space="preserve">Storage Business Unit ("SBU"): </w:t>
      </w:r>
      <w:r>
        <w:rPr>
          <w:rFonts w:ascii="Arial" w:cs="Arial" w:eastAsia="Arial" w:hAnsi="Arial"/>
          <w:sz w:val="17"/>
          <w:szCs w:val="17"/>
          <w:color w:val="auto"/>
        </w:rPr>
        <w:t>Includes NAND Flash components and Solid State Drives ("SSDs") sold into enterprise and client storage, and cloud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removable storage markets. SBU also includes NAND Flash products sold to Intel through our IMFT joint venture.</w:t>
      </w:r>
    </w:p>
    <w:p>
      <w:pPr>
        <w:ind w:left="660" w:right="60" w:hanging="323"/>
        <w:spacing w:after="0" w:line="250" w:lineRule="auto"/>
        <w:rPr>
          <w:sz w:val="20"/>
          <w:szCs w:val="20"/>
          <w:color w:val="auto"/>
        </w:rPr>
      </w:pPr>
      <w:r>
        <w:rPr>
          <w:rFonts w:ascii="Arial" w:cs="Arial" w:eastAsia="Arial" w:hAnsi="Arial"/>
          <w:sz w:val="18"/>
          <w:szCs w:val="18"/>
          <w:b w:val="1"/>
          <w:bCs w:val="1"/>
          <w:i w:val="1"/>
          <w:iCs w:val="1"/>
          <w:color w:val="auto"/>
        </w:rPr>
        <w:t xml:space="preserve">Embedded Business Unit ("EBU"): </w:t>
      </w:r>
      <w:r>
        <w:rPr>
          <w:rFonts w:ascii="Arial" w:cs="Arial" w:eastAsia="Arial" w:hAnsi="Arial"/>
          <w:sz w:val="18"/>
          <w:szCs w:val="18"/>
          <w:color w:val="auto"/>
        </w:rPr>
        <w:t>Includes DRAM, NAND Flash and NOR Flash products sold into automotive and industrial applications,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connected home and consumer electronics markets.</w:t>
      </w:r>
    </w:p>
    <w:p>
      <w:pPr>
        <w:spacing w:after="0" w:line="1" w:lineRule="exact"/>
        <w:rPr>
          <w:sz w:val="20"/>
          <w:szCs w:val="20"/>
          <w:color w:val="auto"/>
        </w:rPr>
      </w:pPr>
    </w:p>
    <w:p>
      <w:pPr>
        <w:ind w:left="660" w:right="340" w:hanging="323"/>
        <w:spacing w:after="0" w:line="261" w:lineRule="auto"/>
        <w:rPr>
          <w:sz w:val="20"/>
          <w:szCs w:val="20"/>
          <w:color w:val="auto"/>
        </w:rPr>
      </w:pPr>
      <w:r>
        <w:rPr>
          <w:rFonts w:ascii="Arial" w:cs="Arial" w:eastAsia="Arial" w:hAnsi="Arial"/>
          <w:sz w:val="18"/>
          <w:szCs w:val="18"/>
          <w:b w:val="1"/>
          <w:bCs w:val="1"/>
          <w:i w:val="1"/>
          <w:iCs w:val="1"/>
          <w:color w:val="auto"/>
        </w:rPr>
        <w:t xml:space="preserve">Mobile Business Unit ("MBU"): </w:t>
      </w:r>
      <w:r>
        <w:rPr>
          <w:rFonts w:ascii="Arial" w:cs="Arial" w:eastAsia="Arial" w:hAnsi="Arial"/>
          <w:sz w:val="18"/>
          <w:szCs w:val="18"/>
          <w:color w:val="auto"/>
        </w:rPr>
        <w:t>Includes DRAM, NAND Flash, and NOR Flash products sold to the smartphone, feature phone, and tablet mobile-device markets.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other operations do not meet the thresholds of a reportable segment and are reported under All Other.</w:t>
      </w:r>
    </w:p>
    <w:p>
      <w:pPr>
        <w:spacing w:after="0" w:line="225"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Certain operating expenses directly associated with the activities of a specific reportable segment are charged to that segment. Other indirect operating expenses (income) are generally allocated to the reportable segments based on their respective percentage of cost of goods sold or forecasted wafer production. In 2013, we reclassified the (gains) losses from changes in currency exchange rates from other operating (income) expense, net to other non-operating income (expense), net in the consolidated statements of income. As a result, the (gains) losses from changes in currency exchange rates have been reclassified out of operating income (loss) for our segments for 2012 and 2011.</w:t>
      </w:r>
    </w:p>
    <w:p>
      <w:pPr>
        <w:spacing w:after="0" w:line="173"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do not identify or report internally our assets or capital expenditures by segment, nor do we allocate gains and losses from equity method investments, interest, other non-operating income or expense items or taxes to operating segments. There are no differences in the accounting policies for segment reporting and our consolidated results of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CNBU</w:t>
            </w:r>
          </w:p>
        </w:tc>
        <w:tc>
          <w:tcPr>
            <w:tcW w:w="33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SBU</w:t>
            </w:r>
          </w:p>
        </w:tc>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2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MBU</w:t>
            </w:r>
          </w:p>
        </w:tc>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304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8,788</w:t>
            </w:r>
          </w:p>
        </w:tc>
        <w:tc>
          <w:tcPr>
            <w:tcW w:w="0" w:type="dxa"/>
            <w:vAlign w:val="bottom"/>
          </w:tcPr>
          <w:p>
            <w:pPr>
              <w:spacing w:after="0"/>
              <w:rPr>
                <w:sz w:val="1"/>
                <w:szCs w:val="1"/>
                <w:color w:val="auto"/>
              </w:rPr>
            </w:pPr>
          </w:p>
        </w:tc>
      </w:tr>
      <w:tr>
        <w:trPr>
          <w:trHeight w:val="67"/>
        </w:trPr>
        <w:tc>
          <w:tcPr>
            <w:tcW w:w="372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720" w:type="dxa"/>
            <w:vAlign w:val="bottom"/>
            <w:shd w:val="clear" w:color="auto" w:fill="CCEEFF"/>
          </w:tcPr>
          <w:p>
            <w:pPr>
              <w:spacing w:after="0"/>
              <w:rPr>
                <w:sz w:val="24"/>
                <w:szCs w:val="24"/>
                <w:color w:val="auto"/>
              </w:rPr>
            </w:pPr>
          </w:p>
        </w:tc>
        <w:tc>
          <w:tcPr>
            <w:tcW w:w="2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CNBU</w:t>
            </w:r>
          </w:p>
        </w:tc>
        <w:tc>
          <w:tcPr>
            <w:tcW w:w="33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SBU</w:t>
            </w:r>
          </w:p>
        </w:tc>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2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MBU</w:t>
            </w:r>
          </w:p>
        </w:tc>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304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vMerge w:val="restart"/>
          </w:tcPr>
          <w:p>
            <w:pPr>
              <w:jc w:val="right"/>
              <w:ind w:right="75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 expense was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9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CNBU</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SBU</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MBU</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37"/>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 expense included in operating income (loss)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57"/>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Total depreciation and amortization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2,162</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Sales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DRAM</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NAND Flash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 Flash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Concentrations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60" w:type="dxa"/>
            <w:vAlign w:val="bottom"/>
            <w:gridSpan w:val="2"/>
          </w:tcPr>
          <w:p>
            <w:pPr>
              <w:ind w:left="320"/>
              <w:spacing w:after="0"/>
              <w:rPr>
                <w:sz w:val="20"/>
                <w:szCs w:val="20"/>
                <w:color w:val="auto"/>
              </w:rPr>
            </w:pPr>
            <w:r>
              <w:rPr>
                <w:rFonts w:ascii="Arial" w:cs="Arial" w:eastAsia="Arial" w:hAnsi="Arial"/>
                <w:sz w:val="18"/>
                <w:szCs w:val="18"/>
                <w:color w:val="auto"/>
                <w:w w:val="98"/>
              </w:rPr>
              <w:t>Market concentrations as a percent of net sales were approximately as follows: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78"/>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4"/>
                <w:szCs w:val="24"/>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r>
      <w:tr>
        <w:trPr>
          <w:trHeight w:val="27"/>
        </w:trPr>
        <w:tc>
          <w:tcPr>
            <w:tcW w:w="6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Computing (including desktop PCs, servers, notebooks and workstations)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Mobile</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Consumer electronics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Solid state drives</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Networking and storage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Customer concentrations included net sales to Intel of 10%, 12% and 10% for 2013, 2012 and 2011, respectively and net sales to Hewlett-Packard Company ("HP") of 10% in 2013. Substantially all of our sales to Intel are included in the SBU segment and substantially all of our sales to HP are included in the CNBU and SBU segments.</w:t>
      </w:r>
    </w:p>
    <w:p>
      <w:pPr>
        <w:spacing w:after="0" w:line="181"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Certain of the raw materials and production equipment we use in manufacturing semiconductor products are available from multiple sources and in sufficient supply; however, only a limited number of suppliers are capable of delivering certain raw materials that meet our standards. In some cases, materials are provided by a single supplier.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86" w:name="page87"/>
    <w:bookmarkEnd w:id="86"/>
    <w:p>
      <w:pPr>
        <w:ind w:firstLine="324"/>
        <w:spacing w:after="0" w:line="253"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money market accounts, certificates of deposit, fixed-rate debt securities, trade receivables and derivative contracts. We invest through high-credit-quality financial institutions and, by policy, generally limit the concentration of credit exposure by restricting investments with any single obligor. A concentration of credit risk may exist with respect to receivables as a substantial portion of our customers are affiliated with the computing industry. We perform ongoing credit evaluations of customers worldwide and generally do not require collateral from our customers. Historically, we have not experienced significant losses on receivables. A concentration of risk may also exist with respect to derivatives as the number of counterparties to our currency and interest rate swap hedges is limited and the notional amount is relatively large. We seek to mitigate such risk by limiting our counterparties to major financial institutions. The 2031 Capped Calls, 2032 Capped Calls and 2033 Capped Calls expose us to credit risk to the extent the counterparties may be unable to meet the terms of the agreements. We seek to mitigate such risk by limiting our counterparties to major financial institutions and by spreading the risk across several major financial institutions. In addition, the potential risk of loss with any one counterparty resulting from this type of credit risk is monitored on an ongoing basis. (See "Shareholders' Equity – Capped Calls" note.)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Information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ind w:left="340"/>
              <w:spacing w:after="0"/>
              <w:rPr>
                <w:sz w:val="20"/>
                <w:szCs w:val="20"/>
                <w:color w:val="auto"/>
              </w:rPr>
            </w:pPr>
            <w:r>
              <w:rPr>
                <w:rFonts w:ascii="Arial" w:cs="Arial" w:eastAsia="Arial" w:hAnsi="Arial"/>
                <w:sz w:val="18"/>
                <w:szCs w:val="18"/>
                <w:color w:val="auto"/>
              </w:rPr>
              <w:t>Geographic net sales based on customer ship-to location were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Asia Pacific (excluding China, Taiwan and Malaysia)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Taiwan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8,788</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340"/>
              <w:spacing w:after="0"/>
              <w:rPr>
                <w:sz w:val="20"/>
                <w:szCs w:val="20"/>
                <w:color w:val="auto"/>
              </w:rPr>
            </w:pPr>
            <w:r>
              <w:rPr>
                <w:rFonts w:ascii="Arial" w:cs="Arial" w:eastAsia="Arial" w:hAnsi="Arial"/>
                <w:sz w:val="18"/>
                <w:szCs w:val="18"/>
                <w:color w:val="auto"/>
              </w:rPr>
              <w:t>Net property, plant and equipment by geographic area were as follows: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Singapore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3,487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China</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Israel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Fourth Quarter</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Second Quarter</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First Quarter</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Micron</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9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results of operations for the fourth quarter of 2013 include a gain of $1,484 million for the acquisition of Elpida. The fourth quarter of 2013 includes Elpida's results of operation from the July 31, 2013 acquisition date. (See "Acquisition of Elpida" note.)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results of operations for the fourth quarter of 2013 include a gain of $48 million from the issuance of shares by Inotera, which reduced our ownership interest from 39.7% to 35.5%. (See "Equity Method Investment - Inotera" note.)</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results of operations for the fourth, third, second and first quarters of 2013 include losses of $3 million, $47 million, $120 million and $58 million, respectively, for the Elpida Acquisition Hedges. (See "Derivatives - Elpida Acquisition Hedges" note.)</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2013 we took action to dispose of 200mm wafer manufacturing facilities and optimize operations including our workforce. The results of operations for the fourth, third and second quarters of 2013 include charges of $32 million, $55 million and $60 million, respectively, for the restructure and asset impairments. The results of operations for the first quarter of 2013 included a credit of $21 million for restructure activities. (See "Restructure and Asset Impairments" note.)</w:t>
      </w:r>
    </w:p>
    <w:p>
      <w:pPr>
        <w:spacing w:after="0" w:line="18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results of operations in the second quarter of 2013 included a loss of $31 million loss on extinguishment of debt. (See "Debt - Debt Restructure" note.)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Fourth Quarter</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Second Quarter</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First Quarter</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Micron</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9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As a result of the ongoing challenging global environment in the solar industry and unfavorable worldwide supply and demand conditions, on May 25, 2012, the Board of Directors of Transform approved a liquidation plan. As a result of the liquidation plan, we recognized a charge of $69 million in the third quarter of 2012. (See "Equity Method Investment - Other - Transform" note.)</w:t>
      </w:r>
    </w:p>
    <w:p>
      <w:pPr>
        <w:spacing w:after="0" w:line="18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On March 23, 2012, we entered into a settlement agreement with Oracle pursuant to which we agreed to make a payment of $58 million to Oracle for a settlement and full release of all claims and a dismissal with prejudice of their suit against us. The settlement amount was accrued and charged to operations in the second quarter of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88" w:name="page89"/>
    <w:bookmarkEnd w:id="88"/>
    <w:p>
      <w:pPr>
        <w:ind w:firstLine="324"/>
        <w:spacing w:after="0" w:line="277" w:lineRule="auto"/>
        <w:rPr>
          <w:sz w:val="20"/>
          <w:szCs w:val="20"/>
          <w:color w:val="auto"/>
        </w:rPr>
      </w:pPr>
      <w:r>
        <w:rPr>
          <w:rFonts w:ascii="Arial" w:cs="Arial" w:eastAsia="Arial" w:hAnsi="Arial"/>
          <w:sz w:val="18"/>
          <w:szCs w:val="18"/>
          <w:color w:val="auto"/>
        </w:rPr>
        <w:t>Income taxes for the third quarter of 2012 included a tax benefits of $42 million related to the favorable resolution of a certain prior year tax matter, which was previously reserved as an uncertain tax position.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240" w:top="800" w:right="6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Micron Technology, Inc.</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appearing under Item 8 present fairly, in all material respects, the financial position of Micron Technology, Inc. and its subsidiaries at August 29, 2013 and August 30, 2012, and the results of their operations and their cash flows for each of the three years in the period ended August 29, 2013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August 29, 2013,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(1992) </w:t>
      </w:r>
      <w:r>
        <w:rPr>
          <w:rFonts w:ascii="Arial" w:cs="Arial" w:eastAsia="Arial" w:hAnsi="Arial"/>
          <w:sz w:val="16"/>
          <w:szCs w:val="16"/>
          <w:color w:val="auto"/>
        </w:rPr>
        <w:t>issued by the Committee of Sponsoring Organizations of the Treadway Commission (COSO). The Company's management is responsible for these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(not presented herein) appearing under item 9A of the Company’s 2013 Annual Report on Form 10-K.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described in Management’s Report on Internal Control over Financial Reporting (not presented herein) appearing under item 9A of the Company’s 2013 Annual Report on Form 10-K, management has excluded Elpida Memory, Inc. (“Elpida”) and its subsidiaries, including Rexchip Electronics Corporation, from its assessment of internal control over financial reporting as of August 29, 2013 because it was acquired by the Company in a purchase business combination on July 31, 2013. We have also excluded Elpida and its subsidiaries from our audit of internal control over financial reporting. Elpida and its subsidiaries are consolidated entities whose total assets and total revenues represent 27% and 4%, respectively, of the related consolidated financial statement amounts as of and for the year ended August 29, 2013.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October 28, 2013, except with respect to our opinion on the consolidated financial statements insofar it relates to the effects of the change in reportable segments discussed in the Segment Information note, as to which the date is July 22, 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0" w:right="2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THE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September 1, 2011</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5,338</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37"/>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Gain on acquisition of Elpida</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 and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Equity in earnings (loss) of subsidiaries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net loss of equity method investees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Net income (loss) attributable to Micron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57"/>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Comprehensive income (loss) attributable to Micron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80"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THE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(in millions except par value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Notes and accounts receivable from subsidiaries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1,278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Investment in subsidiaries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4,722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Noncurrent notes receivable from and prepaid expenses to subsidiaries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97"/>
        </w:trPr>
        <w:tc>
          <w:tcPr>
            <w:tcW w:w="83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13,535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12,299</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Short-term debt and accounts payable to subsidiaries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2,781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Micron shareholders'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Common stock, $0.10 par value, 3,000 shares authorized, 1,044.4 shares issued and outstanding (1,017.7 as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of August 30, 2012)</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 equity</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7,598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Micron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7,700</w:t>
            </w:r>
          </w:p>
        </w:tc>
      </w:tr>
      <w:tr>
        <w:trPr>
          <w:trHeight w:val="25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12,299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796" w:right="239" w:bottom="1440" w:gutter="0" w:footer="0" w:header="0"/>
          <w:type w:val="continuous"/>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FINANCIAL INFORMATION OF THE REGISTRANT</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(Parent Company Only)</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14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September 1,</w:t>
            </w:r>
          </w:p>
        </w:tc>
      </w:tr>
      <w:tr>
        <w:trPr>
          <w:trHeight w:val="234"/>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r>
      <w:tr>
        <w:trPr>
          <w:trHeight w:val="291"/>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the acquisition of Elpida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Payments to settle hedging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Loan to equity method investee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Expenditures for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Cash contributions to subsidiaries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Additions to equity method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Cash paid to terminate lease to IMFT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 of additional interest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Proceeds from repayment of loans to subsidiaries, net</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206</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Cash distributions from subsidiaries</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234</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Proceeds from settlement hedging activities</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6600" w:type="dxa"/>
            <w:vAlign w:val="bottom"/>
            <w:gridSpan w:val="2"/>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w:t>
            </w:r>
          </w:p>
        </w:tc>
      </w:tr>
      <w:tr>
        <w:trPr>
          <w:trHeight w:val="27"/>
        </w:trPr>
        <w:tc>
          <w:tcPr>
            <w:tcW w:w="6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6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issuance of 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equipment sale-leaseback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Cash received for capped call transactions</w:t>
            </w: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Repayments of 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capped call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Payments of licensing obligations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 issuance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Cash paid to purchase common stock</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gridSpan w:val="2"/>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r>
      <w:tr>
        <w:trPr>
          <w:trHeight w:val="27"/>
        </w:trPr>
        <w:tc>
          <w:tcPr>
            <w:tcW w:w="6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6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6600" w:type="dxa"/>
            <w:vAlign w:val="bottom"/>
            <w:gridSpan w:val="2"/>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w:t>
            </w:r>
          </w:p>
        </w:tc>
      </w:tr>
      <w:tr>
        <w:trPr>
          <w:trHeight w:val="257"/>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Cash and equivalents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1,082</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condensed financial statements.</w:t>
      </w:r>
    </w:p>
    <w:p>
      <w:pPr>
        <w:sectPr>
          <w:pgSz w:w="11900" w:h="16838" w:orient="portrait"/>
          <w:cols w:equalWidth="0" w:num="1">
            <w:col w:w="11200"/>
          </w:cols>
          <w:pgMar w:left="360" w:top="580" w:right="339"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00"/>
          </w:cols>
          <w:pgMar w:left="360" w:top="580" w:right="3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THE REGISTRANT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1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Micron Technology, Inc., ("Micron") a Delaware corporation, was incorporated in 1978. Micron is the parent company of it's consolidated subsidiaries and, together with it's consolidated subsidiaries, is one of the world's leading providers of advanced semiconductor solutions.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These condensed financial statements have been prepared on a parent-only basis. Under this parent-only presentation, Micron's investments in its consolidated subsidiaries are presented under the equity method of accounting. In accordance with Rule 12-04 of Regulation S-X, these parent-only financial statements do not include all of the information and footnotes required by Generally Accepted Accounting Principles (GAAP) in the United States (U.S.) for annual financial statements. Because these parent-only financial statements and notes do not include all of the information and footnotes required by GAAP in the U.S. for annual financial statements, these parent-only financial statements and other information included should be read in conjunction with Micron's audited Consolidated Financial Statements contained within Part II, Item 8 of this Form 10-K for the year ended August 29, 2013.</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Debt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43"/>
        </w:trPr>
        <w:tc>
          <w:tcPr>
            <w:tcW w:w="8360" w:type="dxa"/>
            <w:vAlign w:val="bottom"/>
            <w:gridSpan w:val="2"/>
          </w:tcPr>
          <w:p>
            <w:pPr>
              <w:spacing w:after="0"/>
              <w:rPr>
                <w:sz w:val="20"/>
                <w:szCs w:val="20"/>
                <w:color w:val="auto"/>
              </w:rPr>
            </w:pPr>
            <w:r>
              <w:rPr>
                <w:rFonts w:ascii="Arial" w:cs="Arial" w:eastAsia="Arial" w:hAnsi="Arial"/>
                <w:sz w:val="18"/>
                <w:szCs w:val="18"/>
                <w:color w:val="auto"/>
              </w:rPr>
              <w:t>2014 convertible senior notes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2027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8360" w:type="dxa"/>
            <w:vAlign w:val="bottom"/>
            <w:gridSpan w:val="2"/>
          </w:tcPr>
          <w:p>
            <w:pPr>
              <w:spacing w:after="0"/>
              <w:rPr>
                <w:sz w:val="20"/>
                <w:szCs w:val="20"/>
                <w:color w:val="auto"/>
              </w:rPr>
            </w:pPr>
            <w:r>
              <w:rPr>
                <w:rFonts w:ascii="Arial" w:cs="Arial" w:eastAsia="Arial" w:hAnsi="Arial"/>
                <w:sz w:val="18"/>
                <w:szCs w:val="18"/>
                <w:color w:val="auto"/>
              </w:rPr>
              <w:t>2031A convertible senior notes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2031B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43"/>
        </w:trPr>
        <w:tc>
          <w:tcPr>
            <w:tcW w:w="8360" w:type="dxa"/>
            <w:vAlign w:val="bottom"/>
            <w:gridSpan w:val="2"/>
          </w:tcPr>
          <w:p>
            <w:pPr>
              <w:spacing w:after="0"/>
              <w:rPr>
                <w:sz w:val="20"/>
                <w:szCs w:val="20"/>
                <w:color w:val="auto"/>
              </w:rPr>
            </w:pPr>
            <w:r>
              <w:rPr>
                <w:rFonts w:ascii="Arial" w:cs="Arial" w:eastAsia="Arial" w:hAnsi="Arial"/>
                <w:sz w:val="18"/>
                <w:szCs w:val="18"/>
                <w:color w:val="auto"/>
              </w:rPr>
              <w:t>2032C convertible senior notes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2032D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2033E convertible senior notes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2033F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Intel senior note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2,935</w:t>
            </w:r>
          </w:p>
        </w:tc>
      </w:tr>
      <w:tr>
        <w:trPr>
          <w:trHeight w:val="243"/>
        </w:trPr>
        <w:tc>
          <w:tcPr>
            <w:tcW w:w="83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Micron' senior notes are unsecured obligations ranking equally in right of payment with all of Micron's other existing and future unsecured indebtedness, and are effectively subordinated to all of Micron's other existing and future secured indebtedness, to the extent of the value of the assets securing such indebtedness. The convertible notes and the Intel note of Micron are structurally subordinated to $1,863 million of other notes payable of its subsidiaries and capital lease obligations. MTI guarantees certain debt obligations of its subsidiaries. MTI does not guarantee the Elpida creditor installment payments. As of August 29, 2013, Micron had guaranteed $701 million of debt obligations of its subsidiaries. Micron's guarantees of its subsidiary debt obligations are unsecured obligations ranking equally in right of payment with all of its other existing and future unsecured indebtedness.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auto"/>
        </w:rPr>
        <w:t>Capital Lease Obligations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various capital lease obligations due in periodic installments with a weighted-average remaining term of 2.9 years and weighted-average effective interest rates of 4.7% as of August 29, 2013 and 4.8% as of August 30, 2012. In 2013, we received $126 million in proceeds from equipment sale-leaseback transactions and as a result recorded capital lease obligations aggregating $126 million at a weighted-average effective interest rate of 4.3%, payable in periodic installments through July, 2017. In 2012, we received $439 million in proceeds from equipment sale-leaseback transactions and as a result recorded capital lease obligations aggregating $439 million at a weighted-average effective interest rate of 4.1%, payable in periodic installments through August, 2016.</w:t>
      </w:r>
    </w:p>
    <w:p>
      <w:pPr>
        <w:spacing w:after="0" w:line="19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August 29, 2013 and August 30, 2012, production equipment with a carrying value of $458 million and $491 million, respectively, was collateral for Micron's capital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Senior Notes and Intel Senior Note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information, see "Item 8. Financial Statements and Supplementary Data – Debt" to Micron's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Maturities of Notes Payable and Future Minimum Lease Payments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29, 2013, maturities of notes payable and future minimum lease payments under capital lease obligations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Capital Lease</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August 29, 2013</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Notes Payable</w:t>
            </w:r>
          </w:p>
        </w:tc>
        <w:tc>
          <w:tcPr>
            <w:tcW w:w="18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Obligations</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2019 and thereafter</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Discounts and interest, respectively</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Commitments</w:t>
      </w:r>
    </w:p>
    <w:p>
      <w:pPr>
        <w:spacing w:after="0" w:line="21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Micron has various financial guarantees which are issued in the normal course of business on behalf of its subsidiaries. These contracts include debt guarantees and guarantees on certain banking facilities. Micron enters into these arrangements to facilitate commercial transactions with third parties by enhancing the value of the transaction to the third party. Micron has entered into agreements covering purchases or sales, as applicable, by Micron or any of its subsidiaries, and occasionally Micron may be required to perform under such agreements on behalf of its subsidiaries.</w:t>
      </w:r>
    </w:p>
    <w:p>
      <w:pPr>
        <w:spacing w:after="0" w:line="13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As of August 29, 2013, the maximum potential amount of future payments Micron could have been required to make under its debt guarantees was approximately $705 million. Substantially all of this amount relates to guarantees for debt of wholly-owned entities whereby Micron would be obligated to perform under the guarantee if a subsidiary were to default on the terms of their debt arrangements. In the event of performance under the guarantee, Micron would be permitted to seek reimbursement from the subsidiary company(s) through liquidation of the assets collateralized by the various debt instruments. At the time these contracts were entered into, the collateralized assets approximated the value of the outstanding guarantees. The majority of these guarantees expire at various times between December, 2014 and January, 2018. Micron also guarantees credit facilities that provide for up to $408 million of additional financing. As of August 29, 2013, no amounts had been drawn under these credit facilities.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95" w:name="page96"/>
    <w:bookmarkEnd w:id="95"/>
    <w:p>
      <w:pPr>
        <w:ind w:right="80" w:firstLine="324"/>
        <w:spacing w:after="0" w:line="259" w:lineRule="auto"/>
        <w:rPr>
          <w:sz w:val="20"/>
          <w:szCs w:val="20"/>
          <w:color w:val="auto"/>
        </w:rPr>
      </w:pPr>
      <w:r>
        <w:rPr>
          <w:rFonts w:ascii="Arial" w:cs="Arial" w:eastAsia="Arial" w:hAnsi="Arial"/>
          <w:sz w:val="18"/>
          <w:szCs w:val="18"/>
          <w:color w:val="auto"/>
        </w:rPr>
        <w:t>Micron guarantees certain banking facilities for its wholly-owned consolidated entities. Substantially all of these guarantees relate to bank overdraft protections. The maximum potential amount of future payments Micron could be required to make under these guarantees varies based on the extent of potential overdrafts. Micron's business processes substantially mitigate the risk of wholly-owned subsidiaries over drafting their bank accounts. The majority of these guarantees have no contractual expiration.</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agreed, subject to certain conditions, to provide certain support to Elpida with respect to obtaining financing for working capital purposes and capital expenditures. In addition, we agreed, subject to certain conditions, to use reasonable best efforts to assist the Elpida Companies in financing up to 64 billion yen (or the equivalent of approximately $655 million) of eligible capital expenditures incurred through June 30, 2014, which may include us providing payment guarantees of third party financing under certain circumstances or direct financial support from Micron Technology, Inc. or one of its subsidiaries. For further information, see "Item 8. Financial Statements and Supplementary Data – Acquisition of Elpida Memory, Inc." to Micron's consolidated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Contingencies</w:t>
      </w:r>
    </w:p>
    <w:p>
      <w:pPr>
        <w:spacing w:after="0" w:line="21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Micron and it's subsidiaries' products or manufacturing processes infringe their intellectual property rights. Micron has accrued a liability and charged operations for the estimated costs of adjudication or settlement of various asserted and unasserted claims existing as of the balance sheet date. We are currently a party to various litigation regarding patent, antitrust, securities, commercial and other matters arising from the normal course of business, none of which is expected to have a material adverse effect on Micron's business, results of operations or financial condition. Micron is a party to the matters listed in the "Contingencies" note in the consolidated financial statements, with the exception of the patent infringement case Tessera Inc. filed on December 7, 2007 against Elpida Memory, Inc., Elpida Memory (USA) Inc., and numerous other defendants, and the complaint filed on July 12, 2013 by seven former shareholders of Elpida against the board of directors of Elpida as of February 2013. For further information, see the Consolidated Financial Statements, "Contingencies" note.</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w:t>
      </w:r>
    </w:p>
    <w:p>
      <w:pPr>
        <w:spacing w:after="0" w:line="21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Transactions between Micron and its consolidated subsidiaries are eliminated in consolidation. Micron engages in various transactions with its equity method investees and eliminates the profits or losses on those transactions to the extent of its ownership interest until such time as the profits or losses are realized. As of August 29, 2013, Micron held a 31% ownership interest in Aptina Imaging Corporation ("Aptina") and a 50% ownership interest in Transform Solar Pty Ltd. Net sales included sales to consolidated subsidiaries of $4,190 million, $4,148 million and $5,718 million for 2013, 2012 and 2011, respectively. Net sales for 2013, 2012 and 2011 also included $182 million, $372 million and $349 million, respectively, for sale of products to Aptina. For further information regarding transactions between Micron and its equity method investees, see the Consolidated Financial Statements, "Equity Method Investments – Other" note.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4" w:right="2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(Credited) to</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Beginning of</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Business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Costs and</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Acquisitions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Expenses</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Write-Offs</w:t>
            </w:r>
          </w:p>
        </w:tc>
        <w:tc>
          <w:tcPr>
            <w:tcW w:w="2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7"/>
        </w:trPr>
        <w:tc>
          <w:tcPr>
            <w:tcW w:w="4120" w:type="dxa"/>
            <w:vAlign w:val="bottom"/>
            <w:gridSpan w:val="4"/>
            <w:vMerge w:val="restart"/>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2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Year ended August 29,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Year ended August 30, 2012</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Year ended September 1, 2011</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Deferred Tax Asset Valuation Allowance</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Year ended August 29, 2013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Year ended August 30, 2012</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Year ended September 1, 2011</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Certain deferred tax assets and liabilities in prior years were corrected with corresponding changes in the valuation allowance, resulting in no change to net deferred tax assets. The change in these items was not material for any period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4"/>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2"/>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2019-12-05T19:44:26Z</dcterms:created>
  <dcterms:modified xsi:type="dcterms:W3CDTF">2019-12-05T19:44:26Z</dcterms:modified>
</cp:coreProperties>
</file>