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76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763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LICCIARDELLO MARIO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6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07/01/2010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3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8000 S FEDERAL WAY, MS 1-557</w:t>
            </w:r>
          </w:p>
        </w:tc>
      </w:tr>
      <w:tr>
        <w:trPr>
          <w:trHeight w:val="212"/>
        </w:trPr>
        <w:tc>
          <w:tcPr>
            <w:tcW w:w="2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40" w:type="dxa"/>
            <w:vAlign w:val="bottom"/>
          </w:tcPr>
          <w:p>
            <w:pPr>
              <w:ind w:left="300"/>
              <w:spacing w:after="0"/>
              <w:rPr>
                <w:sz w:val="20"/>
                <w:szCs w:val="20"/>
                <w:color w:val="auto"/>
              </w:rPr>
            </w:pPr>
            <w:r>
              <w:rPr>
                <w:rFonts w:ascii="Arial" w:cs="Arial" w:eastAsia="Arial" w:hAnsi="Arial"/>
                <w:sz w:val="18"/>
                <w:szCs w:val="18"/>
                <w:color w:val="0000FF"/>
              </w:rPr>
              <w:t>ID</w:t>
            </w:r>
          </w:p>
        </w:tc>
        <w:tc>
          <w:tcPr>
            <w:tcW w:w="1380" w:type="dxa"/>
            <w:vAlign w:val="bottom"/>
          </w:tcPr>
          <w:p>
            <w:pPr>
              <w:ind w:left="340"/>
              <w:spacing w:after="0"/>
              <w:rPr>
                <w:sz w:val="20"/>
                <w:szCs w:val="20"/>
                <w:color w:val="auto"/>
              </w:rPr>
            </w:pPr>
            <w:r>
              <w:rPr>
                <w:rFonts w:ascii="Arial" w:cs="Arial" w:eastAsia="Arial" w:hAnsi="Arial"/>
                <w:sz w:val="18"/>
                <w:szCs w:val="18"/>
                <w:color w:val="0000FF"/>
              </w:rPr>
              <w:t>83716</w:t>
            </w:r>
          </w:p>
        </w:tc>
      </w:tr>
      <w:tr>
        <w:trPr>
          <w:trHeight w:val="158"/>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3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VP, Wireless Solutions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40" w:type="dxa"/>
            <w:vAlign w:val="bottom"/>
          </w:tcPr>
          <w:p>
            <w:pPr>
              <w:ind w:left="720"/>
              <w:spacing w:after="0"/>
              <w:rPr>
                <w:sz w:val="20"/>
                <w:szCs w:val="20"/>
                <w:color w:val="auto"/>
              </w:rPr>
            </w:pPr>
            <w:r>
              <w:rPr>
                <w:rFonts w:ascii="Arial" w:cs="Arial" w:eastAsia="Arial" w:hAnsi="Arial"/>
                <w:sz w:val="18"/>
                <w:szCs w:val="18"/>
                <w:color w:val="0000FF"/>
              </w:rPr>
              <w:t>85,692</w:t>
            </w:r>
          </w:p>
        </w:tc>
        <w:tc>
          <w:tcPr>
            <w:tcW w:w="1040" w:type="dxa"/>
            <w:vAlign w:val="bottom"/>
          </w:tcPr>
          <w:p>
            <w:pPr>
              <w:ind w:left="7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p>
        </w:tc>
        <w:tc>
          <w:tcPr>
            <w:tcW w:w="1460" w:type="dxa"/>
            <w:vAlign w:val="bottom"/>
            <w:tcBorders>
              <w:bottom w:val="single" w:sz="8" w:color="2C2C2C"/>
            </w:tcBorders>
            <w:gridSpan w:val="2"/>
          </w:tcPr>
          <w:p>
            <w:pPr>
              <w:jc w:val="right"/>
              <w:ind w:right="49"/>
              <w:spacing w:after="0"/>
              <w:rPr>
                <w:sz w:val="20"/>
                <w:szCs w:val="20"/>
                <w:color w:val="auto"/>
              </w:rPr>
            </w:pPr>
            <w:r>
              <w:rPr>
                <w:rFonts w:ascii="Arial" w:cs="Arial" w:eastAsia="Arial" w:hAnsi="Arial"/>
                <w:sz w:val="14"/>
                <w:szCs w:val="14"/>
                <w:color w:val="0000FF"/>
              </w:rPr>
              <w:t>06/16/2010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04/01/2012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215,537</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p>
        </w:tc>
        <w:tc>
          <w:tcPr>
            <w:tcW w:w="1460" w:type="dxa"/>
            <w:vAlign w:val="bottom"/>
            <w:tcBorders>
              <w:bottom w:val="single" w:sz="8" w:color="2C2C2C"/>
            </w:tcBorders>
            <w:gridSpan w:val="2"/>
          </w:tcPr>
          <w:p>
            <w:pPr>
              <w:jc w:val="right"/>
              <w:ind w:right="49"/>
              <w:spacing w:after="0"/>
              <w:rPr>
                <w:sz w:val="20"/>
                <w:szCs w:val="20"/>
                <w:color w:val="auto"/>
              </w:rPr>
            </w:pPr>
            <w:r>
              <w:rPr>
                <w:rFonts w:ascii="Arial" w:cs="Arial" w:eastAsia="Arial" w:hAnsi="Arial"/>
                <w:sz w:val="14"/>
                <w:szCs w:val="14"/>
                <w:color w:val="0000FF"/>
              </w:rPr>
              <w:t>06/16/2010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12/31/2011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right="2"/>
              <w:spacing w:after="0"/>
              <w:rPr>
                <w:sz w:val="20"/>
                <w:szCs w:val="20"/>
                <w:color w:val="auto"/>
              </w:rPr>
            </w:pPr>
            <w:r>
              <w:rPr>
                <w:rFonts w:ascii="Arial" w:cs="Arial" w:eastAsia="Arial" w:hAnsi="Arial"/>
                <w:sz w:val="18"/>
                <w:szCs w:val="18"/>
                <w:color w:val="0000FF"/>
              </w:rPr>
              <w:t>87,677</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Remainder of award vests in approxitmatley 50% increments annually beginning 12/31/2010 provided performance metrics have been achieved.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Remainder of award vests in approximatley 50% increments annually beginning 4/1/2011.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90"/>
              </w:rPr>
              <w:t>Katie Reid, attorney - in- 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07/12/2010</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as a Section 16 reporting person of Micron Technology,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(the Company),</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hereby constitutes</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and appoints the Company's</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Compensation,</w:t>
            </w:r>
          </w:p>
        </w:tc>
        <w:tc>
          <w:tcPr>
            <w:tcW w:w="440" w:type="dxa"/>
            <w:vAlign w:val="bottom"/>
          </w:tcPr>
          <w:p>
            <w:pPr>
              <w:spacing w:after="0"/>
              <w:rPr>
                <w:sz w:val="17"/>
                <w:szCs w:val="17"/>
                <w:color w:val="auto"/>
              </w:rPr>
            </w:pPr>
          </w:p>
        </w:tc>
      </w:tr>
      <w:tr>
        <w:trPr>
          <w:trHeight w:val="405"/>
        </w:trPr>
        <w:tc>
          <w:tcPr>
            <w:tcW w:w="3540" w:type="dxa"/>
            <w:vAlign w:val="bottom"/>
            <w:gridSpan w:val="3"/>
          </w:tcPr>
          <w:p>
            <w:pPr>
              <w:spacing w:after="0"/>
              <w:rPr>
                <w:sz w:val="20"/>
                <w:szCs w:val="20"/>
                <w:color w:val="auto"/>
              </w:rPr>
            </w:pPr>
            <w:r>
              <w:rPr>
                <w:rFonts w:ascii="Courier New" w:cs="Courier New" w:eastAsia="Courier New" w:hAnsi="Courier New"/>
                <w:sz w:val="18"/>
                <w:szCs w:val="18"/>
                <w:color w:val="auto"/>
                <w:w w:val="98"/>
              </w:rPr>
              <w:t>Equity and Payroll Manager, Katie</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Reid, Stock Analyst, Suzan</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Gore, and</w:t>
            </w:r>
          </w:p>
        </w:tc>
        <w:tc>
          <w:tcPr>
            <w:tcW w:w="440" w:type="dxa"/>
            <w:vAlign w:val="bottom"/>
          </w:tcPr>
          <w:p>
            <w:pPr>
              <w:spacing w:after="0"/>
              <w:rPr>
                <w:sz w:val="24"/>
                <w:szCs w:val="24"/>
                <w:color w:val="auto"/>
              </w:rPr>
            </w:pPr>
          </w:p>
        </w:tc>
      </w:tr>
      <w:tr>
        <w:trPr>
          <w:trHeight w:val="405"/>
        </w:trPr>
        <w:tc>
          <w:tcPr>
            <w:tcW w:w="3540" w:type="dxa"/>
            <w:vAlign w:val="bottom"/>
            <w:gridSpan w:val="3"/>
          </w:tcPr>
          <w:p>
            <w:pPr>
              <w:spacing w:after="0"/>
              <w:rPr>
                <w:sz w:val="20"/>
                <w:szCs w:val="20"/>
                <w:color w:val="auto"/>
              </w:rPr>
            </w:pPr>
            <w:r>
              <w:rPr>
                <w:rFonts w:ascii="Courier New" w:cs="Courier New" w:eastAsia="Courier New" w:hAnsi="Courier New"/>
                <w:sz w:val="18"/>
                <w:szCs w:val="18"/>
                <w:color w:val="auto"/>
                <w:w w:val="98"/>
              </w:rPr>
              <w:t>General Counsel, Rodenc W. Lewis,</w:t>
            </w:r>
          </w:p>
        </w:tc>
        <w:tc>
          <w:tcPr>
            <w:tcW w:w="43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and each of them, the undersigned's true</w:t>
            </w:r>
          </w:p>
        </w:tc>
        <w:tc>
          <w:tcPr>
            <w:tcW w:w="440" w:type="dxa"/>
            <w:vAlign w:val="bottom"/>
          </w:tcPr>
          <w:p>
            <w:pPr>
              <w:spacing w:after="0"/>
              <w:rPr>
                <w:sz w:val="24"/>
                <w:szCs w:val="24"/>
                <w:color w:val="auto"/>
              </w:rPr>
            </w:pPr>
          </w:p>
        </w:tc>
      </w:tr>
      <w:tr>
        <w:trPr>
          <w:trHeight w:val="405"/>
        </w:trPr>
        <w:tc>
          <w:tcPr>
            <w:tcW w:w="3540" w:type="dxa"/>
            <w:vAlign w:val="bottom"/>
            <w:gridSpan w:val="3"/>
          </w:tcPr>
          <w:p>
            <w:pPr>
              <w:spacing w:after="0"/>
              <w:rPr>
                <w:sz w:val="20"/>
                <w:szCs w:val="20"/>
                <w:color w:val="auto"/>
              </w:rPr>
            </w:pPr>
            <w:r>
              <w:rPr>
                <w:rFonts w:ascii="Courier New" w:cs="Courier New" w:eastAsia="Courier New" w:hAnsi="Courier New"/>
                <w:sz w:val="18"/>
                <w:szCs w:val="18"/>
                <w:color w:val="auto"/>
              </w:rPr>
              <w:t>and lawful attorneyinfact to:</w:t>
            </w:r>
          </w:p>
        </w:tc>
        <w:tc>
          <w:tcPr>
            <w:tcW w:w="2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810"/>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1.complete and</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execute Forms 3, 4</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and 5 and other forms, and</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w w:val="95"/>
              </w:rPr>
              <w:t>all amendments</w:t>
            </w:r>
          </w:p>
        </w:tc>
        <w:tc>
          <w:tcPr>
            <w:tcW w:w="44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thereto, as</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such attorney-in-fact</w:t>
            </w:r>
          </w:p>
        </w:tc>
        <w:tc>
          <w:tcPr>
            <w:tcW w:w="43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shall in his or her discretion determine</w:t>
            </w:r>
          </w:p>
        </w:tc>
        <w:tc>
          <w:tcPr>
            <w:tcW w:w="440" w:type="dxa"/>
            <w:vAlign w:val="bottom"/>
          </w:tcPr>
          <w:p>
            <w:pPr>
              <w:spacing w:after="0"/>
              <w:rPr>
                <w:sz w:val="20"/>
                <w:szCs w:val="20"/>
                <w:color w:val="auto"/>
              </w:rPr>
            </w:pPr>
            <w:r>
              <w:rPr>
                <w:rFonts w:ascii="Courier New" w:cs="Courier New" w:eastAsia="Courier New" w:hAnsi="Courier New"/>
                <w:sz w:val="18"/>
                <w:szCs w:val="18"/>
                <w:color w:val="auto"/>
              </w:rPr>
              <w:t>to</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be required</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or</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advisable pursuant</w:t>
            </w:r>
          </w:p>
        </w:tc>
        <w:tc>
          <w:tcPr>
            <w:tcW w:w="43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to Section 16 of the Securities Exchange</w:t>
            </w:r>
          </w:p>
        </w:tc>
        <w:tc>
          <w:tcPr>
            <w:tcW w:w="440" w:type="dxa"/>
            <w:vAlign w:val="bottom"/>
          </w:tcPr>
          <w:p>
            <w:pPr>
              <w:spacing w:after="0"/>
              <w:rPr>
                <w:sz w:val="20"/>
                <w:szCs w:val="20"/>
                <w:color w:val="auto"/>
              </w:rPr>
            </w:pPr>
            <w:r>
              <w:rPr>
                <w:rFonts w:ascii="Courier New" w:cs="Courier New" w:eastAsia="Courier New" w:hAnsi="Courier New"/>
                <w:sz w:val="18"/>
                <w:szCs w:val="18"/>
                <w:color w:val="auto"/>
              </w:rPr>
              <w:t>Act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of 1934 (as</w:t>
            </w:r>
          </w:p>
        </w:tc>
        <w:tc>
          <w:tcPr>
            <w:tcW w:w="2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amended)</w:t>
            </w:r>
          </w:p>
        </w:tc>
        <w:tc>
          <w:tcPr>
            <w:tcW w:w="2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05"/>
        </w:trPr>
        <w:tc>
          <w:tcPr>
            <w:tcW w:w="6380" w:type="dxa"/>
            <w:vAlign w:val="bottom"/>
            <w:gridSpan w:val="4"/>
          </w:tcPr>
          <w:p>
            <w:pPr>
              <w:spacing w:after="0"/>
              <w:rPr>
                <w:sz w:val="20"/>
                <w:szCs w:val="20"/>
                <w:color w:val="auto"/>
              </w:rPr>
            </w:pPr>
            <w:r>
              <w:rPr>
                <w:rFonts w:ascii="Courier New" w:cs="Courier New" w:eastAsia="Courier New" w:hAnsi="Courier New"/>
                <w:sz w:val="18"/>
                <w:szCs w:val="18"/>
                <w:color w:val="auto"/>
                <w:w w:val="98"/>
              </w:rPr>
              <w:t>and the rules and regulations promulgated thereunder, or any</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successor laws and</w:t>
            </w:r>
          </w:p>
        </w:tc>
      </w:tr>
      <w:tr>
        <w:trPr>
          <w:trHeight w:val="405"/>
        </w:trPr>
        <w:tc>
          <w:tcPr>
            <w:tcW w:w="3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regulations, as a consequence of</w:t>
            </w:r>
          </w:p>
        </w:tc>
        <w:tc>
          <w:tcPr>
            <w:tcW w:w="43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the undersigned's ownership, acquisition</w:t>
            </w:r>
          </w:p>
        </w:tc>
        <w:tc>
          <w:tcPr>
            <w:tcW w:w="440" w:type="dxa"/>
            <w:vAlign w:val="bottom"/>
          </w:tcPr>
          <w:p>
            <w:pPr>
              <w:spacing w:after="0"/>
              <w:rPr>
                <w:sz w:val="20"/>
                <w:szCs w:val="20"/>
                <w:color w:val="auto"/>
              </w:rPr>
            </w:pPr>
            <w:r>
              <w:rPr>
                <w:rFonts w:ascii="Courier New" w:cs="Courier New" w:eastAsia="Courier New" w:hAnsi="Courier New"/>
                <w:sz w:val="18"/>
                <w:szCs w:val="18"/>
                <w:color w:val="auto"/>
              </w:rPr>
              <w:t>or</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disposition</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securities of the Company; and</w:t>
            </w: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79"/>
        <w:spacing w:after="0" w:line="474" w:lineRule="auto"/>
        <w:rPr>
          <w:sz w:val="20"/>
          <w:szCs w:val="20"/>
          <w:color w:val="auto"/>
        </w:rPr>
      </w:pPr>
      <w:r>
        <w:rPr>
          <w:rFonts w:ascii="Courier New" w:cs="Courier New" w:eastAsia="Courier New" w:hAnsi="Courier New"/>
          <w:sz w:val="18"/>
          <w:szCs w:val="18"/>
          <w:color w:val="auto"/>
        </w:rPr>
        <w:t>2.do all acts necessaly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00" w:lineRule="exact"/>
        <w:rPr>
          <w:sz w:val="20"/>
          <w:szCs w:val="20"/>
          <w:color w:val="auto"/>
        </w:rPr>
      </w:pPr>
    </w:p>
    <w:p>
      <w:pPr>
        <w:spacing w:after="0" w:line="215" w:lineRule="exact"/>
        <w:rPr>
          <w:sz w:val="20"/>
          <w:szCs w:val="20"/>
          <w:color w:val="auto"/>
        </w:rPr>
      </w:pPr>
    </w:p>
    <w:p>
      <w:pPr>
        <w:ind w:right="1579"/>
        <w:spacing w:after="0" w:line="475"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ind w:right="157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4 and 5 with respect to the undersigned's</w:t>
      </w:r>
    </w:p>
    <w:p>
      <w:pPr>
        <w:spacing w:after="0" w:line="1" w:lineRule="exact"/>
        <w:rPr>
          <w:sz w:val="20"/>
          <w:szCs w:val="20"/>
          <w:color w:val="auto"/>
        </w:rPr>
      </w:pPr>
    </w:p>
    <w:p>
      <w:pPr>
        <w:ind w:right="1779" w:firstLine="105"/>
        <w:spacing w:after="0" w:line="558" w:lineRule="auto"/>
        <w:rPr>
          <w:sz w:val="20"/>
          <w:szCs w:val="20"/>
          <w:color w:val="auto"/>
        </w:rPr>
      </w:pPr>
      <w:r>
        <w:rPr>
          <w:rFonts w:ascii="Courier New" w:cs="Courier New" w:eastAsia="Courier New" w:hAnsi="Courier New"/>
          <w:sz w:val="16"/>
          <w:szCs w:val="16"/>
          <w:color w:val="auto"/>
        </w:rPr>
        <w:t>holdings of and transactions in securities issued by the Company, unless earlier revoked by the undersigned in a signed writing delivered to the Company.</w:t>
      </w:r>
    </w:p>
    <w:p>
      <w:pPr>
        <w:spacing w:after="0" w:line="373" w:lineRule="exact"/>
        <w:rPr>
          <w:sz w:val="20"/>
          <w:szCs w:val="20"/>
          <w:color w:val="auto"/>
        </w:rPr>
      </w:pPr>
    </w:p>
    <w:p>
      <w:pPr>
        <w:ind w:right="2319"/>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the 8th day of July,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Signature: Mario Licciardello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Printed Name: Mario Licciardello</w:t>
      </w:r>
    </w:p>
    <w:p>
      <w:pPr>
        <w:sectPr>
          <w:pgSz w:w="11900" w:h="16838" w:orient="portrait"/>
          <w:cols w:equalWidth="0" w:num="1">
            <w:col w:w="10219"/>
          </w:cols>
          <w:pgMar w:left="240" w:top="744" w:right="1440" w:bottom="33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6403"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2019-12-16T04:12:28Z</dcterms:created>
  <dcterms:modified xsi:type="dcterms:W3CDTF">2019-12-16T04:12:28Z</dcterms:modified>
</cp:coreProperties>
</file>