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8-K/A</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13, 2007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93"/>
              </w:rPr>
              <w:t>Delaware</w:t>
            </w:r>
          </w:p>
        </w:tc>
        <w:tc>
          <w:tcPr>
            <w:tcW w:w="4080" w:type="dxa"/>
            <w:vAlign w:val="bottom"/>
            <w:tcBorders>
              <w:bottom w:val="single" w:sz="8" w:color="auto"/>
            </w:tcBorders>
          </w:tcPr>
          <w:p>
            <w:pPr>
              <w:jc w:val="right"/>
              <w:ind w:right="17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47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23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right="50"/>
              <w:spacing w:after="0"/>
              <w:rPr>
                <w:sz w:val="20"/>
                <w:szCs w:val="20"/>
                <w:color w:val="auto"/>
              </w:rPr>
            </w:pPr>
            <w:r>
              <w:rPr>
                <w:rFonts w:ascii="Arial" w:cs="Arial" w:eastAsia="Arial" w:hAnsi="Arial"/>
                <w:sz w:val="18"/>
                <w:szCs w:val="18"/>
                <w:color w:val="auto"/>
                <w:w w:val="92"/>
              </w:rPr>
              <w:t>(Commission File Number)</w:t>
            </w:r>
          </w:p>
        </w:tc>
        <w:tc>
          <w:tcPr>
            <w:tcW w:w="3540" w:type="dxa"/>
            <w:vAlign w:val="bottom"/>
          </w:tcPr>
          <w:p>
            <w:pPr>
              <w:jc w:val="center"/>
              <w:ind w:right="370"/>
              <w:spacing w:after="0"/>
              <w:rPr>
                <w:sz w:val="20"/>
                <w:szCs w:val="20"/>
                <w:color w:val="auto"/>
              </w:rPr>
            </w:pPr>
            <w:r>
              <w:rPr>
                <w:rFonts w:ascii="Arial" w:cs="Arial" w:eastAsia="Arial" w:hAnsi="Arial"/>
                <w:sz w:val="18"/>
                <w:szCs w:val="18"/>
                <w:color w:val="auto"/>
                <w:w w:val="93"/>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2089150</wp:posOffset>
            </wp:positionH>
            <wp:positionV relativeFrom="paragraph">
              <wp:posOffset>17145</wp:posOffset>
            </wp:positionV>
            <wp:extent cx="31470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47060" cy="17145"/>
                    </a:xfrm>
                    <a:prstGeom prst="rect">
                      <a:avLst/>
                    </a:prstGeom>
                    <a:noFill/>
                  </pic:spPr>
                </pic:pic>
              </a:graphicData>
            </a:graphic>
          </wp:anchor>
        </w:drawing>
      </w:r>
    </w:p>
    <w:p>
      <w:pPr>
        <w:spacing w:after="0" w:line="2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1" w:name="page2"/>
    <w:bookmarkEnd w:id="1"/>
    <w:p>
      <w:pPr>
        <w:ind w:right="80" w:firstLine="648"/>
        <w:spacing w:after="0" w:line="277" w:lineRule="auto"/>
        <w:rPr>
          <w:sz w:val="20"/>
          <w:szCs w:val="20"/>
          <w:color w:val="auto"/>
        </w:rPr>
      </w:pPr>
      <w:r>
        <w:rPr>
          <w:rFonts w:ascii="Arial" w:cs="Arial" w:eastAsia="Arial" w:hAnsi="Arial"/>
          <w:sz w:val="18"/>
          <w:szCs w:val="18"/>
          <w:i w:val="1"/>
          <w:iCs w:val="1"/>
          <w:color w:val="auto"/>
        </w:rPr>
        <w:t>This amendment is being filed to correct share numbers that were incorrectly reported in the Company’s Current Report on Form 8-K filed with the Securities and Exchange Commission on December 12, 2007.</w:t>
      </w:r>
    </w:p>
    <w:p>
      <w:pPr>
        <w:spacing w:after="0" w:line="200" w:lineRule="exact"/>
        <w:rPr>
          <w:sz w:val="20"/>
          <w:szCs w:val="20"/>
          <w:color w:val="auto"/>
        </w:rPr>
      </w:pPr>
    </w:p>
    <w:p>
      <w:pPr>
        <w:spacing w:after="0" w:line="237" w:lineRule="exact"/>
        <w:rPr>
          <w:sz w:val="20"/>
          <w:szCs w:val="20"/>
          <w:color w:val="auto"/>
        </w:rPr>
      </w:pPr>
    </w:p>
    <w:p>
      <w:pPr>
        <w:ind w:left="820" w:right="360" w:hanging="809"/>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Effective December 6, 2007, the Compensation Committee of the Company’s Board of Directors accelerated the vesting of time-based restricted shares held by W.G. Stover, Jr., the Company’s former Chief Financial Officer. Mr. Stover announced his intention to resign from the Company in July 2007 and terminated his employment with the Company on November 29, 2007. Under the terms of Mr. Stover’s severance agreement with the Company, certain compensation and benefits, including the lapsing of restrictions associated with restricted stock of the Company, are extended for approximately one year from Mr. Stover’s resignation date. As a result, pursuant to Mr. Stover’s severance agreement restrictions as to 26,467 shares of restricted stock were scheduled to lapse within one year of his termination. In connection with Mr. Stover’s resignation and in recognition of his approximate 20 years of service with the Company, the Compensation Committee accelerated the lapsing of restrictions as to these shares and an additional 19,600 shares currently held by Mr. Stover. The form of Mr. Stover’s severance agreement with the Company was included as an exhibit to the Company’s Annual Report on Form 10-K for fiscal 2007. As a result of Mr. Stover’s earlier announcement to resign, he did not enter into a new form of severance agreement, as did other Company officers, described in the Company’s most recent proxy statement on file with the United States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68"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7600" w:type="dxa"/>
            <w:vAlign w:val="bottom"/>
            <w:gridSpan w:val="2"/>
          </w:tcPr>
          <w:p>
            <w:pPr>
              <w:ind w:left="288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3820" w:type="dxa"/>
            <w:vAlign w:val="bottom"/>
          </w:tcPr>
          <w:p>
            <w:pPr>
              <w:spacing w:after="0"/>
              <w:rPr>
                <w:sz w:val="20"/>
                <w:szCs w:val="20"/>
                <w:color w:val="auto"/>
              </w:rPr>
            </w:pPr>
            <w:r>
              <w:rPr>
                <w:rFonts w:ascii="Arial" w:cs="Arial" w:eastAsia="Arial" w:hAnsi="Arial"/>
                <w:sz w:val="18"/>
                <w:szCs w:val="18"/>
                <w:color w:val="auto"/>
              </w:rPr>
              <w:t>Date:  December 13, 2007</w:t>
            </w:r>
          </w:p>
        </w:tc>
        <w:tc>
          <w:tcPr>
            <w:tcW w:w="3680" w:type="dxa"/>
            <w:vAlign w:val="bottom"/>
          </w:tcPr>
          <w:p>
            <w:pPr>
              <w:ind w:left="288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Roderic W. Lewis</w:t>
            </w:r>
          </w:p>
        </w:tc>
      </w:tr>
      <w:tr>
        <w:trPr>
          <w:trHeight w:val="202"/>
        </w:trPr>
        <w:tc>
          <w:tcPr>
            <w:tcW w:w="3820" w:type="dxa"/>
            <w:vAlign w:val="bottom"/>
          </w:tcPr>
          <w:p>
            <w:pPr>
              <w:spacing w:after="0"/>
              <w:rPr>
                <w:sz w:val="17"/>
                <w:szCs w:val="17"/>
                <w:color w:val="auto"/>
              </w:rPr>
            </w:pPr>
          </w:p>
        </w:tc>
        <w:tc>
          <w:tcPr>
            <w:tcW w:w="3680" w:type="dxa"/>
            <w:vAlign w:val="bottom"/>
          </w:tcPr>
          <w:p>
            <w:pPr>
              <w:ind w:left="288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Roderic W. Lewis</w:t>
            </w:r>
          </w:p>
        </w:tc>
      </w:tr>
      <w:tr>
        <w:trPr>
          <w:trHeight w:val="216"/>
        </w:trPr>
        <w:tc>
          <w:tcPr>
            <w:tcW w:w="3820" w:type="dxa"/>
            <w:vAlign w:val="bottom"/>
          </w:tcPr>
          <w:p>
            <w:pPr>
              <w:spacing w:after="0"/>
              <w:rPr>
                <w:sz w:val="18"/>
                <w:szCs w:val="18"/>
                <w:color w:val="auto"/>
              </w:rPr>
            </w:pPr>
          </w:p>
        </w:tc>
        <w:tc>
          <w:tcPr>
            <w:tcW w:w="3680" w:type="dxa"/>
            <w:vAlign w:val="bottom"/>
          </w:tcPr>
          <w:p>
            <w:pPr>
              <w:ind w:left="288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 of Legal Affairs,</w:t>
            </w:r>
          </w:p>
        </w:tc>
      </w:tr>
      <w:tr>
        <w:trPr>
          <w:trHeight w:val="230"/>
        </w:trPr>
        <w:tc>
          <w:tcPr>
            <w:tcW w:w="38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General Counsel and Corporate Secretary</w:t>
            </w:r>
          </w:p>
        </w:tc>
      </w:tr>
      <w:tr>
        <w:trPr>
          <w:trHeight w:val="893"/>
        </w:trPr>
        <w:tc>
          <w:tcPr>
            <w:tcW w:w="3820" w:type="dxa"/>
            <w:vAlign w:val="bottom"/>
          </w:tcPr>
          <w:p>
            <w:pPr>
              <w:spacing w:after="0"/>
              <w:rPr>
                <w:sz w:val="24"/>
                <w:szCs w:val="24"/>
                <w:color w:val="auto"/>
              </w:rPr>
            </w:pPr>
          </w:p>
        </w:tc>
        <w:tc>
          <w:tcPr>
            <w:tcW w:w="3680" w:type="dxa"/>
            <w:vAlign w:val="bottom"/>
          </w:tcPr>
          <w:p>
            <w:pPr>
              <w:ind w:left="1860"/>
              <w:spacing w:after="0"/>
              <w:rPr>
                <w:sz w:val="20"/>
                <w:szCs w:val="20"/>
                <w:color w:val="auto"/>
              </w:rPr>
            </w:pPr>
            <w:r>
              <w:rPr>
                <w:rFonts w:ascii="Arial" w:cs="Arial" w:eastAsia="Arial" w:hAnsi="Arial"/>
                <w:sz w:val="14"/>
                <w:szCs w:val="14"/>
                <w:color w:val="auto"/>
              </w:rPr>
              <w:t>3</w:t>
            </w:r>
          </w:p>
        </w:tc>
        <w:tc>
          <w:tcPr>
            <w:tcW w:w="3920" w:type="dxa"/>
            <w:vAlign w:val="bottom"/>
          </w:tcPr>
          <w:p>
            <w:pPr>
              <w:spacing w:after="0"/>
              <w:rPr>
                <w:sz w:val="24"/>
                <w:szCs w:val="24"/>
                <w:color w:val="auto"/>
              </w:rPr>
            </w:pPr>
          </w:p>
        </w:tc>
      </w:tr>
      <w:tr>
        <w:trPr>
          <w:trHeight w:val="103"/>
        </w:trPr>
        <w:tc>
          <w:tcPr>
            <w:tcW w:w="3820" w:type="dxa"/>
            <w:vAlign w:val="bottom"/>
            <w:tcBorders>
              <w:bottom w:val="single" w:sz="8" w:color="808080"/>
            </w:tcBorders>
          </w:tcPr>
          <w:p>
            <w:pPr>
              <w:spacing w:after="0"/>
              <w:rPr>
                <w:sz w:val="8"/>
                <w:szCs w:val="8"/>
                <w:color w:val="auto"/>
              </w:rPr>
            </w:pPr>
          </w:p>
        </w:tc>
        <w:tc>
          <w:tcPr>
            <w:tcW w:w="3680" w:type="dxa"/>
            <w:vAlign w:val="bottom"/>
            <w:tcBorders>
              <w:bottom w:val="single" w:sz="8" w:color="808080"/>
            </w:tcBorders>
          </w:tcPr>
          <w:p>
            <w:pPr>
              <w:spacing w:after="0"/>
              <w:rPr>
                <w:sz w:val="8"/>
                <w:szCs w:val="8"/>
                <w:color w:val="auto"/>
              </w:rPr>
            </w:pPr>
          </w:p>
        </w:tc>
        <w:tc>
          <w:tcPr>
            <w:tcW w:w="39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2019-12-13T13:27:11Z</dcterms:created>
  <dcterms:modified xsi:type="dcterms:W3CDTF">2019-12-13T13:27:11Z</dcterms:modified>
</cp:coreProperties>
</file>