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22,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0" w:lineRule="exact"/>
        <w:rPr>
          <w:sz w:val="20"/>
          <w:szCs w:val="20"/>
          <w:color w:val="auto"/>
        </w:rPr>
      </w:pPr>
    </w:p>
    <w:p>
      <w:pPr>
        <w:spacing w:after="0" w:line="29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December 22, 2015, the Company announced its financial results for the first quarter of fiscal year 2016 ended December 3, 2015.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December 22,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December 22, 2015</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22, 2015</w:t>
      </w:r>
    </w:p>
    <w:p>
      <w:pPr>
        <w:sectPr>
          <w:pgSz w:w="11900" w:h="16838" w:orient="portrait"/>
          <w:cols w:equalWidth="0" w:num="1">
            <w:col w:w="9799"/>
          </w:cols>
          <w:pgMar w:left="660" w:top="10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6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120" w:type="dxa"/>
            <w:vAlign w:val="bottom"/>
          </w:tcPr>
          <w:p>
            <w:pPr>
              <w:spacing w:after="0"/>
              <w:rPr>
                <w:sz w:val="24"/>
                <w:szCs w:val="24"/>
                <w:color w:val="auto"/>
              </w:rPr>
            </w:pPr>
          </w:p>
        </w:tc>
      </w:tr>
      <w:tr>
        <w:trPr>
          <w:trHeight w:val="638"/>
        </w:trPr>
        <w:tc>
          <w:tcPr>
            <w:tcW w:w="3960" w:type="dxa"/>
            <w:vAlign w:val="bottom"/>
            <w:gridSpan w:val="3"/>
          </w:tcPr>
          <w:p>
            <w:pPr>
              <w:ind w:left="40"/>
              <w:spacing w:after="0"/>
              <w:rPr>
                <w:sz w:val="20"/>
                <w:szCs w:val="20"/>
                <w:color w:val="auto"/>
              </w:rPr>
            </w:pPr>
            <w:r>
              <w:rPr>
                <w:rFonts w:ascii="Arial" w:cs="Arial" w:eastAsia="Arial" w:hAnsi="Arial"/>
                <w:sz w:val="22"/>
                <w:szCs w:val="22"/>
                <w:color w:val="auto"/>
                <w:w w:val="88"/>
              </w:rPr>
              <w:t>Contacts:Ivan Donaldson</w:t>
            </w:r>
          </w:p>
        </w:tc>
        <w:tc>
          <w:tcPr>
            <w:tcW w:w="2120" w:type="dxa"/>
            <w:vAlign w:val="bottom"/>
          </w:tcPr>
          <w:p>
            <w:pPr>
              <w:spacing w:after="0"/>
              <w:rPr>
                <w:sz w:val="20"/>
                <w:szCs w:val="20"/>
                <w:color w:val="auto"/>
              </w:rPr>
            </w:pPr>
            <w:r>
              <w:rPr>
                <w:rFonts w:ascii="Arial" w:cs="Arial" w:eastAsia="Arial" w:hAnsi="Arial"/>
                <w:sz w:val="22"/>
                <w:szCs w:val="22"/>
                <w:color w:val="auto"/>
              </w:rPr>
              <w:t>Daniel Francisco</w:t>
            </w:r>
          </w:p>
        </w:tc>
      </w:tr>
      <w:tr>
        <w:trPr>
          <w:trHeight w:val="297"/>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1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218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9"/>
              </w:rPr>
              <w:t>idonaldson@micron.com</w:t>
            </w:r>
          </w:p>
        </w:tc>
        <w:tc>
          <w:tcPr>
            <w:tcW w:w="520" w:type="dxa"/>
            <w:vAlign w:val="bottom"/>
          </w:tcPr>
          <w:p>
            <w:pPr>
              <w:spacing w:after="0"/>
              <w:rPr>
                <w:sz w:val="21"/>
                <w:szCs w:val="21"/>
                <w:color w:val="auto"/>
              </w:rPr>
            </w:pPr>
          </w:p>
        </w:tc>
        <w:tc>
          <w:tcPr>
            <w:tcW w:w="21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8"/>
              </w:rPr>
              <w:t>dfrancisco@micron.com</w:t>
            </w:r>
          </w:p>
        </w:tc>
      </w:tr>
      <w:tr>
        <w:trPr>
          <w:trHeight w:val="328"/>
        </w:trPr>
        <w:tc>
          <w:tcPr>
            <w:tcW w:w="3440" w:type="dxa"/>
            <w:vAlign w:val="bottom"/>
            <w:gridSpan w:val="2"/>
          </w:tcPr>
          <w:p>
            <w:pPr>
              <w:ind w:left="1260"/>
              <w:spacing w:after="0"/>
              <w:rPr>
                <w:sz w:val="20"/>
                <w:szCs w:val="20"/>
                <w:color w:val="auto"/>
              </w:rPr>
            </w:pPr>
            <w:r>
              <w:rPr>
                <w:rFonts w:ascii="Arial" w:cs="Arial" w:eastAsia="Arial" w:hAnsi="Arial"/>
                <w:sz w:val="22"/>
                <w:szCs w:val="22"/>
                <w:color w:val="auto"/>
              </w:rPr>
              <w:t>(208) 368-4093</w:t>
            </w:r>
          </w:p>
        </w:tc>
        <w:tc>
          <w:tcPr>
            <w:tcW w:w="5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 QUARTER OF FISCAL 2016</w:t>
      </w:r>
    </w:p>
    <w:p>
      <w:pPr>
        <w:spacing w:after="0" w:line="290" w:lineRule="exact"/>
        <w:rPr>
          <w:sz w:val="20"/>
          <w:szCs w:val="20"/>
          <w:color w:val="auto"/>
        </w:rPr>
      </w:pPr>
    </w:p>
    <w:p>
      <w:pPr>
        <w:ind w:right="120" w:firstLine="324"/>
        <w:spacing w:after="0" w:line="375" w:lineRule="auto"/>
        <w:rPr>
          <w:sz w:val="20"/>
          <w:szCs w:val="20"/>
          <w:color w:val="auto"/>
        </w:rPr>
      </w:pPr>
      <w:r>
        <w:rPr>
          <w:rFonts w:ascii="Arial" w:cs="Arial" w:eastAsia="Arial" w:hAnsi="Arial"/>
          <w:sz w:val="21"/>
          <w:szCs w:val="21"/>
          <w:b w:val="1"/>
          <w:bCs w:val="1"/>
          <w:color w:val="auto"/>
        </w:rPr>
        <w:t xml:space="preserve">BOISE, Idaho, </w:t>
      </w:r>
      <w:r>
        <w:rPr>
          <w:rFonts w:ascii="Arial" w:cs="Arial" w:eastAsia="Arial" w:hAnsi="Arial"/>
          <w:sz w:val="21"/>
          <w:szCs w:val="21"/>
          <w:color w:val="auto"/>
        </w:rPr>
        <w:t>December 22, 2015 – Micron Technology, Inc., (NASDAQ: MU) today announced results of operations for its</w:t>
      </w:r>
      <w:r>
        <w:rPr>
          <w:rFonts w:ascii="Arial" w:cs="Arial" w:eastAsia="Arial" w:hAnsi="Arial"/>
          <w:sz w:val="21"/>
          <w:szCs w:val="21"/>
          <w:b w:val="1"/>
          <w:bCs w:val="1"/>
          <w:color w:val="auto"/>
        </w:rPr>
        <w:t xml:space="preserve"> </w:t>
      </w:r>
      <w:r>
        <w:rPr>
          <w:rFonts w:ascii="Arial" w:cs="Arial" w:eastAsia="Arial" w:hAnsi="Arial"/>
          <w:sz w:val="21"/>
          <w:szCs w:val="21"/>
          <w:color w:val="auto"/>
        </w:rPr>
        <w:t>first quarter of fiscal 2016, which ended December 3, 2015. Revenues for the first quarter of fiscal 2016 were $3.35 billion and were 7 percent lower compared to the fourth quarter of fiscal 2015 and 27 percent lower compared to the first quarter of fiscal 2015. Cash flows from operations were $1.12 billion for the first quarter of fiscal 2016.</w:t>
      </w:r>
    </w:p>
    <w:p>
      <w:pPr>
        <w:spacing w:after="0" w:line="255" w:lineRule="exact"/>
        <w:rPr>
          <w:sz w:val="20"/>
          <w:szCs w:val="20"/>
          <w:color w:val="auto"/>
        </w:rPr>
      </w:pPr>
    </w:p>
    <w:p>
      <w:pPr>
        <w:jc w:val="both"/>
        <w:ind w:right="80" w:firstLine="324"/>
        <w:spacing w:after="0" w:line="340" w:lineRule="auto"/>
        <w:rPr>
          <w:sz w:val="20"/>
          <w:szCs w:val="20"/>
          <w:color w:val="auto"/>
        </w:rPr>
      </w:pPr>
      <w:r>
        <w:rPr>
          <w:rFonts w:ascii="Arial" w:cs="Arial" w:eastAsia="Arial" w:hAnsi="Arial"/>
          <w:sz w:val="22"/>
          <w:szCs w:val="22"/>
          <w:b w:val="1"/>
          <w:bCs w:val="1"/>
          <w:color w:val="auto"/>
        </w:rPr>
        <w:t xml:space="preserve">GAAP Income and Per Share Data </w:t>
      </w:r>
      <w:r>
        <w:rPr>
          <w:rFonts w:ascii="Arial" w:cs="Arial" w:eastAsia="Arial" w:hAnsi="Arial"/>
          <w:sz w:val="22"/>
          <w:szCs w:val="22"/>
          <w:color w:val="auto"/>
        </w:rPr>
        <w:t>– On a GAAP</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 first quarter</w:t>
      </w:r>
      <w:r>
        <w:rPr>
          <w:rFonts w:ascii="Arial" w:cs="Arial" w:eastAsia="Arial" w:hAnsi="Arial"/>
          <w:sz w:val="22"/>
          <w:szCs w:val="22"/>
          <w:b w:val="1"/>
          <w:bCs w:val="1"/>
          <w:color w:val="auto"/>
        </w:rPr>
        <w:t xml:space="preserve"> </w:t>
      </w:r>
      <w:r>
        <w:rPr>
          <w:rFonts w:ascii="Arial" w:cs="Arial" w:eastAsia="Arial" w:hAnsi="Arial"/>
          <w:sz w:val="22"/>
          <w:szCs w:val="22"/>
          <w:color w:val="auto"/>
        </w:rPr>
        <w:t>of fiscal 2016 was $206 million, or $0.19 per diluted share, compared to net income of $471 million, or $0.42 per diluted share, for the fourth quarter of fiscal 2015.</w:t>
      </w:r>
    </w:p>
    <w:p>
      <w:pPr>
        <w:spacing w:after="0" w:line="286" w:lineRule="exact"/>
        <w:rPr>
          <w:sz w:val="20"/>
          <w:szCs w:val="20"/>
          <w:color w:val="auto"/>
        </w:rPr>
      </w:pPr>
    </w:p>
    <w:p>
      <w:pPr>
        <w:ind w:right="300" w:firstLine="324"/>
        <w:spacing w:after="0" w:line="342" w:lineRule="auto"/>
        <w:rPr>
          <w:sz w:val="20"/>
          <w:szCs w:val="20"/>
          <w:color w:val="auto"/>
        </w:rPr>
      </w:pPr>
      <w:r>
        <w:rPr>
          <w:rFonts w:ascii="Arial" w:cs="Arial" w:eastAsia="Arial" w:hAnsi="Arial"/>
          <w:sz w:val="22"/>
          <w:szCs w:val="22"/>
          <w:b w:val="1"/>
          <w:bCs w:val="1"/>
          <w:color w:val="auto"/>
        </w:rPr>
        <w:t xml:space="preserve">Non-GAAP Income and Per Share Data </w:t>
      </w:r>
      <w:r>
        <w:rPr>
          <w:rFonts w:ascii="Arial" w:cs="Arial" w:eastAsia="Arial" w:hAnsi="Arial"/>
          <w:sz w:val="22"/>
          <w:szCs w:val="22"/>
          <w:color w:val="auto"/>
        </w:rPr>
        <w:t>– On a non-GAAP</w:t>
      </w:r>
      <w:r>
        <w:rPr>
          <w:rFonts w:ascii="Arial" w:cs="Arial" w:eastAsia="Arial" w:hAnsi="Arial"/>
          <w:sz w:val="28"/>
          <w:szCs w:val="28"/>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basis, net income attributable to Micron shareholders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fiscal 2016 was $249 million, or $0.24 per diluted share, compared to net income of $399 million, or $0.37 per diluted share, for the fourth quarter of fiscal 2015. For a reconciliation of GAAP to non-GAAP results, see the accompanying financial tables and footnotes.</w:t>
      </w:r>
    </w:p>
    <w:p>
      <w:pPr>
        <w:spacing w:after="0" w:line="348" w:lineRule="exact"/>
        <w:rPr>
          <w:sz w:val="20"/>
          <w:szCs w:val="20"/>
          <w:color w:val="auto"/>
        </w:rPr>
      </w:pPr>
    </w:p>
    <w:p>
      <w:pPr>
        <w:ind w:right="100" w:firstLine="324"/>
        <w:spacing w:after="0" w:line="368" w:lineRule="auto"/>
        <w:rPr>
          <w:sz w:val="20"/>
          <w:szCs w:val="20"/>
          <w:color w:val="auto"/>
        </w:rPr>
      </w:pPr>
      <w:r>
        <w:rPr>
          <w:rFonts w:ascii="Arial" w:cs="Arial" w:eastAsia="Arial" w:hAnsi="Arial"/>
          <w:sz w:val="21"/>
          <w:szCs w:val="21"/>
          <w:color w:val="auto"/>
        </w:rPr>
        <w:t>Revenues for the first quarter of fiscal 2016 were lower compared to the fourth quarter of fiscal 2015 primarily due to a 13 percent decline in DRAM average selling prices. Non-Volatile trade revenues for the first quarter of fiscal 2016 declined 2 percent compared to the fourth quarter primarily as a result of a 7 percent decline in average selling prices partially offset by an increase in sales volume. The company's overall consolidated gross margin of 25 percent for the first quarter of fiscal 2016 was 2 percent lower compared to the fourth quarter of fiscal 2015 primarily due to lower average selling prices partially offset by manufacturing cost reductions for DRAM and Non-Volatile products.</w:t>
      </w:r>
    </w:p>
    <w:p>
      <w:pPr>
        <w:sectPr>
          <w:pgSz w:w="11900" w:h="16838" w:orient="portrait"/>
          <w:cols w:equalWidth="0" w:num="1">
            <w:col w:w="11420"/>
          </w:cols>
          <w:pgMar w:left="240" w:top="801" w:right="239" w:bottom="1440" w:gutter="0" w:footer="0" w:header="0"/>
        </w:sectPr>
      </w:pPr>
    </w:p>
    <w:bookmarkStart w:id="5" w:name="page6"/>
    <w:bookmarkEnd w:id="5"/>
    <w:p>
      <w:pPr>
        <w:jc w:val="both"/>
        <w:ind w:right="200" w:firstLine="324"/>
        <w:spacing w:after="0" w:line="356" w:lineRule="auto"/>
        <w:rPr>
          <w:sz w:val="20"/>
          <w:szCs w:val="20"/>
          <w:color w:val="auto"/>
        </w:rPr>
      </w:pPr>
      <w:r>
        <w:rPr>
          <w:rFonts w:ascii="Arial" w:cs="Arial" w:eastAsia="Arial" w:hAnsi="Arial"/>
          <w:sz w:val="22"/>
          <w:szCs w:val="22"/>
          <w:color w:val="auto"/>
        </w:rPr>
        <w:t>"While conditions in some market segments are challenging, we believe long-term industry fundamentals are healthy, and we remain focused on the deployment of our advanced DRAM and 3D NAND technologies and products," said Micron CEO Mark Durcan.</w:t>
      </w:r>
    </w:p>
    <w:p>
      <w:pPr>
        <w:spacing w:after="0" w:line="333" w:lineRule="exact"/>
        <w:rPr>
          <w:sz w:val="20"/>
          <w:szCs w:val="20"/>
          <w:color w:val="auto"/>
        </w:rPr>
      </w:pPr>
    </w:p>
    <w:p>
      <w:pPr>
        <w:ind w:right="180" w:firstLine="324"/>
        <w:spacing w:after="0" w:line="366" w:lineRule="auto"/>
        <w:rPr>
          <w:sz w:val="20"/>
          <w:szCs w:val="20"/>
          <w:color w:val="auto"/>
        </w:rPr>
      </w:pPr>
      <w:r>
        <w:rPr>
          <w:rFonts w:ascii="Arial" w:cs="Arial" w:eastAsia="Arial" w:hAnsi="Arial"/>
          <w:sz w:val="22"/>
          <w:szCs w:val="22"/>
          <w:color w:val="auto"/>
        </w:rPr>
        <w:t>Investments in capital expenditures for the first quarter of fiscal 2016 were $990 million. The company ended the first quarter of fiscal 2016 with cash and marketable investments of $5.41 billion.</w:t>
      </w:r>
    </w:p>
    <w:p>
      <w:pPr>
        <w:spacing w:after="0" w:line="322" w:lineRule="exact"/>
        <w:rPr>
          <w:sz w:val="20"/>
          <w:szCs w:val="20"/>
          <w:color w:val="auto"/>
        </w:rPr>
      </w:pPr>
    </w:p>
    <w:p>
      <w:pPr>
        <w:ind w:firstLine="324"/>
        <w:spacing w:after="0" w:line="350" w:lineRule="auto"/>
        <w:rPr>
          <w:sz w:val="20"/>
          <w:szCs w:val="20"/>
          <w:color w:val="auto"/>
        </w:rPr>
      </w:pPr>
      <w:r>
        <w:rPr>
          <w:rFonts w:ascii="Arial" w:cs="Arial" w:eastAsia="Arial" w:hAnsi="Arial"/>
          <w:sz w:val="22"/>
          <w:szCs w:val="22"/>
          <w:color w:val="auto"/>
        </w:rPr>
        <w:t xml:space="preserve">The company will host a conference call Tuesday, Dec. 22, 2015 at 2:30 p.m. MT to discuss its financial results. The call, audio and slides will be available online at </w:t>
      </w:r>
      <w:r>
        <w:rPr>
          <w:rFonts w:ascii="Arial" w:cs="Arial" w:eastAsia="Arial" w:hAnsi="Arial"/>
          <w:sz w:val="22"/>
          <w:szCs w:val="22"/>
          <w:u w:val="single" w:color="auto"/>
          <w:color w:val="0563C1"/>
        </w:rPr>
        <w:t>http://edge.media-server.com/m/p/insbrw6a</w:t>
      </w:r>
      <w:r>
        <w:rPr>
          <w:rFonts w:ascii="Arial" w:cs="Arial" w:eastAsia="Arial" w:hAnsi="Arial"/>
          <w:sz w:val="22"/>
          <w:szCs w:val="22"/>
          <w:color w:val="auto"/>
        </w:rPr>
        <w:t xml:space="preserve">. A webcast replay will be available on the company's website until Dec. 22, 2016. A taped audio replay of the conference call will also be available at 1-404-537-3406 or 1-855-859-2056 (conference number: 86772006) beginning at 5:30 p.m. MT, Tuesday, Dec. 22, 2015 and continuing through Wednesday, Dec. 30, 2015. </w:t>
      </w:r>
      <w:r>
        <w:rPr>
          <w:rFonts w:ascii="Arial" w:cs="Arial" w:eastAsia="Arial" w:hAnsi="Arial"/>
          <w:sz w:val="22"/>
          <w:szCs w:val="22"/>
          <w:color w:val="222222"/>
        </w:rPr>
        <w:t>For</w:t>
      </w:r>
      <w:r>
        <w:rPr>
          <w:rFonts w:ascii="Arial" w:cs="Arial" w:eastAsia="Arial" w:hAnsi="Arial"/>
          <w:sz w:val="22"/>
          <w:szCs w:val="22"/>
          <w:color w:val="auto"/>
        </w:rPr>
        <w:t xml:space="preserve"> Investor Relations and other company updates, follow @MicronTech on Twitter at </w:t>
      </w:r>
      <w:r>
        <w:rPr>
          <w:rFonts w:ascii="Arial" w:cs="Arial" w:eastAsia="Arial" w:hAnsi="Arial"/>
          <w:sz w:val="22"/>
          <w:szCs w:val="22"/>
          <w:u w:val="single" w:color="auto"/>
          <w:color w:val="006EBF"/>
        </w:rPr>
        <w:t>https://twitter.com/MicronTech</w:t>
      </w:r>
      <w:r>
        <w:rPr>
          <w:rFonts w:ascii="Arial" w:cs="Arial" w:eastAsia="Arial" w:hAnsi="Arial"/>
          <w:sz w:val="22"/>
          <w:szCs w:val="22"/>
          <w:color w:val="000000"/>
        </w:rPr>
        <w:t>.</w:t>
      </w:r>
    </w:p>
    <w:p>
      <w:pPr>
        <w:spacing w:after="0" w:line="339" w:lineRule="exact"/>
        <w:rPr>
          <w:sz w:val="20"/>
          <w:szCs w:val="20"/>
          <w:color w:val="auto"/>
        </w:rPr>
      </w:pPr>
    </w:p>
    <w:p>
      <w:pPr>
        <w:ind w:right="40" w:firstLine="324"/>
        <w:spacing w:after="0" w:line="350" w:lineRule="auto"/>
        <w:rPr>
          <w:sz w:val="20"/>
          <w:szCs w:val="20"/>
          <w:color w:val="auto"/>
        </w:rPr>
      </w:pPr>
      <w:r>
        <w:rPr>
          <w:rFonts w:ascii="Arial" w:cs="Arial" w:eastAsia="Arial" w:hAnsi="Arial"/>
          <w:sz w:val="22"/>
          <w:szCs w:val="22"/>
          <w:color w:val="auto"/>
        </w:rPr>
        <w:t xml:space="preserve">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22"/>
          <w:szCs w:val="22"/>
          <w:u w:val="single" w:color="auto"/>
          <w:color w:val="006EBF"/>
        </w:rPr>
        <w:t>www.micron.com</w:t>
      </w:r>
      <w:r>
        <w:rPr>
          <w:rFonts w:ascii="Arial" w:cs="Arial" w:eastAsia="Arial" w:hAnsi="Arial"/>
          <w:sz w:val="22"/>
          <w:szCs w:val="22"/>
          <w:color w:val="000000"/>
        </w:rPr>
        <w:t>.</w:t>
      </w:r>
    </w:p>
    <w:p>
      <w:pPr>
        <w:spacing w:after="0" w:line="303" w:lineRule="exact"/>
        <w:rPr>
          <w:sz w:val="20"/>
          <w:szCs w:val="20"/>
          <w:color w:val="auto"/>
        </w:rPr>
      </w:pPr>
    </w:p>
    <w:p>
      <w:pPr>
        <w:ind w:left="560" w:hanging="228"/>
        <w:spacing w:after="0"/>
        <w:tabs>
          <w:tab w:leader="none" w:pos="560" w:val="left"/>
        </w:tabs>
        <w:numPr>
          <w:ilvl w:val="0"/>
          <w:numId w:val="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spacing w:after="0" w:line="90" w:lineRule="exact"/>
        <w:rPr>
          <w:rFonts w:ascii="Arial" w:cs="Arial" w:eastAsia="Arial" w:hAnsi="Arial"/>
          <w:sz w:val="27"/>
          <w:szCs w:val="27"/>
          <w:i w:val="1"/>
          <w:iCs w:val="1"/>
          <w:color w:val="auto"/>
          <w:vertAlign w:val="superscript"/>
        </w:rPr>
      </w:pPr>
    </w:p>
    <w:p>
      <w:pPr>
        <w:ind w:right="420" w:firstLine="332"/>
        <w:spacing w:after="0" w:line="375" w:lineRule="auto"/>
        <w:tabs>
          <w:tab w:leader="none" w:pos="546"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ectPr>
          <w:pgSz w:w="11900" w:h="16838" w:orient="portrait"/>
          <w:cols w:equalWidth="0" w:num="1">
            <w:col w:w="11380"/>
          </w:cols>
          <w:pgMar w:left="240" w:top="861" w:right="279" w:bottom="1440" w:gutter="0" w:footer="0" w:header="0"/>
        </w:sectPr>
      </w:pPr>
    </w:p>
    <w:bookmarkStart w:id="6" w:name="page7"/>
    <w:bookmarkEnd w:id="6"/>
    <w:p>
      <w:pPr>
        <w:jc w:val="center"/>
        <w:ind w:left="340"/>
        <w:spacing w:after="0"/>
        <w:rPr>
          <w:sz w:val="20"/>
          <w:szCs w:val="20"/>
          <w:color w:val="auto"/>
        </w:rPr>
      </w:pPr>
      <w:r>
        <w:rPr>
          <w:rFonts w:ascii="Arial" w:cs="Arial" w:eastAsia="Arial" w:hAnsi="Arial"/>
          <w:sz w:val="22"/>
          <w:szCs w:val="22"/>
          <w:b w:val="1"/>
          <w:bCs w:val="1"/>
          <w:color w:val="auto"/>
        </w:rPr>
        <w:t>MICRON TECHNOLOGY, INC.</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180" w:type="dxa"/>
            <w:vAlign w:val="bottom"/>
            <w:gridSpan w:val="4"/>
          </w:tcPr>
          <w:p>
            <w:pPr>
              <w:ind w:left="60"/>
              <w:spacing w:after="0"/>
              <w:rPr>
                <w:sz w:val="20"/>
                <w:szCs w:val="20"/>
                <w:color w:val="auto"/>
              </w:rPr>
            </w:pPr>
            <w:r>
              <w:rPr>
                <w:rFonts w:ascii="Arial" w:cs="Arial" w:eastAsia="Arial" w:hAnsi="Arial"/>
                <w:sz w:val="18"/>
                <w:szCs w:val="18"/>
                <w:b w:val="1"/>
                <w:bCs w:val="1"/>
                <w:color w:val="auto"/>
              </w:rPr>
              <w:t>(in millions except per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10"/>
        </w:trPr>
        <w:tc>
          <w:tcPr>
            <w:tcW w:w="4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8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Qtr.</w:t>
            </w: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r>
      <w:tr>
        <w:trPr>
          <w:trHeight w:val="216"/>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December 3,</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December 4,</w:t>
            </w:r>
          </w:p>
        </w:tc>
      </w:tr>
      <w:tr>
        <w:trPr>
          <w:trHeight w:val="234"/>
        </w:trPr>
        <w:tc>
          <w:tcPr>
            <w:tcW w:w="4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4,573</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2,935</w:t>
            </w:r>
          </w:p>
        </w:tc>
      </w:tr>
      <w:tr>
        <w:trPr>
          <w:trHeight w:val="27"/>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non-operating income (expense), net </w:t>
            </w:r>
            <w:r>
              <w:rPr>
                <w:rFonts w:ascii="Arial" w:cs="Arial" w:eastAsia="Arial" w:hAnsi="Arial"/>
                <w:sz w:val="25"/>
                <w:szCs w:val="25"/>
                <w:color w:val="auto"/>
                <w:vertAlign w:val="superscript"/>
              </w:rPr>
              <w:t>(1)</w:t>
            </w:r>
          </w:p>
        </w:tc>
        <w:tc>
          <w:tcPr>
            <w:tcW w:w="2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4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2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equity method investees</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1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Micron</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0.94</w:t>
            </w: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r>
      <w:tr>
        <w:trPr>
          <w:trHeight w:val="297"/>
        </w:trPr>
        <w:tc>
          <w:tcPr>
            <w:tcW w:w="4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2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Basic</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4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7"/>
        </w:trPr>
        <w:tc>
          <w:tcPr>
            <w:tcW w:w="41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w:t>
            </w:r>
          </w:p>
        </w:tc>
        <w:tc>
          <w:tcPr>
            <w:tcW w:w="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September 3,</w:t>
            </w:r>
          </w:p>
        </w:tc>
      </w:tr>
      <w:tr>
        <w:trPr>
          <w:trHeight w:val="234"/>
        </w:trPr>
        <w:tc>
          <w:tcPr>
            <w:tcW w:w="830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2,507</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w:t>
            </w: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8,596</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w:t>
            </w: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10,554</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24,143</w:t>
            </w:r>
          </w:p>
        </w:tc>
      </w:tr>
      <w:tr>
        <w:trPr>
          <w:trHeight w:val="297"/>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2,611</w:t>
            </w:r>
          </w:p>
        </w:tc>
      </w:tr>
      <w:tr>
        <w:trPr>
          <w:trHeight w:val="270"/>
        </w:trPr>
        <w:tc>
          <w:tcPr>
            <w:tcW w:w="8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(1)(3)</w:t>
            </w:r>
          </w:p>
        </w:tc>
        <w:tc>
          <w:tcPr>
            <w:tcW w:w="18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1,089</w:t>
            </w: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3,905</w:t>
            </w:r>
          </w:p>
        </w:tc>
      </w:tr>
      <w:tr>
        <w:trPr>
          <w:trHeight w:val="270"/>
        </w:trPr>
        <w:tc>
          <w:tcPr>
            <w:tcW w:w="83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(1)(3)</w:t>
            </w:r>
          </w:p>
        </w:tc>
        <w:tc>
          <w:tcPr>
            <w:tcW w:w="18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6,252</w:t>
            </w:r>
          </w:p>
        </w:tc>
      </w:tr>
      <w:tr>
        <w:trPr>
          <w:trHeight w:val="297"/>
        </w:trPr>
        <w:tc>
          <w:tcPr>
            <w:tcW w:w="8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Micron shareholders' equity</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12,302</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13,239</w:t>
            </w: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52"/>
        </w:trPr>
        <w:tc>
          <w:tcPr>
            <w:tcW w:w="8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w:t>
            </w:r>
          </w:p>
        </w:tc>
        <w:tc>
          <w:tcPr>
            <w:tcW w:w="180" w:type="dxa"/>
            <w:vAlign w:val="bottom"/>
          </w:tcPr>
          <w:p>
            <w:pPr>
              <w:spacing w:after="0"/>
              <w:rPr>
                <w:sz w:val="21"/>
                <w:szCs w:val="21"/>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4,</w:t>
            </w:r>
          </w:p>
        </w:tc>
      </w:tr>
      <w:tr>
        <w:trPr>
          <w:trHeight w:val="234"/>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97"/>
        </w:trPr>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to acquire treasury stock</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(1) Other non-operating income (expense) consisted of the following:</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0"/>
        </w:trPr>
        <w:tc>
          <w:tcPr>
            <w:tcW w:w="6760" w:type="dxa"/>
            <w:vAlign w:val="bottom"/>
          </w:tcPr>
          <w:p>
            <w:pPr>
              <w:spacing w:after="0"/>
              <w:rPr>
                <w:sz w:val="24"/>
                <w:szCs w:val="24"/>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25"/>
                <w:szCs w:val="25"/>
                <w:b w:val="1"/>
                <w:bCs w:val="1"/>
                <w:color w:val="auto"/>
                <w:vertAlign w:val="superscript"/>
              </w:rPr>
              <w:t>st</w:t>
            </w:r>
            <w:r>
              <w:rPr>
                <w:rFonts w:ascii="Arial" w:cs="Arial" w:eastAsia="Arial" w:hAnsi="Arial"/>
                <w:sz w:val="18"/>
                <w:szCs w:val="18"/>
                <w:b w:val="1"/>
                <w:bCs w:val="1"/>
                <w:color w:val="auto"/>
              </w:rPr>
              <w:t xml:space="preserve"> Qtr.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4</w:t>
            </w:r>
            <w:r>
              <w:rPr>
                <w:rFonts w:ascii="Arial" w:cs="Arial" w:eastAsia="Arial" w:hAnsi="Arial"/>
                <w:sz w:val="25"/>
                <w:szCs w:val="25"/>
                <w:b w:val="1"/>
                <w:bCs w:val="1"/>
                <w:color w:val="auto"/>
                <w:w w:val="85"/>
                <w:vertAlign w:val="superscript"/>
              </w:rPr>
              <w:t>th</w:t>
            </w:r>
            <w:r>
              <w:rPr>
                <w:rFonts w:ascii="Arial" w:cs="Arial" w:eastAsia="Arial" w:hAnsi="Arial"/>
                <w:sz w:val="18"/>
                <w:szCs w:val="18"/>
                <w:b w:val="1"/>
                <w:bCs w:val="1"/>
                <w:color w:val="auto"/>
                <w:w w:val="85"/>
              </w:rPr>
              <w:t xml:space="preserve"> Qtr.</w:t>
            </w:r>
          </w:p>
        </w:tc>
        <w:tc>
          <w:tcPr>
            <w:tcW w:w="18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r>
      <w:tr>
        <w:trPr>
          <w:trHeight w:val="216"/>
        </w:trPr>
        <w:tc>
          <w:tcPr>
            <w:tcW w:w="6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December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September 3,</w:t>
            </w: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December 4,</w:t>
            </w:r>
          </w:p>
        </w:tc>
      </w:tr>
      <w:tr>
        <w:trPr>
          <w:trHeight w:val="234"/>
        </w:trPr>
        <w:tc>
          <w:tcPr>
            <w:tcW w:w="676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6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from changes in currency exchange rates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Loss on restructure of debt</w:t>
            </w:r>
          </w:p>
        </w:tc>
        <w:tc>
          <w:tcPr>
            <w:tcW w:w="12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676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During the first quarter of fiscal 2016, the company repurchased $57 million in aggregate principal amount of 2033E Notes for $94 million in cash. In the fourth and first quarters of fiscal 2015, the company recognized losses of $1 million and $30 million, respectively, from transactions to restructure its debt, including conversions and settlements, and repurchases.</w:t>
      </w:r>
    </w:p>
    <w:p>
      <w:pPr>
        <w:spacing w:after="0" w:line="181" w:lineRule="exact"/>
        <w:rPr>
          <w:sz w:val="20"/>
          <w:szCs w:val="20"/>
          <w:color w:val="auto"/>
        </w:rPr>
      </w:pPr>
    </w:p>
    <w:p>
      <w:pPr>
        <w:ind w:left="340" w:right="2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for the first quarters of fiscal 2016 and 2015 included expense of $22 million and $38 million, respectively, related to changes in amounts of net deferred tax assets associated with the company's MMJ and MMT operations. Income taxes for the first quarter of fiscal 2016 also included a benefit of $41 million from business acquisition activities. Income taxes for the fourth quarter of fiscal 2015 included a benefit of $58 million related to changes in amounts of net deferred tax assets associated with the company's MMJ and MMT operations. Remaining taxes for fiscal 2016 and 2015 primarily reflect taxes on the company's other non-U.S. operations. The company has a full valuation allowance for its net deferred tax asset associated with its U.S. operations. The provision (benefit) for taxes on U.S. operations for fiscal 2016 and 2015 was substantially offset by changes in the valuation allowance.</w:t>
      </w:r>
    </w:p>
    <w:p>
      <w:pPr>
        <w:spacing w:after="0" w:line="189"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first quarter of fiscal 2016, the company drew the remaining $174 million of financing under a term loan agreement, collateralized by certain property, plant, and equipment. As of December 3, 2015, the outstanding balance was $213 million.</w:t>
      </w:r>
    </w:p>
    <w:p>
      <w:pPr>
        <w:spacing w:after="0" w:line="170" w:lineRule="exact"/>
        <w:rPr>
          <w:rFonts w:ascii="Arial" w:cs="Arial" w:eastAsia="Arial" w:hAnsi="Arial"/>
          <w:sz w:val="18"/>
          <w:szCs w:val="18"/>
          <w:color w:val="auto"/>
        </w:rPr>
      </w:pPr>
    </w:p>
    <w:p>
      <w:pPr>
        <w:ind w:left="340" w:right="580"/>
        <w:spacing w:after="0" w:line="342" w:lineRule="auto"/>
        <w:rPr>
          <w:rFonts w:ascii="Arial" w:cs="Arial" w:eastAsia="Arial" w:hAnsi="Arial"/>
          <w:sz w:val="18"/>
          <w:szCs w:val="18"/>
          <w:color w:val="auto"/>
        </w:rPr>
      </w:pPr>
      <w:r>
        <w:rPr>
          <w:rFonts w:ascii="Arial" w:cs="Arial" w:eastAsia="Arial" w:hAnsi="Arial"/>
          <w:sz w:val="16"/>
          <w:szCs w:val="16"/>
          <w:color w:val="auto"/>
        </w:rPr>
        <w:t>In December 2015, subsequent to the first quarter of fiscal 2016, the company executed an aggregate of $424 million in equipment sale-leaseback financing transactions at a weighted-average interest rate of 2.7% per annum, payable in periodic installments through December 2020.</w:t>
      </w:r>
    </w:p>
    <w:p>
      <w:pPr>
        <w:sectPr>
          <w:pgSz w:w="11900" w:h="16838" w:orient="portrait"/>
          <w:cols w:equalWidth="0" w:num="1">
            <w:col w:w="11420"/>
          </w:cols>
          <w:pgMar w:left="240" w:top="800" w:right="239" w:bottom="1440" w:gutter="0" w:footer="0" w:header="0"/>
        </w:sectPr>
      </w:pPr>
    </w:p>
    <w:bookmarkStart w:id="9" w:name="page10"/>
    <w:bookmarkEnd w:id="9"/>
    <w:p>
      <w:pPr>
        <w:jc w:val="center"/>
        <w:ind w:left="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4580" w:type="dxa"/>
            <w:vAlign w:val="bottom"/>
            <w:gridSpan w:val="2"/>
          </w:tcPr>
          <w:p>
            <w:pPr>
              <w:jc w:val="right"/>
              <w:ind w:right="147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12"/>
        </w:trPr>
        <w:tc>
          <w:tcPr>
            <w:tcW w:w="4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w:t>
            </w:r>
            <w:r>
              <w:rPr>
                <w:rFonts w:ascii="Arial" w:cs="Arial" w:eastAsia="Arial" w:hAnsi="Arial"/>
                <w:sz w:val="25"/>
                <w:szCs w:val="25"/>
                <w:b w:val="1"/>
                <w:bCs w:val="1"/>
                <w:color w:val="auto"/>
                <w:w w:val="87"/>
                <w:vertAlign w:val="superscript"/>
              </w:rPr>
              <w:t>st</w:t>
            </w:r>
            <w:r>
              <w:rPr>
                <w:rFonts w:ascii="Arial" w:cs="Arial" w:eastAsia="Arial" w:hAnsi="Arial"/>
                <w:sz w:val="18"/>
                <w:szCs w:val="18"/>
                <w:b w:val="1"/>
                <w:bCs w:val="1"/>
                <w:color w:val="auto"/>
                <w:w w:val="87"/>
              </w:rPr>
              <w:t xml:space="preserve"> Qtr.</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Qtr.</w:t>
            </w:r>
          </w:p>
        </w:tc>
      </w:tr>
      <w:tr>
        <w:trPr>
          <w:trHeight w:val="216"/>
        </w:trPr>
        <w:tc>
          <w:tcPr>
            <w:tcW w:w="4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December 3,</w:t>
            </w:r>
          </w:p>
        </w:tc>
        <w:tc>
          <w:tcPr>
            <w:tcW w:w="14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September 3,</w:t>
            </w:r>
          </w:p>
        </w:tc>
      </w:tr>
      <w:tr>
        <w:trPr>
          <w:trHeight w:val="234"/>
        </w:trPr>
        <w:tc>
          <w:tcPr>
            <w:tcW w:w="41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 attributable to Micron</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Restructure and asset impairments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Amortization of debt discount and other costs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on restructure of debt</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3"/>
              </w:rPr>
              <w:t>(Gain) loss from changes in currency exchange rates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 from remeasurement of equity interest</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160" w:type="dxa"/>
            <w:vAlign w:val="bottom"/>
          </w:tcPr>
          <w:p>
            <w:pPr>
              <w:ind w:left="360"/>
              <w:spacing w:after="0"/>
              <w:rPr>
                <w:sz w:val="20"/>
                <w:szCs w:val="20"/>
                <w:color w:val="auto"/>
              </w:rPr>
            </w:pPr>
            <w:r>
              <w:rPr>
                <w:rFonts w:ascii="Arial" w:cs="Arial" w:eastAsia="Arial" w:hAnsi="Arial"/>
                <w:sz w:val="18"/>
                <w:szCs w:val="18"/>
                <w:color w:val="auto"/>
              </w:rPr>
              <w:t>Estimated tax effects of above items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taxes from MMJ, MMT and Inotera</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w w:val="97"/>
              </w:rPr>
              <w:t>Non-cash taxes from business acquisition activities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non-GAAP adjustments</w:t>
            </w:r>
          </w:p>
        </w:tc>
        <w:tc>
          <w:tcPr>
            <w:tcW w:w="4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net income attributable to Micron</w:t>
            </w:r>
          </w:p>
        </w:tc>
        <w:tc>
          <w:tcPr>
            <w:tcW w:w="44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r>
        <w:trPr>
          <w:trHeight w:val="284"/>
        </w:trPr>
        <w:tc>
          <w:tcPr>
            <w:tcW w:w="4160" w:type="dxa"/>
            <w:vAlign w:val="bottom"/>
            <w:shd w:val="clear" w:color="auto" w:fill="CCEEFF"/>
          </w:tcPr>
          <w:p>
            <w:pPr>
              <w:spacing w:after="0"/>
              <w:rPr>
                <w:sz w:val="24"/>
                <w:szCs w:val="24"/>
                <w:color w:val="auto"/>
              </w:rPr>
            </w:pPr>
          </w:p>
        </w:tc>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GAAP</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Effect of capped calls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1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Non-GAAP</w:t>
            </w:r>
          </w:p>
        </w:tc>
        <w:tc>
          <w:tcPr>
            <w:tcW w:w="4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0"/>
        </w:trPr>
        <w:tc>
          <w:tcPr>
            <w:tcW w:w="4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0"/>
              <w:spacing w:after="0"/>
              <w:rPr>
                <w:sz w:val="20"/>
                <w:szCs w:val="20"/>
                <w:color w:val="auto"/>
              </w:rPr>
            </w:pPr>
            <w:r>
              <w:rPr>
                <w:rFonts w:ascii="Arial" w:cs="Arial" w:eastAsia="Arial" w:hAnsi="Arial"/>
                <w:sz w:val="18"/>
                <w:szCs w:val="18"/>
                <w:color w:val="auto"/>
              </w:rPr>
              <w:t>GAAP</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Effects of above</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4160" w:type="dxa"/>
            <w:vAlign w:val="bottom"/>
          </w:tcPr>
          <w:p>
            <w:pPr>
              <w:ind w:left="200"/>
              <w:spacing w:after="0"/>
              <w:rPr>
                <w:sz w:val="20"/>
                <w:szCs w:val="20"/>
                <w:color w:val="auto"/>
              </w:rPr>
            </w:pPr>
            <w:r>
              <w:rPr>
                <w:rFonts w:ascii="Arial" w:cs="Arial" w:eastAsia="Arial" w:hAnsi="Arial"/>
                <w:sz w:val="18"/>
                <w:szCs w:val="18"/>
                <w:color w:val="auto"/>
              </w:rPr>
              <w:t>Non-GAAP</w:t>
            </w:r>
          </w:p>
        </w:tc>
        <w:tc>
          <w:tcPr>
            <w:tcW w:w="44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r>
      <w:tr>
        <w:trPr>
          <w:trHeight w:val="20"/>
        </w:trPr>
        <w:tc>
          <w:tcPr>
            <w:tcW w:w="4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helpful to understanding trends and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17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3"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MMJ installment debt;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from remeasurement of an equity method investment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tax effects of above items;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resulting from utilization of, and other changes in, deferred tax assets of MMJ, MMT, and Inotera (an equity method investment of the company);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resulting from business acquisition activities.</w:t>
      </w:r>
    </w:p>
    <w:p>
      <w:pPr>
        <w:sectPr>
          <w:pgSz w:w="11900" w:h="16838" w:orient="portrait"/>
          <w:cols w:equalWidth="0" w:num="1">
            <w:col w:w="11420"/>
          </w:cols>
          <w:pgMar w:left="240" w:top="796" w:right="239" w:bottom="1440" w:gutter="0" w:footer="0" w:header="0"/>
        </w:sectPr>
      </w:pPr>
    </w:p>
    <w:bookmarkStart w:id="10" w:name="page11"/>
    <w:bookmarkEnd w:id="10"/>
    <w:p>
      <w:pPr>
        <w:ind w:firstLine="324"/>
        <w:spacing w:after="0" w:line="264"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 The anti-dilutive effect of the capped calls is based on the average share price for the period the capped calls are outstanding during the quarter.</w:t>
      </w:r>
    </w:p>
    <w:sectPr>
      <w:pgSz w:w="11900" w:h="16838" w:orient="portrait"/>
      <w:cols w:equalWidth="0" w:num="1">
        <w:col w:w="11320"/>
      </w:cols>
      <w:pgMar w:left="24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2019-12-05T21:30:03Z</dcterms:created>
  <dcterms:modified xsi:type="dcterms:W3CDTF">2019-12-05T21:30:03Z</dcterms:modified>
</cp:coreProperties>
</file>