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57">
        <w:r>
          <w:rPr>
            <w:rFonts w:ascii="Times New Roman" w:cs="Times New Roman" w:eastAsia="Times New Roman" w:hAnsi="Times New Roman"/>
            <w:sz w:val="22"/>
            <w:szCs w:val="22"/>
            <w:u w:val="single" w:color="auto"/>
            <w:color w:val="0000EE"/>
          </w:rPr>
          <w:t>TABLE OF CONTENTS</w:t>
        </w:r>
      </w:hyperlink>
    </w:p>
    <w:p>
      <w:pPr>
        <w:spacing w:after="0" w:line="200" w:lineRule="exact"/>
        <w:rPr>
          <w:sz w:val="24"/>
          <w:szCs w:val="24"/>
          <w:color w:val="auto"/>
        </w:rPr>
      </w:pPr>
    </w:p>
    <w:p>
      <w:pPr>
        <w:spacing w:after="0" w:line="209"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Filed Pursuant to Rule 424(b)(5)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Registration No. 333-220882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CALCULATION OF REGISTRATION FEE</w:t>
            </w:r>
          </w:p>
        </w:tc>
        <w:tc>
          <w:tcPr>
            <w:tcW w:w="1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500" w:type="dxa"/>
            <w:vAlign w:val="bottom"/>
          </w:tcPr>
          <w:p>
            <w:pPr>
              <w:jc w:val="center"/>
              <w:ind w:right="383"/>
              <w:spacing w:after="0" w:line="113"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2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Maximum</w:t>
            </w:r>
          </w:p>
        </w:tc>
        <w:tc>
          <w:tcPr>
            <w:tcW w:w="2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Securities</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2500" w:type="dxa"/>
            <w:vAlign w:val="bottom"/>
          </w:tcPr>
          <w:p>
            <w:pPr>
              <w:jc w:val="center"/>
              <w:ind w:right="363"/>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Offering Price Per</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2500" w:type="dxa"/>
            <w:vAlign w:val="bottom"/>
            <w:gridSpan w:val="2"/>
          </w:tcPr>
          <w:p>
            <w:pPr>
              <w:jc w:val="center"/>
              <w:ind w:left="3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to be Registered</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2500" w:type="dxa"/>
            <w:vAlign w:val="bottom"/>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500" w:type="dxa"/>
            <w:vAlign w:val="bottom"/>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w w:val="95"/>
              </w:rPr>
              <w:t>Registration Fee(1)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4.640% Senior Notes due February 6,</w:t>
            </w:r>
          </w:p>
        </w:tc>
        <w:tc>
          <w:tcPr>
            <w:tcW w:w="19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$600,000,000</w:t>
            </w:r>
          </w:p>
        </w:tc>
        <w:tc>
          <w:tcPr>
            <w:tcW w:w="2500" w:type="dxa"/>
            <w:vAlign w:val="bottom"/>
          </w:tcPr>
          <w:p>
            <w:pPr>
              <w:jc w:val="center"/>
              <w:ind w:right="363"/>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$600,000,000</w:t>
            </w:r>
          </w:p>
        </w:tc>
        <w:tc>
          <w:tcPr>
            <w:tcW w:w="244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w w:val="96"/>
              </w:rPr>
              <w:t>$72,720.00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4.975% Senior Notes due February 6,</w:t>
            </w:r>
          </w:p>
        </w:tc>
        <w:tc>
          <w:tcPr>
            <w:tcW w:w="1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$500,000,000</w:t>
            </w:r>
          </w:p>
        </w:tc>
        <w:tc>
          <w:tcPr>
            <w:tcW w:w="2500" w:type="dxa"/>
            <w:vAlign w:val="bottom"/>
          </w:tcPr>
          <w:p>
            <w:pPr>
              <w:jc w:val="center"/>
              <w:ind w:right="363"/>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$500,000,000</w:t>
            </w:r>
          </w:p>
        </w:tc>
        <w:tc>
          <w:tcPr>
            <w:tcW w:w="244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w w:val="96"/>
              </w:rPr>
              <w:t>$60,600.00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5.327% Senior Notes due February 6,</w:t>
            </w:r>
          </w:p>
        </w:tc>
        <w:tc>
          <w:tcPr>
            <w:tcW w:w="1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$700,000,000</w:t>
            </w:r>
          </w:p>
        </w:tc>
        <w:tc>
          <w:tcPr>
            <w:tcW w:w="2500" w:type="dxa"/>
            <w:vAlign w:val="bottom"/>
          </w:tcPr>
          <w:p>
            <w:pPr>
              <w:jc w:val="center"/>
              <w:ind w:right="363"/>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$700,000,000</w:t>
            </w:r>
          </w:p>
        </w:tc>
        <w:tc>
          <w:tcPr>
            <w:tcW w:w="244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w w:val="96"/>
              </w:rPr>
              <w:t>$84,840.00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4"/>
          <w:szCs w:val="24"/>
          <w:color w:val="auto"/>
        </w:rPr>
      </w:pPr>
    </w:p>
    <w:p>
      <w:pPr>
        <w:ind w:left="540" w:right="20" w:hanging="532"/>
        <w:spacing w:after="0" w:line="275"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Represents deferred payment of the registration fees in connection with the registrant's Registration Statement on Form S-3 (Registration No. 333-220882)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Prospectus Supplement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Prospectus dated October 10, 2017)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$1,800,000,000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151130</wp:posOffset>
            </wp:positionV>
            <wp:extent cx="3422015" cy="951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201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Micron Technology, Inc.</w:t>
      </w:r>
    </w:p>
    <w:p>
      <w:pPr>
        <w:spacing w:after="0" w:line="2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$600,000,000 4.640% Senior Notes due 2024</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$500,000,000 4.975% Senior Notes due 2026</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$700,000,000 5.327%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153670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Micron Technology, Inc. is offering $600,000,000 aggregate principal amount of 4.640% senior notes due 2024 (the "2024 notes"), $500,000,000 aggregate principal amount of 4.975% senior notes due 2026 (the "2026" notes) and $700,000,000 aggregate principal amount of 5.327% senior notes due 2029 (the "2029 notes" and, together with the 2029 notes and the 2026 notes, the "notes"). The 2024 notes, the 2026 notes and the 2029 notes are each referred to herein as a series of notes.</w:t>
      </w:r>
    </w:p>
    <w:p>
      <w:pPr>
        <w:spacing w:after="0" w:line="18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The 2024 notes will bear interest at the rate of 4.640% per year, the 2026 notes will bear interest at the rate of 4.975% per year and the 2029 notes will bear interest at the rate of 5.327% per year. Interest will be payable semi-annually in arrears on February 6 and August 6 of each year, beginning August 6,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2024 notes will mature on February 6, 2024, the 2026 notes will mature on February 6, 2026 and the 2029 notes will mature on February 6, 2029.</w:t>
      </w:r>
    </w:p>
    <w:p>
      <w:pPr>
        <w:spacing w:after="0" w:line="20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4"/>
          <w:szCs w:val="14"/>
          <w:b w:val="1"/>
          <w:bCs w:val="1"/>
          <w:i w:val="1"/>
          <w:iCs w:val="1"/>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Notes—Optional Redemption"), plus accrued and unpaid interest thereon to, but excluding, the redemption date. In addition, we may redeem the 2024 notes in whole or in part, at any time from or after January 6, 2024, the 2026 notes in whole or in part, at any time from or after December 6, 2025, and the 2029 notes in whole or in part, at any time from or after November 6, 2028, at a redemption price equal to 100% of the principal amount of the notes to be redeemed, plus accrued and unpaid interest thereon to, but excluding, the redemption date. See "Description of the Notes—Optional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Investing in the notes involves risks. See "Risk Factors" beginning on page S-8 for a discussion of certain risks that should be considered in connection with an investment in the notes.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w w:val="95"/>
              </w:rPr>
              <w:t>Proceeds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w w:val="95"/>
              </w:rPr>
              <w:t>Public offering</w:t>
            </w:r>
          </w:p>
        </w:tc>
        <w:tc>
          <w:tcPr>
            <w:tcW w:w="180" w:type="dxa"/>
            <w:vAlign w:val="bottom"/>
          </w:tcPr>
          <w:p>
            <w:pPr>
              <w:spacing w:after="0"/>
              <w:rPr>
                <w:sz w:val="12"/>
                <w:szCs w:val="12"/>
                <w:color w:val="auto"/>
              </w:rPr>
            </w:pPr>
          </w:p>
        </w:tc>
        <w:tc>
          <w:tcPr>
            <w:tcW w:w="12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w w:val="95"/>
              </w:rPr>
              <w:t>Underwriting</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w w:val="98"/>
              </w:rPr>
              <w:t>to us, before</w:t>
            </w:r>
          </w:p>
        </w:tc>
        <w:tc>
          <w:tcPr>
            <w:tcW w:w="0" w:type="dxa"/>
            <w:vAlign w:val="bottom"/>
          </w:tcPr>
          <w:p>
            <w:pPr>
              <w:spacing w:after="0"/>
              <w:rPr>
                <w:sz w:val="1"/>
                <w:szCs w:val="1"/>
                <w:color w:val="auto"/>
              </w:rPr>
            </w:pPr>
          </w:p>
        </w:tc>
      </w:tr>
      <w:tr>
        <w:trPr>
          <w:trHeight w:val="195"/>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Per 2024 Note</w:t>
            </w:r>
          </w:p>
        </w:tc>
        <w:tc>
          <w:tcPr>
            <w:tcW w:w="200" w:type="dxa"/>
            <w:vAlign w:val="bottom"/>
          </w:tcPr>
          <w:p>
            <w:pPr>
              <w:spacing w:after="0"/>
              <w:rPr>
                <w:sz w:val="16"/>
                <w:szCs w:val="16"/>
                <w:color w:val="auto"/>
              </w:rPr>
            </w:pPr>
          </w:p>
        </w:tc>
        <w:tc>
          <w:tcPr>
            <w:tcW w:w="108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i w:val="1"/>
                <w:iCs w:val="1"/>
                <w:color w:val="auto"/>
                <w:w w:val="91"/>
              </w:rPr>
              <w:t>price</w:t>
            </w:r>
            <w:r>
              <w:rPr>
                <w:rFonts w:ascii="Times New Roman" w:cs="Times New Roman" w:eastAsia="Times New Roman" w:hAnsi="Times New Roman"/>
                <w:sz w:val="22"/>
                <w:szCs w:val="22"/>
                <w:b w:val="1"/>
                <w:bCs w:val="1"/>
                <w:i w:val="1"/>
                <w:iCs w:val="1"/>
                <w:color w:val="auto"/>
                <w:w w:val="91"/>
                <w:vertAlign w:val="superscript"/>
              </w:rPr>
              <w:t>(1)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80"/>
              <w:spacing w:after="0" w:line="196" w:lineRule="exact"/>
              <w:rPr>
                <w:sz w:val="20"/>
                <w:szCs w:val="20"/>
                <w:color w:val="auto"/>
              </w:rPr>
            </w:pPr>
            <w:r>
              <w:rPr>
                <w:rFonts w:ascii="Times New Roman" w:cs="Times New Roman" w:eastAsia="Times New Roman" w:hAnsi="Times New Roman"/>
                <w:sz w:val="14"/>
                <w:szCs w:val="14"/>
                <w:b w:val="1"/>
                <w:bCs w:val="1"/>
                <w:i w:val="1"/>
                <w:iCs w:val="1"/>
                <w:color w:val="auto"/>
                <w:w w:val="92"/>
              </w:rPr>
              <w:t>discounts</w:t>
            </w:r>
            <w:r>
              <w:rPr>
                <w:rFonts w:ascii="Times New Roman" w:cs="Times New Roman" w:eastAsia="Times New Roman" w:hAnsi="Times New Roman"/>
                <w:sz w:val="22"/>
                <w:szCs w:val="22"/>
                <w:b w:val="1"/>
                <w:bCs w:val="1"/>
                <w:i w:val="1"/>
                <w:iCs w:val="1"/>
                <w:color w:val="auto"/>
                <w:w w:val="92"/>
                <w:vertAlign w:val="superscript"/>
              </w:rPr>
              <w:t>(2)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i w:val="1"/>
                <w:iCs w:val="1"/>
                <w:color w:val="auto"/>
                <w:w w:val="90"/>
              </w:rPr>
              <w:t>expenses</w:t>
            </w:r>
            <w:r>
              <w:rPr>
                <w:rFonts w:ascii="Times New Roman" w:cs="Times New Roman" w:eastAsia="Times New Roman" w:hAnsi="Times New Roman"/>
                <w:sz w:val="22"/>
                <w:szCs w:val="22"/>
                <w:b w:val="1"/>
                <w:bCs w:val="1"/>
                <w:i w:val="1"/>
                <w:iCs w:val="1"/>
                <w:color w:val="auto"/>
                <w:w w:val="90"/>
                <w:vertAlign w:val="superscript"/>
              </w:rPr>
              <w:t>(1)</w:t>
            </w:r>
          </w:p>
        </w:tc>
        <w:tc>
          <w:tcPr>
            <w:tcW w:w="0" w:type="dxa"/>
            <w:vAlign w:val="bottom"/>
          </w:tcPr>
          <w:p>
            <w:pPr>
              <w:spacing w:after="0"/>
              <w:rPr>
                <w:sz w:val="1"/>
                <w:szCs w:val="1"/>
                <w:color w:val="auto"/>
              </w:rPr>
            </w:pPr>
          </w:p>
        </w:tc>
      </w:tr>
      <w:tr>
        <w:trPr>
          <w:trHeight w:val="127"/>
        </w:trPr>
        <w:tc>
          <w:tcPr>
            <w:tcW w:w="49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i w:val="1"/>
                <w:iCs w:val="1"/>
                <w:color w:val="auto"/>
                <w:w w:val="97"/>
              </w:rPr>
              <w:t>100%</w:t>
            </w:r>
          </w:p>
        </w:tc>
        <w:tc>
          <w:tcPr>
            <w:tcW w:w="22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74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i w:val="1"/>
                <w:iCs w:val="1"/>
                <w:color w:val="auto"/>
                <w:w w:val="97"/>
              </w:rPr>
              <w:t>0.350%</w:t>
            </w:r>
          </w:p>
        </w:tc>
        <w:tc>
          <w:tcPr>
            <w:tcW w:w="28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7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i w:val="1"/>
                <w:iCs w:val="1"/>
                <w:color w:val="auto"/>
                <w:w w:val="99"/>
              </w:rPr>
              <w:t>99.650%</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2024 Notes Total</w:t>
            </w:r>
          </w:p>
        </w:tc>
        <w:tc>
          <w:tcPr>
            <w:tcW w:w="1060" w:type="dxa"/>
            <w:vAlign w:val="bottom"/>
            <w:gridSpan w:val="2"/>
          </w:tcPr>
          <w:p>
            <w:pPr>
              <w:jc w:val="center"/>
              <w:ind w:left="132"/>
              <w:spacing w:after="0" w:line="149" w:lineRule="exact"/>
              <w:rPr>
                <w:sz w:val="20"/>
                <w:szCs w:val="20"/>
                <w:color w:val="auto"/>
              </w:rPr>
            </w:pPr>
            <w:r>
              <w:rPr>
                <w:rFonts w:ascii="Times New Roman" w:cs="Times New Roman" w:eastAsia="Times New Roman" w:hAnsi="Times New Roman"/>
                <w:sz w:val="14"/>
                <w:szCs w:val="14"/>
                <w:i w:val="1"/>
                <w:iCs w:val="1"/>
                <w:color w:val="auto"/>
                <w:w w:val="96"/>
              </w:rPr>
              <w:t>$600,000,000</w:t>
            </w:r>
          </w:p>
        </w:tc>
        <w:tc>
          <w:tcPr>
            <w:tcW w:w="220" w:type="dxa"/>
            <w:vAlign w:val="bottom"/>
          </w:tcPr>
          <w:p>
            <w:pPr>
              <w:spacing w:after="0"/>
              <w:rPr>
                <w:sz w:val="12"/>
                <w:szCs w:val="12"/>
                <w:color w:val="auto"/>
              </w:rPr>
            </w:pPr>
          </w:p>
        </w:tc>
        <w:tc>
          <w:tcPr>
            <w:tcW w:w="1180" w:type="dxa"/>
            <w:vAlign w:val="bottom"/>
            <w:gridSpan w:val="3"/>
          </w:tcPr>
          <w:p>
            <w:pPr>
              <w:jc w:val="center"/>
              <w:ind w:left="372"/>
              <w:spacing w:after="0" w:line="149" w:lineRule="exact"/>
              <w:rPr>
                <w:sz w:val="20"/>
                <w:szCs w:val="20"/>
                <w:color w:val="auto"/>
              </w:rPr>
            </w:pPr>
            <w:r>
              <w:rPr>
                <w:rFonts w:ascii="Times New Roman" w:cs="Times New Roman" w:eastAsia="Times New Roman" w:hAnsi="Times New Roman"/>
                <w:sz w:val="14"/>
                <w:szCs w:val="14"/>
                <w:i w:val="1"/>
                <w:iCs w:val="1"/>
                <w:color w:val="auto"/>
                <w:w w:val="98"/>
              </w:rPr>
              <w:t>$2,100,000</w:t>
            </w:r>
          </w:p>
        </w:tc>
        <w:tc>
          <w:tcPr>
            <w:tcW w:w="280" w:type="dxa"/>
            <w:vAlign w:val="bottom"/>
          </w:tcPr>
          <w:p>
            <w:pPr>
              <w:spacing w:after="0"/>
              <w:rPr>
                <w:sz w:val="12"/>
                <w:szCs w:val="12"/>
                <w:color w:val="auto"/>
              </w:rPr>
            </w:pPr>
          </w:p>
        </w:tc>
        <w:tc>
          <w:tcPr>
            <w:tcW w:w="1460" w:type="dxa"/>
            <w:vAlign w:val="bottom"/>
            <w:gridSpan w:val="4"/>
          </w:tcPr>
          <w:p>
            <w:pPr>
              <w:jc w:val="center"/>
              <w:ind w:left="92"/>
              <w:spacing w:after="0" w:line="149" w:lineRule="exact"/>
              <w:rPr>
                <w:sz w:val="20"/>
                <w:szCs w:val="20"/>
                <w:color w:val="auto"/>
              </w:rPr>
            </w:pPr>
            <w:r>
              <w:rPr>
                <w:rFonts w:ascii="Times New Roman" w:cs="Times New Roman" w:eastAsia="Times New Roman" w:hAnsi="Times New Roman"/>
                <w:sz w:val="14"/>
                <w:szCs w:val="14"/>
                <w:i w:val="1"/>
                <w:iCs w:val="1"/>
                <w:color w:val="auto"/>
                <w:w w:val="96"/>
              </w:rPr>
              <w:t>$597,900,000</w:t>
            </w:r>
          </w:p>
        </w:tc>
        <w:tc>
          <w:tcPr>
            <w:tcW w:w="0" w:type="dxa"/>
            <w:vAlign w:val="bottom"/>
          </w:tcPr>
          <w:p>
            <w:pPr>
              <w:spacing w:after="0"/>
              <w:rPr>
                <w:sz w:val="1"/>
                <w:szCs w:val="1"/>
                <w:color w:val="auto"/>
              </w:rPr>
            </w:pPr>
          </w:p>
        </w:tc>
      </w:tr>
      <w:tr>
        <w:trPr>
          <w:trHeight w:val="149"/>
        </w:trPr>
        <w:tc>
          <w:tcPr>
            <w:tcW w:w="4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Per 2026 Note</w:t>
            </w:r>
          </w:p>
        </w:tc>
        <w:tc>
          <w:tcPr>
            <w:tcW w:w="10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i w:val="1"/>
                <w:iCs w:val="1"/>
                <w:color w:val="auto"/>
                <w:w w:val="97"/>
              </w:rPr>
              <w:t>100%</w:t>
            </w:r>
          </w:p>
        </w:tc>
        <w:tc>
          <w:tcPr>
            <w:tcW w:w="220" w:type="dxa"/>
            <w:vAlign w:val="bottom"/>
          </w:tcPr>
          <w:p>
            <w:pPr>
              <w:spacing w:after="0"/>
              <w:rPr>
                <w:sz w:val="12"/>
                <w:szCs w:val="12"/>
                <w:color w:val="auto"/>
              </w:rPr>
            </w:pPr>
          </w:p>
        </w:tc>
        <w:tc>
          <w:tcPr>
            <w:tcW w:w="1180" w:type="dxa"/>
            <w:vAlign w:val="bottom"/>
            <w:gridSpan w:val="3"/>
          </w:tcPr>
          <w:p>
            <w:pPr>
              <w:jc w:val="center"/>
              <w:ind w:left="372"/>
              <w:spacing w:after="0" w:line="149" w:lineRule="exact"/>
              <w:rPr>
                <w:sz w:val="20"/>
                <w:szCs w:val="20"/>
                <w:color w:val="auto"/>
              </w:rPr>
            </w:pPr>
            <w:r>
              <w:rPr>
                <w:rFonts w:ascii="Times New Roman" w:cs="Times New Roman" w:eastAsia="Times New Roman" w:hAnsi="Times New Roman"/>
                <w:sz w:val="14"/>
                <w:szCs w:val="14"/>
                <w:i w:val="1"/>
                <w:iCs w:val="1"/>
                <w:color w:val="auto"/>
                <w:w w:val="97"/>
              </w:rPr>
              <w:t>0.400%</w:t>
            </w:r>
          </w:p>
        </w:tc>
        <w:tc>
          <w:tcPr>
            <w:tcW w:w="280" w:type="dxa"/>
            <w:vAlign w:val="bottom"/>
          </w:tcPr>
          <w:p>
            <w:pPr>
              <w:spacing w:after="0"/>
              <w:rPr>
                <w:sz w:val="12"/>
                <w:szCs w:val="12"/>
                <w:color w:val="auto"/>
              </w:rPr>
            </w:pPr>
          </w:p>
        </w:tc>
        <w:tc>
          <w:tcPr>
            <w:tcW w:w="1160" w:type="dxa"/>
            <w:vAlign w:val="bottom"/>
            <w:gridSpan w:val="3"/>
          </w:tcPr>
          <w:p>
            <w:pPr>
              <w:jc w:val="center"/>
              <w:ind w:left="392"/>
              <w:spacing w:after="0" w:line="149" w:lineRule="exact"/>
              <w:rPr>
                <w:sz w:val="20"/>
                <w:szCs w:val="20"/>
                <w:color w:val="auto"/>
              </w:rPr>
            </w:pPr>
            <w:r>
              <w:rPr>
                <w:rFonts w:ascii="Times New Roman" w:cs="Times New Roman" w:eastAsia="Times New Roman" w:hAnsi="Times New Roman"/>
                <w:sz w:val="14"/>
                <w:szCs w:val="14"/>
                <w:i w:val="1"/>
                <w:iCs w:val="1"/>
                <w:color w:val="auto"/>
                <w:w w:val="99"/>
              </w:rPr>
              <w:t>99.600%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2026 Notes Total</w:t>
            </w:r>
          </w:p>
        </w:tc>
        <w:tc>
          <w:tcPr>
            <w:tcW w:w="1060" w:type="dxa"/>
            <w:vAlign w:val="bottom"/>
            <w:gridSpan w:val="2"/>
          </w:tcPr>
          <w:p>
            <w:pPr>
              <w:jc w:val="center"/>
              <w:ind w:left="132"/>
              <w:spacing w:after="0" w:line="149" w:lineRule="exact"/>
              <w:rPr>
                <w:sz w:val="20"/>
                <w:szCs w:val="20"/>
                <w:color w:val="auto"/>
              </w:rPr>
            </w:pPr>
            <w:r>
              <w:rPr>
                <w:rFonts w:ascii="Times New Roman" w:cs="Times New Roman" w:eastAsia="Times New Roman" w:hAnsi="Times New Roman"/>
                <w:sz w:val="14"/>
                <w:szCs w:val="14"/>
                <w:i w:val="1"/>
                <w:iCs w:val="1"/>
                <w:color w:val="auto"/>
                <w:w w:val="96"/>
              </w:rPr>
              <w:t>$500,000,000</w:t>
            </w:r>
          </w:p>
        </w:tc>
        <w:tc>
          <w:tcPr>
            <w:tcW w:w="220" w:type="dxa"/>
            <w:vAlign w:val="bottom"/>
          </w:tcPr>
          <w:p>
            <w:pPr>
              <w:spacing w:after="0"/>
              <w:rPr>
                <w:sz w:val="12"/>
                <w:szCs w:val="12"/>
                <w:color w:val="auto"/>
              </w:rPr>
            </w:pPr>
          </w:p>
        </w:tc>
        <w:tc>
          <w:tcPr>
            <w:tcW w:w="1180" w:type="dxa"/>
            <w:vAlign w:val="bottom"/>
            <w:gridSpan w:val="3"/>
          </w:tcPr>
          <w:p>
            <w:pPr>
              <w:jc w:val="center"/>
              <w:ind w:left="372"/>
              <w:spacing w:after="0" w:line="149" w:lineRule="exact"/>
              <w:rPr>
                <w:sz w:val="20"/>
                <w:szCs w:val="20"/>
                <w:color w:val="auto"/>
              </w:rPr>
            </w:pPr>
            <w:r>
              <w:rPr>
                <w:rFonts w:ascii="Times New Roman" w:cs="Times New Roman" w:eastAsia="Times New Roman" w:hAnsi="Times New Roman"/>
                <w:sz w:val="14"/>
                <w:szCs w:val="14"/>
                <w:i w:val="1"/>
                <w:iCs w:val="1"/>
                <w:color w:val="auto"/>
                <w:w w:val="98"/>
              </w:rPr>
              <w:t>$2,000,000</w:t>
            </w:r>
          </w:p>
        </w:tc>
        <w:tc>
          <w:tcPr>
            <w:tcW w:w="280" w:type="dxa"/>
            <w:vAlign w:val="bottom"/>
          </w:tcPr>
          <w:p>
            <w:pPr>
              <w:spacing w:after="0"/>
              <w:rPr>
                <w:sz w:val="12"/>
                <w:szCs w:val="12"/>
                <w:color w:val="auto"/>
              </w:rPr>
            </w:pPr>
          </w:p>
        </w:tc>
        <w:tc>
          <w:tcPr>
            <w:tcW w:w="1460" w:type="dxa"/>
            <w:vAlign w:val="bottom"/>
            <w:gridSpan w:val="4"/>
          </w:tcPr>
          <w:p>
            <w:pPr>
              <w:jc w:val="center"/>
              <w:ind w:left="92"/>
              <w:spacing w:after="0" w:line="149" w:lineRule="exact"/>
              <w:rPr>
                <w:sz w:val="20"/>
                <w:szCs w:val="20"/>
                <w:color w:val="auto"/>
              </w:rPr>
            </w:pPr>
            <w:r>
              <w:rPr>
                <w:rFonts w:ascii="Times New Roman" w:cs="Times New Roman" w:eastAsia="Times New Roman" w:hAnsi="Times New Roman"/>
                <w:sz w:val="14"/>
                <w:szCs w:val="14"/>
                <w:i w:val="1"/>
                <w:iCs w:val="1"/>
                <w:color w:val="auto"/>
                <w:w w:val="96"/>
              </w:rPr>
              <w:t>$498,000,000</w:t>
            </w:r>
          </w:p>
        </w:tc>
        <w:tc>
          <w:tcPr>
            <w:tcW w:w="0" w:type="dxa"/>
            <w:vAlign w:val="bottom"/>
          </w:tcPr>
          <w:p>
            <w:pPr>
              <w:spacing w:after="0"/>
              <w:rPr>
                <w:sz w:val="1"/>
                <w:szCs w:val="1"/>
                <w:color w:val="auto"/>
              </w:rPr>
            </w:pPr>
          </w:p>
        </w:tc>
      </w:tr>
      <w:tr>
        <w:trPr>
          <w:trHeight w:val="149"/>
        </w:trPr>
        <w:tc>
          <w:tcPr>
            <w:tcW w:w="4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Per 2029 Note</w:t>
            </w:r>
          </w:p>
        </w:tc>
        <w:tc>
          <w:tcPr>
            <w:tcW w:w="10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i w:val="1"/>
                <w:iCs w:val="1"/>
                <w:color w:val="auto"/>
                <w:w w:val="97"/>
              </w:rPr>
              <w:t>100%</w:t>
            </w:r>
          </w:p>
        </w:tc>
        <w:tc>
          <w:tcPr>
            <w:tcW w:w="220" w:type="dxa"/>
            <w:vAlign w:val="bottom"/>
          </w:tcPr>
          <w:p>
            <w:pPr>
              <w:spacing w:after="0"/>
              <w:rPr>
                <w:sz w:val="12"/>
                <w:szCs w:val="12"/>
                <w:color w:val="auto"/>
              </w:rPr>
            </w:pPr>
          </w:p>
        </w:tc>
        <w:tc>
          <w:tcPr>
            <w:tcW w:w="1180" w:type="dxa"/>
            <w:vAlign w:val="bottom"/>
            <w:gridSpan w:val="3"/>
          </w:tcPr>
          <w:p>
            <w:pPr>
              <w:jc w:val="center"/>
              <w:ind w:left="372"/>
              <w:spacing w:after="0" w:line="149" w:lineRule="exact"/>
              <w:rPr>
                <w:sz w:val="20"/>
                <w:szCs w:val="20"/>
                <w:color w:val="auto"/>
              </w:rPr>
            </w:pPr>
            <w:r>
              <w:rPr>
                <w:rFonts w:ascii="Times New Roman" w:cs="Times New Roman" w:eastAsia="Times New Roman" w:hAnsi="Times New Roman"/>
                <w:sz w:val="14"/>
                <w:szCs w:val="14"/>
                <w:i w:val="1"/>
                <w:iCs w:val="1"/>
                <w:color w:val="auto"/>
                <w:w w:val="97"/>
              </w:rPr>
              <w:t>0.450%</w:t>
            </w:r>
          </w:p>
        </w:tc>
        <w:tc>
          <w:tcPr>
            <w:tcW w:w="280" w:type="dxa"/>
            <w:vAlign w:val="bottom"/>
          </w:tcPr>
          <w:p>
            <w:pPr>
              <w:spacing w:after="0"/>
              <w:rPr>
                <w:sz w:val="12"/>
                <w:szCs w:val="12"/>
                <w:color w:val="auto"/>
              </w:rPr>
            </w:pPr>
          </w:p>
        </w:tc>
        <w:tc>
          <w:tcPr>
            <w:tcW w:w="1160" w:type="dxa"/>
            <w:vAlign w:val="bottom"/>
            <w:gridSpan w:val="3"/>
          </w:tcPr>
          <w:p>
            <w:pPr>
              <w:jc w:val="center"/>
              <w:ind w:left="392"/>
              <w:spacing w:after="0" w:line="149" w:lineRule="exact"/>
              <w:rPr>
                <w:sz w:val="20"/>
                <w:szCs w:val="20"/>
                <w:color w:val="auto"/>
              </w:rPr>
            </w:pPr>
            <w:r>
              <w:rPr>
                <w:rFonts w:ascii="Times New Roman" w:cs="Times New Roman" w:eastAsia="Times New Roman" w:hAnsi="Times New Roman"/>
                <w:sz w:val="14"/>
                <w:szCs w:val="14"/>
                <w:i w:val="1"/>
                <w:iCs w:val="1"/>
                <w:color w:val="auto"/>
                <w:w w:val="99"/>
              </w:rPr>
              <w:t>99.550%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2029 Notes Total</w:t>
            </w:r>
          </w:p>
        </w:tc>
        <w:tc>
          <w:tcPr>
            <w:tcW w:w="10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i w:val="1"/>
                <w:iCs w:val="1"/>
                <w:color w:val="auto"/>
                <w:w w:val="96"/>
              </w:rPr>
              <w:t>$700,000,000</w:t>
            </w:r>
          </w:p>
        </w:tc>
        <w:tc>
          <w:tcPr>
            <w:tcW w:w="220" w:type="dxa"/>
            <w:vAlign w:val="bottom"/>
          </w:tcPr>
          <w:p>
            <w:pPr>
              <w:spacing w:after="0"/>
              <w:rPr>
                <w:sz w:val="14"/>
                <w:szCs w:val="14"/>
                <w:color w:val="auto"/>
              </w:rPr>
            </w:pPr>
          </w:p>
        </w:tc>
        <w:tc>
          <w:tcPr>
            <w:tcW w:w="118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i w:val="1"/>
                <w:iCs w:val="1"/>
                <w:color w:val="auto"/>
                <w:w w:val="98"/>
              </w:rPr>
              <w:t>$3,150,000</w:t>
            </w:r>
          </w:p>
        </w:tc>
        <w:tc>
          <w:tcPr>
            <w:tcW w:w="280" w:type="dxa"/>
            <w:vAlign w:val="bottom"/>
          </w:tcPr>
          <w:p>
            <w:pPr>
              <w:spacing w:after="0"/>
              <w:rPr>
                <w:sz w:val="14"/>
                <w:szCs w:val="14"/>
                <w:color w:val="auto"/>
              </w:rPr>
            </w:pPr>
          </w:p>
        </w:tc>
        <w:tc>
          <w:tcPr>
            <w:tcW w:w="1460" w:type="dxa"/>
            <w:vAlign w:val="bottom"/>
            <w:gridSpan w:val="4"/>
          </w:tcPr>
          <w:p>
            <w:pPr>
              <w:jc w:val="center"/>
              <w:ind w:left="92"/>
              <w:spacing w:after="0"/>
              <w:rPr>
                <w:sz w:val="20"/>
                <w:szCs w:val="20"/>
                <w:color w:val="auto"/>
              </w:rPr>
            </w:pPr>
            <w:r>
              <w:rPr>
                <w:rFonts w:ascii="Times New Roman" w:cs="Times New Roman" w:eastAsia="Times New Roman" w:hAnsi="Times New Roman"/>
                <w:sz w:val="14"/>
                <w:szCs w:val="14"/>
                <w:i w:val="1"/>
                <w:iCs w:val="1"/>
                <w:color w:val="auto"/>
                <w:w w:val="96"/>
              </w:rPr>
              <w:t>$696,850,000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i w:val="1"/>
                <w:iCs w:val="1"/>
                <w:color w:val="auto"/>
              </w:rPr>
              <w:t>Total</w:t>
            </w:r>
          </w:p>
        </w:tc>
        <w:tc>
          <w:tcPr>
            <w:tcW w:w="1060" w:type="dxa"/>
            <w:vAlign w:val="bottom"/>
            <w:tcBorders>
              <w:top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14"/>
                <w:szCs w:val="14"/>
                <w:i w:val="1"/>
                <w:iCs w:val="1"/>
                <w:color w:val="auto"/>
                <w:w w:val="95"/>
              </w:rPr>
              <w:t>$1,800,000,000</w:t>
            </w:r>
          </w:p>
        </w:tc>
        <w:tc>
          <w:tcPr>
            <w:tcW w:w="2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top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4"/>
                <w:szCs w:val="14"/>
                <w:i w:val="1"/>
                <w:iCs w:val="1"/>
                <w:color w:val="auto"/>
                <w:w w:val="98"/>
              </w:rPr>
              <w:t>$7,250,000</w:t>
            </w:r>
          </w:p>
        </w:tc>
        <w:tc>
          <w:tcPr>
            <w:tcW w:w="2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$1,792,750,000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80" w:hanging="531"/>
        <w:spacing w:after="0"/>
        <w:tabs>
          <w:tab w:leader="none" w:pos="16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Plus accrued interest, if any, from February 6, 2019.</w:t>
      </w:r>
    </w:p>
    <w:p>
      <w:pPr>
        <w:spacing w:after="0" w:line="184" w:lineRule="exact"/>
        <w:rPr>
          <w:rFonts w:ascii="Times New Roman" w:cs="Times New Roman" w:eastAsia="Times New Roman" w:hAnsi="Times New Roman"/>
          <w:sz w:val="18"/>
          <w:szCs w:val="18"/>
          <w:i w:val="1"/>
          <w:iCs w:val="1"/>
          <w:color w:val="auto"/>
        </w:rPr>
      </w:pPr>
    </w:p>
    <w:p>
      <w:pPr>
        <w:ind w:left="1680" w:hanging="531"/>
        <w:spacing w:after="0"/>
        <w:tabs>
          <w:tab w:leader="none" w:pos="16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The underwriters have agreed to reimburse us for certain expenses in connection with the offering. See "Underwriting."</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i w:val="1"/>
          <w:iCs w:val="1"/>
          <w:color w:val="auto"/>
        </w:rPr>
        <w:t>Interest on the notes will accrue from February 6, 2019.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i w:val="1"/>
          <w:iCs w:val="1"/>
          <w:color w:val="auto"/>
        </w:rPr>
        <w:t>The underwriters expect to deliver the notes to purchasers through the book-entry delivery system of The Depository Trust Company and its participants, including Euroclear Bank S.A./N.V. and Clearstream Banking, S.A. on or about February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86" w:lineRule="exact"/>
        <w:rPr>
          <w:sz w:val="20"/>
          <w:szCs w:val="20"/>
          <w:color w:val="auto"/>
        </w:rPr>
      </w:pPr>
    </w:p>
    <w:p>
      <w:pPr>
        <w:ind w:left="1140"/>
        <w:spacing w:after="0"/>
        <w:tabs>
          <w:tab w:leader="none" w:pos="4980" w:val="left"/>
          <w:tab w:leader="none" w:pos="8980" w:val="left"/>
        </w:tabs>
        <w:rPr>
          <w:sz w:val="20"/>
          <w:szCs w:val="20"/>
          <w:color w:val="auto"/>
        </w:rPr>
      </w:pPr>
      <w:r>
        <w:rPr>
          <w:rFonts w:ascii="Times New Roman" w:cs="Times New Roman" w:eastAsia="Times New Roman" w:hAnsi="Times New Roman"/>
          <w:sz w:val="24"/>
          <w:szCs w:val="24"/>
          <w:i w:val="1"/>
          <w:iCs w:val="1"/>
          <w:color w:val="auto"/>
        </w:rPr>
        <w:t>Morgan Stanley</w:t>
      </w:r>
      <w:r>
        <w:rPr>
          <w:sz w:val="20"/>
          <w:szCs w:val="20"/>
          <w:color w:val="auto"/>
        </w:rPr>
        <w:tab/>
      </w:r>
      <w:r>
        <w:rPr>
          <w:rFonts w:ascii="Times New Roman" w:cs="Times New Roman" w:eastAsia="Times New Roman" w:hAnsi="Times New Roman"/>
          <w:sz w:val="24"/>
          <w:szCs w:val="24"/>
          <w:i w:val="1"/>
          <w:iCs w:val="1"/>
          <w:color w:val="auto"/>
        </w:rPr>
        <w:t>BNP PARIBAS</w:t>
      </w:r>
      <w:r>
        <w:rPr>
          <w:sz w:val="20"/>
          <w:szCs w:val="20"/>
          <w:color w:val="auto"/>
        </w:rPr>
        <w:tab/>
      </w:r>
      <w:r>
        <w:rPr>
          <w:rFonts w:ascii="Times New Roman" w:cs="Times New Roman" w:eastAsia="Times New Roman" w:hAnsi="Times New Roman"/>
          <w:sz w:val="24"/>
          <w:szCs w:val="24"/>
          <w:i w:val="1"/>
          <w:iCs w:val="1"/>
          <w:color w:val="auto"/>
        </w:rPr>
        <w:t>Credit Suisse</w:t>
      </w:r>
    </w:p>
    <w:p>
      <w:pPr>
        <w:sectPr>
          <w:pgSz w:w="11900" w:h="16838" w:orient="portrait"/>
          <w:cols w:equalWidth="0" w:num="1">
            <w:col w:w="11420"/>
          </w:cols>
          <w:pgMar w:left="240" w:top="125" w:right="239" w:bottom="0" w:gutter="0" w:footer="0" w:header="0"/>
        </w:sectPr>
      </w:pPr>
    </w:p>
    <w:p>
      <w:pPr>
        <w:spacing w:after="0" w:line="240" w:lineRule="exact"/>
        <w:rPr>
          <w:sz w:val="20"/>
          <w:szCs w:val="20"/>
          <w:color w:val="auto"/>
        </w:rPr>
      </w:pPr>
    </w:p>
    <w:p>
      <w:pPr>
        <w:ind w:left="1140"/>
        <w:spacing w:after="0"/>
        <w:tabs>
          <w:tab w:leader="none" w:pos="4100" w:val="left"/>
          <w:tab w:leader="none" w:pos="6080" w:val="left"/>
          <w:tab w:leader="none" w:pos="9000" w:val="left"/>
        </w:tabs>
        <w:rPr>
          <w:sz w:val="20"/>
          <w:szCs w:val="20"/>
          <w:color w:val="auto"/>
        </w:rPr>
      </w:pPr>
      <w:r>
        <w:rPr>
          <w:rFonts w:ascii="Times New Roman" w:cs="Times New Roman" w:eastAsia="Times New Roman" w:hAnsi="Times New Roman"/>
          <w:sz w:val="18"/>
          <w:szCs w:val="18"/>
          <w:i w:val="1"/>
          <w:iCs w:val="1"/>
          <w:color w:val="auto"/>
        </w:rPr>
        <w:t>Citigroup</w:t>
      </w:r>
      <w:r>
        <w:rPr>
          <w:sz w:val="20"/>
          <w:szCs w:val="20"/>
          <w:color w:val="auto"/>
        </w:rPr>
        <w:tab/>
      </w:r>
      <w:r>
        <w:rPr>
          <w:rFonts w:ascii="Times New Roman" w:cs="Times New Roman" w:eastAsia="Times New Roman" w:hAnsi="Times New Roman"/>
          <w:sz w:val="18"/>
          <w:szCs w:val="18"/>
          <w:i w:val="1"/>
          <w:iCs w:val="1"/>
          <w:color w:val="auto"/>
        </w:rPr>
        <w:t>HSBC</w:t>
      </w:r>
      <w:r>
        <w:rPr>
          <w:sz w:val="20"/>
          <w:szCs w:val="20"/>
          <w:color w:val="auto"/>
        </w:rPr>
        <w:tab/>
      </w:r>
      <w:r>
        <w:rPr>
          <w:rFonts w:ascii="Times New Roman" w:cs="Times New Roman" w:eastAsia="Times New Roman" w:hAnsi="Times New Roman"/>
          <w:sz w:val="18"/>
          <w:szCs w:val="18"/>
          <w:i w:val="1"/>
          <w:iCs w:val="1"/>
          <w:color w:val="auto"/>
        </w:rPr>
        <w:t>J.P. Morgan</w:t>
      </w:r>
      <w:r>
        <w:rPr>
          <w:sz w:val="20"/>
          <w:szCs w:val="20"/>
          <w:color w:val="auto"/>
        </w:rPr>
        <w:tab/>
      </w:r>
      <w:r>
        <w:rPr>
          <w:rFonts w:ascii="Times New Roman" w:cs="Times New Roman" w:eastAsia="Times New Roman" w:hAnsi="Times New Roman"/>
          <w:sz w:val="16"/>
          <w:szCs w:val="16"/>
          <w:i w:val="1"/>
          <w:iCs w:val="1"/>
          <w:color w:val="auto"/>
        </w:rPr>
        <w:t>Mizuho Securities</w:t>
      </w:r>
    </w:p>
    <w:p>
      <w:pPr>
        <w:sectPr>
          <w:pgSz w:w="11900" w:h="16838" w:orient="portrait"/>
          <w:cols w:equalWidth="0" w:num="1">
            <w:col w:w="11420"/>
          </w:cols>
          <w:pgMar w:left="240" w:top="125" w:right="239" w:bottom="0" w:gutter="0" w:footer="0" w:header="0"/>
          <w:type w:val="continuous"/>
        </w:sectPr>
      </w:pPr>
    </w:p>
    <w:bookmarkStart w:id="2" w:name="page3"/>
    <w:bookmarkEnd w:id="2"/>
    <w:p>
      <w:pPr>
        <w:ind w:left="5140"/>
        <w:spacing w:after="0"/>
        <w:rPr>
          <w:sz w:val="20"/>
          <w:szCs w:val="20"/>
          <w:color w:val="auto"/>
        </w:rPr>
      </w:pPr>
      <w:r>
        <w:rPr>
          <w:rFonts w:ascii="Times New Roman" w:cs="Times New Roman" w:eastAsia="Times New Roman" w:hAnsi="Times New Roman"/>
          <w:sz w:val="12"/>
          <w:szCs w:val="12"/>
          <w:i w:val="1"/>
          <w:iCs w:val="1"/>
          <w:color w:val="auto"/>
        </w:rPr>
        <w:t>Senior Co-Managers</w:t>
      </w:r>
    </w:p>
    <w:p>
      <w:pPr>
        <w:sectPr>
          <w:pgSz w:w="11900" w:h="16838" w:orient="portrait"/>
          <w:cols w:equalWidth="0" w:num="1">
            <w:col w:w="10380"/>
          </w:cols>
          <w:pgMar w:left="240" w:top="125" w:right="127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Credit Agricole CIB</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ICBC Standard Bank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Williams Capital Group, L.P.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Wells Fargo Securities</w:t>
      </w:r>
    </w:p>
    <w:p>
      <w:pPr>
        <w:spacing w:after="0" w:line="200" w:lineRule="exact"/>
        <w:rPr>
          <w:sz w:val="20"/>
          <w:szCs w:val="20"/>
          <w:color w:val="auto"/>
        </w:rPr>
      </w:pPr>
    </w:p>
    <w:p>
      <w:pPr>
        <w:sectPr>
          <w:pgSz w:w="11900" w:h="16838" w:orient="portrait"/>
          <w:cols w:equalWidth="0" w:num="4">
            <w:col w:w="2580" w:space="720"/>
            <w:col w:w="1480" w:space="700"/>
            <w:col w:w="2600" w:space="720"/>
            <w:col w:w="1580"/>
          </w:cols>
          <w:pgMar w:left="240" w:top="125" w:right="1279" w:bottom="1440" w:gutter="0" w:footer="0" w:header="0"/>
          <w:type w:val="continuous"/>
        </w:sectPr>
      </w:pP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i w:val="1"/>
          <w:iCs w:val="1"/>
          <w:color w:val="auto"/>
        </w:rPr>
        <w:t>Co-Managers</w:t>
      </w:r>
    </w:p>
    <w:p>
      <w:pPr>
        <w:sectPr>
          <w:pgSz w:w="11900" w:h="16838" w:orient="portrait"/>
          <w:cols w:equalWidth="0" w:num="1">
            <w:col w:w="10380"/>
          </w:cols>
          <w:pgMar w:left="240" w:top="125" w:right="1279" w:bottom="1440" w:gutter="0" w:footer="0" w:header="0"/>
          <w:type w:val="continuous"/>
        </w:sectPr>
      </w:pP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i w:val="1"/>
          <w:iCs w:val="1"/>
          <w:color w:val="auto"/>
        </w:rPr>
        <w:t>Goldman Sachs &amp; Co. LLC</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MUFG</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ANZ Securities</w:t>
      </w:r>
    </w:p>
    <w:p>
      <w:pPr>
        <w:spacing w:after="0" w:line="200" w:lineRule="exact"/>
        <w:rPr>
          <w:sz w:val="20"/>
          <w:szCs w:val="20"/>
          <w:color w:val="auto"/>
        </w:rPr>
      </w:pPr>
    </w:p>
    <w:p>
      <w:pPr>
        <w:sectPr>
          <w:pgSz w:w="11900" w:h="16838" w:orient="portrait"/>
          <w:cols w:equalWidth="0" w:num="3">
            <w:col w:w="4800" w:space="720"/>
            <w:col w:w="3220" w:space="720"/>
            <w:col w:w="920"/>
          </w:cols>
          <w:pgMar w:left="240" w:top="125" w:right="127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25" w:right="127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5"/>
          </w:tcPr>
          <w:p>
            <w:pPr>
              <w:jc w:val="right"/>
              <w:ind w:right="3392"/>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5"/>
          </w:tcPr>
          <w:p>
            <w:pPr>
              <w:jc w:val="right"/>
              <w:ind w:right="3452"/>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421"/>
        </w:trPr>
        <w:tc>
          <w:tcPr>
            <w:tcW w:w="3560" w:type="dxa"/>
            <w:vAlign w:val="bottom"/>
            <w:gridSpan w:val="13"/>
            <w:vMerge w:val="restart"/>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Cautionary Note on Forward-Looking Statements</w:t>
              </w:r>
            </w:hyperlink>
          </w:p>
        </w:tc>
        <w:tc>
          <w:tcPr>
            <w:tcW w:w="4960" w:type="dxa"/>
            <w:vAlign w:val="bottom"/>
          </w:tcPr>
          <w:p>
            <w:pPr>
              <w:spacing w:after="0"/>
              <w:rPr>
                <w:sz w:val="24"/>
                <w:szCs w:val="24"/>
                <w:color w:val="auto"/>
              </w:rPr>
            </w:pPr>
          </w:p>
        </w:tc>
        <w:tc>
          <w:tcPr>
            <w:tcW w:w="46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60" w:type="dxa"/>
            <w:vAlign w:val="bottom"/>
            <w:gridSpan w:val="13"/>
            <w:vMerge w:val="continue"/>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tcPr>
          <w:p>
            <w:pPr>
              <w:jc w:val="right"/>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S-ii</w:t>
              </w:r>
            </w:hyperlink>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About This Prospectus Supplement</w:t>
              </w:r>
            </w:hyperlink>
          </w:p>
        </w:tc>
        <w:tc>
          <w:tcPr>
            <w:tcW w:w="10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92"/>
              </w:rPr>
            </w:pPr>
            <w:hyperlink w:anchor="page5">
              <w:r>
                <w:rPr>
                  <w:rFonts w:ascii="Times New Roman" w:cs="Times New Roman" w:eastAsia="Times New Roman" w:hAnsi="Times New Roman"/>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Summary</w:t>
              </w:r>
            </w:hyperlink>
          </w:p>
        </w:tc>
        <w:tc>
          <w:tcPr>
            <w:tcW w:w="2860" w:type="dxa"/>
            <w:vAlign w:val="bottom"/>
            <w:gridSpan w:val="11"/>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7"/>
              </w:rPr>
            </w:pPr>
            <w:hyperlink w:anchor="page7">
              <w:r>
                <w:rPr>
                  <w:rFonts w:ascii="Times New Roman" w:cs="Times New Roman" w:eastAsia="Times New Roman" w:hAnsi="Times New Roman"/>
                  <w:sz w:val="18"/>
                  <w:szCs w:val="18"/>
                  <w:color w:val="0000EE"/>
                  <w:w w:val="87"/>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Risk Factors</w:t>
              </w:r>
            </w:hyperlink>
          </w:p>
        </w:tc>
        <w:tc>
          <w:tcPr>
            <w:tcW w:w="2660" w:type="dxa"/>
            <w:vAlign w:val="bottom"/>
            <w:gridSpan w:val="10"/>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7"/>
              </w:rPr>
            </w:pPr>
            <w:hyperlink w:anchor="page14">
              <w:r>
                <w:rPr>
                  <w:rFonts w:ascii="Times New Roman" w:cs="Times New Roman" w:eastAsia="Times New Roman" w:hAnsi="Times New Roman"/>
                  <w:sz w:val="18"/>
                  <w:szCs w:val="18"/>
                  <w:color w:val="0000EE"/>
                  <w:w w:val="87"/>
                </w:rPr>
                <w:t>S-8</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Use of Proceeds</w:t>
              </w:r>
            </w:hyperlink>
          </w:p>
        </w:tc>
        <w:tc>
          <w:tcPr>
            <w:tcW w:w="2400" w:type="dxa"/>
            <w:vAlign w:val="bottom"/>
            <w:gridSpan w:val="9"/>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18">
              <w:r>
                <w:rPr>
                  <w:rFonts w:ascii="Times New Roman" w:cs="Times New Roman" w:eastAsia="Times New Roman" w:hAnsi="Times New Roman"/>
                  <w:sz w:val="18"/>
                  <w:szCs w:val="18"/>
                  <w:color w:val="0000EE"/>
                  <w:w w:val="93"/>
                </w:rPr>
                <w:t>S-12</w:t>
              </w:r>
            </w:hyperlink>
          </w:p>
        </w:tc>
        <w:tc>
          <w:tcPr>
            <w:tcW w:w="0" w:type="dxa"/>
            <w:vAlign w:val="bottom"/>
          </w:tcPr>
          <w:p>
            <w:pPr>
              <w:spacing w:after="0"/>
              <w:rPr>
                <w:sz w:val="1"/>
                <w:szCs w:val="1"/>
                <w:color w:val="auto"/>
              </w:rPr>
            </w:pPr>
          </w:p>
        </w:tc>
      </w:tr>
      <w:tr>
        <w:trPr>
          <w:trHeight w:val="196"/>
        </w:trPr>
        <w:tc>
          <w:tcPr>
            <w:tcW w:w="3560" w:type="dxa"/>
            <w:vAlign w:val="bottom"/>
            <w:gridSpan w:val="13"/>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Cash and Capitalization</w:t>
              </w:r>
            </w:hyperlink>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w w:val="93"/>
              </w:rPr>
            </w:pPr>
            <w:hyperlink w:anchor="page19">
              <w:r>
                <w:rPr>
                  <w:rFonts w:ascii="Times New Roman" w:cs="Times New Roman" w:eastAsia="Times New Roman" w:hAnsi="Times New Roman"/>
                  <w:sz w:val="18"/>
                  <w:szCs w:val="18"/>
                  <w:color w:val="0000EE"/>
                  <w:w w:val="93"/>
                </w:rPr>
                <w:t>S-13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Description of the Notes</w:t>
              </w:r>
            </w:hyperlink>
          </w:p>
        </w:tc>
        <w:tc>
          <w:tcPr>
            <w:tcW w:w="1820" w:type="dxa"/>
            <w:vAlign w:val="bottom"/>
            <w:gridSpan w:val="6"/>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20">
              <w:r>
                <w:rPr>
                  <w:rFonts w:ascii="Times New Roman" w:cs="Times New Roman" w:eastAsia="Times New Roman" w:hAnsi="Times New Roman"/>
                  <w:sz w:val="18"/>
                  <w:szCs w:val="18"/>
                  <w:color w:val="0000EE"/>
                  <w:w w:val="93"/>
                </w:rPr>
                <w:t>S-14</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Material U.S. Federal Income Tax Consequences</w:t>
              </w:r>
            </w:hyperlink>
          </w:p>
        </w:tc>
        <w:tc>
          <w:tcPr>
            <w:tcW w:w="100" w:type="dxa"/>
            <w:vAlign w:val="bottom"/>
            <w:gridSpan w:val="2"/>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44">
              <w:r>
                <w:rPr>
                  <w:rFonts w:ascii="Times New Roman" w:cs="Times New Roman" w:eastAsia="Times New Roman" w:hAnsi="Times New Roman"/>
                  <w:sz w:val="18"/>
                  <w:szCs w:val="18"/>
                  <w:color w:val="0000EE"/>
                  <w:w w:val="93"/>
                </w:rPr>
                <w:t>S-38</w:t>
              </w:r>
            </w:hyperlink>
          </w:p>
        </w:tc>
        <w:tc>
          <w:tcPr>
            <w:tcW w:w="0" w:type="dxa"/>
            <w:vAlign w:val="bottom"/>
          </w:tcPr>
          <w:p>
            <w:pPr>
              <w:spacing w:after="0"/>
              <w:rPr>
                <w:sz w:val="1"/>
                <w:szCs w:val="1"/>
                <w:color w:val="auto"/>
              </w:rPr>
            </w:pPr>
          </w:p>
        </w:tc>
      </w:tr>
      <w:tr>
        <w:trPr>
          <w:trHeight w:val="196"/>
        </w:trPr>
        <w:tc>
          <w:tcPr>
            <w:tcW w:w="3560" w:type="dxa"/>
            <w:vAlign w:val="bottom"/>
            <w:gridSpan w:val="13"/>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Underwriting (Conflicts of Interest)</w:t>
              </w:r>
            </w:hyperlink>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w w:val="93"/>
              </w:rPr>
            </w:pPr>
            <w:hyperlink w:anchor="page49">
              <w:r>
                <w:rPr>
                  <w:rFonts w:ascii="Times New Roman" w:cs="Times New Roman" w:eastAsia="Times New Roman" w:hAnsi="Times New Roman"/>
                  <w:sz w:val="18"/>
                  <w:szCs w:val="18"/>
                  <w:color w:val="0000EE"/>
                  <w:w w:val="93"/>
                </w:rPr>
                <w:t>S-43</w:t>
              </w:r>
            </w:hyperlink>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Validity of Securities</w:t>
              </w:r>
            </w:hyperlink>
          </w:p>
        </w:tc>
        <w:tc>
          <w:tcPr>
            <w:tcW w:w="1020" w:type="dxa"/>
            <w:vAlign w:val="bottom"/>
            <w:tcBorders>
              <w:top w:val="single" w:sz="8" w:color="0000EE"/>
            </w:tcBorders>
            <w:gridSpan w:val="4"/>
          </w:tcPr>
          <w:p>
            <w:pPr>
              <w:spacing w:after="0"/>
              <w:rPr>
                <w:sz w:val="17"/>
                <w:szCs w:val="17"/>
                <w:color w:val="auto"/>
              </w:rPr>
            </w:pPr>
          </w:p>
        </w:tc>
        <w:tc>
          <w:tcPr>
            <w:tcW w:w="1040" w:type="dxa"/>
            <w:vAlign w:val="bottom"/>
            <w:gridSpan w:val="4"/>
          </w:tcPr>
          <w:p>
            <w:pPr>
              <w:spacing w:after="0"/>
              <w:rPr>
                <w:sz w:val="17"/>
                <w:szCs w:val="17"/>
                <w:color w:val="auto"/>
              </w:rPr>
            </w:pP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55">
              <w:r>
                <w:rPr>
                  <w:rFonts w:ascii="Times New Roman" w:cs="Times New Roman" w:eastAsia="Times New Roman" w:hAnsi="Times New Roman"/>
                  <w:sz w:val="18"/>
                  <w:szCs w:val="18"/>
                  <w:color w:val="0000EE"/>
                  <w:w w:val="93"/>
                </w:rPr>
                <w:t>S-49</w:t>
              </w:r>
            </w:hyperlink>
          </w:p>
        </w:tc>
        <w:tc>
          <w:tcPr>
            <w:tcW w:w="0" w:type="dxa"/>
            <w:vAlign w:val="bottom"/>
          </w:tcPr>
          <w:p>
            <w:pPr>
              <w:spacing w:after="0"/>
              <w:rPr>
                <w:sz w:val="1"/>
                <w:szCs w:val="1"/>
                <w:color w:val="auto"/>
              </w:rPr>
            </w:pPr>
          </w:p>
        </w:tc>
      </w:tr>
      <w:tr>
        <w:trPr>
          <w:trHeight w:val="196"/>
        </w:trPr>
        <w:tc>
          <w:tcPr>
            <w:tcW w:w="3560" w:type="dxa"/>
            <w:vAlign w:val="bottom"/>
            <w:gridSpan w:val="1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Experts</w:t>
              </w:r>
            </w:hyperlink>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w w:val="93"/>
              </w:rPr>
            </w:pPr>
            <w:hyperlink w:anchor="page55">
              <w:r>
                <w:rPr>
                  <w:rFonts w:ascii="Times New Roman" w:cs="Times New Roman" w:eastAsia="Times New Roman" w:hAnsi="Times New Roman"/>
                  <w:sz w:val="18"/>
                  <w:szCs w:val="18"/>
                  <w:color w:val="0000EE"/>
                  <w:w w:val="93"/>
                </w:rPr>
                <w:t>S-49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1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Where You Can Find More Information</w:t>
              </w:r>
            </w:hyperlink>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w w:val="93"/>
              </w:rPr>
            </w:pPr>
            <w:hyperlink w:anchor="page55">
              <w:r>
                <w:rPr>
                  <w:rFonts w:ascii="Times New Roman" w:cs="Times New Roman" w:eastAsia="Times New Roman" w:hAnsi="Times New Roman"/>
                  <w:sz w:val="18"/>
                  <w:szCs w:val="18"/>
                  <w:color w:val="0000EE"/>
                  <w:w w:val="93"/>
                </w:rPr>
                <w:t>S-49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8800" w:type="dxa"/>
            <w:vAlign w:val="bottom"/>
            <w:gridSpan w:val="10"/>
            <w:vMerge w:val="restart"/>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Where You Can Find More Information; Incorporation by Reference</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9"/>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The Company</w:t>
              </w:r>
            </w:hyperlink>
          </w:p>
        </w:tc>
        <w:tc>
          <w:tcPr>
            <w:tcW w:w="398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Risk Factors</w:t>
              </w:r>
            </w:hyperlink>
          </w:p>
        </w:tc>
        <w:tc>
          <w:tcPr>
            <w:tcW w:w="100" w:type="dxa"/>
            <w:vAlign w:val="bottom"/>
          </w:tcPr>
          <w:p>
            <w:pPr>
              <w:spacing w:after="0"/>
              <w:rPr>
                <w:sz w:val="17"/>
                <w:szCs w:val="17"/>
                <w:color w:val="auto"/>
              </w:rPr>
            </w:pPr>
          </w:p>
        </w:tc>
        <w:tc>
          <w:tcPr>
            <w:tcW w:w="7800" w:type="dxa"/>
            <w:vAlign w:val="bottom"/>
            <w:gridSpan w:val="7"/>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Use of Proceeds</w:t>
              </w:r>
            </w:hyperlink>
          </w:p>
        </w:tc>
        <w:tc>
          <w:tcPr>
            <w:tcW w:w="76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Ratio of Earnings to Fixed Charges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7"/>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Description of Securities</w:t>
              </w:r>
            </w:hyperlink>
          </w:p>
        </w:tc>
        <w:tc>
          <w:tcPr>
            <w:tcW w:w="720" w:type="dxa"/>
            <w:vAlign w:val="bottom"/>
          </w:tcPr>
          <w:p>
            <w:pPr>
              <w:spacing w:after="0"/>
              <w:rPr>
                <w:sz w:val="17"/>
                <w:szCs w:val="17"/>
                <w:color w:val="auto"/>
              </w:rPr>
            </w:pPr>
          </w:p>
        </w:tc>
        <w:tc>
          <w:tcPr>
            <w:tcW w:w="632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Plan of Distribution</w:t>
              </w:r>
            </w:hyperlink>
          </w:p>
        </w:tc>
        <w:tc>
          <w:tcPr>
            <w:tcW w:w="70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Legal Matters</w:t>
              </w:r>
            </w:hyperlink>
          </w:p>
        </w:tc>
        <w:tc>
          <w:tcPr>
            <w:tcW w:w="74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10</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Experts</w:t>
              </w:r>
            </w:hyperlink>
          </w:p>
        </w:tc>
        <w:tc>
          <w:tcPr>
            <w:tcW w:w="78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7" w:lineRule="exact"/>
        <w:rPr>
          <w:sz w:val="20"/>
          <w:szCs w:val="20"/>
          <w:color w:val="auto"/>
        </w:rPr>
      </w:pPr>
    </w:p>
    <w:p>
      <w:pPr>
        <w:jc w:val="both"/>
        <w:ind w:firstLine="408"/>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forward-looking statements relate to, among other things:</w:t>
      </w:r>
    </w:p>
    <w:p>
      <w:pPr>
        <w:spacing w:after="0" w:line="225"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statements such as those made regarding our expected NAND and 3D XPoint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development activities with Intel Corporation ("Intel");</w:t>
      </w:r>
    </w:p>
    <w:p>
      <w:pPr>
        <w:spacing w:after="0" w:line="110" w:lineRule="exact"/>
        <w:rPr>
          <w:rFonts w:ascii="Times New Roman" w:cs="Times New Roman" w:eastAsia="Times New Roman" w:hAnsi="Times New Roman"/>
          <w:sz w:val="35"/>
          <w:szCs w:val="35"/>
          <w:color w:val="auto"/>
          <w:vertAlign w:val="superscript"/>
        </w:rPr>
      </w:pPr>
    </w:p>
    <w:p>
      <w:pPr>
        <w:ind w:left="10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call option to purchase Intel's interest in IM Flash Technologies, LLC ("IM Flash") and the amount we expect to pay for the transaction;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from time to time, to engage in additional financing transactions;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investments, cash flows from operations, and available financing to meet our requirements at least through the next 12 months;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in 2019.</w:t>
      </w:r>
    </w:p>
    <w:p>
      <w:pPr>
        <w:spacing w:after="0" w:line="225" w:lineRule="exact"/>
        <w:rPr>
          <w:sz w:val="20"/>
          <w:szCs w:val="20"/>
          <w:color w:val="auto"/>
        </w:rPr>
      </w:pPr>
    </w:p>
    <w:p>
      <w:pPr>
        <w:jc w:val="both"/>
        <w:ind w:firstLine="418"/>
        <w:spacing w:after="0" w:line="255" w:lineRule="auto"/>
        <w:rPr>
          <w:sz w:val="20"/>
          <w:szCs w:val="20"/>
          <w:color w:val="auto"/>
        </w:rPr>
      </w:pPr>
      <w:r>
        <w:rPr>
          <w:rFonts w:ascii="Times New Roman" w:cs="Times New Roman" w:eastAsia="Times New Roman" w:hAnsi="Times New Roman"/>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3"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7" w:lineRule="exact"/>
        <w:rPr>
          <w:sz w:val="20"/>
          <w:szCs w:val="20"/>
          <w:color w:val="auto"/>
        </w:rPr>
      </w:pPr>
    </w:p>
    <w:p>
      <w:pPr>
        <w:jc w:val="both"/>
        <w:ind w:firstLine="362"/>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86" w:lineRule="exact"/>
        <w:rPr>
          <w:sz w:val="20"/>
          <w:szCs w:val="20"/>
          <w:color w:val="auto"/>
        </w:rPr>
      </w:pPr>
    </w:p>
    <w:p>
      <w:pPr>
        <w:jc w:val="both"/>
        <w:ind w:firstLine="435"/>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95"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86" w:lineRule="exact"/>
        <w:rPr>
          <w:sz w:val="20"/>
          <w:szCs w:val="20"/>
          <w:color w:val="auto"/>
        </w:rPr>
      </w:pPr>
    </w:p>
    <w:p>
      <w:pPr>
        <w:jc w:val="both"/>
        <w:ind w:firstLine="548"/>
        <w:spacing w:after="0" w:line="275" w:lineRule="auto"/>
        <w:rPr>
          <w:sz w:val="20"/>
          <w:szCs w:val="20"/>
          <w:color w:val="auto"/>
        </w:rPr>
      </w:pPr>
      <w:r>
        <w:rPr>
          <w:rFonts w:ascii="Times New Roman" w:cs="Times New Roman" w:eastAsia="Times New Roman" w:hAnsi="Times New Roman"/>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6693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jc w:val="both"/>
        <w:ind w:left="240" w:firstLine="608"/>
        <w:spacing w:after="0" w:line="293"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year ended August 30, 2018, our Quarterly Report on Form 10-Q for the quarter ended November 29, 2018, documents that we subsequently file with the SEC and the financial statements and other information included or incorporated by reference in this prospectus supplement and the accompanying prospectus, before making an investment decision.</w:t>
      </w:r>
    </w:p>
    <w:p>
      <w:pPr>
        <w:spacing w:after="0" w:line="3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240" w:firstLine="406"/>
        <w:spacing w:after="0" w:line="301" w:lineRule="auto"/>
        <w:rPr>
          <w:sz w:val="20"/>
          <w:szCs w:val="20"/>
          <w:color w:val="auto"/>
        </w:rPr>
      </w:pPr>
      <w:r>
        <w:rPr>
          <w:rFonts w:ascii="Times New Roman" w:cs="Times New Roman" w:eastAsia="Times New Roman" w:hAnsi="Times New Roman"/>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w:t>
      </w:r>
    </w:p>
    <w:p>
      <w:pPr>
        <w:spacing w:after="0" w:line="157" w:lineRule="exact"/>
        <w:rPr>
          <w:sz w:val="20"/>
          <w:szCs w:val="20"/>
          <w:color w:val="auto"/>
        </w:rPr>
      </w:pPr>
    </w:p>
    <w:p>
      <w:pPr>
        <w:jc w:val="both"/>
        <w:ind w:left="240" w:firstLine="363"/>
        <w:spacing w:after="0" w:line="275" w:lineRule="auto"/>
        <w:rPr>
          <w:sz w:val="20"/>
          <w:szCs w:val="20"/>
          <w:color w:val="auto"/>
        </w:rPr>
      </w:pPr>
      <w:r>
        <w:rPr>
          <w:rFonts w:ascii="Times New Roman" w:cs="Times New Roman" w:eastAsia="Times New Roman" w:hAnsi="Times New Roman"/>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4" w:lineRule="exact"/>
        <w:rPr>
          <w:sz w:val="20"/>
          <w:szCs w:val="20"/>
          <w:color w:val="auto"/>
        </w:rPr>
      </w:pPr>
    </w:p>
    <w:p>
      <w:pPr>
        <w:jc w:val="both"/>
        <w:ind w:left="240" w:firstLine="402"/>
        <w:spacing w:after="0" w:line="254" w:lineRule="auto"/>
        <w:rPr>
          <w:sz w:val="20"/>
          <w:szCs w:val="20"/>
          <w:color w:val="auto"/>
        </w:rPr>
      </w:pPr>
      <w:r>
        <w:rPr>
          <w:rFonts w:ascii="Times New Roman" w:cs="Times New Roman" w:eastAsia="Times New Roman" w:hAnsi="Times New Roman"/>
          <w:sz w:val="18"/>
          <w:szCs w:val="18"/>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jc w:val="both"/>
        <w:ind w:left="240" w:firstLine="387"/>
        <w:spacing w:after="0" w:line="258" w:lineRule="auto"/>
        <w:rPr>
          <w:sz w:val="20"/>
          <w:szCs w:val="20"/>
          <w:color w:val="auto"/>
        </w:rPr>
      </w:pPr>
      <w:r>
        <w:rPr>
          <w:rFonts w:ascii="Times New Roman" w:cs="Times New Roman" w:eastAsia="Times New Roman" w:hAnsi="Times New Roman"/>
          <w:sz w:val="18"/>
          <w:szCs w:val="18"/>
          <w:color w:val="auto"/>
        </w:rPr>
        <w:t>On January 14, 2019, we announced that we exercised our right to purchase Intel's interest in our joint venture, IM Flash. We expect the closing date of the acquisition, which will be selected by Intel, to be within six to 12 months of our election. At closing, we expect to pay approximately $1.5 billion in cash for the transaction. The payment will end Intel's noncontrolling interest in IM Flash and eliminate IM Flash member debt on our balance sheet, which was $1 billion as of November 29, 2018.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40" w:firstLine="460"/>
        <w:spacing w:after="0" w:line="258" w:lineRule="auto"/>
        <w:rPr>
          <w:sz w:val="20"/>
          <w:szCs w:val="20"/>
          <w:color w:val="auto"/>
        </w:rPr>
      </w:pPr>
      <w:r>
        <w:rPr>
          <w:rFonts w:ascii="Times New Roman" w:cs="Times New Roman" w:eastAsia="Times New Roman" w:hAnsi="Times New Roman"/>
          <w:sz w:val="18"/>
          <w:szCs w:val="18"/>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98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98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jc w:val="both"/>
        <w:ind w:left="240" w:firstLine="527"/>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89"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left="1340"/>
        <w:spacing w:after="0"/>
        <w:tabs>
          <w:tab w:leader="none" w:pos="5860" w:val="left"/>
          <w:tab w:leader="none" w:pos="6980" w:val="left"/>
          <w:tab w:leader="none" w:pos="952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$600,000,000</w:t>
        <w:tab/>
        <w:t>aggregate  principal  amount  of</w:t>
      </w:r>
      <w:r>
        <w:rPr>
          <w:sz w:val="20"/>
          <w:szCs w:val="20"/>
          <w:color w:val="auto"/>
        </w:rPr>
        <w:tab/>
      </w:r>
      <w:r>
        <w:rPr>
          <w:rFonts w:ascii="Times New Roman" w:cs="Times New Roman" w:eastAsia="Times New Roman" w:hAnsi="Times New Roman"/>
          <w:sz w:val="16"/>
          <w:szCs w:val="16"/>
          <w:color w:val="auto"/>
        </w:rPr>
        <w:t>4.640%</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Senior Notes due 2024, $500,000,000 aggregate principal</w:t>
      </w:r>
    </w:p>
    <w:p>
      <w:pPr>
        <w:spacing w:after="0" w:line="9" w:lineRule="exact"/>
        <w:rPr>
          <w:sz w:val="20"/>
          <w:szCs w:val="20"/>
          <w:color w:val="auto"/>
        </w:rPr>
      </w:pPr>
    </w:p>
    <w:p>
      <w:pPr>
        <w:ind w:left="5880"/>
        <w:spacing w:after="0"/>
        <w:tabs>
          <w:tab w:leader="none" w:pos="6580" w:val="left"/>
          <w:tab w:leader="none" w:pos="6900" w:val="left"/>
          <w:tab w:leader="none" w:pos="7620" w:val="left"/>
          <w:tab w:leader="none" w:pos="8260" w:val="left"/>
          <w:tab w:leader="none" w:pos="8840" w:val="left"/>
          <w:tab w:leader="none" w:pos="9280" w:val="left"/>
          <w:tab w:leader="none" w:pos="9800" w:val="left"/>
        </w:tabs>
        <w:rPr>
          <w:sz w:val="20"/>
          <w:szCs w:val="20"/>
          <w:color w:val="auto"/>
        </w:rPr>
      </w:pPr>
      <w:r>
        <w:rPr>
          <w:rFonts w:ascii="Times New Roman" w:cs="Times New Roman" w:eastAsia="Times New Roman" w:hAnsi="Times New Roman"/>
          <w:sz w:val="18"/>
          <w:szCs w:val="18"/>
          <w:color w:val="auto"/>
        </w:rPr>
        <w:t>amount</w:t>
        <w:tab/>
        <w:t>of</w:t>
        <w:tab/>
        <w:t>4.975%</w:t>
        <w:tab/>
        <w:t>Senior</w:t>
        <w:tab/>
        <w:t>Notes</w:t>
        <w:tab/>
        <w:t>due</w:t>
        <w:tab/>
        <w:t>2026</w:t>
        <w:tab/>
        <w:t>and</w:t>
      </w:r>
    </w:p>
    <w:p>
      <w:pPr>
        <w:spacing w:after="0" w:line="9" w:lineRule="exact"/>
        <w:rPr>
          <w:sz w:val="20"/>
          <w:szCs w:val="20"/>
          <w:color w:val="auto"/>
        </w:rPr>
      </w:pPr>
    </w:p>
    <w:p>
      <w:pPr>
        <w:ind w:left="5880"/>
        <w:spacing w:after="0"/>
        <w:tabs>
          <w:tab w:leader="none" w:pos="6980" w:val="left"/>
          <w:tab w:leader="none" w:pos="9520" w:val="left"/>
        </w:tabs>
        <w:rPr>
          <w:sz w:val="20"/>
          <w:szCs w:val="20"/>
          <w:color w:val="auto"/>
        </w:rPr>
      </w:pPr>
      <w:r>
        <w:rPr>
          <w:rFonts w:ascii="Times New Roman" w:cs="Times New Roman" w:eastAsia="Times New Roman" w:hAnsi="Times New Roman"/>
          <w:sz w:val="18"/>
          <w:szCs w:val="18"/>
          <w:color w:val="auto"/>
        </w:rPr>
        <w:t>$700,000,000</w:t>
        <w:tab/>
        <w:t>aggregate  principal  amount  of</w:t>
      </w:r>
      <w:r>
        <w:rPr>
          <w:sz w:val="20"/>
          <w:szCs w:val="20"/>
          <w:color w:val="auto"/>
        </w:rPr>
        <w:tab/>
      </w:r>
      <w:r>
        <w:rPr>
          <w:rFonts w:ascii="Times New Roman" w:cs="Times New Roman" w:eastAsia="Times New Roman" w:hAnsi="Times New Roman"/>
          <w:sz w:val="16"/>
          <w:szCs w:val="16"/>
          <w:color w:val="auto"/>
        </w:rPr>
        <w:t>5.327%</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Senior Notes due 2029.</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Maturity</w:t>
      </w:r>
      <w:r>
        <w:rPr>
          <w:sz w:val="20"/>
          <w:szCs w:val="20"/>
          <w:color w:val="auto"/>
        </w:rPr>
        <w:tab/>
      </w:r>
      <w:r>
        <w:rPr>
          <w:rFonts w:ascii="Times New Roman" w:cs="Times New Roman" w:eastAsia="Times New Roman" w:hAnsi="Times New Roman"/>
          <w:sz w:val="18"/>
          <w:szCs w:val="18"/>
          <w:color w:val="auto"/>
        </w:rPr>
        <w:t>The 2024 notes will mature on February 6, 2024, the 2026</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notes will mature on February 6, 2026 and the 2029 notes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will mature on February 6, 2029.</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Interest and Payment Dates</w:t>
      </w:r>
      <w:r>
        <w:rPr>
          <w:sz w:val="20"/>
          <w:szCs w:val="20"/>
          <w:color w:val="auto"/>
        </w:rPr>
        <w:tab/>
      </w:r>
      <w:r>
        <w:rPr>
          <w:rFonts w:ascii="Times New Roman" w:cs="Times New Roman" w:eastAsia="Times New Roman" w:hAnsi="Times New Roman"/>
          <w:sz w:val="16"/>
          <w:szCs w:val="16"/>
          <w:color w:val="auto"/>
        </w:rPr>
        <w:t>4.640% per year on the principal amount of the 2024 notes,</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4.975% per year on the principal amount of the 2026 notes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and 5.327% per year on the principal amount of the 2029</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notes. Interest is payable on the notes on February 6 and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August  6  of  each  year  after  the  date  of  issuance,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commencing August 6, 2019. Interest on the notes will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accrue from February 6, 2019.</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Ranking of the Notes</w:t>
      </w:r>
      <w:r>
        <w:rPr>
          <w:sz w:val="20"/>
          <w:szCs w:val="20"/>
          <w:color w:val="auto"/>
        </w:rPr>
        <w:tab/>
      </w:r>
      <w:r>
        <w:rPr>
          <w:rFonts w:ascii="Times New Roman" w:cs="Times New Roman" w:eastAsia="Times New Roman" w:hAnsi="Times New Roman"/>
          <w:sz w:val="16"/>
          <w:szCs w:val="16"/>
          <w:color w:val="auto"/>
        </w:rPr>
        <w:t>The notes will be our senior unsecured obligations and will</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rank equally with all of our other existing and future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unsecured and unsubordinated indebtedness from time to</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time outstanding.</w:t>
      </w:r>
    </w:p>
    <w:p>
      <w:pPr>
        <w:spacing w:after="0" w:line="2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As of November 29, 2018:</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we had approximately $2.61 billion aggregate principal</w:t>
      </w:r>
    </w:p>
    <w:p>
      <w:pPr>
        <w:spacing w:after="0" w:line="21" w:lineRule="exact"/>
        <w:rPr>
          <w:sz w:val="20"/>
          <w:szCs w:val="20"/>
          <w:color w:val="auto"/>
        </w:rPr>
      </w:pPr>
    </w:p>
    <w:p>
      <w:pPr>
        <w:ind w:left="6060"/>
        <w:spacing w:after="0"/>
        <w:tabs>
          <w:tab w:leader="none" w:pos="6720" w:val="left"/>
          <w:tab w:leader="none" w:pos="7020" w:val="left"/>
          <w:tab w:leader="none" w:pos="8060" w:val="left"/>
          <w:tab w:leader="none" w:pos="8980" w:val="left"/>
          <w:tab w:leader="none" w:pos="9520" w:val="left"/>
          <w:tab w:leader="none" w:pos="9840" w:val="left"/>
        </w:tabs>
        <w:rPr>
          <w:sz w:val="20"/>
          <w:szCs w:val="20"/>
          <w:color w:val="auto"/>
        </w:rPr>
      </w:pPr>
      <w:r>
        <w:rPr>
          <w:rFonts w:ascii="Times New Roman" w:cs="Times New Roman" w:eastAsia="Times New Roman" w:hAnsi="Times New Roman"/>
          <w:sz w:val="18"/>
          <w:szCs w:val="18"/>
          <w:color w:val="auto"/>
        </w:rPr>
        <w:t>amount</w:t>
        <w:tab/>
        <w:t>of</w:t>
        <w:tab/>
        <w:t>indebtedness</w:t>
        <w:tab/>
        <w:t>(calculated</w:t>
        <w:tab/>
        <w:t>based</w:t>
        <w:tab/>
        <w:t>on</w:t>
        <w:tab/>
        <w:t>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amount of such indebtedness but excluding</w:t>
      </w:r>
    </w:p>
    <w:p>
      <w:pPr>
        <w:spacing w:after="0" w:line="9" w:lineRule="exact"/>
        <w:rPr>
          <w:sz w:val="20"/>
          <w:szCs w:val="20"/>
          <w:color w:val="auto"/>
        </w:rPr>
      </w:pPr>
    </w:p>
    <w:p>
      <w:pPr>
        <w:ind w:left="6060"/>
        <w:spacing w:after="0"/>
        <w:tabs>
          <w:tab w:leader="none" w:pos="7240" w:val="left"/>
          <w:tab w:leader="none" w:pos="7760" w:val="left"/>
          <w:tab w:leader="none" w:pos="8420" w:val="left"/>
          <w:tab w:leader="none" w:pos="9220" w:val="left"/>
          <w:tab w:leader="none" w:pos="9920" w:val="left"/>
        </w:tabs>
        <w:rPr>
          <w:sz w:val="20"/>
          <w:szCs w:val="20"/>
          <w:color w:val="auto"/>
        </w:rPr>
      </w:pPr>
      <w:r>
        <w:rPr>
          <w:rFonts w:ascii="Times New Roman" w:cs="Times New Roman" w:eastAsia="Times New Roman" w:hAnsi="Times New Roman"/>
          <w:sz w:val="18"/>
          <w:szCs w:val="18"/>
          <w:color w:val="auto"/>
        </w:rPr>
        <w:t>approximately</w:t>
        <w:tab/>
        <w:t>$289</w:t>
        <w:tab/>
        <w:t>million</w:t>
        <w:tab/>
        <w:t>principal</w:t>
        <w:tab/>
        <w:t>amount</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indebtedness of our subsidiaries that is guaranteed by</w:t>
      </w:r>
    </w:p>
    <w:p>
      <w:pPr>
        <w:spacing w:after="0" w:line="9" w:lineRule="exact"/>
        <w:rPr>
          <w:sz w:val="20"/>
          <w:szCs w:val="20"/>
          <w:color w:val="auto"/>
        </w:rPr>
      </w:pPr>
    </w:p>
    <w:p>
      <w:pPr>
        <w:ind w:left="6060"/>
        <w:spacing w:after="0"/>
        <w:tabs>
          <w:tab w:leader="none" w:pos="6500" w:val="left"/>
          <w:tab w:leader="none" w:pos="6820" w:val="left"/>
          <w:tab w:leader="none" w:pos="7440" w:val="left"/>
          <w:tab w:leader="none" w:pos="7960" w:val="left"/>
          <w:tab w:leader="none" w:pos="8660" w:val="left"/>
          <w:tab w:leader="none" w:pos="9120" w:val="left"/>
          <w:tab w:leader="none" w:pos="9520" w:val="left"/>
        </w:tabs>
        <w:rPr>
          <w:sz w:val="20"/>
          <w:szCs w:val="20"/>
          <w:color w:val="auto"/>
        </w:rPr>
      </w:pPr>
      <w:r>
        <w:rPr>
          <w:rFonts w:ascii="Times New Roman" w:cs="Times New Roman" w:eastAsia="Times New Roman" w:hAnsi="Times New Roman"/>
          <w:sz w:val="18"/>
          <w:szCs w:val="18"/>
          <w:color w:val="auto"/>
        </w:rPr>
        <w:t>us),</w:t>
        <w:tab/>
        <w:t>of</w:t>
        <w:tab/>
        <w:t>which</w:t>
        <w:tab/>
        <w:t>$858</w:t>
        <w:tab/>
        <w:t>million</w:t>
        <w:tab/>
        <w:t>was</w:t>
        <w:tab/>
        <w:t>our</w:t>
      </w:r>
      <w:r>
        <w:rPr>
          <w:sz w:val="20"/>
          <w:szCs w:val="20"/>
          <w:color w:val="auto"/>
        </w:rPr>
        <w:tab/>
      </w:r>
      <w:r>
        <w:rPr>
          <w:rFonts w:ascii="Times New Roman" w:cs="Times New Roman" w:eastAsia="Times New Roman" w:hAnsi="Times New Roman"/>
          <w:sz w:val="16"/>
          <w:szCs w:val="16"/>
          <w:color w:val="auto"/>
        </w:rPr>
        <w:t>secured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indebtedness; and</w:t>
      </w:r>
    </w:p>
    <w:p>
      <w:pPr>
        <w:spacing w:after="0" w:line="2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our subsidiaries had outstanding liabilities (including</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trade payables and indebtedness to third parties at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full stated amount thereof but excluding intercompany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indebtedness and other obligations and liabilities of 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type not required to be reflected on a balance sheet of</w:t>
      </w:r>
    </w:p>
    <w:p>
      <w:pPr>
        <w:spacing w:after="0" w:line="9" w:lineRule="exact"/>
        <w:rPr>
          <w:sz w:val="20"/>
          <w:szCs w:val="20"/>
          <w:color w:val="auto"/>
        </w:rPr>
      </w:pPr>
    </w:p>
    <w:p>
      <w:pPr>
        <w:ind w:left="6060"/>
        <w:spacing w:after="0"/>
        <w:tabs>
          <w:tab w:leader="none" w:pos="6520" w:val="left"/>
          <w:tab w:leader="none" w:pos="7520" w:val="left"/>
          <w:tab w:leader="none" w:pos="7800" w:val="left"/>
          <w:tab w:leader="none" w:pos="8760" w:val="left"/>
          <w:tab w:leader="none" w:pos="9220" w:val="left"/>
          <w:tab w:leader="none" w:pos="9920" w:val="left"/>
        </w:tabs>
        <w:rPr>
          <w:sz w:val="20"/>
          <w:szCs w:val="20"/>
          <w:color w:val="auto"/>
        </w:rPr>
      </w:pPr>
      <w:r>
        <w:rPr>
          <w:rFonts w:ascii="Times New Roman" w:cs="Times New Roman" w:eastAsia="Times New Roman" w:hAnsi="Times New Roman"/>
          <w:sz w:val="18"/>
          <w:szCs w:val="18"/>
          <w:color w:val="auto"/>
        </w:rPr>
        <w:t>such</w:t>
        <w:tab/>
        <w:t>subsidiaries</w:t>
        <w:tab/>
        <w:t>in</w:t>
        <w:tab/>
        <w:t>accordance</w:t>
        <w:tab/>
        <w:t>with</w:t>
        <w:tab/>
        <w:t>GAAP)</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6060"/>
        <w:spacing w:after="0"/>
        <w:tabs>
          <w:tab w:leader="none" w:pos="7200" w:val="left"/>
          <w:tab w:leader="none" w:pos="7660" w:val="left"/>
          <w:tab w:leader="none" w:pos="8300" w:val="left"/>
          <w:tab w:leader="none" w:pos="8620" w:val="left"/>
          <w:tab w:leader="none" w:pos="8900" w:val="left"/>
          <w:tab w:leader="none" w:pos="9480" w:val="left"/>
          <w:tab w:leader="none" w:pos="9900" w:val="left"/>
        </w:tabs>
        <w:rPr>
          <w:sz w:val="20"/>
          <w:szCs w:val="20"/>
          <w:color w:val="auto"/>
        </w:rPr>
      </w:pPr>
      <w:r>
        <w:rPr>
          <w:rFonts w:ascii="Times New Roman" w:cs="Times New Roman" w:eastAsia="Times New Roman" w:hAnsi="Times New Roman"/>
          <w:sz w:val="18"/>
          <w:szCs w:val="18"/>
          <w:color w:val="auto"/>
        </w:rPr>
        <w:t>approximately</w:t>
        <w:tab/>
        <w:t>$6.2</w:t>
        <w:tab/>
        <w:t>billion,</w:t>
        <w:tab/>
        <w:t>all</w:t>
        <w:tab/>
        <w:t>of</w:t>
        <w:tab/>
        <w:t>which</w:t>
        <w:tab/>
        <w:t>will</w:t>
      </w:r>
      <w:r>
        <w:rPr>
          <w:sz w:val="20"/>
          <w:szCs w:val="20"/>
          <w:color w:val="auto"/>
        </w:rPr>
        <w:tab/>
      </w:r>
      <w:r>
        <w:rPr>
          <w:rFonts w:ascii="Times New Roman" w:cs="Times New Roman" w:eastAsia="Times New Roman" w:hAnsi="Times New Roman"/>
          <w:sz w:val="16"/>
          <w:szCs w:val="16"/>
          <w:color w:val="auto"/>
        </w:rPr>
        <w:t>be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structurally senior to the notes with respect to claims 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assets and cash flows of our subsidiaries.</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Sinking Fund</w:t>
      </w:r>
      <w:r>
        <w:rPr>
          <w:sz w:val="20"/>
          <w:szCs w:val="20"/>
          <w:color w:val="auto"/>
        </w:rPr>
        <w:tab/>
      </w:r>
      <w:r>
        <w:rPr>
          <w:rFonts w:ascii="Times New Roman" w:cs="Times New Roman" w:eastAsia="Times New Roman" w:hAnsi="Times New Roman"/>
          <w:sz w:val="18"/>
          <w:szCs w:val="18"/>
          <w:color w:val="auto"/>
        </w:rPr>
        <w:t>None.</w:t>
      </w:r>
    </w:p>
    <w:p>
      <w:pPr>
        <w:sectPr>
          <w:pgSz w:w="11900" w:h="16838" w:orient="portrait"/>
          <w:cols w:equalWidth="0" w:num="1">
            <w:col w:w="11180"/>
          </w:cols>
          <w:pgMar w:left="240" w:top="1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5540" w:type="dxa"/>
            <w:vAlign w:val="bottom"/>
            <w:tcBorders>
              <w:top w:val="single" w:sz="8" w:color="auto"/>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Optional Redemption</w:t>
            </w:r>
          </w:p>
        </w:tc>
        <w:tc>
          <w:tcPr>
            <w:tcW w:w="588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notes will be redeemable at our option, in whole or in</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part, at any time and from time to time at a redemption</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price equal to the greater of (i) 100% of the principal</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amount of the notes to be redeemed and (ii) the make-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whole  amount  (as  described  in  the  section  entitled</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"Description of the Notes—Optional Redemption"), plus</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accrued and unpaid interest thereon to, but excluding, the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redemption date. See "Description of the Notes—Optional</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Redemption."</w:t>
            </w:r>
          </w:p>
        </w:tc>
      </w:tr>
      <w:tr>
        <w:trPr>
          <w:trHeight w:val="420"/>
        </w:trPr>
        <w:tc>
          <w:tcPr>
            <w:tcW w:w="554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 addition, on or after January 6, 2024, in the case of the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2024 notes (one month prior to the maturity date of the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2024 notes), on or after December 6, 2025 in the case of</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2026 notes (two months prior to the maturity date of the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2026 notes) and on or after November 6, 2028 in the case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the 2029 notes (three months prior to the maturity date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the  2029  notes),  we  may  redeem  the  notes  at  a</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redemption price equal to 100% of the principal amount</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thereof plus accrued and unpaid interest to, but excluding,</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date of redemption. See "Description of the Notes—</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20"/>
        </w:trPr>
        <w:tc>
          <w:tcPr>
            <w:tcW w:w="55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8"/>
              </w:rPr>
              <w:t>Mandatory Offer to Repurchase Upon a Change of Control</w:t>
            </w: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Upon the occurrence of a Change of Control Triggering</w:t>
            </w:r>
          </w:p>
        </w:tc>
      </w:tr>
      <w:tr>
        <w:trPr>
          <w:trHeight w:val="216"/>
        </w:trPr>
        <w:tc>
          <w:tcPr>
            <w:tcW w:w="5540" w:type="dxa"/>
            <w:vAlign w:val="bottom"/>
            <w:tcBorders>
              <w:lef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Triggering Event</w:t>
            </w: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Event  (as  defined  elsewhere  in  this  prospectus</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supplement), we will be required to make an offer to</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purchase the notes at a price equal to 101% of their</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principal amount plus accrued and unpaid interest to, but</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excluding, the date of purchase. See "Description of the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Notes—Repurchase of Notes Upon a Change of Control</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Triggering Event."</w:t>
            </w:r>
          </w:p>
        </w:tc>
      </w:tr>
      <w:tr>
        <w:trPr>
          <w:trHeight w:val="420"/>
        </w:trPr>
        <w:tc>
          <w:tcPr>
            <w:tcW w:w="554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Certain Covenants</w:t>
            </w: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 indenture that will govern each series of notes contains</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covenants that, subject to significant exceptions, limit our</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ability and/or the ability of our restricted subsidiaries</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(which are generally domestic subsidiaries in which we</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own at least 80% of the voting stock and which own</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Principal Property (as defined herein)) to:</w:t>
            </w:r>
          </w:p>
        </w:tc>
      </w:tr>
      <w:tr>
        <w:trPr>
          <w:trHeight w:val="420"/>
        </w:trPr>
        <w:tc>
          <w:tcPr>
            <w:tcW w:w="554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create or incur certain liens on Principal Property owned</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by us or a Restricted Subsidiary and shares of capital</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stock of any restricted subsidiary and enter into sale and</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lease-back  transactions  with  respect  to  Principal</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Property; and</w:t>
            </w:r>
          </w:p>
        </w:tc>
      </w:tr>
      <w:tr>
        <w:trPr>
          <w:trHeight w:val="420"/>
        </w:trPr>
        <w:tc>
          <w:tcPr>
            <w:tcW w:w="554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consolidate with or merge with or into, or convey,</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transfer or lease all or substantially all of our assets, to</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another person.</w:t>
            </w:r>
          </w:p>
        </w:tc>
      </w:tr>
      <w:tr>
        <w:trPr>
          <w:trHeight w:val="420"/>
        </w:trPr>
        <w:tc>
          <w:tcPr>
            <w:tcW w:w="554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These covenants are subject to a number of important</w:t>
            </w:r>
          </w:p>
        </w:tc>
      </w:tr>
      <w:tr>
        <w:trPr>
          <w:trHeight w:val="216"/>
        </w:trPr>
        <w:tc>
          <w:tcPr>
            <w:tcW w:w="554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limitations and exceptions as described under "Description</w:t>
            </w:r>
          </w:p>
        </w:tc>
      </w:tr>
      <w:tr>
        <w:trPr>
          <w:trHeight w:val="228"/>
        </w:trPr>
        <w:tc>
          <w:tcPr>
            <w:tcW w:w="5540" w:type="dxa"/>
            <w:vAlign w:val="bottom"/>
            <w:tcBorders>
              <w:left w:val="single" w:sz="8" w:color="auto"/>
            </w:tcBorders>
          </w:tcPr>
          <w:p>
            <w:pPr>
              <w:spacing w:after="0"/>
              <w:rPr>
                <w:sz w:val="19"/>
                <w:szCs w:val="19"/>
                <w:color w:val="auto"/>
              </w:rPr>
            </w:pPr>
          </w:p>
        </w:tc>
        <w:tc>
          <w:tcPr>
            <w:tcW w:w="58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the Notes—Certain Covenants."</w:t>
            </w:r>
          </w:p>
        </w:tc>
      </w:tr>
      <w:tr>
        <w:trPr>
          <w:trHeight w:val="444"/>
        </w:trPr>
        <w:tc>
          <w:tcPr>
            <w:tcW w:w="5540" w:type="dxa"/>
            <w:vAlign w:val="bottom"/>
            <w:tcBorders>
              <w:left w:val="single" w:sz="8" w:color="auto"/>
              <w:bottom w:val="single" w:sz="8" w:color="auto"/>
            </w:tcBorders>
          </w:tcPr>
          <w:p>
            <w:pPr>
              <w:spacing w:after="0"/>
              <w:rPr>
                <w:sz w:val="24"/>
                <w:szCs w:val="24"/>
                <w:color w:val="auto"/>
              </w:rPr>
            </w:pPr>
          </w:p>
        </w:tc>
        <w:tc>
          <w:tcPr>
            <w:tcW w:w="5880" w:type="dxa"/>
            <w:vAlign w:val="bottom"/>
            <w:tcBorders>
              <w:bottom w:val="single" w:sz="8" w:color="auto"/>
              <w:right w:val="single" w:sz="8" w:color="auto"/>
            </w:tcBorders>
          </w:tcPr>
          <w:p>
            <w:pPr>
              <w:spacing w:after="0"/>
              <w:rPr>
                <w:sz w:val="24"/>
                <w:szCs w:val="24"/>
                <w:color w:val="auto"/>
              </w:rPr>
            </w:pPr>
          </w:p>
        </w:tc>
      </w:tr>
      <w:tr>
        <w:trPr>
          <w:trHeight w:val="427"/>
        </w:trPr>
        <w:tc>
          <w:tcPr>
            <w:tcW w:w="554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S-3</w:t>
            </w:r>
          </w:p>
        </w:tc>
      </w:tr>
      <w:tr>
        <w:trPr>
          <w:trHeight w:val="228"/>
        </w:trPr>
        <w:tc>
          <w:tcPr>
            <w:tcW w:w="55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8262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8262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 Prior Market; No Listing</w:t>
            </w: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The notes will be a new issue of securities for which there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is currently no established public market. Although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underwriters have informed us that they intend to make a</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market in the notes, they are not obligated to do so and may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8"/>
              </w:rPr>
              <w:t>discontinue market-making with respect to the notes at any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time without notice. Accordingly, a liquid market for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8"/>
              </w:rPr>
              <w:t>notes may not develop or be maintained. See "Risk Factors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—Risks Related to the Notes—Your ability to transfer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notes may be limited by the absence of an active trading</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market, and an active trading market may not develop for</w:t>
            </w:r>
          </w:p>
        </w:tc>
      </w:tr>
      <w:tr>
        <w:trPr>
          <w:trHeight w:val="228"/>
        </w:trPr>
        <w:tc>
          <w:tcPr>
            <w:tcW w:w="3560" w:type="dxa"/>
            <w:vAlign w:val="bottom"/>
          </w:tcPr>
          <w:p>
            <w:pPr>
              <w:spacing w:after="0"/>
              <w:rPr>
                <w:sz w:val="19"/>
                <w:szCs w:val="19"/>
                <w:color w:val="auto"/>
              </w:rPr>
            </w:pPr>
          </w:p>
        </w:tc>
        <w:tc>
          <w:tcPr>
            <w:tcW w:w="2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notes."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3560" w:type="dxa"/>
            <w:vAlign w:val="bottom"/>
          </w:tcPr>
          <w:p>
            <w:pPr>
              <w:spacing w:after="0"/>
              <w:rPr>
                <w:sz w:val="24"/>
                <w:szCs w:val="24"/>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We do not intend to apply for the listing of the notes on any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securities exchange or for the quotation of the notes in any</w:t>
            </w:r>
          </w:p>
        </w:tc>
      </w:tr>
      <w:tr>
        <w:trPr>
          <w:trHeight w:val="228"/>
        </w:trPr>
        <w:tc>
          <w:tcPr>
            <w:tcW w:w="3560" w:type="dxa"/>
            <w:vAlign w:val="bottom"/>
          </w:tcPr>
          <w:p>
            <w:pPr>
              <w:spacing w:after="0"/>
              <w:rPr>
                <w:sz w:val="19"/>
                <w:szCs w:val="19"/>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dealer quotation system.</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We estimate net proceeds will be approximately $1,789</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million. We intend to use a portion for the extinguishment</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of our 3.00% Convertible Senior Notes due 2043 and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remainder for general corporate purposes. See "Use of</w:t>
            </w:r>
          </w:p>
        </w:tc>
      </w:tr>
      <w:tr>
        <w:trPr>
          <w:trHeight w:val="228"/>
        </w:trPr>
        <w:tc>
          <w:tcPr>
            <w:tcW w:w="3560" w:type="dxa"/>
            <w:vAlign w:val="bottom"/>
          </w:tcPr>
          <w:p>
            <w:pPr>
              <w:spacing w:after="0"/>
              <w:rPr>
                <w:sz w:val="19"/>
                <w:szCs w:val="19"/>
                <w:color w:val="auto"/>
              </w:rPr>
            </w:pPr>
          </w:p>
        </w:tc>
        <w:tc>
          <w:tcPr>
            <w:tcW w:w="2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Proceeds."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You should carefully consider all of the information set</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forth in this prospectus supplement and the accompanying</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prospectus and the documents, including the information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incorporated  by  reference,  and,  in  particular,  should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evaluate the specific factors set forth in this prospectus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supplement under "Risk Factors" for an explanation of</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certain risks you should consider before investing in the</w:t>
            </w:r>
          </w:p>
        </w:tc>
      </w:tr>
      <w:tr>
        <w:trPr>
          <w:trHeight w:val="228"/>
        </w:trPr>
        <w:tc>
          <w:tcPr>
            <w:tcW w:w="3560" w:type="dxa"/>
            <w:vAlign w:val="bottom"/>
          </w:tcPr>
          <w:p>
            <w:pPr>
              <w:spacing w:after="0"/>
              <w:rPr>
                <w:sz w:val="19"/>
                <w:szCs w:val="19"/>
                <w:color w:val="auto"/>
              </w:rPr>
            </w:pPr>
          </w:p>
        </w:tc>
        <w:tc>
          <w:tcPr>
            <w:tcW w:w="2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notes.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Form and Denomination</w:t>
            </w: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registered  global  securities,  without  coupons,  in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denominations of $2,000 in principal amount and integral</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multiples of $1,000 in excess thereof. These global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will be deposited with the trustee as custodian for, and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registered in the name of, a nominee of The Depository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Trust  Company  ("DTC").  Except  in  the  limited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circumstances described under "Description of the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9"/>
              </w:rPr>
              <w:t>Book-Entry, Form, Denomination and Delivery of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notes in certificated form will not be issued or exchanged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for interests in global securities. Investors may hold their</w:t>
            </w:r>
          </w:p>
        </w:tc>
      </w:tr>
      <w:tr>
        <w:trPr>
          <w:trHeight w:val="216"/>
        </w:trPr>
        <w:tc>
          <w:tcPr>
            <w:tcW w:w="3560" w:type="dxa"/>
            <w:vAlign w:val="bottom"/>
          </w:tcPr>
          <w:p>
            <w:pPr>
              <w:spacing w:after="0"/>
              <w:rPr>
                <w:sz w:val="18"/>
                <w:szCs w:val="18"/>
                <w:color w:val="auto"/>
              </w:rPr>
            </w:pPr>
          </w:p>
        </w:tc>
        <w:tc>
          <w:tcPr>
            <w:tcW w:w="37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interests  in  a  global  note  directly</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through  Euroclear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Bank S.A./N.V., as operator of the Euroclear System</w:t>
            </w:r>
          </w:p>
        </w:tc>
      </w:tr>
      <w:tr>
        <w:trPr>
          <w:trHeight w:val="216"/>
        </w:trPr>
        <w:tc>
          <w:tcPr>
            <w:tcW w:w="3560" w:type="dxa"/>
            <w:vAlign w:val="bottom"/>
          </w:tcPr>
          <w:p>
            <w:pPr>
              <w:spacing w:after="0"/>
              <w:rPr>
                <w:sz w:val="18"/>
                <w:szCs w:val="18"/>
                <w:color w:val="auto"/>
              </w:rPr>
            </w:pPr>
          </w:p>
        </w:tc>
        <w:tc>
          <w:tcPr>
            <w:tcW w:w="2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("Euroclear"),</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Clearstream</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8"/>
              </w:rPr>
              <w:t>("Clearstream"), if they are participants in such systems, or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indirectly through organizations that are participants in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such systems. Euroclear and Clearstream will hold interests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in a global note on behalf of their participants through their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respective  depositaries,  which  in  turn  will  hold  such</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w w:val="97"/>
              </w:rPr>
              <w:t>interests in the global note in customers' securities accounts</w:t>
            </w:r>
          </w:p>
        </w:tc>
      </w:tr>
      <w:tr>
        <w:trPr>
          <w:trHeight w:val="228"/>
        </w:trPr>
        <w:tc>
          <w:tcPr>
            <w:tcW w:w="3560" w:type="dxa"/>
            <w:vAlign w:val="bottom"/>
          </w:tcPr>
          <w:p>
            <w:pPr>
              <w:spacing w:after="0"/>
              <w:rPr>
                <w:sz w:val="19"/>
                <w:szCs w:val="19"/>
                <w:color w:val="auto"/>
              </w:rPr>
            </w:pPr>
          </w:p>
        </w:tc>
        <w:tc>
          <w:tcPr>
            <w:tcW w:w="47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in the depositaries' names on the books of DTC.</w:t>
            </w:r>
          </w:p>
        </w:tc>
        <w:tc>
          <w:tcPr>
            <w:tcW w:w="460" w:type="dxa"/>
            <w:vAlign w:val="bottom"/>
          </w:tcPr>
          <w:p>
            <w:pPr>
              <w:spacing w:after="0"/>
              <w:rPr>
                <w:sz w:val="19"/>
                <w:szCs w:val="19"/>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37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1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The indenture and the notes will be governed by the laws</w:t>
            </w:r>
          </w:p>
        </w:tc>
      </w:tr>
      <w:tr>
        <w:trPr>
          <w:trHeight w:val="228"/>
        </w:trPr>
        <w:tc>
          <w:tcPr>
            <w:tcW w:w="3560" w:type="dxa"/>
            <w:vAlign w:val="bottom"/>
          </w:tcPr>
          <w:p>
            <w:pPr>
              <w:spacing w:after="0"/>
              <w:rPr>
                <w:sz w:val="19"/>
                <w:szCs w:val="19"/>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6"/>
              </w:rPr>
              <w:t>of the State of New York.</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4160" w:type="dxa"/>
            <w:vAlign w:val="bottom"/>
            <w:tcBorders>
              <w:top w:val="single" w:sz="8" w:color="auto"/>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Conflicts of Interest</w:t>
            </w:r>
          </w:p>
        </w:tc>
        <w:tc>
          <w:tcPr>
            <w:tcW w:w="7260" w:type="dxa"/>
            <w:vAlign w:val="bottom"/>
            <w:tcBorders>
              <w:top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Affiliates of Wells Fargo Securities, LLC will receive at</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least 5% of the net proceeds of this offering in connection</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with the repayment of our 3.00% Convertible Senior Notes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due  2043.  See  "Use  of  Proceeds."  Accordingly,  this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offering is being made in compliance with the requirements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of  Rule  5121  of  Financial  Industry  Regulation</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Authority ("FINRA"). Because the notes to be offered will</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be rated investment grade, pursuant to Rule 5121, the</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necessary. Wells Fargo Securities, LLC will not confirm</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sales of the notes to any account over which it exercises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discretionary authority without the prior written approval</w:t>
            </w:r>
          </w:p>
        </w:tc>
      </w:tr>
      <w:tr>
        <w:trPr>
          <w:trHeight w:val="228"/>
        </w:trPr>
        <w:tc>
          <w:tcPr>
            <w:tcW w:w="416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of the customer.</w:t>
            </w:r>
          </w:p>
        </w:tc>
      </w:tr>
      <w:tr>
        <w:trPr>
          <w:trHeight w:val="228"/>
        </w:trPr>
        <w:tc>
          <w:tcPr>
            <w:tcW w:w="4160" w:type="dxa"/>
            <w:vAlign w:val="bottom"/>
            <w:tcBorders>
              <w:left w:val="single" w:sz="8" w:color="auto"/>
              <w:bottom w:val="single" w:sz="8" w:color="auto"/>
            </w:tcBorders>
          </w:tcPr>
          <w:p>
            <w:pPr>
              <w:spacing w:after="0"/>
              <w:rPr>
                <w:sz w:val="19"/>
                <w:szCs w:val="19"/>
                <w:color w:val="auto"/>
              </w:rPr>
            </w:pPr>
          </w:p>
        </w:tc>
        <w:tc>
          <w:tcPr>
            <w:tcW w:w="7260" w:type="dxa"/>
            <w:vAlign w:val="bottom"/>
            <w:tcBorders>
              <w:bottom w:val="single" w:sz="8" w:color="auto"/>
              <w:right w:val="single" w:sz="8" w:color="auto"/>
            </w:tcBorders>
          </w:tcPr>
          <w:p>
            <w:pPr>
              <w:spacing w:after="0"/>
              <w:rPr>
                <w:sz w:val="19"/>
                <w:szCs w:val="19"/>
                <w:color w:val="auto"/>
              </w:rPr>
            </w:pPr>
          </w:p>
        </w:tc>
      </w:tr>
      <w:tr>
        <w:trPr>
          <w:trHeight w:val="427"/>
        </w:trPr>
        <w:tc>
          <w:tcPr>
            <w:tcW w:w="4160" w:type="dxa"/>
            <w:vAlign w:val="bottom"/>
          </w:tcPr>
          <w:p>
            <w:pPr>
              <w:spacing w:after="0"/>
              <w:rPr>
                <w:sz w:val="24"/>
                <w:szCs w:val="24"/>
                <w:color w:val="auto"/>
              </w:rPr>
            </w:pPr>
          </w:p>
        </w:tc>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S-5</w:t>
            </w:r>
          </w:p>
        </w:tc>
      </w:tr>
      <w:tr>
        <w:trPr>
          <w:trHeight w:val="228"/>
        </w:trPr>
        <w:tc>
          <w:tcPr>
            <w:tcW w:w="416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5235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23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7" w:lineRule="exact"/>
        <w:rPr>
          <w:sz w:val="20"/>
          <w:szCs w:val="20"/>
          <w:color w:val="auto"/>
        </w:rPr>
      </w:pPr>
    </w:p>
    <w:p>
      <w:pPr>
        <w:jc w:val="both"/>
        <w:ind w:left="240" w:right="240" w:firstLine="423"/>
        <w:spacing w:after="0" w:line="289" w:lineRule="auto"/>
        <w:rPr>
          <w:sz w:val="20"/>
          <w:szCs w:val="20"/>
          <w:color w:val="auto"/>
        </w:rPr>
      </w:pPr>
      <w:r>
        <w:rPr>
          <w:rFonts w:ascii="Times New Roman" w:cs="Times New Roman" w:eastAsia="Times New Roman" w:hAnsi="Times New Roman"/>
          <w:sz w:val="16"/>
          <w:szCs w:val="16"/>
          <w:color w:val="auto"/>
        </w:rPr>
        <w:t>Our summary consolidated financial information presented below as of and for the three fiscal years ended August 30, 2018 has been derived from our audited consolidated financial statements. The summary consolidated statement of operations data below for the three month periods ended November 29, 2018 and November 30, 2017, and the summary consolidated balance sheet data as of November 29, 2018,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three months ended November 29, 2018, are not necessarily indicative of results that may be expected for future periods or for the full year.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August 30, 2018, which is incorporated by reference herein.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5"/>
        </w:trPr>
        <w:tc>
          <w:tcPr>
            <w:tcW w:w="13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9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September 1,</w:t>
            </w:r>
          </w:p>
        </w:tc>
        <w:tc>
          <w:tcPr>
            <w:tcW w:w="1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November 29,</w:t>
            </w:r>
          </w:p>
        </w:tc>
        <w:tc>
          <w:tcPr>
            <w:tcW w:w="9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460" w:type="dxa"/>
            <w:vAlign w:val="bottom"/>
            <w:gridSpan w:val="2"/>
          </w:tcPr>
          <w:p>
            <w:pPr>
              <w:spacing w:after="0"/>
              <w:rPr>
                <w:sz w:val="10"/>
                <w:szCs w:val="10"/>
                <w:color w:val="auto"/>
              </w:rPr>
            </w:pPr>
          </w:p>
        </w:tc>
      </w:tr>
      <w:tr>
        <w:trPr>
          <w:trHeight w:val="165"/>
        </w:trPr>
        <w:tc>
          <w:tcPr>
            <w:tcW w:w="13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0"/>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30,391</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12,399</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7,913</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6,803</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3,056</w:t>
            </w: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3,097</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300" w:type="dxa"/>
            <w:vAlign w:val="bottom"/>
          </w:tcPr>
          <w:p>
            <w:pPr>
              <w:spacing w:after="0"/>
              <w:rPr>
                <w:sz w:val="18"/>
                <w:szCs w:val="18"/>
                <w:color w:val="auto"/>
              </w:rPr>
            </w:pPr>
          </w:p>
        </w:tc>
      </w:tr>
      <w:tr>
        <w:trPr>
          <w:trHeight w:val="202"/>
        </w:trPr>
        <w:tc>
          <w:tcPr>
            <w:tcW w:w="134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 in net income (loss) of equity method</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13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investees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1300" w:type="dxa"/>
            <w:vAlign w:val="bottom"/>
          </w:tcPr>
          <w:p>
            <w:pPr>
              <w:spacing w:after="0"/>
              <w:rPr>
                <w:sz w:val="18"/>
                <w:szCs w:val="18"/>
                <w:color w:val="auto"/>
              </w:rPr>
            </w:pPr>
          </w:p>
        </w:tc>
      </w:tr>
      <w:tr>
        <w:trPr>
          <w:trHeight w:val="202"/>
        </w:trPr>
        <w:tc>
          <w:tcPr>
            <w:tcW w:w="134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13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20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Micron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14,135</w:t>
            </w:r>
          </w:p>
        </w:tc>
        <w:tc>
          <w:tcPr>
            <w:tcW w:w="2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130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427"/>
        </w:trPr>
        <w:tc>
          <w:tcPr>
            <w:tcW w:w="1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S-6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084"/>
        </w:trPr>
        <w:tc>
          <w:tcPr>
            <w:tcW w:w="1340" w:type="dxa"/>
            <w:vAlign w:val="bottom"/>
            <w:tcBorders>
              <w:top w:val="single" w:sz="8" w:color="auto"/>
              <w:left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3"/>
            <w:vMerge w:val="restart"/>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25"/>
        </w:trPr>
        <w:tc>
          <w:tcPr>
            <w:tcW w:w="1340" w:type="dxa"/>
            <w:vAlign w:val="bottom"/>
            <w:tcBorders>
              <w:left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30,</w:t>
            </w:r>
          </w:p>
        </w:tc>
        <w:tc>
          <w:tcPr>
            <w:tcW w:w="9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September 1,</w:t>
            </w:r>
          </w:p>
        </w:tc>
        <w:tc>
          <w:tcPr>
            <w:tcW w:w="2460" w:type="dxa"/>
            <w:vAlign w:val="bottom"/>
            <w:tcBorders>
              <w:right w:val="single" w:sz="8" w:color="auto"/>
            </w:tcBorders>
            <w:gridSpan w:val="4"/>
          </w:tcPr>
          <w:p>
            <w:pPr>
              <w:jc w:val="center"/>
              <w:ind w:right="1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 29,</w:t>
            </w:r>
          </w:p>
        </w:tc>
        <w:tc>
          <w:tcPr>
            <w:tcW w:w="0" w:type="dxa"/>
            <w:vAlign w:val="bottom"/>
          </w:tcPr>
          <w:p>
            <w:pPr>
              <w:spacing w:after="0"/>
              <w:rPr>
                <w:sz w:val="1"/>
                <w:szCs w:val="1"/>
                <w:color w:val="auto"/>
              </w:rPr>
            </w:pPr>
          </w:p>
        </w:tc>
      </w:tr>
      <w:tr>
        <w:trPr>
          <w:trHeight w:val="165"/>
        </w:trPr>
        <w:tc>
          <w:tcPr>
            <w:tcW w:w="1340" w:type="dxa"/>
            <w:vAlign w:val="bottom"/>
            <w:tcBorders>
              <w:left w:val="single" w:sz="8" w:color="auto"/>
            </w:tcBorders>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 and short-term investments</w:t>
            </w:r>
          </w:p>
        </w:tc>
        <w:tc>
          <w:tcPr>
            <w:tcW w:w="10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6,802</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4,398</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5,563</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9,476</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investments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44,595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3,734</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Micron shareholders' equity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32,294</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18,621</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12,080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33,869</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S-7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-1682115</wp:posOffset>
            </wp:positionV>
            <wp:extent cx="55568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-1407795</wp:posOffset>
            </wp:positionV>
            <wp:extent cx="55568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-1133475</wp:posOffset>
            </wp:positionV>
            <wp:extent cx="55568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-859155</wp:posOffset>
            </wp:positionV>
            <wp:extent cx="55568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6885" cy="1371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quarter ended November 29, 2018 as well as the risk factors described below, which are not exhaustive. In this section, references to "Micron," "us," "we," or "our" refer only to Micron Technology, Inc. and not to any of its subsidiaries.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hereby incorporate by reference the risk factors in Item 1A of our Quarterly Report on Form 10-Q for the fiscal quarter ended November 29, 2018.</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debt obligations, including our obligations under the notes.</w:t>
      </w:r>
    </w:p>
    <w:p>
      <w:pPr>
        <w:spacing w:after="0" w:line="229" w:lineRule="exact"/>
        <w:rPr>
          <w:sz w:val="20"/>
          <w:szCs w:val="20"/>
          <w:color w:val="auto"/>
        </w:rPr>
      </w:pPr>
    </w:p>
    <w:p>
      <w:pPr>
        <w:jc w:val="both"/>
        <w:ind w:firstLine="414"/>
        <w:spacing w:after="0" w:line="310" w:lineRule="auto"/>
        <w:rPr>
          <w:sz w:val="20"/>
          <w:szCs w:val="20"/>
          <w:color w:val="auto"/>
        </w:rPr>
      </w:pPr>
      <w:r>
        <w:rPr>
          <w:rFonts w:ascii="Times New Roman" w:cs="Times New Roman" w:eastAsia="Times New Roman" w:hAnsi="Times New Roman"/>
          <w:sz w:val="16"/>
          <w:szCs w:val="16"/>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51" w:lineRule="exact"/>
        <w:rPr>
          <w:sz w:val="20"/>
          <w:szCs w:val="20"/>
          <w:color w:val="auto"/>
        </w:rPr>
      </w:pPr>
    </w:p>
    <w:p>
      <w:pPr>
        <w:jc w:val="both"/>
        <w:ind w:firstLine="443"/>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9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are able to incur substantially more debt. This could further exacerbate the risks described herein.</w:t>
      </w:r>
    </w:p>
    <w:p>
      <w:pPr>
        <w:spacing w:after="0" w:line="229" w:lineRule="exact"/>
        <w:rPr>
          <w:sz w:val="20"/>
          <w:szCs w:val="20"/>
          <w:color w:val="auto"/>
        </w:rPr>
      </w:pPr>
    </w:p>
    <w:p>
      <w:pPr>
        <w:jc w:val="both"/>
        <w:ind w:firstLine="438"/>
        <w:spacing w:after="0" w:line="293" w:lineRule="auto"/>
        <w:rPr>
          <w:sz w:val="20"/>
          <w:szCs w:val="20"/>
          <w:color w:val="auto"/>
        </w:rPr>
      </w:pPr>
      <w:r>
        <w:rPr>
          <w:rFonts w:ascii="Times New Roman" w:cs="Times New Roman" w:eastAsia="Times New Roman" w:hAnsi="Times New Roman"/>
          <w:sz w:val="16"/>
          <w:szCs w:val="16"/>
          <w:color w:val="auto"/>
        </w:rPr>
        <w:t>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pari passu with the notes, the holders of that debt will be entitled to share ratably with you in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70" w:lineRule="exact"/>
        <w:rPr>
          <w:sz w:val="20"/>
          <w:szCs w:val="20"/>
          <w:color w:val="auto"/>
        </w:rPr>
      </w:pPr>
    </w:p>
    <w:p>
      <w:pPr>
        <w:jc w:val="both"/>
        <w:ind w:firstLine="49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169"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8"/>
          <w:szCs w:val="18"/>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and joint ventures,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97"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93"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Claims of noteholders will be structurally subordinated to claims of creditors of our subsidiaries.</w:t>
      </w:r>
    </w:p>
    <w:p>
      <w:pPr>
        <w:spacing w:after="0" w:line="229"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29, 2018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$6.2 billion,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which will be structurally senior to the notes with respect to claims on the assets and cash flows of our subsidiaries.</w:t>
      </w:r>
    </w:p>
    <w:p>
      <w:pPr>
        <w:spacing w:after="0" w:line="221" w:lineRule="exact"/>
        <w:rPr>
          <w:sz w:val="20"/>
          <w:szCs w:val="20"/>
          <w:color w:val="auto"/>
        </w:rPr>
      </w:pPr>
    </w:p>
    <w:p>
      <w:pPr>
        <w:jc w:val="both"/>
        <w:ind w:right="20" w:firstLine="4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69"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8"/>
          <w:szCs w:val="18"/>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 may adversely affect your investment in the notes.</w:t>
      </w:r>
    </w:p>
    <w:p>
      <w:pPr>
        <w:spacing w:after="0" w:line="22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8"/>
          <w:szCs w:val="18"/>
          <w:color w:val="auto"/>
        </w:rPr>
        <w:t>Our credit rating, any rating that may be assigned to the notes, and the credit ratings assigned to our outstanding debt, including our outstanding convertible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93"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Your ability to transfer the notes may be limited by the absence of an active trading market, and an active trading market may not develop for the notes.</w:t>
      </w:r>
    </w:p>
    <w:p>
      <w:pPr>
        <w:spacing w:after="0" w:line="252" w:lineRule="exact"/>
        <w:rPr>
          <w:sz w:val="20"/>
          <w:szCs w:val="20"/>
          <w:color w:val="auto"/>
        </w:rPr>
      </w:pPr>
    </w:p>
    <w:p>
      <w:pPr>
        <w:jc w:val="both"/>
        <w:ind w:firstLine="429"/>
        <w:spacing w:after="0" w:line="255"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207"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notes;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financial condition;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in the notes;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w:t>
      </w:r>
    </w:p>
    <w:p>
      <w:pPr>
        <w:spacing w:after="0" w:line="225"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86" w:lineRule="exact"/>
        <w:rPr>
          <w:sz w:val="20"/>
          <w:szCs w:val="20"/>
          <w:color w:val="auto"/>
        </w:rPr>
      </w:pPr>
    </w:p>
    <w:p>
      <w:pPr>
        <w:jc w:val="both"/>
        <w:ind w:firstLine="50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69" w:lineRule="exact"/>
        <w:rPr>
          <w:sz w:val="20"/>
          <w:szCs w:val="20"/>
          <w:color w:val="auto"/>
        </w:rPr>
      </w:pPr>
    </w:p>
    <w:p>
      <w:pPr>
        <w:jc w:val="both"/>
        <w:ind w:firstLine="358"/>
        <w:spacing w:after="0" w:line="253"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indenture governing each series of notes), holders of each series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of a series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The provisions of the notes will not necessarily protect you in the event of certain highly leveraged transactions.</w:t>
      </w:r>
    </w:p>
    <w:p>
      <w:pPr>
        <w:spacing w:after="0" w:line="229" w:lineRule="exact"/>
        <w:rPr>
          <w:sz w:val="20"/>
          <w:szCs w:val="20"/>
          <w:color w:val="auto"/>
        </w:rPr>
      </w:pPr>
    </w:p>
    <w:p>
      <w:pPr>
        <w:jc w:val="both"/>
        <w:ind w:firstLine="485"/>
        <w:spacing w:after="0" w:line="290" w:lineRule="auto"/>
        <w:rPr>
          <w:sz w:val="20"/>
          <w:szCs w:val="20"/>
          <w:color w:val="auto"/>
        </w:rPr>
      </w:pPr>
      <w:r>
        <w:rPr>
          <w:rFonts w:ascii="Times New Roman" w:cs="Times New Roman" w:eastAsia="Times New Roman" w:hAnsi="Times New Roman"/>
          <w:sz w:val="16"/>
          <w:szCs w:val="16"/>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jc w:val="both"/>
        <w:ind w:firstLine="522"/>
        <w:spacing w:after="0" w:line="275" w:lineRule="auto"/>
        <w:rPr>
          <w:sz w:val="20"/>
          <w:szCs w:val="20"/>
          <w:color w:val="auto"/>
        </w:rPr>
      </w:pPr>
      <w:r>
        <w:rPr>
          <w:rFonts w:ascii="Times New Roman" w:cs="Times New Roman" w:eastAsia="Times New Roman" w:hAnsi="Times New Roman"/>
          <w:sz w:val="18"/>
          <w:szCs w:val="18"/>
          <w:color w:val="auto"/>
        </w:rPr>
        <w:t>We estimate that the net proceeds of the offering, after deducting underwriter discounts and other estimated offering expenses, will be approximately $1,789 million.</w:t>
      </w:r>
    </w:p>
    <w:p>
      <w:pPr>
        <w:spacing w:after="0" w:line="174"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primarily to pay the cost of extinguishing our obligations with respect to $1,019 million aggregate outstanding principal amount of our 3.00% Convertible Senior Notes due 2043 (the "2043 Notes"), which may include payments in settlement of conversion or redemption of such notes. Promptly following the closing of this offering, we intend to call for redemption all outstanding 2043 Notes and we will redeem such notes unless the holders thereof elect to convert their 2043 Notes prior to such redemption. Based on the current conversion rate of 34.2936 shares per $1,000 principal amount of 2043 Notes and, assuming for purposes of calculating settlement value under the indenture for the 2043 Notes that the volume weighted average price of our common stock is $39.47 per share, which is the closing price of our common stock on February 4, 2019, for each trading day of the applicable measurement period, if all of the 2043 Notes were converted prior to the redemption date for such notes, we would be required to pay approximately $1.38 billion in the aggregate if we elected to pay solely cash upon conversion, which is our current intent. We intend to use any remaining net proceeds of the offering for general corporate purposes, which may include capital expenditures, working capital and the repayment, repurchase, redemption or other retirement of our other existing indebtedness.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CASH AND CAPITALIZATION</w:t>
      </w:r>
    </w:p>
    <w:p>
      <w:pPr>
        <w:spacing w:after="0" w:line="227"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short-term investments and long-term marketable investments and capitalization on an actual and as adjusted basis as of November 29, 2018. Our consolidated capitalization, as adjusted, gives effect to the issuance of the notes offered by this prospectus supplement as if the offering had occurred on November 29, 2018 and to the use of proceeds therefrom as described in "Use of Proceeds" to pay the costs of extinguishing our obligations with respect to our outstanding 3.00% Convertible Senior Notes due 2043, which we expect to settle solely in cash upon conversion. This table should be read in conjunction with our Consolidated Financial Statements incorporated by reference in this prospectus supplement.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November 29,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vMerge w:val="continue"/>
          </w:tcPr>
          <w:p>
            <w:pPr>
              <w:spacing w:after="0"/>
              <w:rPr>
                <w:sz w:val="12"/>
                <w:szCs w:val="12"/>
                <w:color w:val="auto"/>
              </w:rPr>
            </w:pPr>
          </w:p>
        </w:tc>
        <w:tc>
          <w:tcPr>
            <w:tcW w:w="880" w:type="dxa"/>
            <w:vAlign w:val="bottom"/>
            <w:gridSpan w:val="2"/>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Cash and equivalents</w:t>
            </w:r>
            <w:r>
              <w:rPr>
                <w:rFonts w:ascii="Times New Roman" w:cs="Times New Roman" w:eastAsia="Times New Roman" w:hAnsi="Times New Roman"/>
                <w:sz w:val="29"/>
                <w:szCs w:val="29"/>
                <w:color w:val="auto"/>
                <w:vertAlign w:val="superscript"/>
              </w:rPr>
              <w:t>(1)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4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investments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equivalents, short-term investments and long-term marketable investments</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 and capital lease obligations, excluding current portion: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4.640% senior notes due 2024 offered hereby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4.975% senior notes due 2026 offered hereby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5.327% senior notes due 2029 offered hereby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IM Flash Technologies, LLC member debt</w:t>
            </w:r>
            <w:r>
              <w:rPr>
                <w:rFonts w:ascii="Times New Roman" w:cs="Times New Roman" w:eastAsia="Times New Roman" w:hAnsi="Times New Roman"/>
                <w:sz w:val="29"/>
                <w:szCs w:val="29"/>
                <w:color w:val="auto"/>
                <w:vertAlign w:val="superscript"/>
              </w:rPr>
              <w:t>(2)</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Micron Memory Japan, Inc. creditor payments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secured term loan B due 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5.500% senior notes due 2025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rPr>
              <w:t>3.125% convertible senior notes due 2032</w:t>
            </w:r>
            <w:r>
              <w:rPr>
                <w:rFonts w:ascii="Times New Roman" w:cs="Times New Roman" w:eastAsia="Times New Roman" w:hAnsi="Times New Roman"/>
                <w:sz w:val="29"/>
                <w:szCs w:val="29"/>
                <w:color w:val="auto"/>
                <w:vertAlign w:val="superscript"/>
              </w:rPr>
              <w:t>(3)</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3.00% convertible senior notes due 2043</w:t>
            </w:r>
            <w:r>
              <w:rPr>
                <w:rFonts w:ascii="Times New Roman" w:cs="Times New Roman" w:eastAsia="Times New Roman" w:hAnsi="Times New Roman"/>
                <w:sz w:val="29"/>
                <w:szCs w:val="29"/>
                <w:color w:val="auto"/>
                <w:vertAlign w:val="superscript"/>
              </w:rPr>
              <w:t>(1)(3)</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debt and capital lease obligations, excluding current portion</w:t>
            </w: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convertible notes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Micron shareholders' equity</w:t>
            </w:r>
            <w:r>
              <w:rPr>
                <w:rFonts w:ascii="Times New Roman" w:cs="Times New Roman" w:eastAsia="Times New Roman" w:hAnsi="Times New Roman"/>
                <w:sz w:val="29"/>
                <w:szCs w:val="29"/>
                <w:color w:val="auto"/>
                <w:vertAlign w:val="superscript"/>
              </w:rPr>
              <w:t>(1)</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33,869</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4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4" w:lineRule="auto"/>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conversion and cash settlement of all of our outstanding 3.00% convertible senior notes due 2043 based on the current conversion rate of 34.2936 shares per $1,000 principal amount and assuming, for purposes of calculating the settlement value under the indenture, that the volume weighted average price of our common stock is $39.47 per share for each trading day of the applicable measurement period prior to the redemption date for such notes. The "As Adjusted" amounts reflect an assumed reduction in (i) cash aggregating $1.38 billion, (ii) long-term debt of $686 million and (iii) total Micron shareholders' equity aggregating $680 million as a result of the conversion of these notes. Based on such assumptions, the reduction in total Micron shareholders' equity reflects a reduction in retained earnings of $325 million for the expected non-operating loss on the conversion and settlement of these notes.</w:t>
      </w:r>
    </w:p>
    <w:p>
      <w:pPr>
        <w:spacing w:after="0" w:line="222" w:lineRule="exact"/>
        <w:rPr>
          <w:rFonts w:ascii="Times New Roman" w:cs="Times New Roman" w:eastAsia="Times New Roman" w:hAnsi="Times New Roman"/>
          <w:sz w:val="18"/>
          <w:szCs w:val="18"/>
          <w:color w:val="auto"/>
        </w:rPr>
      </w:pPr>
    </w:p>
    <w:p>
      <w:pPr>
        <w:ind w:left="1680" w:hanging="531"/>
        <w:spacing w:after="0" w:line="339" w:lineRule="auto"/>
        <w:tabs>
          <w:tab w:leader="none" w:pos="1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reflect the exercise of our call option on January 14, 2019 to purchase Intel's interest in IM Flash, which will cause the member debt to be classified as current debt, or the closing of the call option, which will reduce available cash and eliminate such member debt.</w:t>
      </w:r>
    </w:p>
    <w:p>
      <w:pPr>
        <w:spacing w:after="0" w:line="141" w:lineRule="exact"/>
        <w:rPr>
          <w:rFonts w:ascii="Times New Roman" w:cs="Times New Roman" w:eastAsia="Times New Roman" w:hAnsi="Times New Roman"/>
          <w:sz w:val="16"/>
          <w:szCs w:val="16"/>
          <w:color w:val="auto"/>
        </w:rPr>
      </w:pPr>
    </w:p>
    <w:p>
      <w:pPr>
        <w:ind w:left="1680" w:right="20" w:hanging="531"/>
        <w:spacing w:after="0" w:line="275" w:lineRule="auto"/>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amounts of $134 million for our 3.125% convertible senior notes due 2032 and $1,019 million for our 3.00% convertible senior notes due 2043 are presented net of discounts of $10 million and $333 million, respectively.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jc w:val="both"/>
        <w:ind w:right="20" w:firstLine="373"/>
        <w:spacing w:after="0" w:line="262" w:lineRule="auto"/>
        <w:rPr>
          <w:sz w:val="20"/>
          <w:szCs w:val="20"/>
          <w:color w:val="auto"/>
        </w:rPr>
      </w:pPr>
      <w:r>
        <w:rPr>
          <w:rFonts w:ascii="Times New Roman" w:cs="Times New Roman" w:eastAsia="Times New Roman" w:hAnsi="Times New Roman"/>
          <w:sz w:val="18"/>
          <w:szCs w:val="18"/>
          <w:color w:val="auto"/>
        </w:rPr>
        <w:t>The notes will be issued under a base indenture (the "Base Indenture"), to be dated as of February 6, 2019, between Micron Technology, Inc. and U.S. Bank National Association, as trustee (the "Trustee"), as supplemented by a supplemental indenture, to be dated February 6, 2019, with respect to the notes (the "Supplemental Indenture" and, together with the Base Indenture, the "Indenture").</w:t>
      </w:r>
    </w:p>
    <w:p>
      <w:pPr>
        <w:spacing w:after="0" w:line="186"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Indenture, and does not restate the terms of the Indenture in its entirety. We urge you to read the Indenture because it, and not this description, define your rights as holders of the notes. Defined terms used but not defined in this description have the meanings assigned to them in the Indenture.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such note for all purposes. Only registered holders will have rights under the Indenture.</w:t>
      </w:r>
    </w:p>
    <w:p>
      <w:pPr>
        <w:spacing w:after="0" w:line="225" w:lineRule="exact"/>
        <w:rPr>
          <w:sz w:val="20"/>
          <w:szCs w:val="20"/>
          <w:color w:val="auto"/>
        </w:rPr>
      </w:pPr>
    </w:p>
    <w:p>
      <w:pPr>
        <w:jc w:val="both"/>
        <w:ind w:firstLine="487"/>
        <w:spacing w:after="0" w:line="275" w:lineRule="auto"/>
        <w:rPr>
          <w:sz w:val="20"/>
          <w:szCs w:val="20"/>
          <w:color w:val="auto"/>
        </w:rPr>
      </w:pPr>
      <w:r>
        <w:rPr>
          <w:rFonts w:ascii="Times New Roman" w:cs="Times New Roman" w:eastAsia="Times New Roman" w:hAnsi="Times New Roman"/>
          <w:sz w:val="18"/>
          <w:szCs w:val="18"/>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will issue $600,000,000 aggregate principal amount of 2024 notes. The 2024 notes will mature on February 6, 2024. Interest on the 2024 notes will accrue at the rate of 4.640% per annum.</w:t>
      </w:r>
    </w:p>
    <w:p>
      <w:pPr>
        <w:spacing w:after="0" w:line="174"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will issue $500,000,000 aggregate principal amount of 2026 notes. The 2026 notes will mature on February 6, 2026. Interest on the 2026 notes will accrue at the rate of 4.975% per annum.</w:t>
      </w:r>
    </w:p>
    <w:p>
      <w:pPr>
        <w:spacing w:after="0" w:line="174"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will issue $700,000,000 aggregate principal amount of 2029 notes. The 2029 notes will mature on February 6, 2029. Interest on the 2029 notes will accrue at the rate of 5.327% per annum.</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2024 notes, the 2026 notes and the 2029 notes are collectively referred to as the "notes."</w:t>
      </w:r>
    </w:p>
    <w:p>
      <w:pPr>
        <w:spacing w:after="0" w:line="225" w:lineRule="exact"/>
        <w:rPr>
          <w:sz w:val="20"/>
          <w:szCs w:val="20"/>
          <w:color w:val="auto"/>
        </w:rPr>
      </w:pPr>
    </w:p>
    <w:p>
      <w:pPr>
        <w:jc w:val="both"/>
        <w:ind w:firstLine="502"/>
        <w:spacing w:after="0" w:line="254" w:lineRule="auto"/>
        <w:rPr>
          <w:sz w:val="20"/>
          <w:szCs w:val="20"/>
          <w:color w:val="auto"/>
        </w:rPr>
      </w:pPr>
      <w:r>
        <w:rPr>
          <w:rFonts w:ascii="Times New Roman" w:cs="Times New Roman" w:eastAsia="Times New Roman" w:hAnsi="Times New Roman"/>
          <w:sz w:val="18"/>
          <w:szCs w:val="18"/>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95" w:lineRule="exact"/>
        <w:rPr>
          <w:sz w:val="20"/>
          <w:szCs w:val="20"/>
          <w:color w:val="auto"/>
        </w:rPr>
      </w:pPr>
    </w:p>
    <w:p>
      <w:pPr>
        <w:jc w:val="both"/>
        <w:ind w:firstLine="373"/>
        <w:spacing w:after="0" w:line="258" w:lineRule="auto"/>
        <w:rPr>
          <w:sz w:val="20"/>
          <w:szCs w:val="20"/>
          <w:color w:val="auto"/>
        </w:rPr>
      </w:pPr>
      <w:r>
        <w:rPr>
          <w:rFonts w:ascii="Times New Roman" w:cs="Times New Roman" w:eastAsia="Times New Roman" w:hAnsi="Times New Roman"/>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7" w:lineRule="exact"/>
        <w:rPr>
          <w:sz w:val="20"/>
          <w:szCs w:val="20"/>
          <w:color w:val="auto"/>
        </w:rPr>
      </w:pPr>
    </w:p>
    <w:p>
      <w:pPr>
        <w:jc w:val="both"/>
        <w:ind w:right="20" w:firstLine="399"/>
        <w:spacing w:after="0" w:line="339" w:lineRule="auto"/>
        <w:rPr>
          <w:sz w:val="20"/>
          <w:szCs w:val="20"/>
          <w:color w:val="auto"/>
        </w:rPr>
      </w:pPr>
      <w:r>
        <w:rPr>
          <w:rFonts w:ascii="Times New Roman" w:cs="Times New Roman" w:eastAsia="Times New Roman" w:hAnsi="Times New Roman"/>
          <w:sz w:val="16"/>
          <w:szCs w:val="16"/>
          <w:color w:val="auto"/>
        </w:rPr>
        <w:t>The 2024 notes will bear interest at a rate of 4.640% per annum, the 2026 notes will accrue interest at a rate of 4.975% per annum and the 2029 notes will bear interest at a rate of 5.327% per annum. Interest on the notes will accrue from February 6, 2019, or from the most recent interest payment date to which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has been paid or provided for, to, but excluding, the relevant interest payment date. The Company will make interest payments on each series of notes semi-annually in arrears on February 6 and August 6 of each year, beginning on August 6, 2019, to the Person in whose name such notes are registered at the close of business on the immediately preceding January 22 or July 22, as applicable.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on the notes will be computed on the basis of a 360-day year of twelve 30-day months.</w:t>
      </w:r>
    </w:p>
    <w:p>
      <w:pPr>
        <w:spacing w:after="0" w:line="225"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jc w:val="both"/>
        <w:ind w:right="20" w:firstLine="372"/>
        <w:spacing w:after="0" w:line="275" w:lineRule="auto"/>
        <w:rPr>
          <w:sz w:val="20"/>
          <w:szCs w:val="20"/>
          <w:color w:val="auto"/>
        </w:rPr>
      </w:pPr>
      <w:r>
        <w:rPr>
          <w:rFonts w:ascii="Times New Roman" w:cs="Times New Roman" w:eastAsia="Times New Roman" w:hAnsi="Times New Roman"/>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18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that series to be redeemed; or</w:t>
      </w:r>
    </w:p>
    <w:p>
      <w:pPr>
        <w:spacing w:after="0" w:line="252"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35 basis points for the 2024 notes, 40 basis points for the 2026 notes and 40 basis points for the 2029 notes,</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plus, in each case, accrued and unpaid interest, if any, on the amount being redeemed to, but excluding, the date of redemption. We will calculate the redemption price.</w:t>
      </w:r>
    </w:p>
    <w:p>
      <w:pPr>
        <w:spacing w:after="0" w:line="174" w:lineRule="exact"/>
        <w:rPr>
          <w:sz w:val="20"/>
          <w:szCs w:val="20"/>
          <w:color w:val="auto"/>
        </w:rPr>
      </w:pPr>
    </w:p>
    <w:p>
      <w:pPr>
        <w:jc w:val="both"/>
        <w:ind w:firstLine="485"/>
        <w:spacing w:after="0" w:line="275" w:lineRule="auto"/>
        <w:rPr>
          <w:sz w:val="20"/>
          <w:szCs w:val="20"/>
          <w:color w:val="auto"/>
        </w:rPr>
      </w:pPr>
      <w:r>
        <w:rPr>
          <w:rFonts w:ascii="Times New Roman" w:cs="Times New Roman" w:eastAsia="Times New Roman" w:hAnsi="Times New Roman"/>
          <w:sz w:val="18"/>
          <w:szCs w:val="18"/>
          <w:color w:val="auto"/>
        </w:rPr>
        <w:t>If we elect to redeem any 2024 notes, 2026 notes or 2029 notes on or after the applicable Par Call Date, we will pay an amount equal to 100% of the principal amount of the notes redeemed, plus accrued and unpaid interest, if any, to, but excluding, the date of redemption.</w:t>
      </w:r>
    </w:p>
    <w:p>
      <w:pPr>
        <w:spacing w:after="0" w:line="174"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8"/>
          <w:szCs w:val="18"/>
          <w:color w:val="auto"/>
        </w:rPr>
        <w:t>"Par Call Date" means (i) January 6, 2024 with respect to any 2024 notes (one month prior to the maturity date of the 2024 notes), (ii) December 6, 2025 with respect to any 2026 notes (two months prior to the maturity date of the 2026 notes) and (iii) November 6, 2028 with respect to any 2029 notes (three months prior to the maturity date of the 2029 notes).</w:t>
      </w:r>
    </w:p>
    <w:p>
      <w:pPr>
        <w:spacing w:after="0" w:line="186" w:lineRule="exact"/>
        <w:rPr>
          <w:sz w:val="20"/>
          <w:szCs w:val="20"/>
          <w:color w:val="auto"/>
        </w:rPr>
      </w:pPr>
    </w:p>
    <w:p>
      <w:pPr>
        <w:jc w:val="both"/>
        <w:ind w:firstLine="385"/>
        <w:spacing w:after="0" w:line="254" w:lineRule="auto"/>
        <w:rPr>
          <w:sz w:val="20"/>
          <w:szCs w:val="20"/>
          <w:color w:val="auto"/>
        </w:rPr>
      </w:pPr>
      <w:r>
        <w:rPr>
          <w:rFonts w:ascii="Times New Roman" w:cs="Times New Roman" w:eastAsia="Times New Roman" w:hAnsi="Times New Roman"/>
          <w:sz w:val="18"/>
          <w:szCs w:val="18"/>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Redemption; Offers To Purchase; Open Market Purchases</w:t>
      </w:r>
    </w:p>
    <w:p>
      <w:pPr>
        <w:spacing w:after="0" w:line="227" w:lineRule="exact"/>
        <w:rPr>
          <w:sz w:val="20"/>
          <w:szCs w:val="20"/>
          <w:color w:val="auto"/>
        </w:rPr>
      </w:pPr>
    </w:p>
    <w:p>
      <w:pPr>
        <w:jc w:val="both"/>
        <w:ind w:right="20" w:firstLine="362"/>
        <w:spacing w:after="0" w:line="339" w:lineRule="auto"/>
        <w:rPr>
          <w:sz w:val="20"/>
          <w:szCs w:val="20"/>
          <w:color w:val="auto"/>
        </w:rPr>
      </w:pPr>
      <w:r>
        <w:rPr>
          <w:rFonts w:ascii="Times New Roman" w:cs="Times New Roman" w:eastAsia="Times New Roman" w:hAnsi="Times New Roman"/>
          <w:sz w:val="16"/>
          <w:szCs w:val="16"/>
          <w:color w:val="auto"/>
        </w:rPr>
        <w:t>The Company is not required to make any mandatory redemption or sinking fund payments with respect to the notes. However, under certain circumstances, the Company may be required to offer to purchase each series of notes as described under the caption "—Repurchase of Notes upon a Change 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Triggering Event." The Company may at any time and from time to time purchase notes in the open market or otherwise.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 right of payment with all existing and future unsecured unsubordinated indebtedness of the Company;</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secured indebtedness of the Company, to the extent of the value of such assets securing such indebtedness or other obligations (unless the notes are equally and ratably secured with such indebtedness);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indebtedness and other liabilities of the Company's Subsidiaries.</w:t>
      </w:r>
    </w:p>
    <w:p>
      <w:pPr>
        <w:spacing w:after="0" w:line="225"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Notes upon a Change of Control Triggering Event</w:t>
      </w:r>
    </w:p>
    <w:p>
      <w:pPr>
        <w:spacing w:after="0" w:line="22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Not later than 60 days following a Change of Control Triggering Event, unless the Company has exercised its right to redeem all of the notes of a series as described under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86" w:lineRule="exact"/>
        <w:rPr>
          <w:sz w:val="20"/>
          <w:szCs w:val="20"/>
          <w:color w:val="auto"/>
        </w:rPr>
      </w:pPr>
    </w:p>
    <w:p>
      <w:pPr>
        <w:jc w:val="both"/>
        <w:ind w:firstLine="357"/>
        <w:spacing w:after="0" w:line="256" w:lineRule="auto"/>
        <w:rPr>
          <w:sz w:val="20"/>
          <w:szCs w:val="20"/>
          <w:color w:val="auto"/>
        </w:rPr>
      </w:pPr>
      <w:r>
        <w:rPr>
          <w:rFonts w:ascii="Times New Roman" w:cs="Times New Roman" w:eastAsia="Times New Roman" w:hAnsi="Times New Roman"/>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93" w:lineRule="exact"/>
        <w:rPr>
          <w:sz w:val="20"/>
          <w:szCs w:val="20"/>
          <w:color w:val="auto"/>
        </w:rPr>
      </w:pPr>
    </w:p>
    <w:p>
      <w:pPr>
        <w:jc w:val="both"/>
        <w:ind w:right="20" w:firstLine="347"/>
        <w:spacing w:after="0" w:line="301" w:lineRule="auto"/>
        <w:rPr>
          <w:sz w:val="20"/>
          <w:szCs w:val="20"/>
          <w:color w:val="auto"/>
        </w:rPr>
      </w:pPr>
      <w:r>
        <w:rPr>
          <w:rFonts w:ascii="Times New Roman" w:cs="Times New Roman" w:eastAsia="Times New Roman" w:hAnsi="Times New Roman"/>
          <w:sz w:val="16"/>
          <w:szCs w:val="16"/>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57" w:lineRule="exact"/>
        <w:rPr>
          <w:sz w:val="20"/>
          <w:szCs w:val="20"/>
          <w:color w:val="auto"/>
        </w:rPr>
      </w:pPr>
    </w:p>
    <w:p>
      <w:pPr>
        <w:jc w:val="both"/>
        <w:ind w:firstLine="348"/>
        <w:spacing w:after="0" w:line="275" w:lineRule="auto"/>
        <w:rPr>
          <w:sz w:val="20"/>
          <w:szCs w:val="20"/>
          <w:color w:val="auto"/>
        </w:rPr>
      </w:pPr>
      <w:r>
        <w:rPr>
          <w:rFonts w:ascii="Times New Roman" w:cs="Times New Roman" w:eastAsia="Times New Roman" w:hAnsi="Times New Roman"/>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74" w:lineRule="exact"/>
        <w:rPr>
          <w:sz w:val="20"/>
          <w:szCs w:val="20"/>
          <w:color w:val="auto"/>
        </w:rPr>
      </w:pPr>
    </w:p>
    <w:p>
      <w:pPr>
        <w:jc w:val="both"/>
        <w:ind w:right="20" w:firstLine="363"/>
        <w:spacing w:after="0" w:line="275" w:lineRule="auto"/>
        <w:rPr>
          <w:sz w:val="20"/>
          <w:szCs w:val="20"/>
          <w:color w:val="auto"/>
        </w:rPr>
      </w:pPr>
      <w:r>
        <w:rPr>
          <w:rFonts w:ascii="Times New Roman" w:cs="Times New Roman" w:eastAsia="Times New Roman" w:hAnsi="Times New Roman"/>
          <w:sz w:val="18"/>
          <w:szCs w:val="18"/>
          <w:color w:val="auto"/>
        </w:rPr>
        <w:t>The Company will not be required to make an Offer to Purchase following a Change of Control Triggering Event with respect to the notes of a series if (1) a third party makes the Offer to Purchase in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3"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95"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93" w:lineRule="exact"/>
        <w:rPr>
          <w:sz w:val="20"/>
          <w:szCs w:val="20"/>
          <w:color w:val="auto"/>
        </w:rPr>
      </w:pPr>
    </w:p>
    <w:p>
      <w:pPr>
        <w:jc w:val="both"/>
        <w:ind w:firstLine="526"/>
        <w:spacing w:after="0" w:line="256" w:lineRule="auto"/>
        <w:rPr>
          <w:sz w:val="20"/>
          <w:szCs w:val="20"/>
          <w:color w:val="auto"/>
        </w:rPr>
      </w:pPr>
      <w:r>
        <w:rPr>
          <w:rFonts w:ascii="Times New Roman" w:cs="Times New Roman" w:eastAsia="Times New Roman" w:hAnsi="Times New Roman"/>
          <w:sz w:val="18"/>
          <w:szCs w:val="18"/>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93" w:lineRule="exact"/>
        <w:rPr>
          <w:sz w:val="20"/>
          <w:szCs w:val="20"/>
          <w:color w:val="auto"/>
        </w:rPr>
      </w:pPr>
    </w:p>
    <w:p>
      <w:pPr>
        <w:jc w:val="both"/>
        <w:ind w:firstLine="364"/>
        <w:spacing w:after="0" w:line="288" w:lineRule="auto"/>
        <w:rPr>
          <w:sz w:val="20"/>
          <w:szCs w:val="20"/>
          <w:color w:val="auto"/>
        </w:rPr>
      </w:pPr>
      <w:r>
        <w:rPr>
          <w:rFonts w:ascii="Times New Roman" w:cs="Times New Roman" w:eastAsia="Times New Roman" w:hAnsi="Times New Roman"/>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initial purchasers and the Company. After the original issuance date of the notes,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75"/>
        <w:spacing w:after="0" w:line="275" w:lineRule="auto"/>
        <w:rPr>
          <w:sz w:val="20"/>
          <w:szCs w:val="20"/>
          <w:color w:val="auto"/>
        </w:rPr>
      </w:pPr>
      <w:r>
        <w:rPr>
          <w:rFonts w:ascii="Times New Roman" w:cs="Times New Roman" w:eastAsia="Times New Roman" w:hAnsi="Times New Roman"/>
          <w:sz w:val="18"/>
          <w:szCs w:val="18"/>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Holders of notes of a series generally will be able to exchange notes of such series for other notes with the same total principal amount and the same terms.</w:t>
      </w:r>
    </w:p>
    <w:p>
      <w:pPr>
        <w:spacing w:after="0" w:line="24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Holders may present notes for exchange or for registration of transfer at the office of the security registrar or at the office of any transfer agent designated by the Company for that purpose. The security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security registrar may require payment of a sum sufficient to cover any tax or other governmental charge payable for the registration of transfer or exchange. The Company has initially appointed the trustee as security registrar. At any time the Company may:</w:t>
      </w:r>
    </w:p>
    <w:p>
      <w:pPr>
        <w:spacing w:after="0" w:line="206"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additional transfer agents;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the designation of any transfer agent;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Company elects to redeem the notes of a series or makes an Offer to Purchase, neither the Company nor the trustee will be required to:</w:t>
      </w:r>
    </w:p>
    <w:p>
      <w:pPr>
        <w:spacing w:after="0" w:line="239" w:lineRule="exact"/>
        <w:rPr>
          <w:sz w:val="20"/>
          <w:szCs w:val="20"/>
          <w:color w:val="auto"/>
        </w:rPr>
      </w:pPr>
    </w:p>
    <w:p>
      <w:pPr>
        <w:jc w:val="both"/>
        <w:ind w:left="108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7"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94"/>
        <w:spacing w:after="0" w:line="275" w:lineRule="auto"/>
        <w:rPr>
          <w:sz w:val="20"/>
          <w:szCs w:val="20"/>
          <w:color w:val="auto"/>
        </w:rPr>
      </w:pPr>
      <w:r>
        <w:rPr>
          <w:rFonts w:ascii="Times New Roman" w:cs="Times New Roman" w:eastAsia="Times New Roman" w:hAnsi="Times New Roman"/>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8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mailed to the address of the Person entitled to the payment as it appears in the security register; or</w:t>
      </w:r>
    </w:p>
    <w:p>
      <w:pPr>
        <w:spacing w:after="0" w:line="252"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86"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86"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229" w:lineRule="exact"/>
        <w:rPr>
          <w:sz w:val="20"/>
          <w:szCs w:val="20"/>
          <w:color w:val="auto"/>
        </w:rPr>
      </w:pPr>
    </w:p>
    <w:p>
      <w:pPr>
        <w:jc w:val="both"/>
        <w:ind w:firstLine="384"/>
        <w:spacing w:after="0" w:line="296" w:lineRule="auto"/>
        <w:rPr>
          <w:sz w:val="20"/>
          <w:szCs w:val="20"/>
          <w:color w:val="auto"/>
        </w:rPr>
      </w:pPr>
      <w:r>
        <w:rPr>
          <w:rFonts w:ascii="Times New Roman" w:cs="Times New Roman" w:eastAsia="Times New Roman" w:hAnsi="Times New Roman"/>
          <w:sz w:val="16"/>
          <w:szCs w:val="16"/>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62"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95" w:lineRule="exact"/>
        <w:rPr>
          <w:sz w:val="20"/>
          <w:szCs w:val="20"/>
          <w:color w:val="auto"/>
        </w:rPr>
      </w:pPr>
    </w:p>
    <w:p>
      <w:pPr>
        <w:jc w:val="both"/>
        <w:ind w:firstLine="394"/>
        <w:spacing w:after="0" w:line="275" w:lineRule="auto"/>
        <w:rPr>
          <w:sz w:val="20"/>
          <w:szCs w:val="20"/>
          <w:color w:val="auto"/>
        </w:rPr>
      </w:pPr>
      <w:r>
        <w:rPr>
          <w:rFonts w:ascii="Times New Roman" w:cs="Times New Roman" w:eastAsia="Times New Roman" w:hAnsi="Times New Roman"/>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92" w:lineRule="exact"/>
        <w:rPr>
          <w:sz w:val="20"/>
          <w:szCs w:val="20"/>
          <w:color w:val="auto"/>
        </w:rPr>
      </w:pPr>
    </w:p>
    <w:p>
      <w:pPr>
        <w:jc w:val="both"/>
        <w:ind w:firstLine="371"/>
        <w:spacing w:after="0" w:line="262" w:lineRule="auto"/>
        <w:rPr>
          <w:sz w:val="20"/>
          <w:szCs w:val="20"/>
          <w:color w:val="auto"/>
        </w:rPr>
      </w:pPr>
      <w:r>
        <w:rPr>
          <w:rFonts w:ascii="Times New Roman" w:cs="Times New Roman" w:eastAsia="Times New Roman" w:hAnsi="Times New Roman"/>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229" w:lineRule="exact"/>
        <w:rPr>
          <w:sz w:val="20"/>
          <w:szCs w:val="20"/>
          <w:color w:val="auto"/>
        </w:rPr>
      </w:pPr>
    </w:p>
    <w:p>
      <w:pPr>
        <w:jc w:val="both"/>
        <w:ind w:right="20" w:firstLine="351"/>
        <w:spacing w:after="0" w:line="275"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187"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Issue Date;</w:t>
      </w:r>
    </w:p>
    <w:p>
      <w:pPr>
        <w:spacing w:after="0" w:line="25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the Company or a Restricted Subsidiary by the Company or any Subsidiary of any Principal Property;</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0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not more than three years (or which may be terminated by the Company or the applicable Restricted Subsidiary within a period of not more than three years);</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93" w:lineRule="exact"/>
        <w:rPr>
          <w:sz w:val="20"/>
          <w:szCs w:val="20"/>
          <w:color w:val="auto"/>
        </w:rPr>
      </w:pPr>
    </w:p>
    <w:p>
      <w:pPr>
        <w:ind w:firstLine="374"/>
        <w:spacing w:after="0" w:line="339" w:lineRule="auto"/>
        <w:rPr>
          <w:sz w:val="20"/>
          <w:szCs w:val="20"/>
          <w:color w:val="auto"/>
        </w:rPr>
      </w:pPr>
      <w:r>
        <w:rPr>
          <w:rFonts w:ascii="Times New Roman" w:cs="Times New Roman" w:eastAsia="Times New Roman" w:hAnsi="Times New Roman"/>
          <w:sz w:val="16"/>
          <w:szCs w:val="16"/>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greater of (a) $5.6 billion, and (b) 15% of Consolidated Net Tangible Assets of the Company immediately preceding the closing date of the Sale and Lease-Back Transaction.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and Conveyance, Transfer and Lease of All or Substantially All Assets</w:t>
      </w:r>
    </w:p>
    <w:p>
      <w:pPr>
        <w:spacing w:after="0" w:line="229" w:lineRule="exact"/>
        <w:rPr>
          <w:sz w:val="20"/>
          <w:szCs w:val="20"/>
          <w:color w:val="auto"/>
        </w:rPr>
      </w:pPr>
    </w:p>
    <w:p>
      <w:pPr>
        <w:ind w:right="20" w:firstLine="360"/>
        <w:spacing w:after="0" w:line="275" w:lineRule="auto"/>
        <w:rPr>
          <w:sz w:val="20"/>
          <w:szCs w:val="20"/>
          <w:color w:val="auto"/>
        </w:rPr>
      </w:pPr>
      <w:r>
        <w:rPr>
          <w:rFonts w:ascii="Times New Roman" w:cs="Times New Roman" w:eastAsia="Times New Roman" w:hAnsi="Times New Roman"/>
          <w:sz w:val="18"/>
          <w:szCs w:val="18"/>
          <w:color w:val="auto"/>
        </w:rPr>
        <w:t>The Company may not consolidate with or merge with or into, or convey, transfer or lease all or substantially all of its properties and assets to, any person (a "successor person") unless:</w:t>
      </w:r>
    </w:p>
    <w:p>
      <w:pPr>
        <w:spacing w:after="0" w:line="174" w:lineRule="exact"/>
        <w:rPr>
          <w:sz w:val="20"/>
          <w:szCs w:val="20"/>
          <w:color w:val="auto"/>
        </w:rPr>
      </w:pPr>
    </w:p>
    <w:p>
      <w:pPr>
        <w:ind w:left="540" w:firstLine="372"/>
        <w:spacing w:after="0" w:line="339" w:lineRule="auto"/>
        <w:tabs>
          <w:tab w:leader="none" w:pos="124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28" w:lineRule="exact"/>
        <w:rPr>
          <w:rFonts w:ascii="Times New Roman" w:cs="Times New Roman" w:eastAsia="Times New Roman" w:hAnsi="Times New Roman"/>
          <w:sz w:val="16"/>
          <w:szCs w:val="16"/>
          <w:color w:val="auto"/>
        </w:rPr>
      </w:pPr>
    </w:p>
    <w:p>
      <w:pPr>
        <w:ind w:left="540" w:right="20" w:firstLine="393"/>
        <w:spacing w:after="0" w:line="275" w:lineRule="auto"/>
        <w:tabs>
          <w:tab w:leader="none" w:pos="12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jc w:val="both"/>
        <w:ind w:right="20" w:firstLine="416"/>
        <w:spacing w:after="0" w:line="275"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of Financial Information</w:t>
      </w:r>
    </w:p>
    <w:p>
      <w:pPr>
        <w:spacing w:after="0" w:line="227"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jc w:val="both"/>
        <w:ind w:firstLine="459"/>
        <w:spacing w:after="0" w:line="253" w:lineRule="auto"/>
        <w:rPr>
          <w:sz w:val="20"/>
          <w:szCs w:val="20"/>
          <w:color w:val="auto"/>
        </w:rPr>
      </w:pPr>
      <w:r>
        <w:rPr>
          <w:rFonts w:ascii="Times New Roman" w:cs="Times New Roman" w:eastAsia="Times New Roman" w:hAnsi="Times New Roman"/>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of Indebtedness relating thereto is included in clause (1) of this definition, provided further, in no event will the amount of any Indebtedness be required to be included in the calculation of Aggregate Debt more than once despite the fact more than one Person is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w:t>
      </w:r>
    </w:p>
    <w:p>
      <w:pPr>
        <w:spacing w:after="0" w:line="1" w:lineRule="exact"/>
        <w:rPr>
          <w:sz w:val="20"/>
          <w:szCs w:val="20"/>
          <w:color w:val="auto"/>
        </w:rPr>
      </w:pPr>
    </w:p>
    <w:p>
      <w:pPr>
        <w:jc w:val="both"/>
        <w:ind w:firstLine="8"/>
        <w:spacing w:after="0" w:line="252" w:lineRule="auto"/>
        <w:tabs>
          <w:tab w:leader="none" w:pos="2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9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90" w:lineRule="exact"/>
        <w:rPr>
          <w:sz w:val="20"/>
          <w:szCs w:val="20"/>
          <w:color w:val="auto"/>
        </w:rPr>
      </w:pPr>
    </w:p>
    <w:p>
      <w:pPr>
        <w:jc w:val="both"/>
        <w:ind w:firstLine="390"/>
        <w:spacing w:after="0" w:line="253" w:lineRule="auto"/>
        <w:rPr>
          <w:sz w:val="20"/>
          <w:szCs w:val="20"/>
          <w:color w:val="auto"/>
        </w:rPr>
      </w:pPr>
      <w:r>
        <w:rPr>
          <w:rFonts w:ascii="Times New Roman" w:cs="Times New Roman" w:eastAsia="Times New Roman" w:hAnsi="Times New Roman"/>
          <w:sz w:val="18"/>
          <w:szCs w:val="18"/>
          <w:color w:val="auto"/>
        </w:rPr>
        <w:t>"Below Investment Grade Rating Event" means, with respect to each series of the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committee thereof duly authorized to act on behalf of such board.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"Business Day" means each day that is not a Legal Holiday.</w:t>
      </w:r>
    </w:p>
    <w:p>
      <w:pPr>
        <w:spacing w:after="0" w:line="225" w:lineRule="exact"/>
        <w:rPr>
          <w:sz w:val="20"/>
          <w:szCs w:val="20"/>
          <w:color w:val="auto"/>
        </w:rPr>
      </w:pPr>
    </w:p>
    <w:p>
      <w:pPr>
        <w:jc w:val="both"/>
        <w:ind w:firstLine="403"/>
        <w:spacing w:after="0" w:line="262" w:lineRule="auto"/>
        <w:rPr>
          <w:sz w:val="20"/>
          <w:szCs w:val="20"/>
          <w:color w:val="auto"/>
        </w:rPr>
      </w:pPr>
      <w:r>
        <w:rPr>
          <w:rFonts w:ascii="Times New Roman" w:cs="Times New Roman" w:eastAsia="Times New Roman" w:hAnsi="Times New Roman"/>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of Control" means:</w:t>
      </w:r>
    </w:p>
    <w:p>
      <w:pPr>
        <w:spacing w:after="0" w:line="225" w:lineRule="exact"/>
        <w:rPr>
          <w:sz w:val="20"/>
          <w:szCs w:val="20"/>
          <w:color w:val="auto"/>
        </w:rPr>
      </w:pPr>
    </w:p>
    <w:p>
      <w:pPr>
        <w:ind w:left="540" w:firstLine="403"/>
        <w:spacing w:after="0" w:line="275" w:lineRule="auto"/>
        <w:tabs>
          <w:tab w:leader="none" w:pos="1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540"/>
        <w:spacing w:after="0" w:line="288" w:lineRule="auto"/>
        <w:rPr>
          <w:sz w:val="20"/>
          <w:szCs w:val="20"/>
          <w:color w:val="auto"/>
        </w:rPr>
      </w:pPr>
      <w:r>
        <w:rPr>
          <w:rFonts w:ascii="Times New Roman" w:cs="Times New Roman" w:eastAsia="Times New Roman" w:hAnsi="Times New Roman"/>
          <w:sz w:val="16"/>
          <w:szCs w:val="16"/>
          <w:color w:val="auto"/>
        </w:rPr>
        <w:t>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69" w:lineRule="exact"/>
        <w:rPr>
          <w:sz w:val="20"/>
          <w:szCs w:val="20"/>
          <w:color w:val="auto"/>
        </w:rPr>
      </w:pPr>
    </w:p>
    <w:p>
      <w:pPr>
        <w:jc w:val="both"/>
        <w:ind w:left="540" w:firstLine="407"/>
        <w:spacing w:after="0" w:line="256" w:lineRule="auto"/>
        <w:tabs>
          <w:tab w:leader="none" w:pos="129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92"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jc w:val="both"/>
        <w:ind w:firstLine="402"/>
        <w:spacing w:after="0" w:line="256"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 Reference Treasury Dealer (as defined below) as having an actual or interpolated maturity comparable to the period from the redemption date to January 6, 2024, in the case of the 2024 notes, December 6, 2025, in the case of the 2026 notes, and November 6, 2028, in the case of the 2029 notes, that would be utilized, at the time of selection and in accordance with customary financial practice, in pricing new issues of corporate debt securities of comparable maturity to the period from the redemption date to January 6, 2024, December 6, 2025 and November 6, 2028, respectively.</w:t>
      </w:r>
    </w:p>
    <w:p>
      <w:pPr>
        <w:spacing w:after="0" w:line="193" w:lineRule="exact"/>
        <w:rPr>
          <w:sz w:val="20"/>
          <w:szCs w:val="20"/>
          <w:color w:val="auto"/>
        </w:rPr>
      </w:pPr>
    </w:p>
    <w:p>
      <w:pPr>
        <w:jc w:val="both"/>
        <w:ind w:firstLine="489"/>
        <w:spacing w:after="0" w:line="26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6"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8"/>
          <w:szCs w:val="18"/>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capital leases and, following the adoption of ASU 2016-02— Leases, of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4" w:lineRule="exact"/>
        <w:rPr>
          <w:sz w:val="20"/>
          <w:szCs w:val="20"/>
          <w:color w:val="auto"/>
        </w:rPr>
      </w:pPr>
    </w:p>
    <w:p>
      <w:pPr>
        <w:jc w:val="both"/>
        <w:ind w:right="20" w:firstLine="372"/>
        <w:spacing w:after="0" w:line="275" w:lineRule="auto"/>
        <w:rPr>
          <w:sz w:val="20"/>
          <w:szCs w:val="20"/>
          <w:color w:val="auto"/>
        </w:rPr>
      </w:pPr>
      <w:r>
        <w:rPr>
          <w:rFonts w:ascii="Times New Roman" w:cs="Times New Roman" w:eastAsia="Times New Roman" w:hAnsi="Times New Roman"/>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74" w:lineRule="exact"/>
        <w:rPr>
          <w:sz w:val="20"/>
          <w:szCs w:val="20"/>
          <w:color w:val="auto"/>
        </w:rPr>
      </w:pPr>
    </w:p>
    <w:p>
      <w:pPr>
        <w:jc w:val="both"/>
        <w:ind w:right="20" w:firstLine="383"/>
        <w:spacing w:after="0" w:line="275" w:lineRule="auto"/>
        <w:rPr>
          <w:sz w:val="20"/>
          <w:szCs w:val="20"/>
          <w:color w:val="auto"/>
        </w:rPr>
      </w:pPr>
      <w:r>
        <w:rPr>
          <w:rFonts w:ascii="Times New Roman" w:cs="Times New Roman" w:eastAsia="Times New Roman" w:hAnsi="Times New Roman"/>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74"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"Existing Credit Facilities"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"Fitch" means Fitch Ratings Inc. and any successor to its rating agency business.</w:t>
      </w:r>
    </w:p>
    <w:p>
      <w:pPr>
        <w:spacing w:after="0" w:line="225" w:lineRule="exact"/>
        <w:rPr>
          <w:sz w:val="20"/>
          <w:szCs w:val="20"/>
          <w:color w:val="auto"/>
        </w:rPr>
      </w:pPr>
    </w:p>
    <w:p>
      <w:pPr>
        <w:jc w:val="both"/>
        <w:ind w:firstLine="440"/>
        <w:spacing w:after="0" w:line="275" w:lineRule="auto"/>
        <w:rPr>
          <w:sz w:val="20"/>
          <w:szCs w:val="20"/>
          <w:color w:val="auto"/>
        </w:rPr>
      </w:pPr>
      <w:r>
        <w:rPr>
          <w:rFonts w:ascii="Times New Roman" w:cs="Times New Roman" w:eastAsia="Times New Roman" w:hAnsi="Times New Roman"/>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74" w:lineRule="exact"/>
        <w:rPr>
          <w:sz w:val="20"/>
          <w:szCs w:val="20"/>
          <w:color w:val="auto"/>
        </w:rPr>
      </w:pPr>
    </w:p>
    <w:p>
      <w:pPr>
        <w:jc w:val="both"/>
        <w:ind w:firstLine="424"/>
        <w:spacing w:after="0" w:line="262" w:lineRule="auto"/>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6" w:lineRule="exact"/>
        <w:rPr>
          <w:sz w:val="20"/>
          <w:szCs w:val="20"/>
          <w:color w:val="auto"/>
        </w:rPr>
      </w:pPr>
    </w:p>
    <w:p>
      <w:pPr>
        <w:jc w:val="both"/>
        <w:ind w:firstLine="355"/>
        <w:spacing w:after="0" w:line="301" w:lineRule="auto"/>
        <w:rPr>
          <w:sz w:val="20"/>
          <w:szCs w:val="20"/>
          <w:color w:val="auto"/>
        </w:rPr>
      </w:pPr>
      <w:r>
        <w:rPr>
          <w:rFonts w:ascii="Times New Roman" w:cs="Times New Roman" w:eastAsia="Times New Roman" w:hAnsi="Times New Roman"/>
          <w:sz w:val="16"/>
          <w:szCs w:val="16"/>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225" w:lineRule="exact"/>
        <w:rPr>
          <w:rFonts w:ascii="Times New Roman" w:cs="Times New Roman" w:eastAsia="Times New Roman" w:hAnsi="Times New Roman"/>
          <w:sz w:val="18"/>
          <w:szCs w:val="18"/>
          <w:color w:val="auto"/>
        </w:rPr>
      </w:pPr>
    </w:p>
    <w:p>
      <w:pPr>
        <w:jc w:val="both"/>
        <w:ind w:left="540" w:firstLine="527"/>
        <w:spacing w:after="0" w:line="262" w:lineRule="auto"/>
        <w:tabs>
          <w:tab w:leader="none" w:pos="14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86" w:lineRule="exact"/>
        <w:rPr>
          <w:sz w:val="20"/>
          <w:szCs w:val="20"/>
          <w:color w:val="auto"/>
        </w:rPr>
      </w:pPr>
    </w:p>
    <w:p>
      <w:pPr>
        <w:ind w:right="20" w:firstLine="490"/>
        <w:spacing w:after="0" w:line="275" w:lineRule="auto"/>
        <w:rPr>
          <w:sz w:val="20"/>
          <w:szCs w:val="20"/>
          <w:color w:val="auto"/>
        </w:rPr>
      </w:pPr>
      <w:r>
        <w:rPr>
          <w:rFonts w:ascii="Times New Roman" w:cs="Times New Roman" w:eastAsia="Times New Roman" w:hAnsi="Times New Roman"/>
          <w:sz w:val="18"/>
          <w:szCs w:val="18"/>
          <w:color w:val="auto"/>
        </w:rPr>
        <w:t>In addition, accrual of interest and accretion or amortization of original issue discount will not be deemed to be an incurrence of Indebtedness for any purpose under the Indenture.</w:t>
      </w:r>
    </w:p>
    <w:p>
      <w:pPr>
        <w:spacing w:after="0" w:line="174" w:lineRule="exact"/>
        <w:rPr>
          <w:sz w:val="20"/>
          <w:szCs w:val="20"/>
          <w:color w:val="auto"/>
        </w:rPr>
      </w:pPr>
    </w:p>
    <w:p>
      <w:pPr>
        <w:ind w:right="20" w:firstLine="387"/>
        <w:spacing w:after="0" w:line="275" w:lineRule="auto"/>
        <w:rPr>
          <w:sz w:val="20"/>
          <w:szCs w:val="20"/>
          <w:color w:val="auto"/>
        </w:rPr>
      </w:pPr>
      <w:r>
        <w:rPr>
          <w:rFonts w:ascii="Times New Roman" w:cs="Times New Roman" w:eastAsia="Times New Roman" w:hAnsi="Times New Roman"/>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categories of S&amp;P) or the equivalent investment grade credit rating from any additional Rating Agency or Rating Agencies selected by us.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"Issue Date" means the date of original issuance of the notes under the Indenture.</w:t>
      </w:r>
    </w:p>
    <w:p>
      <w:pPr>
        <w:spacing w:after="0" w:line="225" w:lineRule="exact"/>
        <w:rPr>
          <w:sz w:val="20"/>
          <w:szCs w:val="20"/>
          <w:color w:val="auto"/>
        </w:rPr>
      </w:pPr>
    </w:p>
    <w:p>
      <w:pPr>
        <w:jc w:val="both"/>
        <w:ind w:firstLine="413"/>
        <w:spacing w:after="0" w:line="275" w:lineRule="auto"/>
        <w:rPr>
          <w:sz w:val="20"/>
          <w:szCs w:val="20"/>
          <w:color w:val="auto"/>
        </w:rPr>
      </w:pPr>
      <w:r>
        <w:rPr>
          <w:rFonts w:ascii="Times New Roman" w:cs="Times New Roman" w:eastAsia="Times New Roman" w:hAnsi="Times New Roman"/>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74" w:lineRule="exact"/>
        <w:rPr>
          <w:sz w:val="20"/>
          <w:szCs w:val="20"/>
          <w:color w:val="auto"/>
        </w:rPr>
      </w:pPr>
    </w:p>
    <w:p>
      <w:pPr>
        <w:jc w:val="both"/>
        <w:ind w:firstLine="402"/>
        <w:spacing w:after="0" w:line="275" w:lineRule="auto"/>
        <w:rPr>
          <w:sz w:val="20"/>
          <w:szCs w:val="20"/>
          <w:color w:val="auto"/>
        </w:rPr>
      </w:pPr>
      <w:r>
        <w:rPr>
          <w:rFonts w:ascii="Times New Roman" w:cs="Times New Roman" w:eastAsia="Times New Roman" w:hAnsi="Times New Roman"/>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74" w:lineRule="exact"/>
        <w:rPr>
          <w:sz w:val="20"/>
          <w:szCs w:val="20"/>
          <w:color w:val="auto"/>
        </w:rPr>
      </w:pPr>
    </w:p>
    <w:p>
      <w:pPr>
        <w:jc w:val="both"/>
        <w:ind w:firstLine="383"/>
        <w:spacing w:after="0" w:line="275" w:lineRule="auto"/>
        <w:rPr>
          <w:sz w:val="20"/>
          <w:szCs w:val="20"/>
          <w:color w:val="auto"/>
        </w:rPr>
      </w:pPr>
      <w:r>
        <w:rPr>
          <w:rFonts w:ascii="Times New Roman" w:cs="Times New Roman" w:eastAsia="Times New Roman" w:hAnsi="Times New Roman"/>
          <w:sz w:val="18"/>
          <w:szCs w:val="18"/>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"Moody's" means Moody's Investors Service, Inc. and any successor to its rating agency business.</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39" w:lineRule="exact"/>
        <w:rPr>
          <w:sz w:val="20"/>
          <w:szCs w:val="20"/>
          <w:color w:val="auto"/>
        </w:rPr>
      </w:pPr>
    </w:p>
    <w:p>
      <w:pPr>
        <w:ind w:left="1080" w:right="2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Issue Date or arising thereafter pursuant to related agreements existing as of the Issue Date, including the Existing Credit Facilities;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series of notes, Liens granted after the Issue Date created in favor of the holders of such series of notes;</w:t>
      </w:r>
    </w:p>
    <w:p>
      <w:pPr>
        <w:spacing w:after="0" w:line="238"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206" w:lineRule="exact"/>
        <w:rPr>
          <w:rFonts w:ascii="Times New Roman" w:cs="Times New Roman" w:eastAsia="Times New Roman" w:hAnsi="Times New Roman"/>
          <w:sz w:val="18"/>
          <w:szCs w:val="18"/>
          <w:color w:val="auto"/>
        </w:rPr>
      </w:pPr>
    </w:p>
    <w:p>
      <w:pPr>
        <w:jc w:val="both"/>
        <w:ind w:left="1080" w:hanging="532"/>
        <w:spacing w:after="0" w:line="25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22" w:lineRule="exact"/>
        <w:rPr>
          <w:rFonts w:ascii="Times New Roman" w:cs="Times New Roman" w:eastAsia="Times New Roman" w:hAnsi="Times New Roman"/>
          <w:sz w:val="18"/>
          <w:szCs w:val="18"/>
          <w:color w:val="auto"/>
        </w:rPr>
      </w:pPr>
    </w:p>
    <w:p>
      <w:pPr>
        <w:jc w:val="both"/>
        <w:ind w:left="1080" w:hanging="532"/>
        <w:spacing w:after="0" w:line="339" w:lineRule="auto"/>
        <w:tabs>
          <w:tab w:leader="none" w:pos="10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1080"/>
        <w:spacing w:after="0" w:line="253" w:lineRule="auto"/>
        <w:rPr>
          <w:sz w:val="20"/>
          <w:szCs w:val="20"/>
          <w:color w:val="auto"/>
        </w:rPr>
      </w:pPr>
      <w:r>
        <w:rPr>
          <w:rFonts w:ascii="Times New Roman" w:cs="Times New Roman" w:eastAsia="Times New Roman" w:hAnsi="Times New Roman"/>
          <w:sz w:val="18"/>
          <w:szCs w:val="18"/>
          <w:color w:val="auto"/>
        </w:rPr>
        <w:t>Subsidiaries arising in connection with the purchase or acquisition thereof or of an interest therein by the Company or any of its Subsidiaries,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11" w:lineRule="exact"/>
        <w:rPr>
          <w:sz w:val="20"/>
          <w:szCs w:val="20"/>
          <w:color w:val="auto"/>
        </w:rPr>
      </w:pPr>
    </w:p>
    <w:p>
      <w:pPr>
        <w:jc w:val="both"/>
        <w:ind w:left="1080" w:hanging="532"/>
        <w:spacing w:after="0" w:line="26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 of the Company;</w:t>
      </w:r>
    </w:p>
    <w:p>
      <w:pPr>
        <w:spacing w:after="0" w:line="238"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99"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06"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20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the acquisition of assets or a project financed with, and created to secure a Nonrecourse Obligation; and</w:t>
      </w:r>
    </w:p>
    <w:p>
      <w:pPr>
        <w:spacing w:after="0" w:line="238"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1080"/>
        <w:spacing w:after="0" w:line="301" w:lineRule="auto"/>
        <w:rPr>
          <w:sz w:val="20"/>
          <w:szCs w:val="20"/>
          <w:color w:val="auto"/>
        </w:rPr>
      </w:pPr>
      <w:r>
        <w:rPr>
          <w:rFonts w:ascii="Times New Roman" w:cs="Times New Roman" w:eastAsia="Times New Roman" w:hAnsi="Times New Roman"/>
          <w:sz w:val="16"/>
          <w:szCs w:val="16"/>
          <w:color w:val="auto"/>
        </w:rPr>
        <w:t>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4" w:lineRule="exact"/>
        <w:rPr>
          <w:sz w:val="20"/>
          <w:szCs w:val="20"/>
          <w:color w:val="auto"/>
        </w:rPr>
      </w:pPr>
    </w:p>
    <w:p>
      <w:pPr>
        <w:jc w:val="both"/>
        <w:ind w:firstLine="473"/>
        <w:spacing w:after="0" w:line="275" w:lineRule="auto"/>
        <w:rPr>
          <w:sz w:val="20"/>
          <w:szCs w:val="20"/>
          <w:color w:val="auto"/>
        </w:rPr>
      </w:pPr>
      <w:r>
        <w:rPr>
          <w:rFonts w:ascii="Times New Roman" w:cs="Times New Roman" w:eastAsia="Times New Roman" w:hAnsi="Times New Roman"/>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74" w:lineRule="exact"/>
        <w:rPr>
          <w:sz w:val="20"/>
          <w:szCs w:val="20"/>
          <w:color w:val="auto"/>
        </w:rPr>
      </w:pPr>
    </w:p>
    <w:p>
      <w:pPr>
        <w:jc w:val="both"/>
        <w:ind w:firstLine="532"/>
        <w:spacing w:after="0" w:line="254" w:lineRule="auto"/>
        <w:rPr>
          <w:sz w:val="20"/>
          <w:szCs w:val="20"/>
          <w:color w:val="auto"/>
        </w:rPr>
      </w:pPr>
      <w:r>
        <w:rPr>
          <w:rFonts w:ascii="Times New Roman" w:cs="Times New Roman" w:eastAsia="Times New Roman" w:hAnsi="Times New Roman"/>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95" w:lineRule="exact"/>
        <w:rPr>
          <w:sz w:val="20"/>
          <w:szCs w:val="20"/>
          <w:color w:val="auto"/>
        </w:rPr>
      </w:pPr>
    </w:p>
    <w:p>
      <w:pPr>
        <w:jc w:val="both"/>
        <w:ind w:firstLine="368"/>
        <w:spacing w:after="0" w:line="262" w:lineRule="auto"/>
        <w:rPr>
          <w:sz w:val="20"/>
          <w:szCs w:val="20"/>
          <w:color w:val="auto"/>
        </w:rPr>
      </w:pPr>
      <w:r>
        <w:rPr>
          <w:rFonts w:ascii="Times New Roman" w:cs="Times New Roman" w:eastAsia="Times New Roman" w:hAnsi="Times New Roman"/>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 (62) of the Exchange Act, selected by the Company as a replacement agency for Fitch, Moody's or S&amp;P, or all of them, as the case may be.</w:t>
      </w:r>
    </w:p>
    <w:p>
      <w:pPr>
        <w:spacing w:after="0" w:line="186" w:lineRule="exact"/>
        <w:rPr>
          <w:sz w:val="20"/>
          <w:szCs w:val="20"/>
          <w:color w:val="auto"/>
        </w:rPr>
      </w:pPr>
    </w:p>
    <w:p>
      <w:pPr>
        <w:jc w:val="both"/>
        <w:ind w:firstLine="422"/>
        <w:spacing w:after="0" w:line="258" w:lineRule="auto"/>
        <w:rPr>
          <w:sz w:val="20"/>
          <w:szCs w:val="20"/>
          <w:color w:val="auto"/>
        </w:rPr>
      </w:pPr>
      <w:r>
        <w:rPr>
          <w:rFonts w:ascii="Times New Roman" w:cs="Times New Roman" w:eastAsia="Times New Roman" w:hAnsi="Times New Roman"/>
          <w:sz w:val="18"/>
          <w:szCs w:val="18"/>
          <w:color w:val="auto"/>
        </w:rPr>
        <w:t>"Reference Treasury Dealer" means at least two primary U.S. Government securities dealers selected by the Company, which may include any of Morgan Stanley &amp; Co. LLC, BNP Paribas Securities Corp. or Credit Suisse Securities (USA)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0" w:lineRule="exact"/>
        <w:rPr>
          <w:sz w:val="20"/>
          <w:szCs w:val="20"/>
          <w:color w:val="auto"/>
        </w:rPr>
      </w:pPr>
    </w:p>
    <w:p>
      <w:pPr>
        <w:jc w:val="both"/>
        <w:ind w:firstLine="380"/>
        <w:spacing w:after="0" w:line="262" w:lineRule="auto"/>
        <w:rPr>
          <w:sz w:val="20"/>
          <w:szCs w:val="20"/>
          <w:color w:val="auto"/>
        </w:rPr>
      </w:pPr>
      <w:r>
        <w:rPr>
          <w:rFonts w:ascii="Times New Roman" w:cs="Times New Roman" w:eastAsia="Times New Roman" w:hAnsi="Times New Roman"/>
          <w:sz w:val="18"/>
          <w:szCs w:val="18"/>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"S&amp;P" means S&amp;P Global Ratings, and any successor to its rating agency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93" w:lineRule="exact"/>
        <w:rPr>
          <w:sz w:val="20"/>
          <w:szCs w:val="20"/>
          <w:color w:val="auto"/>
        </w:rPr>
      </w:pPr>
    </w:p>
    <w:p>
      <w:pPr>
        <w:jc w:val="both"/>
        <w:ind w:firstLine="434"/>
        <w:spacing w:after="0" w:line="275" w:lineRule="auto"/>
        <w:rPr>
          <w:sz w:val="20"/>
          <w:szCs w:val="20"/>
          <w:color w:val="auto"/>
        </w:rPr>
      </w:pPr>
      <w:r>
        <w:rPr>
          <w:rFonts w:ascii="Times New Roman" w:cs="Times New Roman" w:eastAsia="Times New Roman" w:hAnsi="Times New Roman"/>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74" w:lineRule="exact"/>
        <w:rPr>
          <w:sz w:val="20"/>
          <w:szCs w:val="20"/>
          <w:color w:val="auto"/>
        </w:rPr>
      </w:pPr>
    </w:p>
    <w:p>
      <w:pPr>
        <w:jc w:val="both"/>
        <w:ind w:firstLine="417"/>
        <w:spacing w:after="0" w:line="262" w:lineRule="auto"/>
        <w:rPr>
          <w:sz w:val="20"/>
          <w:szCs w:val="20"/>
          <w:color w:val="auto"/>
        </w:rPr>
      </w:pPr>
      <w:r>
        <w:rPr>
          <w:rFonts w:ascii="Times New Roman" w:cs="Times New Roman" w:eastAsia="Times New Roman" w:hAnsi="Times New Roman"/>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6"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86" w:lineRule="exact"/>
        <w:rPr>
          <w:sz w:val="20"/>
          <w:szCs w:val="20"/>
          <w:color w:val="auto"/>
        </w:rPr>
      </w:pPr>
    </w:p>
    <w:p>
      <w:pPr>
        <w:jc w:val="both"/>
        <w:ind w:firstLine="362"/>
        <w:spacing w:after="0" w:line="275" w:lineRule="auto"/>
        <w:rPr>
          <w:sz w:val="20"/>
          <w:szCs w:val="20"/>
          <w:color w:val="auto"/>
        </w:rPr>
      </w:pPr>
      <w:r>
        <w:rPr>
          <w:rFonts w:ascii="Times New Roman" w:cs="Times New Roman" w:eastAsia="Times New Roman" w:hAnsi="Times New Roman"/>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following will be an event of default under the Indenture for each series of notes:</w:t>
      </w:r>
    </w:p>
    <w:p>
      <w:pPr>
        <w:spacing w:after="0" w:line="239" w:lineRule="exact"/>
        <w:rPr>
          <w:sz w:val="20"/>
          <w:szCs w:val="20"/>
          <w:color w:val="auto"/>
        </w:rPr>
      </w:pPr>
    </w:p>
    <w:p>
      <w:pPr>
        <w:ind w:left="108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of that series when it becomes due and payable, and continuance of that default for a period of 30 days;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any note of that series when due and payable;</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the requirement to make an Offer to Purchase in connection with a Change of Control Triggering Event for 30 calendar days;</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and involuntary events of bankruptcy, insolvency or reorganization of the Company.</w:t>
      </w:r>
    </w:p>
    <w:p>
      <w:pPr>
        <w:spacing w:after="0" w:line="225" w:lineRule="exact"/>
        <w:rPr>
          <w:sz w:val="20"/>
          <w:szCs w:val="20"/>
          <w:color w:val="auto"/>
        </w:rPr>
      </w:pPr>
    </w:p>
    <w:p>
      <w:pPr>
        <w:jc w:val="both"/>
        <w:ind w:firstLine="515"/>
        <w:spacing w:after="0" w:line="262" w:lineRule="auto"/>
        <w:rPr>
          <w:sz w:val="20"/>
          <w:szCs w:val="20"/>
          <w:color w:val="auto"/>
        </w:rPr>
      </w:pPr>
      <w:r>
        <w:rPr>
          <w:rFonts w:ascii="Times New Roman" w:cs="Times New Roman" w:eastAsia="Times New Roman" w:hAnsi="Times New Roman"/>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86" w:lineRule="exact"/>
        <w:rPr>
          <w:sz w:val="20"/>
          <w:szCs w:val="20"/>
          <w:color w:val="auto"/>
        </w:rPr>
      </w:pPr>
    </w:p>
    <w:p>
      <w:pPr>
        <w:jc w:val="both"/>
        <w:ind w:firstLine="373"/>
        <w:spacing w:after="0" w:line="275" w:lineRule="auto"/>
        <w:rPr>
          <w:sz w:val="20"/>
          <w:szCs w:val="20"/>
          <w:color w:val="auto"/>
        </w:rPr>
      </w:pPr>
      <w:r>
        <w:rPr>
          <w:rFonts w:ascii="Times New Roman" w:cs="Times New Roman" w:eastAsia="Times New Roman" w:hAnsi="Times New Roman"/>
          <w:sz w:val="18"/>
          <w:szCs w:val="18"/>
          <w:color w:val="auto"/>
        </w:rPr>
        <w:t>If an event of default with respect to notes of a series at the time outstanding occurs and is continuing, then the trustee or the holders of not less than 25% in principal amount of the outstanding notes of that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notes of that series which have become due solely by such declaration of acceleration, have been cured or waived as provided in the Indenture and the trustee's fees and expenses have been paid in full.</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90" w:lineRule="exact"/>
        <w:rPr>
          <w:sz w:val="20"/>
          <w:szCs w:val="20"/>
          <w:color w:val="auto"/>
        </w:rPr>
      </w:pPr>
    </w:p>
    <w:p>
      <w:pPr>
        <w:jc w:val="both"/>
        <w:ind w:firstLine="367"/>
        <w:spacing w:after="0" w:line="275" w:lineRule="auto"/>
        <w:rPr>
          <w:sz w:val="20"/>
          <w:szCs w:val="20"/>
          <w:color w:val="auto"/>
        </w:rPr>
      </w:pPr>
      <w:r>
        <w:rPr>
          <w:rFonts w:ascii="Times New Roman" w:cs="Times New Roman" w:eastAsia="Times New Roman" w:hAnsi="Times New Roman"/>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74" w:lineRule="exact"/>
        <w:rPr>
          <w:sz w:val="20"/>
          <w:szCs w:val="20"/>
          <w:color w:val="auto"/>
        </w:rPr>
      </w:pPr>
    </w:p>
    <w:p>
      <w:pPr>
        <w:ind w:left="1240" w:hanging="341"/>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notes of that series; and</w:t>
      </w:r>
    </w:p>
    <w:p>
      <w:pPr>
        <w:spacing w:after="0" w:line="225" w:lineRule="exact"/>
        <w:rPr>
          <w:rFonts w:ascii="Times New Roman" w:cs="Times New Roman" w:eastAsia="Times New Roman" w:hAnsi="Times New Roman"/>
          <w:sz w:val="18"/>
          <w:szCs w:val="18"/>
          <w:color w:val="auto"/>
        </w:rPr>
      </w:pPr>
    </w:p>
    <w:p>
      <w:pPr>
        <w:jc w:val="both"/>
        <w:ind w:left="540" w:firstLine="423"/>
        <w:spacing w:after="0" w:line="258" w:lineRule="auto"/>
        <w:tabs>
          <w:tab w:leader="none" w:pos="13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90" w:lineRule="exact"/>
        <w:rPr>
          <w:sz w:val="20"/>
          <w:szCs w:val="20"/>
          <w:color w:val="auto"/>
        </w:rPr>
      </w:pPr>
    </w:p>
    <w:p>
      <w:pPr>
        <w:jc w:val="both"/>
        <w:ind w:firstLine="365"/>
        <w:spacing w:after="0" w:line="262" w:lineRule="auto"/>
        <w:rPr>
          <w:sz w:val="20"/>
          <w:szCs w:val="20"/>
          <w:color w:val="auto"/>
        </w:rPr>
      </w:pPr>
      <w:r>
        <w:rPr>
          <w:rFonts w:ascii="Times New Roman" w:cs="Times New Roman" w:eastAsia="Times New Roman" w:hAnsi="Times New Roman"/>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86" w:lineRule="exact"/>
        <w:rPr>
          <w:sz w:val="20"/>
          <w:szCs w:val="20"/>
          <w:color w:val="auto"/>
        </w:rPr>
      </w:pPr>
    </w:p>
    <w:p>
      <w:pPr>
        <w:jc w:val="both"/>
        <w:ind w:firstLine="447"/>
        <w:spacing w:after="0" w:line="293" w:lineRule="auto"/>
        <w:rPr>
          <w:sz w:val="20"/>
          <w:szCs w:val="20"/>
          <w:color w:val="auto"/>
        </w:rPr>
      </w:pPr>
      <w:r>
        <w:rPr>
          <w:rFonts w:ascii="Times New Roman" w:cs="Times New Roman" w:eastAsia="Times New Roman" w:hAnsi="Times New Roman"/>
          <w:sz w:val="16"/>
          <w:szCs w:val="16"/>
          <w:color w:val="auto"/>
        </w:rPr>
        <w:t>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that series) with respect to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7" w:lineRule="exact"/>
        <w:rPr>
          <w:sz w:val="20"/>
          <w:szCs w:val="20"/>
          <w:color w:val="auto"/>
        </w:rPr>
      </w:pPr>
    </w:p>
    <w:p>
      <w:pPr>
        <w:jc w:val="both"/>
        <w:ind w:firstLine="370"/>
        <w:spacing w:after="0" w:line="275" w:lineRule="auto"/>
        <w:rPr>
          <w:sz w:val="20"/>
          <w:szCs w:val="20"/>
          <w:color w:val="auto"/>
        </w:rPr>
      </w:pPr>
      <w:r>
        <w:rPr>
          <w:rFonts w:ascii="Times New Roman" w:cs="Times New Roman" w:eastAsia="Times New Roman" w:hAnsi="Times New Roman"/>
          <w:sz w:val="18"/>
          <w:szCs w:val="18"/>
          <w:color w:val="auto"/>
        </w:rPr>
        <w:t>The Company or the trustee may amend or supplement the Indenture or the notes of one or more series without the consent of the holders of the outstanding notes under the Indenture:</w:t>
      </w:r>
    </w:p>
    <w:p>
      <w:pPr>
        <w:spacing w:after="0" w:line="187" w:lineRule="exact"/>
        <w:rPr>
          <w:sz w:val="20"/>
          <w:szCs w:val="20"/>
          <w:color w:val="auto"/>
        </w:rPr>
      </w:pPr>
    </w:p>
    <w:p>
      <w:pPr>
        <w:ind w:left="5540" w:right="3780" w:hanging="4992"/>
        <w:spacing w:after="0" w:line="52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under the Indenture or the notes of such series;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the Company or successive successions and the assumption of the covenants, agreements and obligations of the Company by a successor;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notes of any series or secure notes of any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the Indenture;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notes of any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of such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notes of any series as permitted by the Indenture;</w:t>
      </w:r>
    </w:p>
    <w:p>
      <w:pPr>
        <w:spacing w:after="0" w:line="252"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199"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the Indenture, insofar as it relates to a series of notes, to the description of such series of notes in this "Description of the Notes."</w:t>
      </w:r>
    </w:p>
    <w:p>
      <w:pPr>
        <w:spacing w:after="0" w:line="174" w:lineRule="exact"/>
        <w:rPr>
          <w:sz w:val="20"/>
          <w:szCs w:val="20"/>
          <w:color w:val="auto"/>
        </w:rPr>
      </w:pPr>
    </w:p>
    <w:p>
      <w:pPr>
        <w:jc w:val="both"/>
        <w:ind w:firstLine="462"/>
        <w:spacing w:after="0" w:line="262" w:lineRule="auto"/>
        <w:rPr>
          <w:sz w:val="20"/>
          <w:szCs w:val="20"/>
          <w:color w:val="auto"/>
        </w:rPr>
      </w:pPr>
      <w:r>
        <w:rPr>
          <w:rFonts w:ascii="Times New Roman" w:cs="Times New Roman" w:eastAsia="Times New Roman" w:hAnsi="Times New Roman"/>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213"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rates of or extends the time for payment of interest on any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changes the stated maturity of, any notes;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premium, if any, or interest;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quorum requirements under the Indenture;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notes whose holders must consent to an amendment, supplement or waiver;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ranking of the notes;</w:t>
      </w:r>
    </w:p>
    <w:p>
      <w:pPr>
        <w:spacing w:after="0" w:line="238"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to institute suit for the enforcement of any payment on the notes.</w:t>
      </w:r>
    </w:p>
    <w:p>
      <w:pPr>
        <w:spacing w:after="0" w:line="225" w:lineRule="exact"/>
        <w:rPr>
          <w:sz w:val="20"/>
          <w:szCs w:val="20"/>
          <w:color w:val="auto"/>
        </w:rPr>
      </w:pPr>
    </w:p>
    <w:p>
      <w:pPr>
        <w:ind w:firstLine="450"/>
        <w:spacing w:after="0" w:line="27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Notes and Certain Covenants in Certain Circumstances</w:t>
      </w:r>
    </w:p>
    <w:p>
      <w:pPr>
        <w:spacing w:after="0" w:line="225" w:lineRule="exact"/>
        <w:rPr>
          <w:sz w:val="20"/>
          <w:szCs w:val="20"/>
          <w:color w:val="auto"/>
        </w:rPr>
      </w:pPr>
    </w:p>
    <w:p>
      <w:pPr>
        <w:jc w:val="both"/>
        <w:ind w:firstLine="387"/>
        <w:spacing w:after="0" w:line="293" w:lineRule="auto"/>
        <w:rPr>
          <w:sz w:val="20"/>
          <w:szCs w:val="20"/>
          <w:color w:val="auto"/>
        </w:rPr>
      </w:pPr>
      <w:r>
        <w:rPr>
          <w:rFonts w:ascii="Times New Roman" w:cs="Times New Roman" w:eastAsia="Times New Roman" w:hAnsi="Times New Roman"/>
          <w:sz w:val="16"/>
          <w:szCs w:val="16"/>
          <w:i w:val="1"/>
          <w:iCs w:val="1"/>
          <w:color w:val="auto"/>
        </w:rPr>
        <w:t>Legal Defeasance</w:t>
      </w:r>
      <w:r>
        <w:rPr>
          <w:rFonts w:ascii="Times New Roman" w:cs="Times New Roman" w:eastAsia="Times New Roman" w:hAnsi="Times New Roman"/>
          <w:sz w:val="16"/>
          <w:szCs w:val="16"/>
          <w:color w:val="auto"/>
        </w:rPr>
        <w:t>. The Indenture provides that the Company may be discharged from any and all obligations in respect of the notes of any series (except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67" w:lineRule="exact"/>
        <w:rPr>
          <w:sz w:val="20"/>
          <w:szCs w:val="20"/>
          <w:color w:val="auto"/>
        </w:rPr>
      </w:pPr>
    </w:p>
    <w:p>
      <w:pPr>
        <w:jc w:val="both"/>
        <w:ind w:firstLine="415"/>
        <w:spacing w:after="0" w:line="255" w:lineRule="auto"/>
        <w:rPr>
          <w:sz w:val="20"/>
          <w:szCs w:val="20"/>
          <w:color w:val="auto"/>
        </w:rPr>
      </w:pPr>
      <w:r>
        <w:rPr>
          <w:rFonts w:ascii="Times New Roman" w:cs="Times New Roman" w:eastAsia="Times New Roman" w:hAnsi="Times New Roman"/>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1" w:lineRule="exact"/>
        <w:rPr>
          <w:sz w:val="20"/>
          <w:szCs w:val="20"/>
          <w:color w:val="auto"/>
        </w:rPr>
      </w:pPr>
    </w:p>
    <w:p>
      <w:pPr>
        <w:ind w:left="360"/>
        <w:spacing w:after="0"/>
        <w:tabs>
          <w:tab w:leader="none" w:pos="2920" w:val="left"/>
        </w:tabs>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Indenture provides that, upon compliance with certain conditions:</w:t>
      </w:r>
    </w:p>
    <w:p>
      <w:pPr>
        <w:spacing w:after="0" w:line="227" w:lineRule="exact"/>
        <w:rPr>
          <w:sz w:val="20"/>
          <w:szCs w:val="20"/>
          <w:color w:val="auto"/>
        </w:rPr>
      </w:pPr>
    </w:p>
    <w:p>
      <w:pPr>
        <w:ind w:left="540" w:firstLine="401"/>
        <w:spacing w:after="0" w:line="275" w:lineRule="auto"/>
        <w:tabs>
          <w:tab w:leader="none" w:pos="12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73" w:lineRule="exact"/>
        <w:rPr>
          <w:rFonts w:ascii="Times New Roman" w:cs="Times New Roman" w:eastAsia="Times New Roman" w:hAnsi="Times New Roman"/>
          <w:sz w:val="18"/>
          <w:szCs w:val="18"/>
          <w:color w:val="auto"/>
        </w:rPr>
      </w:pPr>
    </w:p>
    <w:p>
      <w:pPr>
        <w:ind w:left="540" w:firstLine="538"/>
        <w:spacing w:after="0" w:line="275" w:lineRule="auto"/>
        <w:tabs>
          <w:tab w:leader="none" w:pos="14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notes of that series ("covenant defeasance").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540" w:firstLine="421"/>
        <w:spacing w:after="0" w:line="258" w:lineRule="auto"/>
        <w:tabs>
          <w:tab w:leader="none" w:pos="1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90" w:lineRule="exact"/>
        <w:rPr>
          <w:rFonts w:ascii="Times New Roman" w:cs="Times New Roman" w:eastAsia="Times New Roman" w:hAnsi="Times New Roman"/>
          <w:sz w:val="18"/>
          <w:szCs w:val="18"/>
          <w:color w:val="auto"/>
        </w:rPr>
      </w:pPr>
    </w:p>
    <w:p>
      <w:pPr>
        <w:jc w:val="both"/>
        <w:ind w:left="540" w:firstLine="470"/>
        <w:spacing w:after="0" w:line="258"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8" w:lineRule="exact"/>
        <w:rPr>
          <w:sz w:val="20"/>
          <w:szCs w:val="20"/>
          <w:color w:val="auto"/>
        </w:rPr>
      </w:pPr>
    </w:p>
    <w:p>
      <w:pPr>
        <w:ind w:firstLine="443"/>
        <w:spacing w:after="0" w:line="342" w:lineRule="auto"/>
        <w:rPr>
          <w:sz w:val="20"/>
          <w:szCs w:val="20"/>
          <w:color w:val="auto"/>
        </w:rPr>
      </w:pPr>
      <w:r>
        <w:rPr>
          <w:rFonts w:ascii="Times New Roman" w:cs="Times New Roman" w:eastAsia="Times New Roman" w:hAnsi="Times New Roman"/>
          <w:sz w:val="16"/>
          <w:szCs w:val="16"/>
          <w:i w:val="1"/>
          <w:iCs w:val="1"/>
          <w:color w:val="auto"/>
        </w:rPr>
        <w:t>Covenant Defeasance and Events of Default</w:t>
      </w:r>
      <w:r>
        <w:rPr>
          <w:rFonts w:ascii="Times New Roman" w:cs="Times New Roman" w:eastAsia="Times New Roman" w:hAnsi="Times New Roman"/>
          <w:sz w:val="16"/>
          <w:szCs w:val="16"/>
          <w:color w:val="auto"/>
        </w:rPr>
        <w:t>. In the event the Company exercises its option to effect covenant defeasance with respect to any series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notes and the notes of that series are declared due and payable because of the occurrence of any event of default, the amount of money and/or U.S. Government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84" w:lineRule="exact"/>
        <w:rPr>
          <w:sz w:val="20"/>
          <w:szCs w:val="20"/>
          <w:color w:val="auto"/>
        </w:rPr>
      </w:pPr>
    </w:p>
    <w:p>
      <w:pPr>
        <w:jc w:val="both"/>
        <w:ind w:firstLine="36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7"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93"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Form, Denomination and Delivery of Notes</w:t>
      </w:r>
    </w:p>
    <w:p>
      <w:pPr>
        <w:spacing w:after="0" w:line="227" w:lineRule="exact"/>
        <w:rPr>
          <w:sz w:val="20"/>
          <w:szCs w:val="20"/>
          <w:color w:val="auto"/>
        </w:rPr>
      </w:pPr>
    </w:p>
    <w:p>
      <w:pPr>
        <w:jc w:val="both"/>
        <w:ind w:firstLine="386"/>
        <w:spacing w:after="0" w:line="275" w:lineRule="auto"/>
        <w:rPr>
          <w:sz w:val="20"/>
          <w:szCs w:val="20"/>
          <w:color w:val="auto"/>
        </w:rPr>
      </w:pPr>
      <w:r>
        <w:rPr>
          <w:rFonts w:ascii="Times New Roman" w:cs="Times New Roman" w:eastAsia="Times New Roman" w:hAnsi="Times New Roman"/>
          <w:sz w:val="18"/>
          <w:szCs w:val="18"/>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74" w:lineRule="exact"/>
        <w:rPr>
          <w:sz w:val="20"/>
          <w:szCs w:val="20"/>
          <w:color w:val="auto"/>
        </w:rPr>
      </w:pPr>
    </w:p>
    <w:p>
      <w:pPr>
        <w:jc w:val="both"/>
        <w:ind w:firstLine="442"/>
        <w:spacing w:after="0" w:line="254" w:lineRule="auto"/>
        <w:rPr>
          <w:sz w:val="20"/>
          <w:szCs w:val="20"/>
          <w:color w:val="auto"/>
        </w:rPr>
      </w:pPr>
      <w:r>
        <w:rPr>
          <w:rFonts w:ascii="Times New Roman" w:cs="Times New Roman" w:eastAsia="Times New Roman" w:hAnsi="Times New Roman"/>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of any series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such series of notes, to register the transfer or exchange of any note of such series on or after the regular record date and before the date of such redemption or purchase.</w:t>
      </w:r>
    </w:p>
    <w:p>
      <w:pPr>
        <w:spacing w:after="0" w:line="195"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Depository Procedures</w:t>
      </w:r>
    </w:p>
    <w:p>
      <w:pPr>
        <w:spacing w:after="0" w:line="229" w:lineRule="exact"/>
        <w:rPr>
          <w:sz w:val="20"/>
          <w:szCs w:val="20"/>
          <w:color w:val="auto"/>
        </w:rPr>
      </w:pPr>
    </w:p>
    <w:p>
      <w:pPr>
        <w:jc w:val="both"/>
        <w:ind w:firstLine="527"/>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86"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8"/>
          <w:szCs w:val="18"/>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also advised the Company that, pursuant to procedures established by it:</w:t>
      </w:r>
    </w:p>
    <w:p>
      <w:pPr>
        <w:spacing w:after="0" w:line="239" w:lineRule="exact"/>
        <w:rPr>
          <w:sz w:val="20"/>
          <w:szCs w:val="20"/>
          <w:color w:val="auto"/>
        </w:rPr>
      </w:pPr>
    </w:p>
    <w:p>
      <w:pPr>
        <w:ind w:left="108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the Participants designated by the initial purchasers with portions of the principal amount of the global notes; and</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6"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Investors in the U.S. global note who are Participants may hold their interests therein directly through DTC. Investors in the U.S. global note who are not Participants may hold their interests therein indirectly through organizations (including Euroclear and Clearstream) that are Participants. Euroclear and Clearstream will hold interests in the offshore global note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91" w:lineRule="exact"/>
        <w:rPr>
          <w:sz w:val="20"/>
          <w:szCs w:val="20"/>
          <w:color w:val="auto"/>
        </w:rPr>
      </w:pPr>
    </w:p>
    <w:p>
      <w:pPr>
        <w:jc w:val="both"/>
        <w:ind w:right="20" w:firstLine="378"/>
        <w:spacing w:after="0" w:line="277"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04"/>
        <w:spacing w:after="0" w:line="275"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74"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securities registrar, nor any agent of the Company, the trustee or the securities registrar has or will have any responsibility or liability for:</w:t>
      </w:r>
    </w:p>
    <w:p>
      <w:pPr>
        <w:spacing w:after="0" w:line="200" w:lineRule="exact"/>
        <w:rPr>
          <w:sz w:val="20"/>
          <w:szCs w:val="20"/>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both"/>
        <w:ind w:firstLine="483"/>
        <w:spacing w:after="0" w:line="254" w:lineRule="auto"/>
        <w:rPr>
          <w:sz w:val="20"/>
          <w:szCs w:val="20"/>
          <w:color w:val="auto"/>
        </w:rPr>
      </w:pPr>
      <w:r>
        <w:rPr>
          <w:rFonts w:ascii="Times New Roman" w:cs="Times New Roman" w:eastAsia="Times New Roman" w:hAnsi="Times New Roman"/>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92" w:lineRule="exact"/>
        <w:rPr>
          <w:sz w:val="20"/>
          <w:szCs w:val="20"/>
          <w:color w:val="auto"/>
        </w:rPr>
      </w:pPr>
    </w:p>
    <w:p>
      <w:pPr>
        <w:jc w:val="both"/>
        <w:ind w:firstLine="501"/>
        <w:spacing w:after="0" w:line="275" w:lineRule="auto"/>
        <w:rPr>
          <w:sz w:val="20"/>
          <w:szCs w:val="20"/>
          <w:color w:val="auto"/>
        </w:rPr>
      </w:pPr>
      <w:r>
        <w:rPr>
          <w:rFonts w:ascii="Times New Roman" w:cs="Times New Roman" w:eastAsia="Times New Roman" w:hAnsi="Times New Roman"/>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74"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9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U.S. global note and the offshore global note among participants in DTC,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Global notes will be deposited with a custodian for DTC, and registered in the name of a nominee of DTC.</w:t>
      </w:r>
    </w:p>
    <w:p>
      <w:pPr>
        <w:spacing w:after="0" w:line="22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90" w:lineRule="exact"/>
        <w:rPr>
          <w:sz w:val="20"/>
          <w:szCs w:val="20"/>
          <w:color w:val="auto"/>
        </w:rPr>
      </w:pPr>
    </w:p>
    <w:p>
      <w:pPr>
        <w:jc w:val="both"/>
        <w:ind w:firstLine="402"/>
        <w:spacing w:after="0" w:line="275" w:lineRule="auto"/>
        <w:rPr>
          <w:sz w:val="20"/>
          <w:szCs w:val="20"/>
          <w:color w:val="auto"/>
        </w:rPr>
      </w:pPr>
      <w:r>
        <w:rPr>
          <w:rFonts w:ascii="Times New Roman" w:cs="Times New Roman" w:eastAsia="Times New Roman" w:hAnsi="Times New Roman"/>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74" w:lineRule="exact"/>
        <w:rPr>
          <w:sz w:val="20"/>
          <w:szCs w:val="20"/>
          <w:color w:val="auto"/>
        </w:rPr>
      </w:pPr>
    </w:p>
    <w:p>
      <w:pPr>
        <w:jc w:val="both"/>
        <w:ind w:firstLine="358"/>
        <w:spacing w:after="0" w:line="254" w:lineRule="auto"/>
        <w:rPr>
          <w:sz w:val="20"/>
          <w:szCs w:val="20"/>
          <w:color w:val="auto"/>
        </w:rPr>
      </w:pPr>
      <w:r>
        <w:rPr>
          <w:rFonts w:ascii="Times New Roman" w:cs="Times New Roman" w:eastAsia="Times New Roman" w:hAnsi="Times New Roman"/>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229" w:lineRule="exact"/>
        <w:rPr>
          <w:sz w:val="20"/>
          <w:szCs w:val="20"/>
          <w:color w:val="auto"/>
        </w:rPr>
      </w:pPr>
    </w:p>
    <w:p>
      <w:pPr>
        <w:jc w:val="both"/>
        <w:ind w:right="20" w:firstLine="444"/>
        <w:spacing w:after="0" w:line="262" w:lineRule="auto"/>
        <w:rPr>
          <w:sz w:val="20"/>
          <w:szCs w:val="20"/>
          <w:color w:val="auto"/>
        </w:rPr>
      </w:pPr>
      <w:r>
        <w:rPr>
          <w:rFonts w:ascii="Times New Roman" w:cs="Times New Roman" w:eastAsia="Times New Roman" w:hAnsi="Times New Roman"/>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Same Day Settlement and Payment</w:t>
      </w:r>
    </w:p>
    <w:p>
      <w:pPr>
        <w:spacing w:after="0" w:line="229" w:lineRule="exact"/>
        <w:rPr>
          <w:sz w:val="20"/>
          <w:szCs w:val="20"/>
          <w:color w:val="auto"/>
        </w:rPr>
      </w:pPr>
    </w:p>
    <w:p>
      <w:pPr>
        <w:jc w:val="both"/>
        <w:ind w:right="20" w:firstLine="391"/>
        <w:spacing w:after="0" w:line="275" w:lineRule="auto"/>
        <w:rPr>
          <w:sz w:val="20"/>
          <w:szCs w:val="20"/>
          <w:color w:val="auto"/>
        </w:rPr>
      </w:pPr>
      <w:r>
        <w:rPr>
          <w:rFonts w:ascii="Times New Roman" w:cs="Times New Roman" w:eastAsia="Times New Roman" w:hAnsi="Times New Roman"/>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8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mailed to the address of the Person entitled to the payment as it appears in the security register; or</w:t>
      </w:r>
    </w:p>
    <w:p>
      <w:pPr>
        <w:spacing w:after="0" w:line="252"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62" w:lineRule="auto"/>
        <w:rPr>
          <w:sz w:val="20"/>
          <w:szCs w:val="20"/>
          <w:color w:val="auto"/>
        </w:rPr>
      </w:pPr>
      <w:r>
        <w:rPr>
          <w:rFonts w:ascii="Times New Roman" w:cs="Times New Roman" w:eastAsia="Times New Roman" w:hAnsi="Times New Roman"/>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86"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will receive notices at their addresses as they appear in the security register or in accordance with DTC's applicable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7"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Company may treat the Person in whose name a Note is registered on the applicable record date as the owner of the Note for all purposes, whether or not it is overdue.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227" w:lineRule="exact"/>
        <w:rPr>
          <w:sz w:val="20"/>
          <w:szCs w:val="20"/>
          <w:color w:val="auto"/>
        </w:rPr>
      </w:pPr>
    </w:p>
    <w:p>
      <w:pPr>
        <w:jc w:val="both"/>
        <w:ind w:firstLine="491"/>
        <w:spacing w:after="0" w:line="256" w:lineRule="auto"/>
        <w:rPr>
          <w:sz w:val="20"/>
          <w:szCs w:val="20"/>
          <w:color w:val="auto"/>
        </w:rPr>
      </w:pPr>
      <w:r>
        <w:rPr>
          <w:rFonts w:ascii="Times New Roman" w:cs="Times New Roman" w:eastAsia="Times New Roman" w:hAnsi="Times New Roman"/>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law will govern the Indenture and each series of the notes.</w:t>
      </w:r>
    </w:p>
    <w:p>
      <w:pPr>
        <w:spacing w:after="0" w:line="225" w:lineRule="exact"/>
        <w:rPr>
          <w:sz w:val="20"/>
          <w:szCs w:val="20"/>
          <w:color w:val="auto"/>
        </w:rPr>
      </w:pPr>
    </w:p>
    <w:p>
      <w:pPr>
        <w:jc w:val="both"/>
        <w:ind w:firstLine="377"/>
        <w:spacing w:after="0" w:line="262" w:lineRule="auto"/>
        <w:rPr>
          <w:sz w:val="20"/>
          <w:szCs w:val="20"/>
          <w:color w:val="auto"/>
        </w:rPr>
      </w:pPr>
      <w:r>
        <w:rPr>
          <w:rFonts w:ascii="Times New Roman" w:cs="Times New Roman" w:eastAsia="Times New Roman" w:hAnsi="Times New Roman"/>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86"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courts specified above and irrevocably and unconditionally waive and agree not to plead or claim any such suit, action or other proceeding has been brought in an inconvenient forum.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7" w:lineRule="exact"/>
        <w:rPr>
          <w:sz w:val="20"/>
          <w:szCs w:val="20"/>
          <w:color w:val="auto"/>
        </w:rPr>
      </w:pPr>
    </w:p>
    <w:p>
      <w:pPr>
        <w:jc w:val="both"/>
        <w:ind w:right="20" w:firstLine="486"/>
        <w:spacing w:after="0" w:line="275" w:lineRule="auto"/>
        <w:rPr>
          <w:sz w:val="20"/>
          <w:szCs w:val="20"/>
          <w:color w:val="auto"/>
        </w:rPr>
      </w:pPr>
      <w:r>
        <w:rPr>
          <w:rFonts w:ascii="Times New Roman" w:cs="Times New Roman" w:eastAsia="Times New Roman" w:hAnsi="Times New Roman"/>
          <w:sz w:val="18"/>
          <w:szCs w:val="18"/>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74"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9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This section is a discussion of the material U.S. federal income tax considerations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93" w:lineRule="exact"/>
        <w:rPr>
          <w:sz w:val="20"/>
          <w:szCs w:val="20"/>
          <w:color w:val="auto"/>
        </w:rPr>
      </w:pPr>
    </w:p>
    <w:p>
      <w:pPr>
        <w:jc w:val="both"/>
        <w:ind w:firstLine="391"/>
        <w:spacing w:after="0" w:line="287" w:lineRule="auto"/>
        <w:rPr>
          <w:sz w:val="20"/>
          <w:szCs w:val="20"/>
          <w:color w:val="auto"/>
        </w:rPr>
      </w:pPr>
      <w:r>
        <w:rPr>
          <w:rFonts w:ascii="Times New Roman" w:cs="Times New Roman" w:eastAsia="Times New Roman" w:hAnsi="Times New Roman"/>
          <w:sz w:val="16"/>
          <w:szCs w:val="16"/>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385" w:lineRule="exact"/>
        <w:rPr>
          <w:sz w:val="20"/>
          <w:szCs w:val="20"/>
          <w:color w:val="auto"/>
        </w:rPr>
      </w:pPr>
    </w:p>
    <w:p>
      <w:pPr>
        <w:jc w:val="both"/>
        <w:ind w:firstLine="661"/>
        <w:spacing w:after="0" w:line="262" w:lineRule="auto"/>
        <w:rPr>
          <w:sz w:val="20"/>
          <w:szCs w:val="20"/>
          <w:color w:val="auto"/>
        </w:rPr>
      </w:pPr>
      <w:r>
        <w:rPr>
          <w:rFonts w:ascii="Times New Roman" w:cs="Times New Roman" w:eastAsia="Times New Roman" w:hAnsi="Times New Roman"/>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93" w:lineRule="exact"/>
        <w:rPr>
          <w:sz w:val="20"/>
          <w:szCs w:val="20"/>
          <w:color w:val="auto"/>
        </w:rPr>
      </w:pPr>
    </w:p>
    <w:p>
      <w:pPr>
        <w:jc w:val="both"/>
        <w:ind w:firstLine="357"/>
        <w:spacing w:after="0" w:line="258" w:lineRule="auto"/>
        <w:rPr>
          <w:sz w:val="20"/>
          <w:szCs w:val="20"/>
          <w:color w:val="auto"/>
        </w:rPr>
      </w:pPr>
      <w:r>
        <w:rPr>
          <w:rFonts w:ascii="Times New Roman" w:cs="Times New Roman" w:eastAsia="Times New Roman" w:hAnsi="Times New Roman"/>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 their own tax advisors about the U.S. federal income tax consequences of purchasing, owning and disposing of the notes.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Additional payments</w:t>
      </w:r>
    </w:p>
    <w:p>
      <w:pPr>
        <w:spacing w:after="0" w:line="229" w:lineRule="exact"/>
        <w:rPr>
          <w:sz w:val="20"/>
          <w:szCs w:val="20"/>
          <w:color w:val="auto"/>
        </w:rPr>
      </w:pPr>
    </w:p>
    <w:p>
      <w:pPr>
        <w:jc w:val="both"/>
        <w:ind w:firstLine="444"/>
        <w:spacing w:after="0" w:line="291" w:lineRule="auto"/>
        <w:rPr>
          <w:sz w:val="20"/>
          <w:szCs w:val="20"/>
          <w:color w:val="auto"/>
        </w:rPr>
      </w:pPr>
      <w:r>
        <w:rPr>
          <w:rFonts w:ascii="Times New Roman" w:cs="Times New Roman" w:eastAsia="Times New Roman" w:hAnsi="Times New Roman"/>
          <w:sz w:val="16"/>
          <w:szCs w:val="16"/>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Taxation of interest</w:t>
      </w:r>
    </w:p>
    <w:p>
      <w:pPr>
        <w:spacing w:after="0" w:line="229" w:lineRule="exact"/>
        <w:rPr>
          <w:sz w:val="20"/>
          <w:szCs w:val="20"/>
          <w:color w:val="auto"/>
        </w:rPr>
      </w:pPr>
    </w:p>
    <w:p>
      <w:pPr>
        <w:jc w:val="both"/>
        <w:ind w:firstLine="436"/>
        <w:spacing w:after="0" w:line="275" w:lineRule="auto"/>
        <w:rPr>
          <w:sz w:val="20"/>
          <w:szCs w:val="20"/>
          <w:color w:val="auto"/>
        </w:rPr>
      </w:pPr>
      <w:r>
        <w:rPr>
          <w:rFonts w:ascii="Times New Roman" w:cs="Times New Roman" w:eastAsia="Times New Roman" w:hAnsi="Times New Roman"/>
          <w:sz w:val="18"/>
          <w:szCs w:val="18"/>
          <w:color w:val="auto"/>
        </w:rPr>
        <w:t>A U.S. holder will be required to recognize as ordinary income any stated interest paid or accrued on the notes, in accordance with such holder's regular method of tax accounting.</w:t>
      </w:r>
    </w:p>
    <w:p>
      <w:pPr>
        <w:spacing w:after="0" w:line="17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disposition of the notes</w:t>
      </w:r>
    </w:p>
    <w:p>
      <w:pPr>
        <w:spacing w:after="0" w:line="229"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Taxation of interest</w:t>
      </w:r>
    </w:p>
    <w:p>
      <w:pPr>
        <w:spacing w:after="0" w:line="229" w:lineRule="exact"/>
        <w:rPr>
          <w:sz w:val="20"/>
          <w:szCs w:val="20"/>
          <w:color w:val="auto"/>
        </w:rPr>
      </w:pPr>
    </w:p>
    <w:p>
      <w:pPr>
        <w:jc w:val="both"/>
        <w:ind w:firstLine="379"/>
        <w:spacing w:after="0" w:line="293" w:lineRule="auto"/>
        <w:rPr>
          <w:sz w:val="20"/>
          <w:szCs w:val="20"/>
          <w:color w:val="auto"/>
        </w:rPr>
      </w:pPr>
      <w:r>
        <w:rPr>
          <w:rFonts w:ascii="Times New Roman" w:cs="Times New Roman" w:eastAsia="Times New Roman" w:hAnsi="Times New Roman"/>
          <w:sz w:val="16"/>
          <w:szCs w:val="16"/>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178" w:lineRule="exact"/>
        <w:rPr>
          <w:sz w:val="20"/>
          <w:szCs w:val="20"/>
          <w:color w:val="auto"/>
        </w:rPr>
      </w:pPr>
    </w:p>
    <w:p>
      <w:pPr>
        <w:ind w:left="1080" w:right="2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within the meaning of Section 957(a) of the Code that is related, directly or indirectly, to us through sufficient stock ownership.</w:t>
      </w:r>
    </w:p>
    <w:p>
      <w:pPr>
        <w:spacing w:after="0" w:line="174" w:lineRule="exact"/>
        <w:rPr>
          <w:sz w:val="20"/>
          <w:szCs w:val="20"/>
          <w:color w:val="auto"/>
        </w:rPr>
      </w:pPr>
    </w:p>
    <w:p>
      <w:pPr>
        <w:jc w:val="both"/>
        <w:ind w:firstLine="389"/>
        <w:spacing w:after="0" w:line="275" w:lineRule="auto"/>
        <w:rPr>
          <w:sz w:val="20"/>
          <w:szCs w:val="20"/>
          <w:color w:val="auto"/>
        </w:rPr>
      </w:pPr>
      <w:r>
        <w:rPr>
          <w:rFonts w:ascii="Times New Roman" w:cs="Times New Roman" w:eastAsia="Times New Roman" w:hAnsi="Times New Roman"/>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7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disposition of the notes</w:t>
      </w:r>
    </w:p>
    <w:p>
      <w:pPr>
        <w:spacing w:after="0" w:line="229" w:lineRule="exact"/>
        <w:rPr>
          <w:sz w:val="20"/>
          <w:szCs w:val="20"/>
          <w:color w:val="auto"/>
        </w:rPr>
      </w:pPr>
    </w:p>
    <w:p>
      <w:pPr>
        <w:jc w:val="both"/>
        <w:ind w:firstLine="455"/>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204" w:lineRule="exact"/>
        <w:rPr>
          <w:sz w:val="20"/>
          <w:szCs w:val="20"/>
          <w:color w:val="auto"/>
        </w:rPr>
      </w:pPr>
    </w:p>
    <w:p>
      <w:pPr>
        <w:jc w:val="both"/>
        <w:ind w:left="1080" w:hanging="532"/>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Income or gains effectively connected with a U.S. trade or business</w:t>
      </w:r>
    </w:p>
    <w:p>
      <w:pPr>
        <w:spacing w:after="0" w:line="229" w:lineRule="exact"/>
        <w:rPr>
          <w:sz w:val="20"/>
          <w:szCs w:val="20"/>
          <w:color w:val="auto"/>
        </w:rPr>
      </w:pPr>
    </w:p>
    <w:p>
      <w:pPr>
        <w:jc w:val="both"/>
        <w:ind w:firstLine="402"/>
        <w:spacing w:after="0" w:line="288" w:lineRule="auto"/>
        <w:rPr>
          <w:sz w:val="20"/>
          <w:szCs w:val="20"/>
          <w:color w:val="auto"/>
        </w:rPr>
      </w:pPr>
      <w:r>
        <w:rPr>
          <w:rFonts w:ascii="Times New Roman" w:cs="Times New Roman" w:eastAsia="Times New Roman" w:hAnsi="Times New Roman"/>
          <w:sz w:val="16"/>
          <w:szCs w:val="16"/>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7"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Payments of interest to U.S. holders generally will be subject to information reporting, and generally will be subject to backup withholding, unless the holder</w:t>
      </w:r>
    </w:p>
    <w:p>
      <w:pPr>
        <w:spacing w:after="0" w:line="44" w:lineRule="exact"/>
        <w:rPr>
          <w:sz w:val="20"/>
          <w:szCs w:val="20"/>
          <w:color w:val="auto"/>
        </w:rPr>
      </w:pPr>
    </w:p>
    <w:p>
      <w:pPr>
        <w:jc w:val="both"/>
        <w:ind w:firstLine="8"/>
        <w:spacing w:after="0" w:line="295" w:lineRule="auto"/>
        <w:tabs>
          <w:tab w:leader="none" w:pos="25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63" w:lineRule="exact"/>
        <w:rPr>
          <w:sz w:val="20"/>
          <w:szCs w:val="20"/>
          <w:color w:val="auto"/>
        </w:rPr>
      </w:pPr>
    </w:p>
    <w:p>
      <w:pPr>
        <w:jc w:val="both"/>
        <w:ind w:firstLine="438"/>
        <w:spacing w:after="0" w:line="255" w:lineRule="auto"/>
        <w:rPr>
          <w:sz w:val="20"/>
          <w:szCs w:val="20"/>
          <w:color w:val="auto"/>
        </w:rPr>
      </w:pPr>
      <w:r>
        <w:rPr>
          <w:rFonts w:ascii="Times New Roman" w:cs="Times New Roman" w:eastAsia="Times New Roman" w:hAnsi="Times New Roman"/>
          <w:sz w:val="18"/>
          <w:szCs w:val="18"/>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93" w:lineRule="exact"/>
        <w:rPr>
          <w:sz w:val="20"/>
          <w:szCs w:val="20"/>
          <w:color w:val="auto"/>
        </w:rPr>
      </w:pPr>
    </w:p>
    <w:p>
      <w:pPr>
        <w:jc w:val="both"/>
        <w:ind w:firstLine="348"/>
        <w:spacing w:after="0" w:line="275" w:lineRule="auto"/>
        <w:rPr>
          <w:sz w:val="20"/>
          <w:szCs w:val="20"/>
          <w:color w:val="auto"/>
        </w:rPr>
      </w:pPr>
      <w:r>
        <w:rPr>
          <w:rFonts w:ascii="Times New Roman" w:cs="Times New Roman" w:eastAsia="Times New Roman" w:hAnsi="Times New Roman"/>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 and Guidance Relating to Foreign Accounts</w:t>
      </w:r>
    </w:p>
    <w:p>
      <w:pPr>
        <w:spacing w:after="0" w:line="227" w:lineRule="exact"/>
        <w:rPr>
          <w:sz w:val="20"/>
          <w:szCs w:val="20"/>
          <w:color w:val="auto"/>
        </w:rPr>
      </w:pPr>
    </w:p>
    <w:p>
      <w:pPr>
        <w:jc w:val="both"/>
        <w:ind w:firstLine="359"/>
        <w:spacing w:after="0" w:line="285" w:lineRule="auto"/>
        <w:rPr>
          <w:sz w:val="20"/>
          <w:szCs w:val="20"/>
          <w:color w:val="auto"/>
        </w:rPr>
      </w:pPr>
      <w:r>
        <w:rPr>
          <w:rFonts w:ascii="Times New Roman" w:cs="Times New Roman" w:eastAsia="Times New Roman" w:hAnsi="Times New Roman"/>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w:t>
      </w:r>
    </w:p>
    <w:p>
      <w:pPr>
        <w:jc w:val="both"/>
        <w:ind w:firstLine="8"/>
        <w:spacing w:after="0" w:line="281" w:lineRule="auto"/>
        <w:tabs>
          <w:tab w:leader="none" w:pos="21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w:t>
      </w:r>
    </w:p>
    <w:p>
      <w:pPr>
        <w:spacing w:after="0" w:line="1" w:lineRule="exact"/>
        <w:rPr>
          <w:rFonts w:ascii="Times New Roman" w:cs="Times New Roman" w:eastAsia="Times New Roman" w:hAnsi="Times New Roman"/>
          <w:sz w:val="16"/>
          <w:szCs w:val="16"/>
          <w:color w:val="auto"/>
        </w:rPr>
      </w:pPr>
    </w:p>
    <w:p>
      <w:pPr>
        <w:jc w:val="both"/>
        <w:ind w:firstLine="8"/>
        <w:spacing w:after="0" w:line="287" w:lineRule="auto"/>
        <w:tabs>
          <w:tab w:leader="none" w:pos="32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our common stock, which may be relied upon by taxpayers until final regulations are issued. Prospective investors should consult their tax advisors regarding FATCA.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7" w:lineRule="exact"/>
        <w:rPr>
          <w:sz w:val="20"/>
          <w:szCs w:val="20"/>
          <w:color w:val="auto"/>
        </w:rPr>
      </w:pPr>
    </w:p>
    <w:p>
      <w:pPr>
        <w:jc w:val="both"/>
        <w:ind w:firstLine="423"/>
        <w:spacing w:after="0" w:line="310" w:lineRule="auto"/>
        <w:rPr>
          <w:sz w:val="20"/>
          <w:szCs w:val="20"/>
          <w:color w:val="auto"/>
        </w:rPr>
      </w:pPr>
      <w:r>
        <w:rPr>
          <w:rFonts w:ascii="Times New Roman" w:cs="Times New Roman" w:eastAsia="Times New Roman" w:hAnsi="Times New Roman"/>
          <w:sz w:val="16"/>
          <w:szCs w:val="16"/>
          <w:color w:val="auto"/>
        </w:rPr>
        <w:t>Subject to the terms and conditions stated in the underwriting agreement dated the date of this prospectus supplement, each underwriter named below, for whom Morgan Stanley &amp; Co. LLC, BNP Paribas Securities Corp. and Credit Suisse Securities (USA) LLC are acting as representatives, has severally agreed to purchase, and we have agreed to sell to that underwriter, the aggregate principal amount of notes set forth opposite the underwriter's name in the following table:</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65"/>
        </w:trPr>
        <w:tc>
          <w:tcPr>
            <w:tcW w:w="4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2029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ANZ Securities, Inc.</w:t>
            </w:r>
          </w:p>
        </w:tc>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93"/>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90"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7"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0.20% of the principal amount of the 2024 notes, 0.20% of the principal amount of the 2026 notes and 0.25% of the principal amount of the 2029 notes. The underwriters may allow, and any such dealer may reallow, a concession not to exceed 0.10% of the principal amount of the 2024 notes, 0.10% of the principal amount of the 2026 notes and 0.125% of the principal amount of the 2029 notes. After the initial offering of the notes to the public, the representatives may change the public offering price and other selling terms.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Paid by Micron</w:t>
            </w:r>
          </w:p>
        </w:tc>
      </w:tr>
      <w:tr>
        <w:trPr>
          <w:trHeight w:val="165"/>
        </w:trPr>
        <w:tc>
          <w:tcPr>
            <w:tcW w:w="3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Technology, Inc.</w:t>
            </w:r>
          </w:p>
        </w:tc>
        <w:tc>
          <w:tcPr>
            <w:tcW w:w="16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2024 Note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0.350%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2024 Notes Total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2,100,000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2026 Note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2026 Notes Total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2029 Note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0.450%</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2029 Notes Total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3,150,000</w:t>
            </w:r>
          </w:p>
        </w:tc>
      </w:tr>
    </w:tbl>
    <w:p>
      <w:pPr>
        <w:spacing w:after="0" w:line="189" w:lineRule="exact"/>
        <w:rPr>
          <w:sz w:val="20"/>
          <w:szCs w:val="20"/>
          <w:color w:val="auto"/>
        </w:rPr>
      </w:pPr>
    </w:p>
    <w:p>
      <w:pPr>
        <w:jc w:val="both"/>
        <w:ind w:firstLine="406"/>
        <w:spacing w:after="0" w:line="275" w:lineRule="auto"/>
        <w:rPr>
          <w:sz w:val="20"/>
          <w:szCs w:val="20"/>
          <w:color w:val="auto"/>
        </w:rPr>
      </w:pPr>
      <w:r>
        <w:rPr>
          <w:rFonts w:ascii="Times New Roman" w:cs="Times New Roman" w:eastAsia="Times New Roman" w:hAnsi="Times New Roman"/>
          <w:sz w:val="18"/>
          <w:szCs w:val="18"/>
          <w:color w:val="auto"/>
        </w:rPr>
        <w:t>We estimate that our total expenses for this offering, other than underwriting discounts, will be approximately $4 million. The underwriters have agreed to reimburse us for certain expenses incurred in connection with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227" w:lineRule="exact"/>
        <w:rPr>
          <w:sz w:val="20"/>
          <w:szCs w:val="20"/>
          <w:color w:val="auto"/>
        </w:rPr>
      </w:pPr>
    </w:p>
    <w:p>
      <w:pPr>
        <w:jc w:val="both"/>
        <w:ind w:firstLine="417"/>
        <w:spacing w:after="0" w:line="254" w:lineRule="auto"/>
        <w:rPr>
          <w:sz w:val="20"/>
          <w:szCs w:val="20"/>
          <w:color w:val="auto"/>
        </w:rPr>
      </w:pPr>
      <w:r>
        <w:rPr>
          <w:rFonts w:ascii="Times New Roman" w:cs="Times New Roman" w:eastAsia="Times New Roman" w:hAnsi="Times New Roman"/>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227"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93" w:lineRule="exact"/>
        <w:rPr>
          <w:sz w:val="20"/>
          <w:szCs w:val="20"/>
          <w:color w:val="auto"/>
        </w:rPr>
      </w:pPr>
    </w:p>
    <w:p>
      <w:pPr>
        <w:jc w:val="both"/>
        <w:ind w:firstLine="362"/>
        <w:spacing w:after="0" w:line="26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86"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have agreed that we will not, until the closing date, without first obtaining the prior written consent of the representatives, offer, sell, contract to sell or otherwise dispose of any debt securities of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warrants to purchase debt securities of the Company, except for the notes sold to the underwriters pursuant to the underwriting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7"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8"/>
          <w:szCs w:val="18"/>
          <w:color w:val="auto"/>
        </w:rPr>
        <w:t>Affiliates of Wells Fargo Securities, LLC will receive at least 5% of the net proceeds of this offering in connection with the repayment of our 3.00% Convertible Senior Notes due 2043. See "Use of Proceeds." Accordingly, this offering is being made in compliance with the requirements of Rule 5121 of FINRA. Because the notes to be offered will be rated investment grade, pursuant to Rule 5121, the appointment of a qualified independent underwriter is not necessary. Wells Fargo Securities, LLC will not confirm sales of the notes to any account over which it exercises discretionary authority without the prior written approval of the customer.</w:t>
      </w:r>
    </w:p>
    <w:p>
      <w:pPr>
        <w:spacing w:after="0" w:line="193" w:lineRule="exact"/>
        <w:rPr>
          <w:sz w:val="20"/>
          <w:szCs w:val="20"/>
          <w:color w:val="auto"/>
        </w:rPr>
      </w:pPr>
    </w:p>
    <w:p>
      <w:pPr>
        <w:jc w:val="both"/>
        <w:ind w:firstLine="376"/>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Securities constituting part of its allotment solely outside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7" w:lineRule="exact"/>
        <w:rPr>
          <w:sz w:val="20"/>
          <w:szCs w:val="20"/>
          <w:color w:val="auto"/>
        </w:rPr>
      </w:pPr>
    </w:p>
    <w:p>
      <w:pPr>
        <w:jc w:val="both"/>
        <w:ind w:firstLine="373"/>
        <w:spacing w:after="0" w:line="262" w:lineRule="auto"/>
        <w:rPr>
          <w:sz w:val="20"/>
          <w:szCs w:val="20"/>
          <w:color w:val="auto"/>
        </w:rPr>
      </w:pPr>
      <w:r>
        <w:rPr>
          <w:rFonts w:ascii="Times New Roman" w:cs="Times New Roman" w:eastAsia="Times New Roman" w:hAnsi="Times New Roman"/>
          <w:sz w:val="18"/>
          <w:szCs w:val="18"/>
          <w:color w:val="auto"/>
        </w:rPr>
        <w:t>Certain of the underwriters and their affiliates have in the past provided, and may in the future provide, investment banking, commercial banking, derivative transactions and financial advisory services to us and our affiliates in the ordinary course of business for which they have received or will receive customary fees and reimbursement of expenses.</w:t>
      </w:r>
    </w:p>
    <w:p>
      <w:pPr>
        <w:spacing w:after="0" w:line="186" w:lineRule="exact"/>
        <w:rPr>
          <w:sz w:val="20"/>
          <w:szCs w:val="20"/>
          <w:color w:val="auto"/>
        </w:rPr>
      </w:pPr>
    </w:p>
    <w:p>
      <w:pPr>
        <w:jc w:val="both"/>
        <w:ind w:firstLine="496"/>
        <w:spacing w:after="0" w:line="289" w:lineRule="auto"/>
        <w:rPr>
          <w:sz w:val="20"/>
          <w:szCs w:val="20"/>
          <w:color w:val="auto"/>
        </w:rPr>
      </w:pPr>
      <w:r>
        <w:rPr>
          <w:rFonts w:ascii="Times New Roman" w:cs="Times New Roman" w:eastAsia="Times New Roman" w:hAnsi="Times New Roman"/>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7"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color w:val="auto"/>
        </w:rPr>
        <w:t>Certain of the underwriters and/or their affiliates may hold positions in certain of our outstanding notes and/or may be agents and/or lenders in our credit facility. For example, certain affiliates of Morgan Stanley &amp; Co. LLC are lenders under our senior secured Term Loan B notes and hold a portion of our 3.00% Convertible Senior Notes due 2043. As a result, they may receive a portion of any net proceeds of this offering used to repay such indebtedness. See "Use of Proceeds."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U.S. Bank National Association serves as the trustee for the indenture governing each series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7" w:lineRule="exact"/>
        <w:rPr>
          <w:sz w:val="20"/>
          <w:szCs w:val="20"/>
          <w:color w:val="auto"/>
        </w:rPr>
      </w:pPr>
    </w:p>
    <w:p>
      <w:pPr>
        <w:jc w:val="both"/>
        <w:ind w:firstLine="402"/>
        <w:spacing w:after="0" w:line="258" w:lineRule="auto"/>
        <w:rPr>
          <w:sz w:val="20"/>
          <w:szCs w:val="20"/>
          <w:color w:val="auto"/>
        </w:rPr>
      </w:pPr>
      <w:r>
        <w:rPr>
          <w:rFonts w:ascii="Times New Roman" w:cs="Times New Roman" w:eastAsia="Times New Roman" w:hAnsi="Times New Roman"/>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90" w:lineRule="exact"/>
        <w:rPr>
          <w:sz w:val="20"/>
          <w:szCs w:val="20"/>
          <w:color w:val="auto"/>
        </w:rPr>
      </w:pPr>
    </w:p>
    <w:p>
      <w:pPr>
        <w:jc w:val="both"/>
        <w:ind w:firstLine="515"/>
        <w:spacing w:after="0" w:line="301"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of Sales to EEA Retail Investors</w:t>
      </w:r>
    </w:p>
    <w:p>
      <w:pPr>
        <w:spacing w:after="0" w:line="227" w:lineRule="exact"/>
        <w:rPr>
          <w:sz w:val="20"/>
          <w:szCs w:val="20"/>
          <w:color w:val="auto"/>
        </w:rPr>
      </w:pPr>
    </w:p>
    <w:p>
      <w:pPr>
        <w:jc w:val="both"/>
        <w:ind w:firstLine="481"/>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Directive 2003/71/EC (as amended or superseded,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preliminary prospectus supplement has been prepared on the basis that any offer of notes in any member state of the EEA which has implemented the Prospectus Directive will be made pursuant to an exemption under the Prospectus Directive from the requirement to publish a prospectus for offers of notes. This preliminary prospectus supplement is not a prospectus for the purposes of the Prospectus Directive.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7"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Company; and (ii) it has complied and will comply with all applicable provisions of the FSMA with respect to anything done by it in relation to the notes in, from or otherwise involving the United Kingdom.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7" w:lineRule="exact"/>
        <w:rPr>
          <w:sz w:val="20"/>
          <w:szCs w:val="20"/>
          <w:color w:val="auto"/>
        </w:rPr>
      </w:pPr>
    </w:p>
    <w:p>
      <w:pPr>
        <w:jc w:val="both"/>
        <w:ind w:firstLine="438"/>
        <w:spacing w:after="0" w:line="275"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7"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7" w:lineRule="exact"/>
        <w:rPr>
          <w:sz w:val="20"/>
          <w:szCs w:val="20"/>
          <w:color w:val="auto"/>
        </w:rPr>
      </w:pPr>
    </w:p>
    <w:p>
      <w:pPr>
        <w:jc w:val="both"/>
        <w:ind w:firstLine="474"/>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the transfer is by operation of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Securities and Futures Act Product Classification</w:t>
      </w:r>
    </w:p>
    <w:p>
      <w:pPr>
        <w:spacing w:after="0" w:line="227" w:lineRule="exact"/>
        <w:rPr>
          <w:sz w:val="20"/>
          <w:szCs w:val="20"/>
          <w:color w:val="auto"/>
        </w:rPr>
      </w:pPr>
    </w:p>
    <w:p>
      <w:pPr>
        <w:jc w:val="both"/>
        <w:ind w:firstLine="410"/>
        <w:spacing w:after="0" w:line="258"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7"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93" w:lineRule="exact"/>
        <w:rPr>
          <w:sz w:val="20"/>
          <w:szCs w:val="20"/>
          <w:color w:val="auto"/>
        </w:rPr>
      </w:pPr>
    </w:p>
    <w:p>
      <w:pPr>
        <w:jc w:val="both"/>
        <w:ind w:firstLine="43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7" w:lineRule="exact"/>
        <w:rPr>
          <w:sz w:val="20"/>
          <w:szCs w:val="20"/>
          <w:color w:val="auto"/>
        </w:rPr>
      </w:pPr>
    </w:p>
    <w:p>
      <w:pPr>
        <w:jc w:val="both"/>
        <w:ind w:firstLine="528"/>
        <w:spacing w:after="0" w:line="275"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30, 2018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jc w:val="both"/>
        <w:ind w:firstLine="735"/>
        <w:spacing w:after="0" w:line="310"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information with the SEC. The SEC maintains an Internet 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from which interested persons can electronically access any document we file electronically with the SEC, including the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of which this prospectus supplement and the accompanying prospectus form a part, including the exhibits and schedules to the registration statement.</w:t>
      </w:r>
    </w:p>
    <w:p>
      <w:pPr>
        <w:spacing w:after="0" w:line="151" w:lineRule="exact"/>
        <w:rPr>
          <w:sz w:val="20"/>
          <w:szCs w:val="20"/>
          <w:color w:val="auto"/>
        </w:rPr>
      </w:pPr>
    </w:p>
    <w:p>
      <w:pPr>
        <w:jc w:val="both"/>
        <w:ind w:firstLine="453"/>
        <w:spacing w:after="0" w:line="254" w:lineRule="auto"/>
        <w:rPr>
          <w:sz w:val="20"/>
          <w:szCs w:val="20"/>
          <w:color w:val="auto"/>
        </w:rPr>
      </w:pPr>
      <w:r>
        <w:rPr>
          <w:rFonts w:ascii="Times New Roman" w:cs="Times New Roman" w:eastAsia="Times New Roman" w:hAnsi="Times New Roman"/>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209"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August 30, 2018;</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November 29, 2018;</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specifically incorporated by reference into our Annual Report on Form 10-K for the fiscal year ended August 30, 2018, from our Definitive Proxy Statement on Schedule 14A, filed with the SEC on December 6, 2018; and</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September 20, 2018, October 17, 2018, October 18, 2018, November 14, 2018, December 6, 2018, January 14, 2019, January 22, 2019, and February 1, 2019.</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You may request a copy of these filings at no cost by contacting our Investor Relations department by visiting our Web site at </w:t>
      </w:r>
      <w:r>
        <w:rPr>
          <w:rFonts w:ascii="Times New Roman" w:cs="Times New Roman" w:eastAsia="Times New Roman" w:hAnsi="Times New Roman"/>
          <w:sz w:val="16"/>
          <w:szCs w:val="16"/>
          <w:i w:val="1"/>
          <w:iCs w:val="1"/>
          <w:color w:val="auto"/>
        </w:rPr>
        <w:t>www.micron.com</w:t>
      </w:r>
      <w:r>
        <w:rPr>
          <w:rFonts w:ascii="Times New Roman" w:cs="Times New Roman" w:eastAsia="Times New Roman" w:hAnsi="Times New Roman"/>
          <w:sz w:val="16"/>
          <w:szCs w:val="16"/>
          <w:color w:val="auto"/>
        </w:rPr>
        <w:t>, by calling</w:t>
      </w:r>
    </w:p>
    <w:p>
      <w:pPr>
        <w:spacing w:after="0" w:line="46" w:lineRule="exact"/>
        <w:rPr>
          <w:sz w:val="20"/>
          <w:szCs w:val="20"/>
          <w:color w:val="auto"/>
        </w:rPr>
      </w:pPr>
    </w:p>
    <w:p>
      <w:pPr>
        <w:ind w:firstLine="8"/>
        <w:spacing w:after="0" w:line="261" w:lineRule="auto"/>
        <w:tabs>
          <w:tab w:leader="none" w:pos="4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153670</wp:posOffset>
            </wp:positionV>
            <wp:extent cx="3636010" cy="1012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We may offer and sell the securities identified above from time to time in one or more offerings. This prospectus provides you with a general description of the securities.</w:t>
      </w:r>
    </w:p>
    <w:p>
      <w:pPr>
        <w:spacing w:after="0" w:line="174"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20" w:firstLine="35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18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"MU." On October 9, 2017, the last reported sale price of our common stock on NASDAQ was $40.96 per share.</w:t>
      </w:r>
    </w:p>
    <w:p>
      <w:pPr>
        <w:spacing w:after="0" w:line="172"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8800" w:type="dxa"/>
            <w:vAlign w:val="bottom"/>
            <w:gridSpan w:val="10"/>
            <w:vMerge w:val="restart"/>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Times New Roman" w:cs="Times New Roman" w:eastAsia="Times New Roman" w:hAnsi="Times New Roman"/>
                <w:sz w:val="18"/>
                <w:szCs w:val="18"/>
                <w:color w:val="0000EE"/>
                <w:w w:val="91"/>
              </w:rPr>
            </w:pPr>
            <w:hyperlink w:anchor="page61">
              <w:r>
                <w:rPr>
                  <w:rFonts w:ascii="Times New Roman" w:cs="Times New Roman" w:eastAsia="Times New Roman" w:hAnsi="Times New Roman"/>
                  <w:sz w:val="18"/>
                  <w:szCs w:val="18"/>
                  <w:color w:val="0000EE"/>
                  <w:w w:val="91"/>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Times New Roman" w:cs="Times New Roman" w:eastAsia="Times New Roman" w:hAnsi="Times New Roman"/>
                <w:sz w:val="18"/>
                <w:szCs w:val="18"/>
                <w:color w:val="0000EE"/>
                <w:w w:val="93"/>
              </w:rPr>
            </w:pPr>
            <w:hyperlink w:anchor="page62">
              <w:r>
                <w:rPr>
                  <w:rFonts w:ascii="Times New Roman" w:cs="Times New Roman" w:eastAsia="Times New Roman" w:hAnsi="Times New Roman"/>
                  <w:sz w:val="18"/>
                  <w:szCs w:val="18"/>
                  <w:color w:val="0000EE"/>
                  <w:w w:val="93"/>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RATIO OF EARNINGS TO FIXED CHARGES</w:t>
              </w:r>
            </w:hyperlink>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7">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10</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9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99" w:lineRule="exact"/>
        <w:rPr>
          <w:sz w:val="20"/>
          <w:szCs w:val="20"/>
          <w:color w:val="auto"/>
        </w:rPr>
      </w:pPr>
    </w:p>
    <w:p>
      <w:pPr>
        <w:ind w:right="240" w:firstLine="348"/>
        <w:spacing w:after="0" w:line="339" w:lineRule="auto"/>
        <w:rPr>
          <w:sz w:val="20"/>
          <w:szCs w:val="20"/>
          <w:color w:val="auto"/>
        </w:rPr>
      </w:pPr>
      <w:r>
        <w:rPr>
          <w:rFonts w:ascii="Times New Roman" w:cs="Times New Roman" w:eastAsia="Times New Roman" w:hAnsi="Times New Roman"/>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web site address is www.micron.com. The information on our web site, however, is not, and should not be deemed to be, a part of this prospectus.</w:t>
      </w:r>
    </w:p>
    <w:p>
      <w:pPr>
        <w:spacing w:after="0" w:line="22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7"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3"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87" w:lineRule="exact"/>
        <w:rPr>
          <w:sz w:val="20"/>
          <w:szCs w:val="20"/>
          <w:color w:val="auto"/>
        </w:rPr>
      </w:pPr>
    </w:p>
    <w:p>
      <w:pPr>
        <w:ind w:left="1080" w:right="6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September 1, 2016 (as updated by the Current Report on Form 8-K filed with the SEC on October 10, 2017).</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December 1, 2016, March 2, 2017 and June 1, 2017.</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specifically incorporated by reference into our Annual Report on Form 10-K for the fiscal year ended September 1, 2016 from our Definitive Proxy Statement on Schedule 14A filed on December 8, 2016.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6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13"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174"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86" w:lineRule="exact"/>
        <w:rPr>
          <w:sz w:val="20"/>
          <w:szCs w:val="20"/>
          <w:color w:val="auto"/>
        </w:rPr>
      </w:pPr>
    </w:p>
    <w:p>
      <w:pPr>
        <w:ind w:right="740" w:firstLine="345"/>
        <w:spacing w:after="0" w:line="275"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(208) 368-4000</w:t>
      </w:r>
    </w:p>
    <w:p>
      <w:pPr>
        <w:spacing w:after="0" w:line="213" w:lineRule="exact"/>
        <w:rPr>
          <w:sz w:val="20"/>
          <w:szCs w:val="20"/>
          <w:color w:val="auto"/>
        </w:rPr>
      </w:pPr>
    </w:p>
    <w:p>
      <w:pPr>
        <w:ind w:right="820" w:firstLine="351"/>
        <w:spacing w:after="0" w:line="275"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and any accompanying prospectus supplement.</w:t>
      </w:r>
    </w:p>
    <w:p>
      <w:pPr>
        <w:spacing w:after="0" w:line="174"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or any document incorporated herein is not, and should not be deemed to be, a part of this prospectus.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90"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intend to use the net proceeds from the sale of the securities as set forth in the applicable prospectus supplement.</w:t>
      </w:r>
    </w:p>
    <w:p>
      <w:pPr>
        <w:spacing w:after="0" w:line="2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3"/>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Ended June 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8.3x</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56"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$0.10 per share, of the Company;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74"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jc w:val="both"/>
        <w:ind w:right="160" w:firstLine="348"/>
        <w:spacing w:after="0" w:line="26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i w:val="1"/>
          <w:iCs w:val="1"/>
          <w:color w:val="auto"/>
        </w:rPr>
        <w:t>$1,800,000,000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166370</wp:posOffset>
            </wp:positionV>
            <wp:extent cx="3636010" cy="1012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i w:val="1"/>
          <w:iCs w:val="1"/>
          <w:color w:val="auto"/>
        </w:rPr>
        <w:t>Micron Technology, Inc.</w:t>
      </w:r>
    </w:p>
    <w:p>
      <w:pPr>
        <w:spacing w:after="0" w:line="2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i w:val="1"/>
          <w:iCs w:val="1"/>
          <w:color w:val="auto"/>
        </w:rPr>
        <w:t>$600,000,000 4.640% Senior Notes due 2024</w:t>
      </w:r>
    </w:p>
    <w:p>
      <w:pPr>
        <w:spacing w:after="0" w:line="2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i w:val="1"/>
          <w:iCs w:val="1"/>
          <w:color w:val="auto"/>
        </w:rPr>
        <w:t>$500,000,000 4.975% Senior Notes due 2026</w:t>
      </w:r>
    </w:p>
    <w:p>
      <w:pPr>
        <w:spacing w:after="0" w:line="2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i w:val="1"/>
          <w:iCs w:val="1"/>
          <w:color w:val="auto"/>
        </w:rPr>
        <w:t>$700,000,000 5.327%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152400</wp:posOffset>
            </wp:positionV>
            <wp:extent cx="15347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040" w:type="dxa"/>
            <w:vAlign w:val="bottom"/>
          </w:tcPr>
          <w:p>
            <w:pPr>
              <w:ind w:left="1140"/>
              <w:spacing w:after="0"/>
              <w:rPr>
                <w:sz w:val="20"/>
                <w:szCs w:val="20"/>
                <w:color w:val="auto"/>
              </w:rPr>
            </w:pPr>
            <w:r>
              <w:rPr>
                <w:rFonts w:ascii="Times New Roman" w:cs="Times New Roman" w:eastAsia="Times New Roman" w:hAnsi="Times New Roman"/>
                <w:sz w:val="24"/>
                <w:szCs w:val="24"/>
                <w:b w:val="1"/>
                <w:bCs w:val="1"/>
                <w:i w:val="1"/>
                <w:iCs w:val="1"/>
                <w:color w:val="auto"/>
              </w:rPr>
              <w:t>Morgan Stanley</w:t>
            </w:r>
          </w:p>
        </w:tc>
        <w:tc>
          <w:tcPr>
            <w:tcW w:w="1820" w:type="dxa"/>
            <w:vAlign w:val="bottom"/>
          </w:tcPr>
          <w:p>
            <w:pPr>
              <w:spacing w:after="0"/>
              <w:rPr>
                <w:sz w:val="24"/>
                <w:szCs w:val="24"/>
                <w:color w:val="auto"/>
              </w:rPr>
            </w:pPr>
          </w:p>
        </w:tc>
        <w:tc>
          <w:tcPr>
            <w:tcW w:w="3480" w:type="dxa"/>
            <w:vAlign w:val="bottom"/>
          </w:tcPr>
          <w:p>
            <w:pPr>
              <w:jc w:val="center"/>
              <w:ind w:right="1710"/>
              <w:spacing w:after="0"/>
              <w:rPr>
                <w:sz w:val="20"/>
                <w:szCs w:val="20"/>
                <w:color w:val="auto"/>
              </w:rPr>
            </w:pPr>
            <w:r>
              <w:rPr>
                <w:rFonts w:ascii="Times New Roman" w:cs="Times New Roman" w:eastAsia="Times New Roman" w:hAnsi="Times New Roman"/>
                <w:sz w:val="24"/>
                <w:szCs w:val="24"/>
                <w:b w:val="1"/>
                <w:bCs w:val="1"/>
                <w:i w:val="1"/>
                <w:iCs w:val="1"/>
                <w:color w:val="auto"/>
              </w:rPr>
              <w:t>BNP PARIBAS</w:t>
            </w:r>
          </w:p>
        </w:tc>
        <w:tc>
          <w:tcPr>
            <w:tcW w:w="3080" w:type="dxa"/>
            <w:vAlign w:val="bottom"/>
          </w:tcPr>
          <w:p>
            <w:pPr>
              <w:jc w:val="right"/>
              <w:ind w:right="1049"/>
              <w:spacing w:after="0"/>
              <w:rPr>
                <w:sz w:val="20"/>
                <w:szCs w:val="20"/>
                <w:color w:val="auto"/>
              </w:rPr>
            </w:pPr>
            <w:r>
              <w:rPr>
                <w:rFonts w:ascii="Times New Roman" w:cs="Times New Roman" w:eastAsia="Times New Roman" w:hAnsi="Times New Roman"/>
                <w:sz w:val="24"/>
                <w:szCs w:val="24"/>
                <w:b w:val="1"/>
                <w:bCs w:val="1"/>
                <w:i w:val="1"/>
                <w:iCs w:val="1"/>
                <w:color w:val="auto"/>
              </w:rPr>
              <w:t>Credit Suisse</w:t>
            </w:r>
          </w:p>
        </w:tc>
      </w:tr>
      <w:tr>
        <w:trPr>
          <w:trHeight w:val="230"/>
        </w:trPr>
        <w:tc>
          <w:tcPr>
            <w:tcW w:w="3040" w:type="dxa"/>
            <w:vAlign w:val="bottom"/>
          </w:tcPr>
          <w:p>
            <w:pPr>
              <w:ind w:left="1140"/>
              <w:spacing w:after="0"/>
              <w:rPr>
                <w:sz w:val="20"/>
                <w:szCs w:val="20"/>
                <w:color w:val="auto"/>
              </w:rPr>
            </w:pPr>
            <w:r>
              <w:rPr>
                <w:rFonts w:ascii="Times New Roman" w:cs="Times New Roman" w:eastAsia="Times New Roman" w:hAnsi="Times New Roman"/>
                <w:sz w:val="18"/>
                <w:szCs w:val="18"/>
                <w:i w:val="1"/>
                <w:iCs w:val="1"/>
                <w:color w:val="auto"/>
              </w:rPr>
              <w:t>Citigroup</w:t>
            </w:r>
          </w:p>
        </w:tc>
        <w:tc>
          <w:tcPr>
            <w:tcW w:w="182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HSBC</w:t>
            </w:r>
          </w:p>
        </w:tc>
        <w:tc>
          <w:tcPr>
            <w:tcW w:w="3480" w:type="dxa"/>
            <w:vAlign w:val="bottom"/>
          </w:tcPr>
          <w:p>
            <w:pPr>
              <w:ind w:left="1020"/>
              <w:spacing w:after="0"/>
              <w:rPr>
                <w:sz w:val="20"/>
                <w:szCs w:val="20"/>
                <w:color w:val="auto"/>
              </w:rPr>
            </w:pPr>
            <w:r>
              <w:rPr>
                <w:rFonts w:ascii="Times New Roman" w:cs="Times New Roman" w:eastAsia="Times New Roman" w:hAnsi="Times New Roman"/>
                <w:sz w:val="18"/>
                <w:szCs w:val="18"/>
                <w:i w:val="1"/>
                <w:iCs w:val="1"/>
                <w:color w:val="auto"/>
              </w:rPr>
              <w:t>J.P. Morgan</w:t>
            </w:r>
          </w:p>
        </w:tc>
        <w:tc>
          <w:tcPr>
            <w:tcW w:w="3080" w:type="dxa"/>
            <w:vAlign w:val="bottom"/>
          </w:tcPr>
          <w:p>
            <w:pPr>
              <w:jc w:val="right"/>
              <w:ind w:right="1049"/>
              <w:spacing w:after="0"/>
              <w:rPr>
                <w:sz w:val="20"/>
                <w:szCs w:val="20"/>
                <w:color w:val="auto"/>
              </w:rPr>
            </w:pPr>
            <w:r>
              <w:rPr>
                <w:rFonts w:ascii="Times New Roman" w:cs="Times New Roman" w:eastAsia="Times New Roman" w:hAnsi="Times New Roman"/>
                <w:sz w:val="18"/>
                <w:szCs w:val="18"/>
                <w:i w:val="1"/>
                <w:iCs w:val="1"/>
                <w:color w:val="auto"/>
              </w:rPr>
              <w:t>Mizuho Securities</w:t>
            </w:r>
          </w:p>
        </w:tc>
      </w:tr>
      <w:tr>
        <w:trPr>
          <w:trHeight w:val="432"/>
        </w:trPr>
        <w:tc>
          <w:tcPr>
            <w:tcW w:w="3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jc w:val="center"/>
              <w:ind w:right="1670"/>
              <w:spacing w:after="0"/>
              <w:rPr>
                <w:sz w:val="20"/>
                <w:szCs w:val="20"/>
                <w:color w:val="auto"/>
              </w:rPr>
            </w:pPr>
            <w:r>
              <w:rPr>
                <w:rFonts w:ascii="Times New Roman" w:cs="Times New Roman" w:eastAsia="Times New Roman" w:hAnsi="Times New Roman"/>
                <w:sz w:val="18"/>
                <w:szCs w:val="18"/>
                <w:i w:val="1"/>
                <w:iCs w:val="1"/>
                <w:color w:val="auto"/>
                <w:w w:val="97"/>
              </w:rPr>
              <w:t>Senior Co-Managers</w:t>
            </w:r>
          </w:p>
        </w:tc>
        <w:tc>
          <w:tcPr>
            <w:tcW w:w="3080" w:type="dxa"/>
            <w:vAlign w:val="bottom"/>
          </w:tcPr>
          <w:p>
            <w:pPr>
              <w:spacing w:after="0"/>
              <w:rPr>
                <w:sz w:val="24"/>
                <w:szCs w:val="24"/>
                <w:color w:val="auto"/>
              </w:rPr>
            </w:pPr>
          </w:p>
        </w:tc>
      </w:tr>
      <w:tr>
        <w:trPr>
          <w:trHeight w:val="432"/>
        </w:trPr>
        <w:tc>
          <w:tcPr>
            <w:tcW w:w="3040" w:type="dxa"/>
            <w:vAlign w:val="bottom"/>
          </w:tcPr>
          <w:p>
            <w:pPr>
              <w:ind w:left="1140"/>
              <w:spacing w:after="0"/>
              <w:rPr>
                <w:sz w:val="20"/>
                <w:szCs w:val="20"/>
                <w:color w:val="auto"/>
              </w:rPr>
            </w:pPr>
            <w:r>
              <w:rPr>
                <w:rFonts w:ascii="Times New Roman" w:cs="Times New Roman" w:eastAsia="Times New Roman" w:hAnsi="Times New Roman"/>
                <w:sz w:val="18"/>
                <w:szCs w:val="18"/>
                <w:i w:val="1"/>
                <w:iCs w:val="1"/>
                <w:color w:val="auto"/>
              </w:rPr>
              <w:t>Credit Agricole CIB</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w w:val="99"/>
              </w:rPr>
              <w:t>ICBC Standard Bank</w:t>
            </w:r>
          </w:p>
        </w:tc>
        <w:tc>
          <w:tcPr>
            <w:tcW w:w="348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The Williams Capital Group, L.P.</w:t>
            </w:r>
          </w:p>
        </w:tc>
        <w:tc>
          <w:tcPr>
            <w:tcW w:w="3080" w:type="dxa"/>
            <w:vAlign w:val="bottom"/>
          </w:tcPr>
          <w:p>
            <w:pPr>
              <w:jc w:val="right"/>
              <w:ind w:right="949"/>
              <w:spacing w:after="0"/>
              <w:rPr>
                <w:sz w:val="20"/>
                <w:szCs w:val="20"/>
                <w:color w:val="auto"/>
              </w:rPr>
            </w:pPr>
            <w:r>
              <w:rPr>
                <w:rFonts w:ascii="Times New Roman" w:cs="Times New Roman" w:eastAsia="Times New Roman" w:hAnsi="Times New Roman"/>
                <w:sz w:val="18"/>
                <w:szCs w:val="18"/>
                <w:i w:val="1"/>
                <w:iCs w:val="1"/>
                <w:color w:val="auto"/>
              </w:rPr>
              <w:t>Wells Fargo Securities</w:t>
            </w:r>
          </w:p>
        </w:tc>
      </w:tr>
      <w:tr>
        <w:trPr>
          <w:trHeight w:val="432"/>
        </w:trPr>
        <w:tc>
          <w:tcPr>
            <w:tcW w:w="3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jc w:val="center"/>
              <w:ind w:right="1690"/>
              <w:spacing w:after="0"/>
              <w:rPr>
                <w:sz w:val="20"/>
                <w:szCs w:val="20"/>
                <w:color w:val="auto"/>
              </w:rPr>
            </w:pPr>
            <w:r>
              <w:rPr>
                <w:rFonts w:ascii="Times New Roman" w:cs="Times New Roman" w:eastAsia="Times New Roman" w:hAnsi="Times New Roman"/>
                <w:sz w:val="18"/>
                <w:szCs w:val="18"/>
                <w:i w:val="1"/>
                <w:iCs w:val="1"/>
                <w:color w:val="auto"/>
                <w:w w:val="97"/>
              </w:rPr>
              <w:t>Co-Managers</w:t>
            </w:r>
          </w:p>
        </w:tc>
        <w:tc>
          <w:tcPr>
            <w:tcW w:w="3080" w:type="dxa"/>
            <w:vAlign w:val="bottom"/>
          </w:tcPr>
          <w:p>
            <w:pPr>
              <w:spacing w:after="0"/>
              <w:rPr>
                <w:sz w:val="24"/>
                <w:szCs w:val="24"/>
                <w:color w:val="auto"/>
              </w:rPr>
            </w:pPr>
          </w:p>
        </w:tc>
      </w:tr>
      <w:tr>
        <w:trPr>
          <w:trHeight w:val="380"/>
        </w:trPr>
        <w:tc>
          <w:tcPr>
            <w:tcW w:w="304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Goldman Sachs &amp; Co. LLC</w:t>
            </w:r>
          </w:p>
        </w:tc>
        <w:tc>
          <w:tcPr>
            <w:tcW w:w="1820" w:type="dxa"/>
            <w:vAlign w:val="bottom"/>
          </w:tcPr>
          <w:p>
            <w:pPr>
              <w:spacing w:after="0"/>
              <w:rPr>
                <w:sz w:val="24"/>
                <w:szCs w:val="24"/>
                <w:color w:val="auto"/>
              </w:rPr>
            </w:pPr>
          </w:p>
        </w:tc>
        <w:tc>
          <w:tcPr>
            <w:tcW w:w="3480" w:type="dxa"/>
            <w:vAlign w:val="bottom"/>
          </w:tcPr>
          <w:p>
            <w:pPr>
              <w:jc w:val="center"/>
              <w:ind w:right="1690"/>
              <w:spacing w:after="0"/>
              <w:rPr>
                <w:sz w:val="20"/>
                <w:szCs w:val="20"/>
                <w:color w:val="auto"/>
              </w:rPr>
            </w:pPr>
            <w:r>
              <w:rPr>
                <w:rFonts w:ascii="Times New Roman" w:cs="Times New Roman" w:eastAsia="Times New Roman" w:hAnsi="Times New Roman"/>
                <w:sz w:val="14"/>
                <w:szCs w:val="14"/>
                <w:i w:val="1"/>
                <w:iCs w:val="1"/>
                <w:color w:val="auto"/>
                <w:w w:val="93"/>
              </w:rPr>
              <w:t>MUFG</w:t>
            </w:r>
          </w:p>
        </w:tc>
        <w:tc>
          <w:tcPr>
            <w:tcW w:w="3080" w:type="dxa"/>
            <w:vAlign w:val="bottom"/>
          </w:tcPr>
          <w:p>
            <w:pPr>
              <w:jc w:val="right"/>
              <w:ind w:right="1049"/>
              <w:spacing w:after="0"/>
              <w:rPr>
                <w:sz w:val="20"/>
                <w:szCs w:val="20"/>
                <w:color w:val="auto"/>
              </w:rPr>
            </w:pPr>
            <w:r>
              <w:rPr>
                <w:rFonts w:ascii="Times New Roman" w:cs="Times New Roman" w:eastAsia="Times New Roman" w:hAnsi="Times New Roman"/>
                <w:sz w:val="14"/>
                <w:szCs w:val="14"/>
                <w:i w:val="1"/>
                <w:iCs w:val="1"/>
                <w:color w:val="auto"/>
              </w:rPr>
              <w:t>ANZ Securities</w:t>
            </w:r>
          </w:p>
        </w:tc>
      </w:tr>
      <w:tr>
        <w:trPr>
          <w:trHeight w:val="105"/>
        </w:trPr>
        <w:tc>
          <w:tcPr>
            <w:tcW w:w="30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3">
    <w:nsid w:val="836C40E"/>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lvl w:ilvl="1">
      <w:lvlJc w:val="left"/>
      <w:lvlText w:val="(%2)"/>
      <w:numFmt w:val="decimal"/>
      <w:start w:val="2"/>
    </w:lvl>
  </w:abstractNum>
  <w:abstractNum w:abstractNumId="17">
    <w:nsid w:val="1E7FF521"/>
    <w:multiLevelType w:val="hybridMultilevel"/>
    <w:lvl w:ilvl="0">
      <w:lvlJc w:val="left"/>
      <w:lvlText w:val="(%1)"/>
      <w:numFmt w:val="decimal"/>
      <w:start w:val="3"/>
    </w:lvl>
    <w:lvl w:ilvl="1">
      <w:lvlJc w:val="left"/>
      <w:lvlText w:val="%2"/>
      <w:numFmt w:val="decimal"/>
      <w:start w:val="1"/>
    </w:lvl>
  </w:abstractNum>
  <w:abstractNum w:abstractNumId="18">
    <w:nsid w:val="7C3DBD3D"/>
    <w:multiLevelType w:val="hybridMultilevel"/>
    <w:lvl w:ilvl="0">
      <w:lvlJc w:val="left"/>
      <w:lvlText w:val="(%1)"/>
      <w:numFmt w:val="decimal"/>
      <w:start w:val="1"/>
    </w:lvl>
    <w:lvl w:ilvl="1">
      <w:lvlJc w:val="left"/>
      <w:lvlText w:val="(%2)"/>
      <w:numFmt w:val="decimal"/>
      <w:start w:val="3"/>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lvl w:ilvl="1">
      <w:lvlJc w:val="left"/>
      <w:lvlText w:val="(%2)"/>
      <w:numFmt w:val="decimal"/>
      <w:start w:val="2"/>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lvl w:ilvl="1">
      <w:lvlJc w:val="left"/>
      <w:lvlText w:val="(%2)"/>
      <w:numFmt w:val="decimal"/>
      <w:start w:val="2"/>
    </w:lvl>
  </w:abstractNum>
  <w:abstractNum w:abstractNumId="27">
    <w:nsid w:val="440BADFC"/>
    <w:multiLevelType w:val="hybridMultilevel"/>
    <w:lvl w:ilvl="0">
      <w:lvlJc w:val="left"/>
      <w:lvlText w:val="(%1)"/>
      <w:numFmt w:val="decimal"/>
      <w:start w:val="1"/>
    </w:lvl>
    <w:lvl w:ilvl="1">
      <w:lvlJc w:val="left"/>
      <w:lvlText w:val="(%2)"/>
      <w:numFmt w:val="decimal"/>
      <w:start w:val="2"/>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lowerRoman"/>
      <w:start w:val="3"/>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208"/>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2019-12-04T23:49:58Z</dcterms:created>
  <dcterms:modified xsi:type="dcterms:W3CDTF">2019-12-04T23:49:58Z</dcterms:modified>
</cp:coreProperties>
</file>