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rFonts w:ascii="Arial" w:cs="Arial" w:eastAsia="Arial" w:hAnsi="Arial"/>
          <w:sz w:val="22"/>
          <w:szCs w:val="22"/>
          <w:color w:val="0000EE"/>
        </w:rPr>
      </w:pPr>
      <w:hyperlink w:anchor="page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10, 2002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b w:val="1"/>
                <w:bCs w:val="1"/>
                <w:color w:val="auto"/>
                <w:w w:val="94"/>
              </w:rPr>
              <w:t>DELAWARE</w:t>
            </w:r>
          </w:p>
        </w:tc>
        <w:tc>
          <w:tcPr>
            <w:tcW w:w="360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(State or other jurisdiction of</w:t>
            </w:r>
          </w:p>
        </w:tc>
        <w:tc>
          <w:tcPr>
            <w:tcW w:w="3600" w:type="dxa"/>
            <w:vAlign w:val="bottom"/>
          </w:tcPr>
          <w:p>
            <w:pPr>
              <w:jc w:val="center"/>
              <w:ind w:left="1872"/>
              <w:spacing w:after="0"/>
              <w:rPr>
                <w:sz w:val="20"/>
                <w:szCs w:val="20"/>
                <w:color w:val="auto"/>
              </w:rPr>
            </w:pPr>
            <w:r>
              <w:rPr>
                <w:rFonts w:ascii="Arial" w:cs="Arial" w:eastAsia="Arial" w:hAnsi="Arial"/>
                <w:sz w:val="18"/>
                <w:szCs w:val="18"/>
                <w:color w:val="auto"/>
                <w:w w:val="90"/>
              </w:rPr>
              <w:t>(I.R.S. Employer</w:t>
            </w:r>
          </w:p>
        </w:tc>
      </w:t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incorporation or organization)</w:t>
            </w:r>
          </w:p>
        </w:tc>
        <w:tc>
          <w:tcPr>
            <w:tcW w:w="3600" w:type="dxa"/>
            <w:vAlign w:val="bottom"/>
          </w:tcPr>
          <w:p>
            <w:pPr>
              <w:jc w:val="center"/>
              <w:ind w:left="189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W.G. Stover,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A. Fore,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A. Occhiolini,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Page Mill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Palo Alto, CA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164465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1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ind w:right="200" w:firstLine="132"/>
        <w:spacing w:after="0" w:line="33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39" w:lineRule="exact"/>
        <w:rPr>
          <w:sz w:val="24"/>
          <w:szCs w:val="24"/>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right="360" w:firstLine="132"/>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0" w:firstLine="132"/>
        <w:spacing w:after="0" w:line="37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w:t>
      </w:r>
    </w:p>
    <w:p>
      <w:pPr>
        <w:sectPr>
          <w:pgSz w:w="11900" w:h="16846" w:orient="portrait"/>
          <w:cols w:equalWidth="0" w:num="1">
            <w:col w:w="11420"/>
          </w:cols>
          <w:pgMar w:left="240" w:top="469" w:right="239" w:bottom="0" w:gutter="0" w:footer="0" w:header="0"/>
        </w:sectPr>
      </w:pPr>
    </w:p>
    <w:bookmarkStart w:id="1" w:name="page2"/>
    <w:bookmarkEnd w:id="1"/>
    <w:p>
      <w:pPr>
        <w:ind w:right="800"/>
        <w:spacing w:after="0" w:line="275" w:lineRule="auto"/>
        <w:rPr>
          <w:sz w:val="20"/>
          <w:szCs w:val="20"/>
          <w:color w:val="auto"/>
        </w:rPr>
      </w:pPr>
      <w:r>
        <w:rPr>
          <w:rFonts w:ascii="Arial" w:cs="Arial" w:eastAsia="Arial" w:hAnsi="Arial"/>
          <w:sz w:val="18"/>
          <w:szCs w:val="18"/>
          <w:b w:val="1"/>
          <w:bCs w:val="1"/>
          <w:color w:val="auto"/>
        </w:rPr>
        <w:t>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January 10, 2002</w:t>
      </w:r>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FF404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Prospectus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29,069,767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This prospectus relates to 29,069,767 shares of our common stock, $0.10 par value, that are issuable upon the exercise of warrants sold initially by us in private placements in July 2001 and August 2001. This prospectus will be used by the selling stockholders identified in this prospectus to resell the common stock issuable upon exercise of their warrants. We will not receive any of the proceeds from this offering. In connection with the private placements, we have agreed to register the resale of the common stock to be offered by this prospectus.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initial exercise price for each warrant is $56.00 per share, subject to certain adjustments. The expiration date for the warrants is May 15, 2008.</w:t>
      </w:r>
    </w:p>
    <w:p>
      <w:pPr>
        <w:spacing w:after="0" w:line="248"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Shares of our common stock are quoted on the New York Stock Exchange under the symbol "MU." The last reported sale price of the common stock on January 9, 2002 was $35.01 per share.</w:t>
      </w:r>
    </w:p>
    <w:p>
      <w:pPr>
        <w:spacing w:after="0" w:line="167" w:lineRule="exact"/>
        <w:rPr>
          <w:sz w:val="20"/>
          <w:szCs w:val="20"/>
          <w:color w:val="auto"/>
        </w:rPr>
      </w:pPr>
    </w:p>
    <w:p>
      <w:pPr>
        <w:ind w:right="540" w:firstLine="176"/>
        <w:spacing w:after="0" w:line="256" w:lineRule="auto"/>
        <w:rPr>
          <w:sz w:val="20"/>
          <w:szCs w:val="20"/>
          <w:color w:val="auto"/>
        </w:rPr>
      </w:pPr>
      <w:r>
        <w:rPr>
          <w:rFonts w:ascii="Arial" w:cs="Arial" w:eastAsia="Arial" w:hAnsi="Arial"/>
          <w:sz w:val="22"/>
          <w:szCs w:val="22"/>
          <w:b w:val="1"/>
          <w:bCs w:val="1"/>
          <w:color w:val="auto"/>
        </w:rPr>
        <w:t>Investing in our common stock involves risks. See "Risk Factors" beginning on page 2 to read about risk factors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118745</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0"/>
          <w:szCs w:val="20"/>
          <w:color w:val="auto"/>
        </w:rPr>
      </w:pPr>
    </w:p>
    <w:p>
      <w:pPr>
        <w:ind w:right="100" w:firstLine="17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180" w:type="dxa"/>
        <w:tblCellMar>
          <w:top w:w="0" w:type="dxa"/>
          <w:left w:w="0" w:type="dxa"/>
          <w:bottom w:w="0" w:type="dxa"/>
          <w:right w:w="0" w:type="dxa"/>
        </w:tblCellMar>
      </w:tblPr>
      <w:tr>
        <w:trPr>
          <w:trHeight w:val="222"/>
        </w:trPr>
        <w:tc>
          <w:tcPr>
            <w:tcW w:w="2320" w:type="dxa"/>
            <w:vAlign w:val="bottom"/>
          </w:tcPr>
          <w:p>
            <w:pPr>
              <w:spacing w:after="0"/>
              <w:rPr>
                <w:sz w:val="20"/>
                <w:szCs w:val="20"/>
                <w:color w:val="auto"/>
              </w:rPr>
            </w:pPr>
            <w:r>
              <w:rPr>
                <w:rFonts w:ascii="Arial" w:cs="Arial" w:eastAsia="Arial" w:hAnsi="Arial"/>
                <w:sz w:val="18"/>
                <w:szCs w:val="18"/>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color w:val="auto"/>
              </w:rPr>
              <w:t>,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176"/>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or a prospectus supplement or amendment. We have not authorized anyone else to provide you with different information. We are not making an offer of these securities in any state where the offer is not permitted. You should not assume the information in this prospectus or a prospectus supplement or amendment is accurate as of any date other than the date on the front of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4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SUMMARY</w:t>
            </w:r>
          </w:p>
        </w:tc>
        <w:tc>
          <w:tcPr>
            <w:tcW w:w="2560" w:type="dxa"/>
            <w:vAlign w:val="bottom"/>
          </w:tcPr>
          <w:p>
            <w:pPr>
              <w:ind w:left="2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2560" w:type="dxa"/>
            <w:vAlign w:val="bottom"/>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DIVIDEND POLICY</w:t>
            </w:r>
          </w:p>
        </w:tc>
        <w:tc>
          <w:tcPr>
            <w:tcW w:w="2560" w:type="dxa"/>
            <w:vAlign w:val="bottom"/>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REGISTRATION RIGHTS RELATING TO THE COMMON STOCK</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560" w:type="dxa"/>
            <w:vAlign w:val="bottom"/>
          </w:tcPr>
          <w:p>
            <w:pPr>
              <w:ind w:left="2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SELLING STOCKHOLDERS</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tcPr>
          <w:p>
            <w:pPr>
              <w:ind w:left="2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VALIDITY OF COMMON STOCK</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EXPERTS</w:t>
            </w:r>
          </w:p>
        </w:tc>
        <w:tc>
          <w:tcPr>
            <w:tcW w:w="2560" w:type="dxa"/>
            <w:vAlign w:val="bottom"/>
          </w:tcPr>
          <w:p>
            <w:pPr>
              <w:ind w:left="2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AVAILABLE INFORMATION</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jc w:val="both"/>
        <w:ind w:right="160" w:firstLine="172"/>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 w:name="page3"/>
    <w:bookmarkEnd w:id="2"/>
    <w:p>
      <w:pPr>
        <w:ind w:left="1080"/>
        <w:spacing w:after="0"/>
        <w:rPr>
          <w:sz w:val="20"/>
          <w:szCs w:val="20"/>
          <w:color w:val="auto"/>
        </w:rPr>
      </w:pPr>
      <w:r>
        <w:rPr>
          <w:rFonts w:ascii="Arial" w:cs="Arial" w:eastAsia="Arial" w:hAnsi="Arial"/>
          <w:sz w:val="18"/>
          <w:szCs w:val="18"/>
          <w:color w:val="auto"/>
        </w:rPr>
        <w:t>our Annual Report on Form 10-K for the year ended August 30, 2001; 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0"/>
        <w:spacing w:after="0" w:line="323" w:lineRule="auto"/>
        <w:rPr>
          <w:sz w:val="20"/>
          <w:szCs w:val="20"/>
          <w:color w:val="auto"/>
        </w:rPr>
      </w:pPr>
      <w:r>
        <w:rPr>
          <w:rFonts w:ascii="Arial" w:cs="Arial" w:eastAsia="Arial" w:hAnsi="Arial"/>
          <w:sz w:val="16"/>
          <w:szCs w:val="16"/>
          <w:color w:val="auto"/>
        </w:rPr>
        <w:t>the description of our common stock contained in our registration statement on Form 8-A (No. 1-10658), declared effective by the SEC on November 28, 1990, including any amendments or reports filed for the purpose of updating such description.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firstLine="172"/>
        <w:spacing w:after="0" w:line="298" w:lineRule="auto"/>
        <w:rPr>
          <w:sz w:val="20"/>
          <w:szCs w:val="20"/>
          <w:color w:val="auto"/>
        </w:rPr>
      </w:pPr>
      <w:r>
        <w:rPr>
          <w:rFonts w:ascii="Arial" w:cs="Arial" w:eastAsia="Arial" w:hAnsi="Arial"/>
          <w:sz w:val="16"/>
          <w:szCs w:val="16"/>
          <w:color w:val="auto"/>
        </w:rPr>
        <w:t>We are also incorporating by reference all documents filed with the SEC by us pursuant to sections 13(a), 13(c), 14 or 15(d) of the Securities Exchange Act of 1934 subsequent to the date hereof and prior to termination of the offering made hereby. Any statement contained in a document incorporated or deemed to be incorporated by reference herein shall be deemed to be modified or superseded for purposes of this prospectus to the extent that a statement contained in any other subsequently filed document which also is or is deemed to be incorporated by reference herein modifies or supersedes such statement.</w:t>
      </w:r>
    </w:p>
    <w:p>
      <w:pPr>
        <w:spacing w:after="0" w:line="167"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60" w:firstLine="176"/>
        <w:spacing w:after="0" w:line="370" w:lineRule="auto"/>
        <w:rPr>
          <w:sz w:val="20"/>
          <w:szCs w:val="20"/>
          <w:color w:val="auto"/>
        </w:rPr>
      </w:pPr>
      <w:r>
        <w:rPr>
          <w:rFonts w:ascii="Arial" w:cs="Arial" w:eastAsia="Arial" w:hAnsi="Arial"/>
          <w:sz w:val="15"/>
          <w:szCs w:val="15"/>
          <w:i w:val="1"/>
          <w:iCs w:val="1"/>
          <w:color w:val="auto"/>
        </w:rPr>
        <w:t>Because this is a summary, it may not contain all the information that may be important to you. You should read this entire prospectus before making an investment decision. When used in this prospectus, unless otherwise stated, the terms "we," "our" and "us" refer to Micron Technology, Inc. and its subsidiaries.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560" w:firstLine="172"/>
        <w:spacing w:after="0" w:line="268" w:lineRule="auto"/>
        <w:rPr>
          <w:sz w:val="20"/>
          <w:szCs w:val="20"/>
          <w:color w:val="auto"/>
        </w:rPr>
      </w:pPr>
      <w:r>
        <w:rPr>
          <w:rFonts w:ascii="Arial" w:cs="Arial" w:eastAsia="Arial" w:hAnsi="Arial"/>
          <w:sz w:val="18"/>
          <w:szCs w:val="18"/>
          <w:color w:val="auto"/>
        </w:rPr>
        <w:t>We principally design, develop, manufacture and market semiconductor memory products. Our semiconductor operations focus primarily on the design, development and manufacture of leading edge semiconductor memory products.</w:t>
      </w:r>
    </w:p>
    <w:p>
      <w:pPr>
        <w:spacing w:after="0" w:line="186" w:lineRule="exact"/>
        <w:rPr>
          <w:sz w:val="20"/>
          <w:szCs w:val="20"/>
          <w:color w:val="auto"/>
        </w:rPr>
      </w:pPr>
    </w:p>
    <w:p>
      <w:pPr>
        <w:ind w:right="260" w:firstLine="176"/>
        <w:spacing w:after="0" w:line="259" w:lineRule="auto"/>
        <w:rPr>
          <w:sz w:val="20"/>
          <w:szCs w:val="20"/>
          <w:color w:val="auto"/>
        </w:rPr>
      </w:pPr>
      <w:r>
        <w:rPr>
          <w:rFonts w:ascii="Arial" w:cs="Arial" w:eastAsia="Arial" w:hAnsi="Arial"/>
          <w:sz w:val="18"/>
          <w:szCs w:val="18"/>
          <w:color w:val="auto"/>
        </w:rPr>
        <w:t>Dynamic Random Access Memory ("DRAM") is our primary semiconductor memory product. A DRAM is a high density, low-cost random access memory component that stores digital information and provides high-speed storage and retrieval of data. DRAMs are the most widely used memory component in computer systems. Our DRAM products include: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940"/>
        <w:spacing w:after="0" w:line="261" w:lineRule="auto"/>
        <w:rPr>
          <w:sz w:val="20"/>
          <w:szCs w:val="20"/>
          <w:color w:val="auto"/>
        </w:rPr>
      </w:pPr>
      <w:r>
        <w:rPr>
          <w:rFonts w:ascii="Arial" w:cs="Arial" w:eastAsia="Arial" w:hAnsi="Arial"/>
          <w:sz w:val="18"/>
          <w:szCs w:val="18"/>
          <w:color w:val="auto"/>
        </w:rPr>
        <w:t>Synchronous DRAM ("SDRAM") is a memory product that operates faster than legacy DRAMs. By the addition of a clock input that synchronizes operations, SDRAMs allow a PC to transfer data at faster rates.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323" w:lineRule="auto"/>
        <w:rPr>
          <w:sz w:val="20"/>
          <w:szCs w:val="20"/>
          <w:color w:val="auto"/>
        </w:rPr>
      </w:pPr>
      <w:r>
        <w:rPr>
          <w:rFonts w:ascii="Arial" w:cs="Arial" w:eastAsia="Arial" w:hAnsi="Arial"/>
          <w:sz w:val="16"/>
          <w:szCs w:val="16"/>
          <w:color w:val="auto"/>
        </w:rPr>
        <w:t>Double Data Rate SDRAM ("DDR SDRAM") is a higher bandwidth memory product that leverages existing SDRAM technology to increase a memory chip's data throughput. We are currently shipping the 64 Meg DDR SDRAM and the 128 Meg DDR SDRAM in limited quantities.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to our DRAM memory products, we also produce Static Random Access Memory ("SRAM") and Flash Memory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55" w:lineRule="auto"/>
        <w:rPr>
          <w:sz w:val="20"/>
          <w:szCs w:val="20"/>
          <w:color w:val="auto"/>
        </w:rPr>
      </w:pPr>
      <w:r>
        <w:rPr>
          <w:rFonts w:ascii="Arial" w:cs="Arial" w:eastAsia="Arial" w:hAnsi="Arial"/>
          <w:sz w:val="18"/>
          <w:szCs w:val="18"/>
          <w:color w:val="auto"/>
        </w:rPr>
        <w:t>SRAM products perform memory functions in a manner similar to DRAM, but do not require the memory to be electronically refreshed and operate faster than DRAM. We produce SRAMs for use in applications that require a buffer of high speed memory between the central processor unit and the main DRAM memory.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Flash products retain memory content when the power is turned off. Flash products are used in digital cell phones, networking applications, workstations, servers and PCs.</w:t>
      </w:r>
    </w:p>
    <w:p>
      <w:pPr>
        <w:spacing w:after="0" w:line="192" w:lineRule="exact"/>
        <w:rPr>
          <w:sz w:val="20"/>
          <w:szCs w:val="20"/>
          <w:color w:val="auto"/>
        </w:rPr>
      </w:pPr>
    </w:p>
    <w:p>
      <w:pPr>
        <w:ind w:right="100" w:firstLine="172"/>
        <w:spacing w:after="0" w:line="268"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83707-0006, and our telephone number is (208) 368-4000. Our website is located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176"/>
        <w:spacing w:after="0" w:line="256"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securities could decline, and you might lose all or part of your investment.</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If average selling prices for our memory products do not increase significantly, we expect to continue to record significant losses</w:t>
      </w:r>
    </w:p>
    <w:p>
      <w:pPr>
        <w:spacing w:after="0" w:line="231" w:lineRule="exact"/>
        <w:rPr>
          <w:sz w:val="20"/>
          <w:szCs w:val="20"/>
          <w:color w:val="auto"/>
        </w:rPr>
      </w:pPr>
    </w:p>
    <w:p>
      <w:pPr>
        <w:ind w:right="40" w:firstLine="166"/>
        <w:spacing w:after="0" w:line="259" w:lineRule="auto"/>
        <w:rPr>
          <w:sz w:val="20"/>
          <w:szCs w:val="20"/>
          <w:color w:val="auto"/>
        </w:rPr>
      </w:pPr>
      <w:r>
        <w:rPr>
          <w:rFonts w:ascii="Arial" w:cs="Arial" w:eastAsia="Arial" w:hAnsi="Arial"/>
          <w:sz w:val="18"/>
          <w:szCs w:val="18"/>
          <w:color w:val="auto"/>
        </w:rPr>
        <w:t>Average selling prices for our memory products in the fourth quarter of 2001 decreased approximately 55% compared to the third quarter. In four of the last five fiscal years we experienced decreases in average selling prices, as follows: 60% decline in 2001, 37% decline in 1999, 60% decline in 1998 and 75% decline in 1997. We are unable to predict pricing conditions for any future period.</w:t>
      </w:r>
    </w:p>
    <w:p>
      <w:pPr>
        <w:spacing w:after="0" w:line="194" w:lineRule="exact"/>
        <w:rPr>
          <w:sz w:val="20"/>
          <w:szCs w:val="20"/>
          <w:color w:val="auto"/>
        </w:rPr>
      </w:pPr>
    </w:p>
    <w:p>
      <w:pPr>
        <w:ind w:right="280" w:firstLine="166"/>
        <w:spacing w:after="0" w:line="323" w:lineRule="auto"/>
        <w:rPr>
          <w:sz w:val="20"/>
          <w:szCs w:val="20"/>
          <w:color w:val="auto"/>
        </w:rPr>
      </w:pPr>
      <w:r>
        <w:rPr>
          <w:rFonts w:ascii="Arial" w:cs="Arial" w:eastAsia="Arial" w:hAnsi="Arial"/>
          <w:sz w:val="15"/>
          <w:szCs w:val="15"/>
          <w:color w:val="auto"/>
        </w:rPr>
        <w:t>Average selling prices for our memory products are currently below our manufacturing costs, and accordingly our results of operations, cash flows and financial condition are being adversely affected. If average selling prices do not improve to a level that exceeds cost, we would expect to continue to record significant losses on product sales. In addition, to the extent the estimated market price of products held in finished goods and work in process inventories at a quarterly reporting date is below the cost of these products, we must recognize a charge against operations to write down the carrying value to market value.</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average selling prices of memory products do not improve to a level that exceeds our costs, we may not be able to generate sufficient cash flow to fund our operations or make adequate capital investments</w:t>
      </w:r>
    </w:p>
    <w:p>
      <w:pPr>
        <w:spacing w:after="0" w:line="180"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color w:val="auto"/>
        </w:rPr>
        <w:t>Our cash flow from operations depends primarily on average selling prices and per megabit manufacturing costs of our semiconductor memory products. Average selling prices for our memory products are currently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to a level that exceeds our costs, we may not be able to generate sufficient cash flows to sustain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Deteriorating global economic conditions and the effects of ongoing military actions against terrorists may cause significant disruptions to commerce throughout the world. To the extent that such disruptions result in delays or cancellations of customer orders, a general decrease in corporate spending on information technology, or our inability to effectively market, manufacture or ship our products, our business, results of operations and financial conditions could be adversely affected. In addition, our ability to raise capital for purposes of research and development, capital expenditures and ongoing operations is dependent upon ready access to capital markets. During times of adverse global economic and political conditions, investor confidence in and accessibility to capital markets could decrease. If capital markets are not available to us over an extended period of time, we could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unable to fund operations, invest in capital expenditures and fully carry out our research and development efforts, which could adversely affect our business, results of operations and financial conditions.</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the current downturn in the semiconductor memory market persists, we may need to pursue cash conservation measures which may reduce the scale and efficiency of our operations</w:t>
      </w:r>
    </w:p>
    <w:p>
      <w:pPr>
        <w:spacing w:after="0" w:line="180" w:lineRule="exact"/>
        <w:rPr>
          <w:sz w:val="20"/>
          <w:szCs w:val="20"/>
          <w:color w:val="auto"/>
        </w:rPr>
      </w:pPr>
    </w:p>
    <w:p>
      <w:pPr>
        <w:ind w:right="180" w:firstLine="176"/>
        <w:spacing w:after="0" w:line="332" w:lineRule="auto"/>
        <w:rPr>
          <w:sz w:val="20"/>
          <w:szCs w:val="20"/>
          <w:color w:val="auto"/>
        </w:rPr>
      </w:pPr>
      <w:r>
        <w:rPr>
          <w:rFonts w:ascii="Arial" w:cs="Arial" w:eastAsia="Arial" w:hAnsi="Arial"/>
          <w:sz w:val="16"/>
          <w:szCs w:val="16"/>
          <w:color w:val="auto"/>
        </w:rPr>
        <w:t>If the current semiconductor industry downturn persists, we will be required to pursue cash conservation measures, including but not limited to, reductions in our capital spending and reductions in our workforce. Any such measures may reduce the scale and efficiency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20" w:firstLine="176"/>
        <w:spacing w:after="0" w:line="253" w:lineRule="auto"/>
        <w:rPr>
          <w:sz w:val="20"/>
          <w:szCs w:val="20"/>
          <w:color w:val="auto"/>
        </w:rPr>
      </w:pPr>
      <w:r>
        <w:rPr>
          <w:rFonts w:ascii="Arial" w:cs="Arial" w:eastAsia="Arial" w:hAnsi="Arial"/>
          <w:sz w:val="18"/>
          <w:szCs w:val="18"/>
          <w:color w:val="auto"/>
        </w:rPr>
        <w:t>Some of our competitors receive government subsidies. To the extent that these practices continue, they may have the result of prolonging the current imbalance in supply and demand in the semiconductor memory industry. In addition, the semiconductor memory industry is highly competitive. We face intense competition from a number of companies, including Elpida Memory, Inc.,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34"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In 2001, we sold most of our memory products to PC or peripheral markets. DRAMs are the most widely used semiconductor memory components in PCs. In recent periods, the growth rate of PCs sold has slowed significantly or declined. In addition, the growth rate in 2001 for the average amount of memory included in each PC sold declined compared to several years prior to 2001. These declining growth rates affected our 2001 results of operations.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6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and cash flows could be adversely affected</w:t>
      </w:r>
    </w:p>
    <w:p>
      <w:pPr>
        <w:spacing w:after="0" w:line="180" w:lineRule="exact"/>
        <w:rPr>
          <w:sz w:val="20"/>
          <w:szCs w:val="20"/>
          <w:color w:val="auto"/>
        </w:rPr>
      </w:pPr>
    </w:p>
    <w:p>
      <w:pPr>
        <w:jc w:val="both"/>
        <w:ind w:right="20" w:firstLine="172"/>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25% of our net sales in 2001. If any one of our major PC customers significantly reduces its purchases of DRAM from us, our results of operations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300mm wafers have approximately 130% greater usable surface area than 200mm wafers, the current industry standard. The widespread use of 300mm wafers in the</w:t>
      </w:r>
    </w:p>
    <w:p>
      <w:pPr>
        <w:sectPr>
          <w:pgSz w:w="11900" w:h="16838" w:orient="portrait"/>
          <w:cols w:equalWidth="0" w:num="1">
            <w:col w:w="11400"/>
          </w:cols>
          <w:pgMar w:left="240" w:top="125" w:right="259" w:bottom="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 w:name="page5"/>
    <w:bookmarkEnd w:id="4"/>
    <w:p>
      <w:pPr>
        <w:ind w:right="280"/>
        <w:spacing w:after="0" w:line="298" w:lineRule="auto"/>
        <w:rPr>
          <w:sz w:val="20"/>
          <w:szCs w:val="20"/>
          <w:color w:val="auto"/>
        </w:rPr>
      </w:pPr>
      <w:r>
        <w:rPr>
          <w:rFonts w:ascii="Arial" w:cs="Arial" w:eastAsia="Arial" w:hAnsi="Arial"/>
          <w:sz w:val="16"/>
          <w:szCs w:val="16"/>
          <w:color w:val="auto"/>
        </w:rPr>
        <w:t>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6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memory products from TECH is interrupted, our results of operations could be adversely affected</w:t>
      </w:r>
    </w:p>
    <w:p>
      <w:pPr>
        <w:spacing w:after="0" w:line="180" w:lineRule="exact"/>
        <w:rPr>
          <w:sz w:val="20"/>
          <w:szCs w:val="20"/>
          <w:color w:val="auto"/>
        </w:rPr>
      </w:pPr>
    </w:p>
    <w:p>
      <w:pPr>
        <w:ind w:right="180" w:firstLine="172"/>
        <w:spacing w:after="0" w:line="294" w:lineRule="auto"/>
        <w:rPr>
          <w:sz w:val="20"/>
          <w:szCs w:val="20"/>
          <w:color w:val="auto"/>
        </w:rPr>
      </w:pPr>
      <w:r>
        <w:rPr>
          <w:rFonts w:ascii="Arial" w:cs="Arial" w:eastAsia="Arial" w:hAnsi="Arial"/>
          <w:sz w:val="16"/>
          <w:szCs w:val="16"/>
          <w:color w:val="auto"/>
        </w:rPr>
        <w:t>TECH currently supplies us with approximately 20% of our total megabits of memory produced. We have agreements to purchase all of the production from TECH subject to specific terms and conditions. Any reduction in supply could adversely affect our results of operations and cash flows. TECH has historically been required to seek additional external financing to fund its ongoing operations and transition to next generation technologies. TECH is expected to require financing in the immediate future in order to continue operations, therefore our source of supply may be interrupted if TECH is unable to obtain required financing. We have pledged $50 million as cash collateral to secure current TECH financing.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reduce per megabit manufacturing costs at the same rate as we have in the past</w:t>
      </w:r>
    </w:p>
    <w:p>
      <w:pPr>
        <w:spacing w:after="0" w:line="231" w:lineRule="exact"/>
        <w:rPr>
          <w:sz w:val="20"/>
          <w:szCs w:val="20"/>
          <w:color w:val="auto"/>
        </w:rPr>
      </w:pPr>
    </w:p>
    <w:p>
      <w:pPr>
        <w:ind w:right="80" w:firstLine="176"/>
        <w:spacing w:after="0" w:line="259" w:lineRule="auto"/>
        <w:rPr>
          <w:sz w:val="20"/>
          <w:szCs w:val="20"/>
          <w:color w:val="auto"/>
        </w:rPr>
      </w:pPr>
      <w:r>
        <w:rPr>
          <w:rFonts w:ascii="Arial" w:cs="Arial" w:eastAsia="Arial" w:hAnsi="Arial"/>
          <w:sz w:val="18"/>
          <w:szCs w:val="18"/>
          <w:color w:val="auto"/>
        </w:rPr>
        <w:t>In recent years, we have decreased per megabit manufacturing costs through improvements in our manufacturing processes, including reducing the die size of our existing products. In future periods, we may not be able to reduce our per megabit manufacturing costs at historical rates. Our ability to reduce per megabit manufacturing costs in future periods may be affected because of the following: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complete product and process technology upgrades in our international and joint venture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manufacturing yields may decrease as we implement more complex technologies;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ramp the latest reduced die size versions of existing devices or new generation devices to commercial volumes;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reduction in the scale of our operations, which would result in losing economies of scale.</w:t>
      </w: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business, results of operation and financial condition</w:t>
      </w:r>
    </w:p>
    <w:p>
      <w:pPr>
        <w:spacing w:after="0" w:line="180" w:lineRule="exact"/>
        <w:rPr>
          <w:sz w:val="20"/>
          <w:szCs w:val="20"/>
          <w:color w:val="auto"/>
        </w:rPr>
      </w:pPr>
    </w:p>
    <w:p>
      <w:pPr>
        <w:ind w:right="80" w:firstLine="176"/>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firstLine="8"/>
        <w:spacing w:after="0" w:line="295"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its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40" w:firstLine="172"/>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foreign sales and operations that could adversely affect our operating results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Foreign sales approximated 46% of our consolidated net sales in 2001. In addition, we have or support manufacturing operations in Italy, Singapore, Japan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Scotland. Our foreign sales and foreign operations are subject to a variety of risks, including: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problems with the transportation or delivery of our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 turnover and labor unrest;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longer payment cycles and greater difficulty in collecting accounts receivable; and</w:t>
      </w:r>
    </w:p>
    <w:p>
      <w:pPr>
        <w:sectPr>
          <w:pgSz w:w="11900" w:h="16838" w:orient="portrait"/>
          <w:cols w:equalWidth="0" w:num="1">
            <w:col w:w="11360"/>
          </w:cols>
          <w:pgMar w:left="240" w:top="131" w:right="299" w:bottom="0" w:gutter="0" w:footer="0" w:header="0"/>
        </w:sectPr>
      </w:pPr>
    </w:p>
    <w:bookmarkStart w:id="5" w:name="page6"/>
    <w:bookmarkEnd w:id="5"/>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compliance with a variety of foreign laws.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factors may adversely affect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in our supply of raw materials could adversely affect our results of operations, cash flows and financial position</w:t>
      </w:r>
    </w:p>
    <w:p>
      <w:pPr>
        <w:spacing w:after="0" w:line="231"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6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qualification procedures, problems with nonconforming, defective or incompatible products occur after we have shipped such products, we could be adversely affected in one or both of the following ways: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encounter adverse publicity, which could cause a decrease in sales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interrupted, our results of operations and cash flows could be adversely affected</w:t>
      </w:r>
    </w:p>
    <w:p>
      <w:pPr>
        <w:spacing w:after="0" w:line="231"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we may be unable to meet our customers' demand and they may purchase products from other suppliers. The resulting loss of revenues and damage to customer relationships could be significant.</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operations and cash flows could be adversely affected</w:t>
      </w:r>
    </w:p>
    <w:p>
      <w:pPr>
        <w:spacing w:after="0" w:line="180" w:lineRule="exact"/>
        <w:rPr>
          <w:sz w:val="20"/>
          <w:szCs w:val="20"/>
          <w:color w:val="auto"/>
        </w:rPr>
      </w:pPr>
    </w:p>
    <w:p>
      <w:pPr>
        <w:ind w:right="140" w:firstLine="172"/>
        <w:spacing w:after="0" w:line="289"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 competitors are evaluating plans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initial transition stage to larger wafer sizes. If we are unable to successfully transition to 300mm wafer processing at the appropriate time, our results of operations and cash flows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trading price of our common stock has been and could in the future be subject to significant fluctuations in response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variations in quarterly operating results;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developments in the semiconductor industry;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conditions;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securities analysts' recommendations regarding our securities.</w:t>
      </w:r>
    </w:p>
    <w:p>
      <w:pPr>
        <w:spacing w:after="0" w:line="219" w:lineRule="exact"/>
        <w:rPr>
          <w:sz w:val="20"/>
          <w:szCs w:val="20"/>
          <w:color w:val="auto"/>
        </w:rPr>
      </w:pPr>
    </w:p>
    <w:p>
      <w:pPr>
        <w:ind w:right="340" w:firstLine="176"/>
        <w:spacing w:after="0" w:line="259" w:lineRule="auto"/>
        <w:rPr>
          <w:sz w:val="20"/>
          <w:szCs w:val="20"/>
          <w:color w:val="auto"/>
        </w:rPr>
      </w:pPr>
      <w:r>
        <w:rPr>
          <w:rFonts w:ascii="Arial" w:cs="Arial" w:eastAsia="Arial" w:hAnsi="Arial"/>
          <w:sz w:val="18"/>
          <w:szCs w:val="18"/>
          <w:color w:val="auto"/>
        </w:rPr>
        <w:t>In addition, the stock market in recent years has experienced significant price and volume fluctuations which have affected the market prices of technology companies and which have often been unrelated to or disproportionately affected by the operating performance of such companies. These broad market fluctuations may adversely affect the market price of our common stock.</w:t>
      </w:r>
    </w:p>
    <w:p>
      <w:pPr>
        <w:sectPr>
          <w:pgSz w:w="11900" w:h="16838" w:orient="portrait"/>
          <w:cols w:equalWidth="0" w:num="1">
            <w:col w:w="11420"/>
          </w:cols>
          <w:pgMar w:left="240" w:top="131" w:right="239" w:bottom="396"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96"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Some of the statements under "Risk Factors" and elsewhere in this prospectus constitute forward-looking statements. These statements involve known and unknown risks, uncertainties, and other factors that may cause our or our industry's actual results, levels of activity, performance or achievements to be materially different from any anticipated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197" w:lineRule="exact"/>
        <w:rPr>
          <w:sz w:val="20"/>
          <w:szCs w:val="20"/>
          <w:color w:val="auto"/>
        </w:rPr>
      </w:pPr>
    </w:p>
    <w:p>
      <w:pPr>
        <w:ind w:right="140" w:firstLine="16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selling stockholders will receive all of the proceeds from the shares to be sold in this offering.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not declared and paid dividends since 1996. We do not intend to pay cash dividends on our Common Stock for the foreseeable future.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RELATING TO THE COMMON STOCK</w:t>
      </w:r>
    </w:p>
    <w:p>
      <w:pPr>
        <w:spacing w:after="0" w:line="231" w:lineRule="exact"/>
        <w:rPr>
          <w:sz w:val="20"/>
          <w:szCs w:val="20"/>
          <w:color w:val="auto"/>
        </w:rPr>
      </w:pPr>
    </w:p>
    <w:p>
      <w:pPr>
        <w:ind w:right="140" w:firstLine="172"/>
        <w:spacing w:after="0" w:line="256" w:lineRule="auto"/>
        <w:rPr>
          <w:sz w:val="20"/>
          <w:szCs w:val="20"/>
          <w:color w:val="auto"/>
        </w:rPr>
      </w:pPr>
      <w:r>
        <w:rPr>
          <w:rFonts w:ascii="Arial" w:cs="Arial" w:eastAsia="Arial" w:hAnsi="Arial"/>
          <w:sz w:val="18"/>
          <w:szCs w:val="18"/>
          <w:color w:val="auto"/>
        </w:rPr>
        <w:t>We and Lehman Brothers, Inc. entered into a registration rights agreement on July 18, 2001. Under the registration rights agreement, we agreed to file a shelf registration statement within 90 days of July 18, 2001 and to use reasonable efforts to have the registration statement declared effective within 180 days of July 18, 2001. We agreed to use our reasonable efforts to keep such registration statement effective until the earlier of (i) July 18, 2003 or (ii) such time as there are no longer any registrable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Resale of Shares</w:t>
      </w:r>
    </w:p>
    <w:p>
      <w:pPr>
        <w:spacing w:after="0" w:line="231" w:lineRule="exact"/>
        <w:rPr>
          <w:sz w:val="20"/>
          <w:szCs w:val="20"/>
          <w:color w:val="auto"/>
        </w:rPr>
      </w:pPr>
    </w:p>
    <w:p>
      <w:pPr>
        <w:ind w:right="240" w:firstLine="176"/>
        <w:spacing w:after="0" w:line="305" w:lineRule="auto"/>
        <w:rPr>
          <w:sz w:val="20"/>
          <w:szCs w:val="20"/>
          <w:color w:val="auto"/>
        </w:rPr>
      </w:pPr>
      <w:r>
        <w:rPr>
          <w:rFonts w:ascii="Arial" w:cs="Arial" w:eastAsia="Arial" w:hAnsi="Arial"/>
          <w:sz w:val="15"/>
          <w:szCs w:val="15"/>
          <w:color w:val="auto"/>
        </w:rPr>
        <w:t>During the first two years after the issue of the warrants, a holder may make resales of common stock issued upon exercise of the warrants pursuant to this shelf registration statement, and we agreed to make available this prospectus to effect such resales pursuant to this shelf registration statement, only during the</w:t>
      </w:r>
    </w:p>
    <w:p>
      <w:pPr>
        <w:ind w:right="20"/>
        <w:spacing w:after="0" w:line="288" w:lineRule="auto"/>
        <w:rPr>
          <w:sz w:val="20"/>
          <w:szCs w:val="20"/>
          <w:color w:val="auto"/>
        </w:rPr>
      </w:pPr>
      <w:r>
        <w:rPr>
          <w:rFonts w:ascii="Arial" w:cs="Arial" w:eastAsia="Arial" w:hAnsi="Arial"/>
          <w:sz w:val="16"/>
          <w:szCs w:val="16"/>
          <w:color w:val="auto"/>
        </w:rPr>
        <w:t>30 days following the second full trading day after we file our annual report on Form 10-K and our quarterly report on Form 10-Q for the immediately preceding fiscal year or fiscal quarter, as the case may be, which period we refer to as a resale period. In order to be included on our shelf registration statement and to be eligible to resell shares of common stock under the shelf registration statement, a holder of shares of common stock issued upon exercise of the warrants must complete a notice and questionnaire, a copy of which may be obtained upon request from the warrant agent, and deliver it to the warrant agent at least 5 business days prior to the date of the holder's intended resale of such shares. However, we are not obligated to file more than one post-effective amendment or supplement for the purpose of naming holders as selling security holders who were not named in this shelf registration statement at the time of effectiveness in any 5-day period following the effectiveness of this shelf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Postponements and Suspensions</w:t>
      </w:r>
    </w:p>
    <w:p>
      <w:pPr>
        <w:spacing w:after="0" w:line="231"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We will give two trading days' notice to holders that have provided a notice and questionnaire to us that the availability of the shelf registration statement has been suspended because of a pending corporate development or other event or circumstance that makes it appropriate to suspend the availability of the shelf registration statement. The aggregate number of days of postponement and any such suspensions with respect to a resale period may not exceed 30 without our being required to pay liquidated damages in the manner described below. Postponements and suspensions will be limited to instances where we have determined that the occurrence of an event or the existence of any fact that would result in the prospectus containing any untrue statement of a material fact or omitting to state any material fact required to be stated therein or necessary to make the statements therein not misleading, such as material non-public information related to major corporate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Liquidated Damages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registration statement has not been filed prior to or on the 90th day following July 18, 2001;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registration statement has not been declared effective prior to or on the 180th day following July 18, 2001;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aggregate duration of deferral periods in any resale period exceeds 30 days (each, a "resale default"),</w:t>
      </w:r>
    </w:p>
    <w:p>
      <w:pPr>
        <w:spacing w:after="0" w:line="219"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liquidated damages will accrue on the shares for which the warrants are exercisable or that have been issued upon exercise of the warrants that constitute registrable securities, from and including the day following the resale default to but excluding the day on which the registration default has been cured</w:t>
      </w:r>
    </w:p>
    <w:p>
      <w:pPr>
        <w:sectPr>
          <w:pgSz w:w="11900" w:h="16838" w:orient="portrait"/>
          <w:cols w:equalWidth="0" w:num="1">
            <w:col w:w="11360"/>
          </w:cols>
          <w:pgMar w:left="240" w:top="341" w:right="299" w:bottom="396" w:gutter="0" w:footer="0" w:header="0"/>
        </w:sectPr>
      </w:pP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396" w:gutter="0" w:footer="0" w:header="0"/>
          <w:type w:val="continuous"/>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t>(or the date upon which the transfer restrictions on the shares have been terminated as a result of the application of Rule 144(k) under the Securities Act), and will accrue at a rate per year equal to:</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0.25% of the issue price of the warrants, from the date of the occurrence of the resale default to and including the 90th day following the date of the resale default;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color w:val="auto"/>
        </w:rPr>
        <w:t>0.50% of the issue price of the warrants, from and after the 91st day following the resale default to and including the 180th day following the resale default;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0.75% of the issue price of the warrants, from and after the 181st day following the resale default.</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However, we agreed to pay liquidated damages with respect to a resale default described in (b) above only if they are not already due under a resale default described in (a) above. Further, in the case of a resale default described in (c) above, we will not pay liquidated damages if they are already due as a result of any other resale default and we will pay liquidated damages only to those holders of registrable securities that have provided a notice and questionnaire to us.</w:t>
      </w:r>
    </w:p>
    <w:p>
      <w:pPr>
        <w:spacing w:after="0" w:line="161"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Liquidated damages with respect to a resale period will end upon the earlier of such time as sales have been permitted for an aggregate of 30 days with respect to such resale period and such time as sales are first permitted with respect to a subsequent resale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Our authorized capital stock consists of 3,000,000,000 shares of common stock, $0.10 par value ("common stock"). As of October 10, 2001, there were approximately 599.3 million shares of common stock issued and outstanding. The following summary is qualified in its entirety by reference to our certificate of incorporation and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172"/>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172"/>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right="40"/>
        <w:spacing w:after="0" w:line="253"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jc w:val="both"/>
        <w:ind w:left="1080" w:right="40"/>
        <w:spacing w:after="0" w:line="255" w:lineRule="auto"/>
        <w:rPr>
          <w:sz w:val="20"/>
          <w:szCs w:val="20"/>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merger or consolidation involving the corporation and the interested stockholder,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1080" w:right="560"/>
        <w:spacing w:after="0" w:line="261" w:lineRule="auto"/>
        <w:rPr>
          <w:sz w:val="20"/>
          <w:szCs w:val="20"/>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ectPr>
          <w:pgSz w:w="11900" w:h="16838" w:orient="portrait"/>
          <w:cols w:equalWidth="0" w:num="1">
            <w:col w:w="11420"/>
          </w:cols>
          <w:pgMar w:left="240" w:top="13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1080" w:right="720"/>
        <w:spacing w:after="0" w:line="261" w:lineRule="auto"/>
        <w:rPr>
          <w:sz w:val="20"/>
          <w:szCs w:val="20"/>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2"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transfer agent and registrar for our common stock is Wells Fargo Bank Minnesota,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right="260" w:firstLine="172"/>
        <w:spacing w:after="0" w:line="306" w:lineRule="auto"/>
        <w:rPr>
          <w:sz w:val="20"/>
          <w:szCs w:val="20"/>
          <w:color w:val="auto"/>
        </w:rPr>
      </w:pPr>
      <w:r>
        <w:rPr>
          <w:rFonts w:ascii="Arial" w:cs="Arial" w:eastAsia="Arial" w:hAnsi="Arial"/>
          <w:sz w:val="16"/>
          <w:szCs w:val="16"/>
          <w:color w:val="auto"/>
        </w:rPr>
        <w:t>We originally issued warrants exercisable for common stock in private placements in July 2001 and August 2001. The warrants were resold by the initial purchasers to qualified institutional buyers under Rule 144A under the Securities Act in transactions exempt from registration under the Securities Act. Selling stockholders may offer and sell the common stock issuable upon exercise of their warrants pursuant to this prospectus.</w:t>
      </w:r>
    </w:p>
    <w:p>
      <w:pPr>
        <w:spacing w:after="0" w:line="161" w:lineRule="exact"/>
        <w:rPr>
          <w:sz w:val="20"/>
          <w:szCs w:val="20"/>
          <w:color w:val="auto"/>
        </w:rPr>
      </w:pPr>
    </w:p>
    <w:p>
      <w:pPr>
        <w:ind w:right="80" w:firstLine="172"/>
        <w:spacing w:after="0" w:line="268" w:lineRule="auto"/>
        <w:rPr>
          <w:sz w:val="20"/>
          <w:szCs w:val="20"/>
          <w:color w:val="auto"/>
        </w:rPr>
      </w:pPr>
      <w:r>
        <w:rPr>
          <w:rFonts w:ascii="Arial" w:cs="Arial" w:eastAsia="Arial" w:hAnsi="Arial"/>
          <w:sz w:val="18"/>
          <w:szCs w:val="18"/>
          <w:color w:val="auto"/>
        </w:rPr>
        <w:t>The following table contains information as of January 9, 2002 with respect to the selling stockholders and the number of shares of common stock beneficially owned by each selling stockholder that may be offered using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center"/>
              <w:ind w:left="795"/>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center"/>
              <w:ind w:left="775"/>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89"/>
              </w:rPr>
              <w:t>the Offering(1)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 of Shares</w:t>
            </w:r>
          </w:p>
        </w:tc>
        <w:tc>
          <w:tcPr>
            <w:tcW w:w="2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the Offering(3)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200" w:type="dxa"/>
            <w:vAlign w:val="bottom"/>
            <w:gridSpan w:val="2"/>
            <w:vMerge w:val="restart"/>
          </w:tcPr>
          <w:p>
            <w:pPr>
              <w:ind w:left="480"/>
              <w:spacing w:after="0" w:line="149" w:lineRule="exact"/>
              <w:rPr>
                <w:sz w:val="20"/>
                <w:szCs w:val="20"/>
                <w:color w:val="auto"/>
              </w:rPr>
            </w:pPr>
            <w:r>
              <w:rPr>
                <w:rFonts w:ascii="Arial" w:cs="Arial" w:eastAsia="Arial" w:hAnsi="Arial"/>
                <w:sz w:val="14"/>
                <w:szCs w:val="14"/>
                <w:b w:val="1"/>
                <w:bCs w:val="1"/>
                <w:color w:val="auto"/>
              </w:rPr>
              <w:t>That May Be Sold</w:t>
            </w:r>
          </w:p>
        </w:tc>
        <w:tc>
          <w:tcPr>
            <w:tcW w:w="11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22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 the Offering(2)</w:t>
            </w:r>
          </w:p>
        </w:tc>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AIM Global Technology Class</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AIM Global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110,700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14,800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95,900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Aristeia International Limited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352,324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Aristeia Partners,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99,374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99,374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Invesco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Aspen Global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87,765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87,765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Autiria Cayman Islands, Ltd.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CIBC World Markets International Arbitrage</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Shaw Investments, L.P.</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 Shaw Valence,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442,790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442,790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Banc Alex Brown Inc.</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850,698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First Union International Capital Markets, Inc.</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130,698</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130,698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Union National Bank</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First Union Securities Inc.</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93,395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93,395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GLG Global Convertible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327,250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GLG Global Convertible UCITS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57,750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57,750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GLG Market Neutral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Global Bermuda Limited Partnership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44,884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44,884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Sciences and Technology Investments</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Goldman Sachs and Company</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117,617</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117,617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Granville Capital Corporation</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251,395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Highbridge International LLC</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3,815,000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3,815,000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Invesco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Invesco VIF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95,800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12,100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83,700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Global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891,918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891,918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Janus Global Tech (Nomura)</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91,460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91,460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JMG Capital Partners, LP</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JMG Triton Offshore Fund, Ltd.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JWF Global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Lakeshore International, Ltd.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179,535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179,535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Leonardo, L.P.</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1,087,791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1,087,791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Maple Securties USA Inc.</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10,349</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10,349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NMS Services (Cayman) Inc.</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Pacific Life Insurance Company</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58,140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58,140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 Select Fund—Technology Portfolio</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Pilgrim Convertible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143,670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143,670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Pilgrim Convertible VP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PVI-J Investments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302,500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302,500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Quattro Fund Ltd.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-5680710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-5680710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-5680710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-5680710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-5432425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-5432425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-5432425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-5432425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-5432425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-5432425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-5432425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-5432425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-5432425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-5432425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-5432425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-5432425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Ramius Capital Group</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2,975</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2,975</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RCG Latitude Master Fund, Ltd.</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10,725</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10,725</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RCG Mult-Strategy, LP</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1,700</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1,700</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Robertson Stephens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500,000</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500,000</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Sage Capital</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131,140</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131,140</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Salomon Brothers Asset Management</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922,125</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922,125</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SC Invesco Technology Fund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tcPr>
          <w:p>
            <w:pPr>
              <w:jc w:val="right"/>
              <w:ind w:right="1392"/>
              <w:spacing w:after="0"/>
              <w:rPr>
                <w:sz w:val="20"/>
                <w:szCs w:val="20"/>
                <w:color w:val="auto"/>
              </w:rPr>
            </w:pPr>
            <w:r>
              <w:rPr>
                <w:rFonts w:ascii="Arial" w:cs="Arial" w:eastAsia="Arial" w:hAnsi="Arial"/>
                <w:sz w:val="18"/>
                <w:szCs w:val="18"/>
                <w:color w:val="auto"/>
              </w:rPr>
              <w:t>12</w:t>
            </w: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340" w:type="dxa"/>
            <w:vAlign w:val="bottom"/>
            <w:tcBorders>
              <w:top w:val="single" w:sz="8" w:color="808080"/>
            </w:tcBorders>
          </w:tcPr>
          <w:p>
            <w:pPr>
              <w:spacing w:after="0"/>
              <w:rPr>
                <w:sz w:val="9"/>
                <w:szCs w:val="9"/>
                <w:color w:val="auto"/>
              </w:rPr>
            </w:pPr>
          </w:p>
        </w:tc>
        <w:tc>
          <w:tcPr>
            <w:tcW w:w="148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134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Cowen Securities Corp.</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250,000</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250,000</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Shepherd Investments International, Ltd.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620,494</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620,494</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Stark International</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286,483</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286,483</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TQA Master Fund, Ltd.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100,000</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100,000</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TQA Master Plus Fund, Ltd.</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100,000</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100,000</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UBS AG London Branch</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525,000</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525,000</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O'Connor LLC</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639,535</w:t>
            </w:r>
          </w:p>
        </w:tc>
        <w:tc>
          <w:tcPr>
            <w:tcW w:w="1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639,535</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Any other holder of warrants or future transferee,</w:t>
            </w:r>
          </w:p>
        </w:tc>
        <w:tc>
          <w:tcPr>
            <w:tcW w:w="1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pledgee, donee or successor of any holder(4)(5)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11,408,772</w:t>
            </w: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1.9</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11,408,772</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than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Calculated based on Rule 13d-3(d)(1)(i) of the Exchange Act using 600,079,891 shares of common stock outstanding as of December 31, 2001. In calculating this amount, we treated as outstanding the number of shares of common stock issuable upon exercise of all of that particular holder's warrants. However, we did not assume the exercise of any other holder's warrants.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jc w:val="both"/>
        <w:ind w:left="540" w:right="160"/>
        <w:spacing w:after="0" w:line="255" w:lineRule="auto"/>
        <w:rPr>
          <w:sz w:val="20"/>
          <w:szCs w:val="20"/>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Assumes the sale of all shares that may be sold in the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about other selling stockholders will be set forth in prospectus supplements, if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540" w:right="20"/>
        <w:spacing w:after="0" w:line="323" w:lineRule="auto"/>
        <w:rPr>
          <w:sz w:val="20"/>
          <w:szCs w:val="20"/>
          <w:color w:val="auto"/>
        </w:rPr>
      </w:pPr>
      <w:r>
        <w:rPr>
          <w:rFonts w:ascii="Arial" w:cs="Arial" w:eastAsia="Arial" w:hAnsi="Arial"/>
          <w:sz w:val="16"/>
          <w:szCs w:val="16"/>
          <w:color w:val="auto"/>
        </w:rPr>
        <w:t>Assumes that any other holders of warrants, or any future transferees, pledgees, donees or successors of or from any such other holders of warrants, do not beneficially own any common stock other than the common stock issuable upon exercise of the warrants at the initial exercise 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prepared this table based on the information supplied to us by the selling stockholders named in the table.</w:t>
      </w:r>
    </w:p>
    <w:p>
      <w:pPr>
        <w:spacing w:after="0" w:line="225" w:lineRule="exact"/>
        <w:rPr>
          <w:sz w:val="20"/>
          <w:szCs w:val="20"/>
          <w:color w:val="auto"/>
        </w:rPr>
      </w:pPr>
    </w:p>
    <w:p>
      <w:pPr>
        <w:ind w:right="120" w:firstLine="172"/>
        <w:spacing w:after="0" w:line="306" w:lineRule="auto"/>
        <w:rPr>
          <w:sz w:val="20"/>
          <w:szCs w:val="20"/>
          <w:color w:val="auto"/>
        </w:rPr>
      </w:pPr>
      <w:r>
        <w:rPr>
          <w:rFonts w:ascii="Arial" w:cs="Arial" w:eastAsia="Arial" w:hAnsi="Arial"/>
          <w:sz w:val="16"/>
          <w:szCs w:val="16"/>
          <w:color w:val="auto"/>
        </w:rPr>
        <w:t>The selling stockholders listed in the above table may have sold or transferred, in transactions exempt from the registration requirements of the Securities Act, some or all of their warrants or the underlying common stock since the date on which the information in the above table is presented. Information about the selling stockholders may change over time. Any changed information will be set forth in prospectus supplements.</w:t>
      </w:r>
    </w:p>
    <w:p>
      <w:pPr>
        <w:spacing w:after="0" w:line="161"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Because the selling stockholders may offer all or some of their common stock from time to time, we cannot estimate the amount of common stock that will be held by the selling stockholders upon the termination of any particular offering. See "Plan of Distribution."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520" w:firstLine="172"/>
        <w:spacing w:after="0" w:line="268" w:lineRule="auto"/>
        <w:rPr>
          <w:sz w:val="20"/>
          <w:szCs w:val="20"/>
          <w:color w:val="auto"/>
        </w:rPr>
      </w:pPr>
      <w:r>
        <w:rPr>
          <w:rFonts w:ascii="Arial" w:cs="Arial" w:eastAsia="Arial" w:hAnsi="Arial"/>
          <w:sz w:val="18"/>
          <w:szCs w:val="18"/>
          <w:color w:val="auto"/>
        </w:rPr>
        <w:t>We will not receive any of the proceeds of the sale of the common stock offered by this prospectus. The common stock may be sold from time to time to purchasers: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directly by the selling stockholders;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60"/>
        <w:spacing w:after="0" w:line="261" w:lineRule="auto"/>
        <w:rPr>
          <w:sz w:val="20"/>
          <w:szCs w:val="20"/>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stockholders or the purchasers of the common stock.</w:t>
      </w:r>
    </w:p>
    <w:p>
      <w:pPr>
        <w:spacing w:after="0" w:line="192" w:lineRule="exact"/>
        <w:rPr>
          <w:sz w:val="20"/>
          <w:szCs w:val="20"/>
          <w:color w:val="auto"/>
        </w:rPr>
      </w:pPr>
    </w:p>
    <w:p>
      <w:pPr>
        <w:ind w:right="220" w:firstLine="172"/>
        <w:spacing w:after="0" w:line="255" w:lineRule="auto"/>
        <w:rPr>
          <w:sz w:val="20"/>
          <w:szCs w:val="20"/>
          <w:color w:val="auto"/>
        </w:rPr>
      </w:pPr>
      <w:r>
        <w:rPr>
          <w:rFonts w:ascii="Arial" w:cs="Arial" w:eastAsia="Arial" w:hAnsi="Arial"/>
          <w:sz w:val="18"/>
          <w:szCs w:val="18"/>
          <w:color w:val="auto"/>
        </w:rPr>
        <w:t>The selling stockholders and any such broker-dealers or agents who participate in the distribution of the common stock may be deemed to be "underwriters." As a result, any profits on the sale of the common stock by selling stockholders and any discounts, commissions or concessions received by any such broker-dealers or agents might be deemed to be underwriting discounts and commissions under the Securities Act. If the selling stockholders were to be deemed underwriters, the selling stockholders may be subject to certain statutory liabilities of, including, but not limited to, Sections 11, 12 and 17 of the Securities Act and Rule 10b-5 under the Exchange Act.</w:t>
      </w:r>
    </w:p>
    <w:p>
      <w:pPr>
        <w:sectPr>
          <w:pgSz w:w="11900" w:h="16881" w:orient="portrait"/>
          <w:cols w:equalWidth="0" w:num="1">
            <w:col w:w="11420"/>
          </w:cols>
          <w:pgMar w:left="240" w:top="131" w:right="239" w:bottom="0" w:gutter="0" w:footer="0" w:header="0"/>
        </w:sectPr>
      </w:pPr>
    </w:p>
    <w:bookmarkStart w:id="10" w:name="page11"/>
    <w:bookmarkEnd w:id="10"/>
    <w:p>
      <w:pPr>
        <w:ind w:right="160" w:firstLine="176"/>
        <w:spacing w:after="0" w:line="268" w:lineRule="auto"/>
        <w:rPr>
          <w:sz w:val="20"/>
          <w:szCs w:val="20"/>
          <w:color w:val="auto"/>
        </w:rPr>
      </w:pPr>
      <w:r>
        <w:rPr>
          <w:rFonts w:ascii="Arial" w:cs="Arial" w:eastAsia="Arial" w:hAnsi="Arial"/>
          <w:sz w:val="18"/>
          <w:szCs w:val="18"/>
          <w:color w:val="auto"/>
        </w:rPr>
        <w:t>If the common stock is sold through underwriters or broker-dealers, the selling stockholders will be responsible for underwriting discounts or commissions or agent's commissions.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may be sold in one or more transactions at: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fixed prices;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prevailing market prices at the time of sale;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varying prices determined at the time of sale;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negotiated prices.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sales may be effected in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on any national securities exchange or quotation service on which the notes and underlying common stock may be listed or quoted at the time of the sale, including the New York Stock Exchange in the case of the common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over-the-counter market;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transactions otherwise than on such exchanges or services or in the over-the-counter market;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the writing of options.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248"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color w:val="auto"/>
        </w:rPr>
        <w:t>In connection with sales of the common stock, the selling stockholders may enter into hedging transactions with broker-dealers. These broker-dealers may in turn engage in short sales of the common stock in the course of hedging their positions. The selling stockholders may also sell the common stock short and deliver common stock to close out short positions, or loan or pledge common stock to broker-dealers that in turn may sell the common stock.</w:t>
      </w:r>
    </w:p>
    <w:p>
      <w:pPr>
        <w:spacing w:after="0" w:line="161"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To our knowledge, there are currently no plans, arrangement or understandings between any selling stockholders and any underwriter, broker-dealer or agent regarding the sale of the common stock by the selling stockholders. Selling stockholders may not sell any or all of the common stock offered by them pursuant to this prospectus. In addition, we cannot assure you that any such selling stockholder will not transfer, devise or gift the common stock by other means not described in this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common stock trades on the New York Stock Exchange under the symbol "MU."</w:t>
      </w:r>
    </w:p>
    <w:p>
      <w:pPr>
        <w:spacing w:after="0" w:line="225" w:lineRule="exact"/>
        <w:rPr>
          <w:sz w:val="20"/>
          <w:szCs w:val="20"/>
          <w:color w:val="auto"/>
        </w:rPr>
      </w:pPr>
    </w:p>
    <w:p>
      <w:pPr>
        <w:jc w:val="both"/>
        <w:ind w:right="320" w:firstLine="172"/>
        <w:spacing w:after="0" w:line="259" w:lineRule="auto"/>
        <w:rPr>
          <w:sz w:val="20"/>
          <w:szCs w:val="20"/>
          <w:color w:val="auto"/>
        </w:rPr>
      </w:pPr>
      <w:r>
        <w:rPr>
          <w:rFonts w:ascii="Arial" w:cs="Arial" w:eastAsia="Arial" w:hAnsi="Arial"/>
          <w:sz w:val="18"/>
          <w:szCs w:val="18"/>
          <w:color w:val="auto"/>
        </w:rPr>
        <w:t>There can be no assurance that any selling stockholder will sell any or all of the common stock pursuant to this prospectus. In addition, any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The selling stockholders and any other person participating in such distribution will be subject to the Exchange Act. The Exchange Act rules include, without limitation, Regulation M, which may limit the timing of purchases and sales of any of the common stock by the selling stockholders and any other such person. In addition, Regulation M of the Exchange Act may restrict the ability of any person engaged in the distribution of the common stock to engage in market-making activities with respect to the particular common stock being distributed for a period of up to five business days prior to the commencement of such distribution. This may affect the marketability of the common stock and the ability of any person or entity to engage in market-making activities with respect to the common stock. Pursuant to the registration rights agreement filed as an exhibit to this registration statement, we and the selling stockholders will be indemnified by the other against certain liabilities, including certain liabilities under the Securities Act or will be entitled to contribution in connection with these liabilities.</w:t>
      </w:r>
    </w:p>
    <w:p>
      <w:pPr>
        <w:spacing w:after="0" w:line="172" w:lineRule="exact"/>
        <w:rPr>
          <w:sz w:val="20"/>
          <w:szCs w:val="20"/>
          <w:color w:val="auto"/>
        </w:rPr>
      </w:pPr>
    </w:p>
    <w:p>
      <w:pPr>
        <w:ind w:right="160" w:firstLine="172"/>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offering and sale of the warrants and the registration of the underlying common stock to the public other than commissions, fees and discounts of underwriters, brokers, dealers and agents.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340" w:firstLine="172"/>
        <w:spacing w:after="0" w:line="268" w:lineRule="auto"/>
        <w:rPr>
          <w:sz w:val="20"/>
          <w:szCs w:val="20"/>
          <w:color w:val="auto"/>
        </w:rPr>
      </w:pPr>
      <w:r>
        <w:rPr>
          <w:rFonts w:ascii="Arial" w:cs="Arial" w:eastAsia="Arial" w:hAnsi="Arial"/>
          <w:sz w:val="18"/>
          <w:szCs w:val="18"/>
          <w:color w:val="auto"/>
        </w:rPr>
        <w:t>The validity of the issuance of our common stock offered by this prospectus will be passed upon for us by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300" w:firstLine="172"/>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30, 2001, have been so incorporated in reliance on the report of PricewaterhouseCoopers LLP, independent accountants, given on the authority of said firm as experts in auditing and accounting.</w:t>
      </w:r>
    </w:p>
    <w:p>
      <w:pPr>
        <w:sectPr>
          <w:pgSz w:w="11900" w:h="16838" w:orient="portrait"/>
          <w:cols w:equalWidth="0" w:num="1">
            <w:col w:w="11420"/>
          </w:cols>
          <w:pgMar w:left="240" w:top="131" w:right="239" w:bottom="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172"/>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and, in accordance therewith, files reports and other information with the SEC. Such reports and other information can be inspected and copied at the Public Reference Section of the SEC located at Room 1024, Judiciary Plaza, 450 Fifth Street, N.W., Washington D.C. 20549. Copies of such material can be obtained from the Public Reference Section of the SEC at prescribed rates. Such material may also be accessed electronically by means of the SEC's home page on the Internet (http://www.sec.gov).</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sets forth the expenses, other than any underwriting discount and commissions, in connection with the issuance and distribution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being registered. All amounts indicated are estimates (other than the registration fee):</w:t>
      </w:r>
    </w:p>
    <w:p>
      <w:pPr>
        <w:spacing w:after="0" w:line="227"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406,977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Warrant agent's fees and expenses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of the registrant</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Miscellaneous</w:t>
            </w: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13,023</w:t>
            </w:r>
          </w:p>
        </w:tc>
      </w:tr>
      <w:tr>
        <w:trPr>
          <w:trHeight w:val="112"/>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105"/>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3"/>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480,000</w:t>
            </w:r>
          </w:p>
        </w:tc>
      </w:tr>
      <w:tr>
        <w:trPr>
          <w:trHeight w:val="105"/>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61"/>
        </w:trPr>
        <w:tc>
          <w:tcPr>
            <w:tcW w:w="4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-340360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-340360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20"/>
        <w:spacing w:after="0"/>
        <w:tabs>
          <w:tab w:leader="none" w:pos="47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72389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02"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1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July 18, 2001, between the Company and Lehman Brothers, Inc.(3)</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9" w:lineRule="exact"/>
        <w:rPr>
          <w:sz w:val="20"/>
          <w:szCs w:val="20"/>
          <w:color w:val="auto"/>
        </w:rPr>
      </w:pPr>
    </w:p>
    <w:p>
      <w:pPr>
        <w:ind w:left="1180" w:right="2380" w:hanging="576"/>
        <w:spacing w:after="0" w:line="261" w:lineRule="auto"/>
        <w:tabs>
          <w:tab w:leader="none" w:pos="1160" w:val="left"/>
        </w:tabs>
        <w:rPr>
          <w:sz w:val="20"/>
          <w:szCs w:val="20"/>
          <w:color w:val="auto"/>
        </w:rPr>
      </w:pPr>
      <w:r>
        <w:rPr>
          <w:rFonts w:ascii="Arial" w:cs="Arial" w:eastAsia="Arial" w:hAnsi="Arial"/>
          <w:sz w:val="18"/>
          <w:szCs w:val="18"/>
          <w:color w:val="auto"/>
        </w:rPr>
        <w:t>24.1</w:t>
        <w:tab/>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10502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Previously filed.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31,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30, 2001.</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Undertakings</w:t>
      </w:r>
    </w:p>
    <w:p>
      <w:pPr>
        <w:sectPr>
          <w:pgSz w:w="11900" w:h="16838" w:orient="portrait"/>
          <w:cols w:equalWidth="0" w:num="1">
            <w:col w:w="11340"/>
          </w:cols>
          <w:pgMar w:left="240" w:top="341" w:right="319" w:bottom="0" w:gutter="0" w:footer="0" w:header="0"/>
          <w:type w:val="continuous"/>
        </w:sectPr>
      </w:pPr>
    </w:p>
    <w:bookmarkStart w:id="12" w:name="page13"/>
    <w:bookmarkEnd w:id="12"/>
    <w:p>
      <w:pPr>
        <w:ind w:left="400" w:hanging="216"/>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2"/>
        <w:spacing w:after="0"/>
        <w:tabs>
          <w:tab w:leader="none" w:pos="1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ind w:left="1080" w:right="80" w:firstLine="184"/>
        <w:spacing w:after="0" w:line="290" w:lineRule="auto"/>
        <w:tabs>
          <w:tab w:leader="none" w:pos="1511" w:val="left"/>
        </w:tabs>
        <w:numPr>
          <w:ilvl w:val="2"/>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sz w:val="20"/>
          <w:szCs w:val="20"/>
          <w:color w:val="auto"/>
        </w:rPr>
      </w:pPr>
    </w:p>
    <w:p>
      <w:pPr>
        <w:ind w:left="1080" w:right="320" w:firstLine="184"/>
        <w:spacing w:after="0" w:line="268"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4" w:lineRule="exact"/>
        <w:rPr>
          <w:sz w:val="20"/>
          <w:szCs w:val="20"/>
          <w:color w:val="auto"/>
        </w:rPr>
      </w:pPr>
    </w:p>
    <w:p>
      <w:pPr>
        <w:jc w:val="both"/>
        <w:ind w:left="540" w:right="460" w:firstLine="184"/>
        <w:spacing w:after="0" w:line="259"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120" w:firstLine="184"/>
        <w:spacing w:after="0" w:line="268"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60" w:firstLine="184"/>
        <w:spacing w:after="0" w:line="256"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184"/>
        <w:spacing w:after="0" w:line="290" w:lineRule="auto"/>
        <w:tabs>
          <w:tab w:leader="none" w:pos="39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0" w:hanging="21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w:t>
      </w:r>
    </w:p>
    <w:p>
      <w:pPr>
        <w:spacing w:after="0" w:line="38" w:lineRule="exact"/>
        <w:rPr>
          <w:rFonts w:ascii="Arial" w:cs="Arial" w:eastAsia="Arial" w:hAnsi="Arial"/>
          <w:sz w:val="16"/>
          <w:szCs w:val="16"/>
          <w:color w:val="auto"/>
        </w:rPr>
      </w:pPr>
    </w:p>
    <w:p>
      <w:pPr>
        <w:ind w:left="540" w:right="160"/>
        <w:spacing w:after="0" w:line="261" w:lineRule="auto"/>
        <w:rPr>
          <w:rFonts w:ascii="Arial" w:cs="Arial" w:eastAsia="Arial" w:hAnsi="Arial"/>
          <w:sz w:val="16"/>
          <w:szCs w:val="16"/>
          <w:color w:val="auto"/>
        </w:rPr>
      </w:pPr>
      <w:r>
        <w:rPr>
          <w:rFonts w:ascii="Arial" w:cs="Arial" w:eastAsia="Arial" w:hAnsi="Arial"/>
          <w:sz w:val="18"/>
          <w:szCs w:val="18"/>
          <w:color w:val="auto"/>
        </w:rPr>
        <w:t>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91" w:lineRule="exact"/>
        <w:rPr>
          <w:rFonts w:ascii="Arial" w:cs="Arial" w:eastAsia="Arial" w:hAnsi="Arial"/>
          <w:sz w:val="16"/>
          <w:szCs w:val="16"/>
          <w:color w:val="auto"/>
        </w:rPr>
      </w:pPr>
    </w:p>
    <w:p>
      <w:pPr>
        <w:jc w:val="both"/>
        <w:ind w:left="540" w:right="60" w:firstLine="184"/>
        <w:spacing w:after="0" w:line="259"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Boise, State of Idaho, on January 10, 2002.</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74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Vice President of Finance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219"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has been signed by the following persons in the capacities and on the dates indicated:</w:t>
      </w:r>
    </w:p>
    <w:p>
      <w:pPr>
        <w:sectPr>
          <w:pgSz w:w="11900" w:h="16838" w:orient="portrait"/>
          <w:cols w:equalWidth="0" w:num="1">
            <w:col w:w="11380"/>
          </w:cols>
          <w:pgMar w:left="240" w:top="131" w:right="279" w:bottom="0" w:gutter="0" w:footer="0" w:header="0"/>
        </w:sectPr>
      </w:pPr>
    </w:p>
    <w:p>
      <w:pPr>
        <w:spacing w:after="0" w:line="182" w:lineRule="exact"/>
        <w:rPr>
          <w:sz w:val="20"/>
          <w:szCs w:val="20"/>
          <w:color w:val="auto"/>
        </w:rPr>
      </w:pPr>
    </w:p>
    <w:p>
      <w:pPr>
        <w:ind w:left="1560"/>
        <w:spacing w:after="0"/>
        <w:tabs>
          <w:tab w:leader="none" w:pos="5220" w:val="left"/>
          <w:tab w:leader="none" w:pos="8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9940" cy="1206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Chairman of the Board of Directors, Chief</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7"/>
        </w:trPr>
        <w:tc>
          <w:tcPr>
            <w:tcW w:w="5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3800" w:type="dxa"/>
            <w:vAlign w:val="bottom"/>
            <w:gridSpan w:val="2"/>
            <w:vMerge w:val="restart"/>
          </w:tcPr>
          <w:p>
            <w:pPr>
              <w:ind w:left="180"/>
              <w:spacing w:after="0"/>
              <w:rPr>
                <w:sz w:val="20"/>
                <w:szCs w:val="20"/>
                <w:color w:val="auto"/>
              </w:rPr>
            </w:pPr>
            <w:r>
              <w:rPr>
                <w:rFonts w:ascii="Arial" w:cs="Arial" w:eastAsia="Arial" w:hAnsi="Arial"/>
                <w:sz w:val="18"/>
                <w:szCs w:val="18"/>
                <w:color w:val="auto"/>
              </w:rPr>
              <w:t>Executive Officer and President (Principal</w:t>
            </w:r>
          </w:p>
        </w:tc>
        <w:tc>
          <w:tcPr>
            <w:tcW w:w="17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2"/>
          </w:tcPr>
          <w:p>
            <w:pPr>
              <w:jc w:val="center"/>
              <w:ind w:right="832"/>
              <w:spacing w:after="0"/>
              <w:rPr>
                <w:sz w:val="20"/>
                <w:szCs w:val="20"/>
                <w:color w:val="auto"/>
              </w:rPr>
            </w:pPr>
            <w:r>
              <w:rPr>
                <w:rFonts w:ascii="Arial" w:cs="Arial" w:eastAsia="Arial" w:hAnsi="Arial"/>
                <w:sz w:val="18"/>
                <w:szCs w:val="18"/>
                <w:color w:val="auto"/>
                <w:w w:val="88"/>
              </w:rPr>
              <w:t>Steven R. Appleton</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1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 W. G. STOVER, JR.</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w w:val="98"/>
              </w:rPr>
              <w:t>Vice President of Finance and Chief Financial</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7"/>
        </w:trPr>
        <w:tc>
          <w:tcPr>
            <w:tcW w:w="5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3800" w:type="dxa"/>
            <w:vAlign w:val="bottom"/>
            <w:gridSpan w:val="2"/>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17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540" w:type="dxa"/>
            <w:vAlign w:val="bottom"/>
            <w:gridSpan w:val="2"/>
            <w:vMerge w:val="restart"/>
          </w:tcPr>
          <w:p>
            <w:pPr>
              <w:jc w:val="center"/>
              <w:ind w:right="812"/>
              <w:spacing w:after="0"/>
              <w:rPr>
                <w:sz w:val="20"/>
                <w:szCs w:val="20"/>
                <w:color w:val="auto"/>
              </w:rPr>
            </w:pPr>
            <w:r>
              <w:rPr>
                <w:rFonts w:ascii="Arial" w:cs="Arial" w:eastAsia="Arial" w:hAnsi="Arial"/>
                <w:sz w:val="18"/>
                <w:szCs w:val="18"/>
                <w:color w:val="auto"/>
                <w:w w:val="87"/>
              </w:rPr>
              <w:t>W.G. Stover, Jr.</w:t>
            </w: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2"/>
            <w:vMerge w:val="continue"/>
          </w:tcPr>
          <w:p>
            <w:pPr>
              <w:spacing w:after="0"/>
              <w:rPr>
                <w:sz w:val="21"/>
                <w:szCs w:val="21"/>
                <w:color w:val="auto"/>
              </w:rPr>
            </w:pPr>
          </w:p>
        </w:tc>
        <w:tc>
          <w:tcPr>
            <w:tcW w:w="7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right="812"/>
              <w:spacing w:after="0"/>
              <w:rPr>
                <w:sz w:val="20"/>
                <w:szCs w:val="20"/>
                <w:color w:val="auto"/>
              </w:rPr>
            </w:pPr>
            <w:r>
              <w:rPr>
                <w:rFonts w:ascii="Arial" w:cs="Arial" w:eastAsia="Arial" w:hAnsi="Arial"/>
                <w:sz w:val="18"/>
                <w:szCs w:val="18"/>
                <w:color w:val="auto"/>
                <w:w w:val="85"/>
              </w:rPr>
              <w:t>James W. Bagley</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right="832"/>
              <w:spacing w:after="0"/>
              <w:rPr>
                <w:sz w:val="20"/>
                <w:szCs w:val="20"/>
                <w:color w:val="auto"/>
              </w:rPr>
            </w:pPr>
            <w:r>
              <w:rPr>
                <w:rFonts w:ascii="Arial" w:cs="Arial" w:eastAsia="Arial" w:hAnsi="Arial"/>
                <w:sz w:val="18"/>
                <w:szCs w:val="18"/>
                <w:color w:val="auto"/>
                <w:w w:val="91"/>
              </w:rPr>
              <w:t>Robert A. Lothrop</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right="812"/>
              <w:spacing w:after="0"/>
              <w:rPr>
                <w:sz w:val="20"/>
                <w:szCs w:val="20"/>
                <w:color w:val="auto"/>
              </w:rPr>
            </w:pPr>
            <w:r>
              <w:rPr>
                <w:rFonts w:ascii="Arial" w:cs="Arial" w:eastAsia="Arial" w:hAnsi="Arial"/>
                <w:sz w:val="18"/>
                <w:szCs w:val="18"/>
                <w:color w:val="auto"/>
                <w:w w:val="89"/>
              </w:rPr>
              <w:t>Thomas T. Nicholson</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center"/>
              <w:ind w:right="1092"/>
              <w:spacing w:after="0"/>
              <w:rPr>
                <w:sz w:val="20"/>
                <w:szCs w:val="20"/>
                <w:color w:val="auto"/>
              </w:rPr>
            </w:pPr>
            <w:r>
              <w:rPr>
                <w:rFonts w:ascii="Arial" w:cs="Arial" w:eastAsia="Arial" w:hAnsi="Arial"/>
                <w:sz w:val="18"/>
                <w:szCs w:val="18"/>
                <w:color w:val="auto"/>
                <w:w w:val="90"/>
              </w:rPr>
              <w:t>Don J. Simplot</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right="812"/>
              <w:spacing w:after="0"/>
              <w:rPr>
                <w:sz w:val="20"/>
                <w:szCs w:val="20"/>
                <w:color w:val="auto"/>
              </w:rPr>
            </w:pPr>
            <w:r>
              <w:rPr>
                <w:rFonts w:ascii="Arial" w:cs="Arial" w:eastAsia="Arial" w:hAnsi="Arial"/>
                <w:sz w:val="18"/>
                <w:szCs w:val="18"/>
                <w:color w:val="auto"/>
                <w:w w:val="89"/>
              </w:rPr>
              <w:t>Gordon C. Smith</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II–4</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center"/>
              <w:ind w:right="672"/>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160" w:type="dxa"/>
            <w:vAlign w:val="bottom"/>
            <w:gridSpan w:val="2"/>
          </w:tcPr>
          <w:p>
            <w:pPr>
              <w:ind w:left="400"/>
              <w:spacing w:after="0"/>
              <w:rPr>
                <w:sz w:val="20"/>
                <w:szCs w:val="20"/>
                <w:color w:val="auto"/>
              </w:rPr>
            </w:pPr>
            <w:r>
              <w:rPr>
                <w:rFonts w:ascii="Arial" w:cs="Arial" w:eastAsia="Arial" w:hAnsi="Arial"/>
                <w:sz w:val="18"/>
                <w:szCs w:val="18"/>
                <w:color w:val="auto"/>
              </w:rPr>
              <w:t>January 10, 2002</w:t>
            </w:r>
          </w:p>
        </w:tc>
        <w:tc>
          <w:tcPr>
            <w:tcW w:w="0" w:type="dxa"/>
            <w:vAlign w:val="bottom"/>
          </w:tcPr>
          <w:p>
            <w:pPr>
              <w:spacing w:after="0"/>
              <w:rPr>
                <w:sz w:val="1"/>
                <w:szCs w:val="1"/>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right="812"/>
              <w:spacing w:after="0"/>
              <w:rPr>
                <w:sz w:val="20"/>
                <w:szCs w:val="20"/>
                <w:color w:val="auto"/>
              </w:rPr>
            </w:pPr>
            <w:r>
              <w:rPr>
                <w:rFonts w:ascii="Arial" w:cs="Arial" w:eastAsia="Arial" w:hAnsi="Arial"/>
                <w:sz w:val="18"/>
                <w:szCs w:val="18"/>
                <w:color w:val="auto"/>
                <w:w w:val="89"/>
              </w:rPr>
              <w:t>William P. Weber</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/s/ W. G. STOVER, JR.</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center"/>
              <w:ind w:left="52"/>
              <w:spacing w:after="0"/>
              <w:rPr>
                <w:sz w:val="20"/>
                <w:szCs w:val="20"/>
                <w:color w:val="auto"/>
              </w:rPr>
            </w:pPr>
            <w:r>
              <w:rPr>
                <w:rFonts w:ascii="Arial" w:cs="Arial" w:eastAsia="Arial" w:hAnsi="Arial"/>
                <w:sz w:val="18"/>
                <w:szCs w:val="18"/>
                <w:color w:val="auto"/>
                <w:w w:val="87"/>
              </w:rPr>
              <w:t>(W.G. Stover, Jr.)</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jc w:val="center"/>
              <w:ind w:left="52"/>
              <w:spacing w:after="0"/>
              <w:rPr>
                <w:sz w:val="20"/>
                <w:szCs w:val="20"/>
                <w:color w:val="auto"/>
              </w:rPr>
            </w:pPr>
            <w:r>
              <w:rPr>
                <w:rFonts w:ascii="Arial" w:cs="Arial" w:eastAsia="Arial" w:hAnsi="Arial"/>
                <w:sz w:val="18"/>
                <w:szCs w:val="18"/>
                <w:i w:val="1"/>
                <w:iCs w:val="1"/>
                <w:color w:val="auto"/>
                <w:w w:val="92"/>
              </w:rPr>
              <w:t>Attorney-in-Fact</w:t>
            </w:r>
          </w:p>
        </w:tc>
        <w:tc>
          <w:tcPr>
            <w:tcW w:w="7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II–5</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20" w:type="dxa"/>
            <w:vAlign w:val="bottom"/>
          </w:tcPr>
          <w:p>
            <w:pPr>
              <w:jc w:val="center"/>
              <w:ind w:right="17"/>
              <w:spacing w:after="0"/>
              <w:rPr>
                <w:sz w:val="20"/>
                <w:szCs w:val="20"/>
                <w:color w:val="auto"/>
              </w:rPr>
            </w:pPr>
            <w:r>
              <w:rPr>
                <w:rFonts w:ascii="Arial" w:cs="Arial" w:eastAsia="Arial" w:hAnsi="Arial"/>
                <w:sz w:val="18"/>
                <w:szCs w:val="18"/>
                <w:b w:val="1"/>
                <w:bCs w:val="1"/>
                <w:color w:val="auto"/>
              </w:rPr>
              <w:t>EXHIBIT INDEX</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20" w:type="dxa"/>
            <w:vAlign w:val="bottom"/>
          </w:tcPr>
          <w:p>
            <w:pPr>
              <w:ind w:left="500"/>
              <w:spacing w:after="0"/>
              <w:rPr>
                <w:sz w:val="20"/>
                <w:szCs w:val="20"/>
                <w:color w:val="auto"/>
              </w:rPr>
            </w:pPr>
            <w:r>
              <w:rPr>
                <w:rFonts w:ascii="Arial" w:cs="Arial" w:eastAsia="Arial" w:hAnsi="Arial"/>
                <w:sz w:val="14"/>
                <w:szCs w:val="14"/>
                <w:b w:val="1"/>
                <w:bCs w:val="1"/>
                <w:color w:val="auto"/>
              </w:rPr>
              <w:t>Exhibit Title</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-6540500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-6540500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-5974715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-5974715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-5408295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-5408295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-4842510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-4842510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-4276725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-4276725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-3710305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-3710305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-3144520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-3144520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-2510155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-2510155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-2080895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-2080895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-1515110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-1515110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-742950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2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22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July 18, 2001, between the Company and Lehman Brothers, Inc.(3)</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225" w:lineRule="exact"/>
        <w:rPr>
          <w:sz w:val="20"/>
          <w:szCs w:val="20"/>
          <w:color w:val="auto"/>
        </w:rPr>
      </w:pPr>
    </w:p>
    <w:p>
      <w:pPr>
        <w:ind w:left="1180" w:right="2460" w:hanging="576"/>
        <w:spacing w:after="0" w:line="268" w:lineRule="auto"/>
        <w:tabs>
          <w:tab w:leader="none" w:pos="1160" w:val="left"/>
        </w:tabs>
        <w:rPr>
          <w:sz w:val="20"/>
          <w:szCs w:val="20"/>
          <w:color w:val="auto"/>
        </w:rPr>
      </w:pPr>
      <w:r>
        <w:rPr>
          <w:rFonts w:ascii="Arial" w:cs="Arial" w:eastAsia="Arial" w:hAnsi="Arial"/>
          <w:sz w:val="18"/>
          <w:szCs w:val="18"/>
          <w:color w:val="auto"/>
        </w:rPr>
        <w:t>24.1</w:t>
        <w:tab/>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105029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Previously filed.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31,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98" w:right="239" w:bottom="0" w:gutter="0" w:footer="0" w:header="0"/>
        </w:sectPr>
      </w:pPr>
    </w:p>
    <w:bookmarkStart w:id="14" w:name="page15"/>
    <w:bookmarkEnd w:id="14"/>
    <w:p>
      <w:pPr>
        <w:ind w:left="540"/>
        <w:spacing w:after="0"/>
        <w:rPr>
          <w:sz w:val="20"/>
          <w:szCs w:val="20"/>
          <w:color w:val="auto"/>
        </w:rPr>
      </w:pPr>
      <w:r>
        <w:rPr>
          <w:rFonts w:ascii="Arial" w:cs="Arial" w:eastAsia="Arial" w:hAnsi="Arial"/>
          <w:sz w:val="15"/>
          <w:szCs w:val="15"/>
          <w:color w:val="auto"/>
        </w:rPr>
        <w:t>Incorporated by reference to Quarterly Report on Form 10-Q for the fiscal quarter ended December 2, 1999.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Incorporated by reference to Annual Report on Form 10-K for the fiscal year ended August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REGISTRATION RIGHTS RELATING TO THE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SELLING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PART II INFORMATION NOT REQUIRED IN THE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14.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15.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16.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15" w:name="page16"/>
    <w:bookmarkEnd w:id="15"/>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January 10,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83707-0006</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 Registration Statement of Form S-3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172"/>
        <w:spacing w:after="0" w:line="294" w:lineRule="auto"/>
        <w:rPr>
          <w:sz w:val="20"/>
          <w:szCs w:val="20"/>
          <w:color w:val="auto"/>
        </w:rPr>
      </w:pPr>
      <w:r>
        <w:rPr>
          <w:rFonts w:ascii="Arial" w:cs="Arial" w:eastAsia="Arial" w:hAnsi="Arial"/>
          <w:sz w:val="16"/>
          <w:szCs w:val="16"/>
          <w:color w:val="auto"/>
        </w:rPr>
        <w:t>We are acting as counsel for Micron Technology, Inc., a Delaware corporation (the "Company") in connection with the registration under the Securities Act of 1933, as amended, of such shares of Common Stock, $0.10 par value (the "Common Stock"), of the Company, as may be required for issuance upon the exercise of Warrants (the "Warrant Shares"). The Warrant Shares are to be offered and sold by certain securityholders of the Company (the "Selling Securityholders"). In this regard we have participated in the preparation of a Registration Statement on Form S-3 relating to the Warrant Shares (such Registration Statement, as it may be amended from time to time, is herein referred to as the "Registration Statement").</w:t>
      </w:r>
    </w:p>
    <w:p>
      <w:pPr>
        <w:spacing w:after="0" w:line="170" w:lineRule="exact"/>
        <w:rPr>
          <w:sz w:val="20"/>
          <w:szCs w:val="20"/>
          <w:color w:val="auto"/>
        </w:rPr>
      </w:pPr>
    </w:p>
    <w:p>
      <w:pPr>
        <w:ind w:right="60" w:firstLine="176"/>
        <w:spacing w:after="0" w:line="291" w:lineRule="auto"/>
        <w:rPr>
          <w:sz w:val="20"/>
          <w:szCs w:val="20"/>
          <w:color w:val="auto"/>
        </w:rPr>
      </w:pPr>
      <w:r>
        <w:rPr>
          <w:rFonts w:ascii="Arial" w:cs="Arial" w:eastAsia="Arial" w:hAnsi="Arial"/>
          <w:sz w:val="16"/>
          <w:szCs w:val="16"/>
          <w:color w:val="auto"/>
        </w:rPr>
        <w:t>In connection herewith, we have examined and relied without independent investigation as to matters of fact upon such certificates of public officials, such statements and certificates of officers of the Company and originals or copies certified to our satisfaction of the Registration Statement, the articles of incorporation and bylaws of the Company as amended and now in effect, proceedings of the board of directors of the Company and such other corporate records, documents, certificates and instruments as we have deemed necessary or appropriate in order to enable us to render this opinion. In rendering this opinion, we have assumed the genuineness of all signatures on all documents examined by us, the due authority of the parties signing such documents, the authenticity of all documents submitted to us as originals and the conformity to the originals of all documents submitted to us as copies.</w:t>
      </w:r>
    </w:p>
    <w:p>
      <w:pPr>
        <w:spacing w:after="0" w:line="174"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This opinion speaks only at and as of its date and is based solely on the facts and circumstances known to us at and as of such date. We express no opinion as to the effect on rights under the agreements of any statute, rule, regulation or other law which is enacted or becomes effective after, or of any court decision which changes the law relevant to such rights which is rendered after, the date of this opinion or the conduct of the parties following the closing of the contemplated transaction. In addition, in rendering this opinion, we assume no obligation to revise or supplement this opinion should the present laws of the jurisdictions mentioned herein be changed by legislative action, judicial decision or otherwise.</w:t>
      </w:r>
    </w:p>
    <w:p>
      <w:pPr>
        <w:spacing w:after="0" w:line="170" w:lineRule="exact"/>
        <w:rPr>
          <w:sz w:val="20"/>
          <w:szCs w:val="20"/>
          <w:color w:val="auto"/>
        </w:rPr>
      </w:pPr>
    </w:p>
    <w:p>
      <w:pPr>
        <w:ind w:right="80" w:firstLine="176"/>
        <w:spacing w:after="0" w:line="259" w:lineRule="auto"/>
        <w:rPr>
          <w:sz w:val="20"/>
          <w:szCs w:val="20"/>
          <w:color w:val="auto"/>
        </w:rPr>
      </w:pPr>
      <w:r>
        <w:rPr>
          <w:rFonts w:ascii="Arial" w:cs="Arial" w:eastAsia="Arial" w:hAnsi="Arial"/>
          <w:sz w:val="18"/>
          <w:szCs w:val="18"/>
          <w:color w:val="auto"/>
        </w:rPr>
        <w:t>Based upon and subject to the foregoing, we are of the opinion that the Warrant Shares have been duly authorized and, when issued by the Company upon exercise of the Warrants in accordance with the Warrant Agreement, dated as of July 18, 2001, between the Company and Wells Fargo Bank Minnesota, N.A., as warrant agent, will be legally issued, fully paid and nonassessable.</w:t>
      </w:r>
    </w:p>
    <w:p>
      <w:pPr>
        <w:spacing w:after="0" w:line="194" w:lineRule="exact"/>
        <w:rPr>
          <w:sz w:val="20"/>
          <w:szCs w:val="20"/>
          <w:color w:val="auto"/>
        </w:rPr>
      </w:pPr>
    </w:p>
    <w:p>
      <w:pPr>
        <w:ind w:right="120" w:firstLine="172"/>
        <w:spacing w:after="0" w:line="268"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use of our name under the caption "Validity of Common Stock" in the Registration Statement and the Prospectus included therein.</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 5.1</w:t>
        </w:r>
      </w:hyperlink>
    </w:p>
    <w:p>
      <w:pPr>
        <w:sectPr>
          <w:pgSz w:w="11900" w:h="16838" w:orient="portrait"/>
          <w:cols w:equalWidth="0" w:num="1">
            <w:col w:w="11400"/>
          </w:cols>
          <w:pgMar w:left="240" w:top="361" w:right="259" w:bottom="1440" w:gutter="0" w:footer="0" w:header="0"/>
        </w:sectPr>
      </w:pPr>
    </w:p>
    <w:bookmarkStart w:id="16" w:name="page17"/>
    <w:bookmarkEnd w:id="16"/>
    <w:p>
      <w:pPr>
        <w:spacing w:after="0"/>
        <w:rPr>
          <w:rFonts w:ascii="Arial" w:cs="Arial" w:eastAsia="Arial" w:hAnsi="Arial"/>
          <w:sz w:val="22"/>
          <w:szCs w:val="22"/>
          <w:color w:val="0000EE"/>
        </w:rPr>
      </w:pPr>
      <w:hyperlink w:anchor="page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firstLine="172"/>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September 25, 2001 relating to the financial statements and the financial statement schedule, which appears in Micron Technology, Inc.'s Annual Report on Form 10-K for the year ended August 30, 2001. We also consent to the reference to us under the heading "Experts" in such Registration Statement.</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CONSENT OF INDEPENDENT ACCOUNTANTS</w:t>
        </w:r>
      </w:hyperlink>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2019-12-13T13:07:48Z</dcterms:created>
  <dcterms:modified xsi:type="dcterms:W3CDTF">2019-12-13T13:07:48Z</dcterms:modified>
</cp:coreProperties>
</file>