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7045960" cy="6028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0280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MEHROTRA SANJAY</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Arial" w:cs="Arial" w:eastAsia="Arial" w:hAnsi="Arial"/>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220" w:type="dxa"/>
            <w:vAlign w:val="bottom"/>
          </w:tcPr>
          <w:p>
            <w:pPr>
              <w:ind w:left="360"/>
              <w:spacing w:after="0"/>
              <w:rPr>
                <w:sz w:val="20"/>
                <w:szCs w:val="20"/>
                <w:color w:val="auto"/>
              </w:rPr>
            </w:pPr>
            <w:r>
              <w:rPr>
                <w:rFonts w:ascii="Arial" w:cs="Arial" w:eastAsia="Arial" w:hAnsi="Arial"/>
                <w:sz w:val="17"/>
                <w:szCs w:val="17"/>
                <w:color w:val="0000FF"/>
              </w:rPr>
              <w:t>ID</w:t>
            </w:r>
          </w:p>
        </w:tc>
        <w:tc>
          <w:tcPr>
            <w:tcW w:w="1560" w:type="dxa"/>
            <w:vAlign w:val="bottom"/>
          </w:tcPr>
          <w:p>
            <w:pPr>
              <w:ind w:left="360"/>
              <w:spacing w:after="0"/>
              <w:rPr>
                <w:sz w:val="20"/>
                <w:szCs w:val="20"/>
                <w:color w:val="auto"/>
              </w:rPr>
            </w:pPr>
            <w:r>
              <w:rPr>
                <w:rFonts w:ascii="Arial" w:cs="Arial" w:eastAsia="Arial" w:hAnsi="Arial"/>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MICRON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06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2780" w:type="dxa"/>
            <w:vAlign w:val="bottom"/>
            <w:gridSpan w:val="3"/>
            <w:vMerge w:val="restart"/>
          </w:tcPr>
          <w:p>
            <w:pPr>
              <w:ind w:left="80"/>
              <w:spacing w:after="0"/>
              <w:rPr>
                <w:sz w:val="20"/>
                <w:szCs w:val="20"/>
                <w:color w:val="auto"/>
              </w:rPr>
            </w:pPr>
            <w:r>
              <w:rPr>
                <w:rFonts w:ascii="Arial" w:cs="Arial" w:eastAsia="Arial" w:hAnsi="Arial"/>
                <w:sz w:val="17"/>
                <w:szCs w:val="17"/>
                <w:color w:val="0000FF"/>
              </w:rPr>
              <w:t>10/10/2023</w:t>
            </w:r>
          </w:p>
        </w:tc>
        <w:tc>
          <w:tcPr>
            <w:tcW w:w="10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780" w:type="dxa"/>
            <w:vAlign w:val="bottom"/>
            <w:gridSpan w:val="3"/>
            <w:vMerge w:val="continue"/>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80" w:right="560" w:hanging="256"/>
        <w:spacing w:after="0" w:line="181"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6"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10/10/2023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7,000</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41.56</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589,862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10/10/2023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5,992</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69.46</w:t>
            </w:r>
            <w:r>
              <w:rPr>
                <w:rFonts w:ascii="Arial" w:cs="Arial" w:eastAsia="Arial" w:hAnsi="Arial"/>
                <w:sz w:val="21"/>
                <w:szCs w:val="21"/>
                <w:color w:val="008000"/>
                <w:w w:val="95"/>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583,870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10/10/2023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1,008</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70.01</w:t>
            </w:r>
            <w:r>
              <w:rPr>
                <w:rFonts w:ascii="Arial" w:cs="Arial" w:eastAsia="Arial" w:hAnsi="Arial"/>
                <w:sz w:val="21"/>
                <w:szCs w:val="21"/>
                <w:color w:val="008000"/>
                <w:w w:val="95"/>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582,862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601,257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2"/>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20" w:type="dxa"/>
            <w:vAlign w:val="bottom"/>
            <w:gridSpan w:val="12"/>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60" w:type="dxa"/>
            <w:vAlign w:val="bottom"/>
            <w:gridSpan w:val="10"/>
          </w:tcPr>
          <w:p>
            <w:pPr>
              <w:jc w:val="center"/>
              <w:ind w:left="2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41.56</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10/10/2023</w:t>
            </w:r>
          </w:p>
        </w:tc>
        <w:tc>
          <w:tcPr>
            <w:tcW w:w="1100" w:type="dxa"/>
            <w:vAlign w:val="bottom"/>
          </w:tcPr>
          <w:p>
            <w:pPr>
              <w:spacing w:after="0"/>
              <w:rPr>
                <w:sz w:val="16"/>
                <w:szCs w:val="16"/>
                <w:color w:val="auto"/>
              </w:rPr>
            </w:pPr>
          </w:p>
        </w:tc>
        <w:tc>
          <w:tcPr>
            <w:tcW w:w="580" w:type="dxa"/>
            <w:vAlign w:val="bottom"/>
          </w:tcPr>
          <w:p>
            <w:pPr>
              <w:ind w:left="10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7,000</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680" w:type="dxa"/>
            <w:vAlign w:val="bottom"/>
          </w:tcPr>
          <w:p>
            <w:pPr>
              <w:jc w:val="right"/>
              <w:spacing w:after="0"/>
              <w:rPr>
                <w:sz w:val="20"/>
                <w:szCs w:val="20"/>
                <w:color w:val="auto"/>
              </w:rPr>
            </w:pPr>
            <w:r>
              <w:rPr>
                <w:rFonts w:ascii="Arial" w:cs="Arial" w:eastAsia="Arial" w:hAnsi="Arial"/>
                <w:sz w:val="13"/>
                <w:szCs w:val="13"/>
                <w:color w:val="0000FF"/>
                <w:w w:val="92"/>
              </w:rPr>
              <w:t>10/24/2025</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7,000</w:t>
            </w:r>
          </w:p>
        </w:tc>
        <w:tc>
          <w:tcPr>
            <w:tcW w:w="1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20"/>
              <w:spacing w:after="0"/>
              <w:rPr>
                <w:sz w:val="20"/>
                <w:szCs w:val="20"/>
                <w:color w:val="auto"/>
              </w:rPr>
            </w:pPr>
            <w:r>
              <w:rPr>
                <w:rFonts w:ascii="Arial" w:cs="Arial" w:eastAsia="Arial" w:hAnsi="Arial"/>
                <w:sz w:val="13"/>
                <w:szCs w:val="13"/>
                <w:color w:val="0000FF"/>
                <w:w w:val="90"/>
              </w:rPr>
              <w:t>17,308</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5"/>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Non-qualified Stock Option exercise and stock sales reported on this Form 4 were effected automatically pursuant to a Rule 10b5-1 trading plan adopted by the Reporting Person on May 15, 2023.</w:t>
      </w:r>
    </w:p>
    <w:p>
      <w:pPr>
        <w:spacing w:after="0" w:line="56" w:lineRule="exact"/>
        <w:rPr>
          <w:rFonts w:ascii="Arial" w:cs="Arial" w:eastAsia="Arial" w:hAnsi="Arial"/>
          <w:sz w:val="12"/>
          <w:szCs w:val="12"/>
          <w:color w:val="008000"/>
        </w:rPr>
      </w:pPr>
    </w:p>
    <w:p>
      <w:pPr>
        <w:ind w:left="40" w:right="18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$69.00 to $69.995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18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$70.00 to $70.035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Grantor retained annuity trusts are for the benefit of the Reporting Person and his family.</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in 2018, 2019, 2020, and 2021.</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w w:val="97"/>
              </w:rPr>
              <w:t>Mai Lan Bui, Attorney-in-fact</w:t>
            </w:r>
          </w:p>
        </w:tc>
        <w:tc>
          <w:tcPr>
            <w:tcW w:w="840" w:type="dxa"/>
            <w:vAlign w:val="bottom"/>
            <w:gridSpan w:val="2"/>
          </w:tcPr>
          <w:p>
            <w:pPr>
              <w:ind w:left="80"/>
              <w:spacing w:after="0"/>
              <w:rPr>
                <w:sz w:val="20"/>
                <w:szCs w:val="20"/>
                <w:color w:val="auto"/>
              </w:rPr>
            </w:pPr>
            <w:r>
              <w:rPr>
                <w:rFonts w:ascii="Arial" w:cs="Arial" w:eastAsia="Arial" w:hAnsi="Arial"/>
                <w:sz w:val="17"/>
                <w:szCs w:val="17"/>
                <w:color w:val="0000FF"/>
                <w:w w:val="86"/>
              </w:rPr>
              <w:t>10/12/2023</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2023-10-12T18:03:14Z</dcterms:created>
  <dcterms:modified xsi:type="dcterms:W3CDTF">2023-10-12T18:03:14Z</dcterms:modified>
</cp:coreProperties>
</file>