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12, 2013</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20" w:space="720"/>
            <w:col w:w="2880"/>
          </w:cols>
          <w:pgMar w:left="240" w:top="544" w:right="299" w:bottom="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In a series of closings from November 12 through November 18, 2013, the Company issued $1,025 million in aggregate principal amount at maturity of 3.00% Convertible Senior Notes due 2043 (the “New Notes”) in exchange for approximately $80 million in aggregate principal amount of its 1.875% Convertible Senior Notes due 2027 (the “2027 Notes”), approximately $155 million in aggregate principal amount of its 1.50% Convertible Senior Notes due 2031 (the “2031A Notes”) and approximately $205 million in aggregate principal amount of its 1.875% Convertible Senior Notes due 2031 (the “2031B Notes” and together with the 2027 Notes and 2031A Notes, the “Exchanged Notes”).</w:t>
      </w:r>
    </w:p>
    <w:p>
      <w:pPr>
        <w:spacing w:after="0" w:line="18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New Notes are governed by an indenture, dated as of November 12, 2013 (the “Indenture”), between the Company and U.S. Bank National Association, as trustee.</w:t>
      </w:r>
    </w:p>
    <w:p>
      <w:pPr>
        <w:spacing w:after="0" w:line="170" w:lineRule="exact"/>
        <w:rPr>
          <w:sz w:val="24"/>
          <w:szCs w:val="24"/>
          <w:color w:val="auto"/>
        </w:rPr>
      </w:pPr>
    </w:p>
    <w:p>
      <w:pPr>
        <w:ind w:right="20"/>
        <w:spacing w:after="0" w:line="276" w:lineRule="auto"/>
        <w:rPr>
          <w:sz w:val="20"/>
          <w:szCs w:val="20"/>
          <w:color w:val="auto"/>
        </w:rPr>
      </w:pPr>
      <w:r>
        <w:rPr>
          <w:rFonts w:ascii="Arial" w:cs="Arial" w:eastAsia="Arial" w:hAnsi="Arial"/>
          <w:sz w:val="17"/>
          <w:szCs w:val="17"/>
          <w:color w:val="auto"/>
        </w:rPr>
        <w:t>Each $1,000 principal amount at maturity of New Notes has an issue price of $800 for purposes of the Indenture. An amount equal to the difference between the issue price and the principal amount at maturity will accrue in accordance with a schedule set forth in the Indenture. The issue price plus such accrued amount per $1,000 principal amount at maturity of New Notes is referred to herein as the “accreted principal amount.” The New Notes have an interest rate of 3.00% per year per $1,000 principal amount at maturity, payable in cash semi-annually in arrears on May 15 and November 15 of each year, beginning May 15, 2014, and will mature on November 15, 2043, unless earlier repurchased, redeemed or converted.</w:t>
      </w:r>
    </w:p>
    <w:p>
      <w:pPr>
        <w:spacing w:after="0" w:line="173" w:lineRule="exact"/>
        <w:rPr>
          <w:sz w:val="24"/>
          <w:szCs w:val="24"/>
          <w:color w:val="auto"/>
        </w:rPr>
      </w:pPr>
    </w:p>
    <w:p>
      <w:pPr>
        <w:ind w:right="40"/>
        <w:spacing w:after="0" w:line="286" w:lineRule="auto"/>
        <w:rPr>
          <w:sz w:val="20"/>
          <w:szCs w:val="20"/>
          <w:color w:val="auto"/>
        </w:rPr>
      </w:pPr>
      <w:r>
        <w:rPr>
          <w:rFonts w:ascii="Arial" w:cs="Arial" w:eastAsia="Arial" w:hAnsi="Arial"/>
          <w:sz w:val="17"/>
          <w:szCs w:val="17"/>
          <w:color w:val="auto"/>
        </w:rPr>
        <w:t>The New Notes have an initial conversion rate of 34.2936 shares of the Company’s common stock, par value $0.10 per share (“Common Stock”), per $1,000 principal amount at maturity of New Notes, subject to adjustment, and are convertible, subject to certain conditions summarized below, into cash, shares of the Company’s Common Stock or any combination of cash and shares of the Company’s Common Stock, at the Company’s election.</w:t>
      </w:r>
    </w:p>
    <w:p>
      <w:pPr>
        <w:spacing w:after="0" w:line="166" w:lineRule="exact"/>
        <w:rPr>
          <w:sz w:val="24"/>
          <w:szCs w:val="24"/>
          <w:color w:val="auto"/>
        </w:rPr>
      </w:pPr>
    </w:p>
    <w:p>
      <w:pPr>
        <w:jc w:val="both"/>
        <w:ind w:right="300"/>
        <w:spacing w:after="0" w:line="342" w:lineRule="auto"/>
        <w:rPr>
          <w:sz w:val="20"/>
          <w:szCs w:val="20"/>
          <w:color w:val="auto"/>
        </w:rPr>
      </w:pPr>
      <w:r>
        <w:rPr>
          <w:rFonts w:ascii="Arial" w:cs="Arial" w:eastAsia="Arial" w:hAnsi="Arial"/>
          <w:sz w:val="16"/>
          <w:szCs w:val="16"/>
          <w:color w:val="auto"/>
        </w:rPr>
        <w:t>Holders of the New Notes may convert their New Notes on or after August 15, 2043 until the close of business on the scheduled trading day immediately preceding the maturity date. Prior to August 15, 2043, holders of the New Notes may convert their New Notes under any of the following circumstances:</w:t>
      </w:r>
    </w:p>
    <w:p>
      <w:pPr>
        <w:spacing w:after="0" w:line="124" w:lineRule="exact"/>
        <w:rPr>
          <w:sz w:val="24"/>
          <w:szCs w:val="24"/>
          <w:color w:val="auto"/>
        </w:rPr>
      </w:pPr>
    </w:p>
    <w:p>
      <w:pPr>
        <w:jc w:val="both"/>
        <w:ind w:left="980" w:right="460" w:hanging="324"/>
        <w:spacing w:after="0" w:line="256"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any calendar quarter beginning after March 31, 2014 (and only during such calendar quarter) if the closing price of the Company’s Common Stock for at least 20 trading days in the 30 consecutive trading days ending on the last trading day of the immediately preceding calendar quarter is more than 130% of the conversion price;</w:t>
      </w:r>
    </w:p>
    <w:p>
      <w:pPr>
        <w:ind w:left="980" w:right="260" w:hanging="324"/>
        <w:spacing w:after="0" w:line="261"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all or a portion of the principal amount at maturity of the New Notes have been called for redemption (with only such portion of such New Notes that have been called for redemption being convertible);</w:t>
      </w:r>
    </w:p>
    <w:p>
      <w:pPr>
        <w:sectPr>
          <w:pgSz w:w="11900" w:h="16838" w:orient="portrait"/>
          <w:cols w:equalWidth="0" w:num="1">
            <w:col w:w="11360"/>
          </w:cols>
          <w:pgMar w:left="240" w:top="544" w:right="299" w:bottom="0" w:gutter="0" w:footer="0" w:header="0"/>
          <w:type w:val="continuous"/>
        </w:sectPr>
      </w:pPr>
    </w:p>
    <w:bookmarkStart w:id="1" w:name="page2"/>
    <w:bookmarkEnd w:id="1"/>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specified distributions to holders of the Company’s Common Stock are made, or specified corporate events occur; or</w:t>
      </w:r>
    </w:p>
    <w:p>
      <w:pPr>
        <w:spacing w:after="0" w:line="23" w:lineRule="exact"/>
        <w:rPr>
          <w:rFonts w:ascii="Arial" w:cs="Arial" w:eastAsia="Arial" w:hAnsi="Arial"/>
          <w:sz w:val="18"/>
          <w:szCs w:val="18"/>
          <w:color w:val="auto"/>
        </w:rPr>
      </w:pPr>
    </w:p>
    <w:p>
      <w:pPr>
        <w:ind w:left="980" w:right="80" w:hanging="324"/>
        <w:spacing w:after="0" w:line="255"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per $1,000 principal amount at maturity of New Notes for each trading day of that period is less than 98% of the product of the closing price of the Company’s Common Stock and the conversion rate of the New Notes.</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event of a fundamental change (as defined in the Indenture) or on November 15, 2028, holders of the New Notes may require the Company to repurchase all or a portion of their New Notes at a price per $1,000 principal amount at maturity of New Notes equal to accreted principal amount plus accrued and unpaid interest, to, but excluding, the repurchase date. Holders of the New Notes who convert their New Notes in connection with a make-whole change in control (as defined in the Indenture) will, under certain circumstances, be entitled to a make-whole premium in the form of an increase in the conversion rate determined by reference to a make-whole table set forth in the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may elect to redeem all or any portion of the New Notes at a redemption price equal to 100% of the principal amount at maturity of New Notes, plus accrued and unpaid interest, if any, to, but excluding, the redemption date, if the daily volume weighted average price of the Company’s Common Stock is greater than or equal to 130% of the then effective conversion price for at least 20 trading days during any 30 consecutive trading day period. On or after November 20, 2018, the Company may elect to redeem all or any portion of the New Notes without regard to the price of the Company’s Common Stock at a redemption price equal to the accreted principal amount of the New Notes, plus accrued and unpaid interest, if any, to, but excluding the redemption date. If the Company elects to redeem all or part of the principal amount at maturity of the New Notes prior to November 20, 2018, it will increase the conversion rate for holders who convert the principal amount at maturity of the New Notes selected for redemption by reference to a make-whole table set forth in the Indenture and make a payment equal to the amount of accrued and unpaid interest to such 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are considered “Events of Default,” which may result in the acceleration of the maturity of the New Notes:</w:t>
      </w:r>
    </w:p>
    <w:p>
      <w:pPr>
        <w:spacing w:after="0" w:line="225" w:lineRule="exact"/>
        <w:rPr>
          <w:sz w:val="20"/>
          <w:szCs w:val="20"/>
          <w:color w:val="auto"/>
        </w:rPr>
      </w:pPr>
    </w:p>
    <w:p>
      <w:pPr>
        <w:ind w:left="980" w:right="120" w:hanging="324"/>
        <w:spacing w:after="0" w:line="258"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pay when due the principal on any of the New Notes at maturity, upon optional redemption, upon required repurchase, upon declaration or otherwise;</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failure to pay interest, including any additional interest, on any of the New Notes for 30 days after the date when due;</w:t>
      </w:r>
    </w:p>
    <w:p>
      <w:pPr>
        <w:spacing w:after="0" w:line="20" w:lineRule="exact"/>
        <w:rPr>
          <w:rFonts w:ascii="Arial" w:cs="Arial" w:eastAsia="Arial" w:hAnsi="Arial"/>
          <w:sz w:val="17"/>
          <w:szCs w:val="17"/>
          <w:color w:val="auto"/>
        </w:rPr>
      </w:pPr>
    </w:p>
    <w:p>
      <w:pPr>
        <w:ind w:left="980" w:right="420" w:hanging="324"/>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give timely notice of a termination of trading, a change of control or a make-whole change in control that does not constitute a change in control, which continues for a period of three business days;</w:t>
      </w:r>
    </w:p>
    <w:p>
      <w:pPr>
        <w:ind w:left="980" w:right="120" w:hanging="324"/>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comply with its obligation to convert the New Notes upon exercise of a holder’s right to convert its New Notes, which continues for a period of three business days;</w:t>
      </w:r>
    </w:p>
    <w:p>
      <w:pPr>
        <w:ind w:left="980" w:right="260" w:hanging="324"/>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comply with any other agreement under the Indenture or in the New Notes and the Company fails to cure or obtain a waiver of such default for a period of 60 days after receiving notice of such failure as required by the Indenture;</w:t>
      </w:r>
    </w:p>
    <w:p>
      <w:pPr>
        <w:ind w:left="980" w:right="180" w:hanging="324"/>
        <w:spacing w:after="0" w:line="281"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 Company’s failure to pay at maturity (after giving effect to any applicable grace period) any indebtedness of the Company in a principal amount in excess of $100 million, or (ii) acceleration of indebtedness of the Company in a principal amount in excess of $100 million because of a default with respect to such indebtedness without such indebtedness having been discharged, or such acceleration having been cured, waived, rescinded or annulled within a period of 30 days after written notice to the Company in accordance with the Indenture; and</w:t>
      </w:r>
    </w:p>
    <w:p>
      <w:pPr>
        <w:spacing w:after="0" w:line="2" w:lineRule="exact"/>
        <w:rPr>
          <w:rFonts w:ascii="Arial" w:cs="Arial" w:eastAsia="Arial" w:hAnsi="Arial"/>
          <w:sz w:val="16"/>
          <w:szCs w:val="16"/>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the Company.</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copy of the Indenture is filed herewith as Exhibit 4.1 and is incorporated herein by reference. The description of the New Notes contained in this Form 8-K are qualified in their entirety by reference to the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foregoing terms and conditions of the New Notes and Indenture described in Item 1.01 of this Current Report on Form 8-K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described in Item 1.01 of this Current Report on Form 8-K, which is incorporated herein by reference, the Company issued $1,025 million in aggregate principal amount at maturity of New Notes to certain holders of the Exchanged Notes in a series of closings from November 12 through November 18, 2013 in a private placement pursuant to an exemption from the registration requirements of the Securities Act of 1933, as amended (the “Securities Act”).</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offered and sold the New Notes to the holders of Exchanged Notes in reliance on the exemption from registration provided by Section 4(2) of the Securities Act. The Company relied on this exemption from registration based in part on representations made by the holders of Exchanged Notes.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New Notes and Common Stock issuable upon conversion of the New Notes have not been registered under the Securities Act and may not be offered or sold in the United States absent registration or an applicable exemption from registration requirements.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Notes are convertible into cash, shares of Common Stock or a combination of cash and shares of Common Stock, at the Company’s election, as described in Item 1.01 of this Current Report of Form 8-K.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125"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560" w:type="dxa"/>
            <w:vAlign w:val="bottom"/>
            <w:gridSpan w:val="3"/>
          </w:tcPr>
          <w:p>
            <w:pPr>
              <w:jc w:val="right"/>
              <w:ind w:right="7276"/>
              <w:spacing w:after="0"/>
              <w:rPr>
                <w:sz w:val="20"/>
                <w:szCs w:val="20"/>
                <w:color w:val="auto"/>
              </w:rPr>
            </w:pPr>
            <w:r>
              <w:rPr>
                <w:rFonts w:ascii="Arial" w:cs="Arial" w:eastAsia="Arial" w:hAnsi="Arial"/>
                <w:sz w:val="18"/>
                <w:szCs w:val="18"/>
                <w:color w:val="auto"/>
                <w:w w:val="99"/>
              </w:rPr>
              <w:t>The following exhibits are filed herewith:</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4.1</w:t>
            </w:r>
          </w:p>
        </w:tc>
        <w:tc>
          <w:tcPr>
            <w:tcW w:w="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Indenture, dated as of November 12, 2013, by and between the Company and U.S. Bank National Association.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New Note (included in Exhibit 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560" w:type="dxa"/>
            <w:vAlign w:val="bottom"/>
            <w:gridSpan w:val="3"/>
          </w:tcPr>
          <w:p>
            <w:pPr>
              <w:jc w:val="right"/>
              <w:ind w:right="5576"/>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November 18, 2013</w:t>
            </w:r>
          </w:p>
        </w:tc>
        <w:tc>
          <w:tcPr>
            <w:tcW w:w="2700" w:type="dxa"/>
            <w:vAlign w:val="bottom"/>
          </w:tcPr>
          <w:p>
            <w:pPr>
              <w:ind w:left="19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7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700" w:type="dxa"/>
            <w:vAlign w:val="bottom"/>
          </w:tcPr>
          <w:p>
            <w:pPr>
              <w:ind w:left="19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700" w:type="dxa"/>
            <w:vAlign w:val="bottom"/>
          </w:tcPr>
          <w:p>
            <w:pPr>
              <w:ind w:left="1880"/>
              <w:spacing w:after="0"/>
              <w:rPr>
                <w:sz w:val="20"/>
                <w:szCs w:val="20"/>
                <w:color w:val="auto"/>
              </w:rPr>
            </w:pPr>
            <w:r>
              <w:rPr>
                <w:rFonts w:ascii="Arial" w:cs="Arial" w:eastAsia="Arial" w:hAnsi="Arial"/>
                <w:sz w:val="18"/>
                <w:szCs w:val="18"/>
                <w:color w:val="auto"/>
              </w:rPr>
              <w:t>6</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jc w:val="center"/>
              <w:ind w:right="1293"/>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jc w:val="center"/>
              <w:ind w:right="1293"/>
              <w:spacing w:after="0"/>
              <w:rPr>
                <w:sz w:val="20"/>
                <w:szCs w:val="20"/>
                <w:color w:val="auto"/>
              </w:rPr>
            </w:pPr>
            <w:r>
              <w:rPr>
                <w:rFonts w:ascii="Arial" w:cs="Arial" w:eastAsia="Arial" w:hAnsi="Arial"/>
                <w:sz w:val="18"/>
                <w:szCs w:val="18"/>
                <w:b w:val="1"/>
                <w:bCs w:val="1"/>
                <w:color w:val="auto"/>
                <w:w w:val="98"/>
              </w:rPr>
              <w:t>THE CURRENT REPORT ON FORM 8-K DATED NOVEMBER 18, 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4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00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0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Indenture, dated as of November 12, 2013, by and between the Company and U.S. Bank National Association.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right"/>
              <w:ind w:right="35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New Note (included in Exhibit 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tcPr>
          <w:p>
            <w:pPr>
              <w:jc w:val="center"/>
              <w:ind w:right="1293"/>
              <w:spacing w:after="0"/>
              <w:rPr>
                <w:sz w:val="20"/>
                <w:szCs w:val="20"/>
                <w:color w:val="auto"/>
              </w:rPr>
            </w:pPr>
            <w:r>
              <w:rPr>
                <w:rFonts w:ascii="Arial" w:cs="Arial" w:eastAsia="Arial" w:hAnsi="Arial"/>
                <w:sz w:val="18"/>
                <w:szCs w:val="18"/>
                <w:color w:val="auto"/>
                <w:w w:val="99"/>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November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Convertible Senior Notes due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8960" w:type="dxa"/>
            <w:vAlign w:val="bottom"/>
          </w:tcPr>
          <w:p>
            <w:pPr>
              <w:ind w:left="282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r>
      <w:tr>
        <w:trPr>
          <w:trHeight w:val="365"/>
        </w:trPr>
        <w:tc>
          <w:tcPr>
            <w:tcW w:w="194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426"/>
        </w:trPr>
        <w:tc>
          <w:tcPr>
            <w:tcW w:w="1090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94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89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896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1.03.</w:t>
            </w:r>
          </w:p>
        </w:tc>
        <w:tc>
          <w:tcPr>
            <w:tcW w:w="8960" w:type="dxa"/>
            <w:vAlign w:val="bottom"/>
          </w:tcPr>
          <w:p>
            <w:pPr>
              <w:ind w:left="100"/>
              <w:spacing w:after="0"/>
              <w:rPr>
                <w:sz w:val="20"/>
                <w:szCs w:val="20"/>
                <w:color w:val="auto"/>
              </w:rPr>
            </w:pPr>
            <w:r>
              <w:rPr>
                <w:rFonts w:ascii="Arial" w:cs="Arial" w:eastAsia="Arial" w:hAnsi="Arial"/>
                <w:sz w:val="18"/>
                <w:szCs w:val="18"/>
                <w:color w:val="auto"/>
              </w:rPr>
              <w:t>Rules of Construction</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94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8960" w:type="dxa"/>
            <w:vAlign w:val="bottom"/>
          </w:tcPr>
          <w:p>
            <w:pPr>
              <w:ind w:left="100"/>
              <w:spacing w:after="0"/>
              <w:rPr>
                <w:sz w:val="20"/>
                <w:szCs w:val="20"/>
                <w:color w:val="auto"/>
              </w:rPr>
            </w:pPr>
            <w:r>
              <w:rPr>
                <w:rFonts w:ascii="Arial" w:cs="Arial" w:eastAsia="Arial" w:hAnsi="Arial"/>
                <w:sz w:val="18"/>
                <w:szCs w:val="18"/>
                <w:color w:val="auto"/>
              </w:rPr>
              <w:t>Payments due on non-Business Days</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ARTICLE 2 The Notes</w:t>
            </w:r>
          </w:p>
        </w:tc>
        <w:tc>
          <w:tcPr>
            <w:tcW w:w="8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940" w:type="dxa"/>
            <w:vAlign w:val="bottom"/>
          </w:tcPr>
          <w:p>
            <w:pPr>
              <w:ind w:left="540"/>
              <w:spacing w:after="0"/>
              <w:rPr>
                <w:sz w:val="20"/>
                <w:szCs w:val="20"/>
                <w:color w:val="auto"/>
              </w:rPr>
            </w:pPr>
            <w:r>
              <w:rPr>
                <w:rFonts w:ascii="Arial" w:cs="Arial" w:eastAsia="Arial" w:hAnsi="Arial"/>
                <w:sz w:val="18"/>
                <w:szCs w:val="18"/>
                <w:color w:val="auto"/>
              </w:rPr>
              <w:t>Section 2.01.</w:t>
            </w:r>
          </w:p>
        </w:tc>
        <w:tc>
          <w:tcPr>
            <w:tcW w:w="8960" w:type="dxa"/>
            <w:vAlign w:val="bottom"/>
          </w:tcPr>
          <w:p>
            <w:pPr>
              <w:ind w:left="100"/>
              <w:spacing w:after="0"/>
              <w:rPr>
                <w:sz w:val="20"/>
                <w:szCs w:val="20"/>
                <w:color w:val="auto"/>
              </w:rPr>
            </w:pPr>
            <w:r>
              <w:rPr>
                <w:rFonts w:ascii="Arial" w:cs="Arial" w:eastAsia="Arial" w:hAnsi="Arial"/>
                <w:sz w:val="18"/>
                <w:szCs w:val="18"/>
                <w:color w:val="auto"/>
              </w:rPr>
              <w:t>Form, Dating and Denominations; Legends</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2.02.</w:t>
            </w:r>
          </w:p>
        </w:tc>
        <w:tc>
          <w:tcPr>
            <w:tcW w:w="8960" w:type="dxa"/>
            <w:vAlign w:val="bottom"/>
          </w:tcPr>
          <w:p>
            <w:pPr>
              <w:ind w:left="100"/>
              <w:spacing w:after="0"/>
              <w:rPr>
                <w:sz w:val="20"/>
                <w:szCs w:val="20"/>
                <w:color w:val="auto"/>
              </w:rPr>
            </w:pPr>
            <w:r>
              <w:rPr>
                <w:rFonts w:ascii="Arial" w:cs="Arial" w:eastAsia="Arial" w:hAnsi="Arial"/>
                <w:sz w:val="18"/>
                <w:szCs w:val="18"/>
                <w:color w:val="auto"/>
              </w:rPr>
              <w:t>Execution and Authentication</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2.03.</w:t>
            </w:r>
          </w:p>
        </w:tc>
        <w:tc>
          <w:tcPr>
            <w:tcW w:w="8960" w:type="dxa"/>
            <w:vAlign w:val="bottom"/>
          </w:tcPr>
          <w:p>
            <w:pPr>
              <w:ind w:left="100"/>
              <w:spacing w:after="0"/>
              <w:rPr>
                <w:sz w:val="20"/>
                <w:szCs w:val="20"/>
                <w:color w:val="auto"/>
              </w:rPr>
            </w:pPr>
            <w:r>
              <w:rPr>
                <w:rFonts w:ascii="Arial" w:cs="Arial" w:eastAsia="Arial" w:hAnsi="Arial"/>
                <w:sz w:val="18"/>
                <w:szCs w:val="18"/>
                <w:color w:val="auto"/>
              </w:rPr>
              <w:t>Registrar, Paying Agent and Conversion Agent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2.04.</w:t>
            </w:r>
          </w:p>
        </w:tc>
        <w:tc>
          <w:tcPr>
            <w:tcW w:w="8960" w:type="dxa"/>
            <w:vAlign w:val="bottom"/>
          </w:tcPr>
          <w:p>
            <w:pPr>
              <w:ind w:left="100"/>
              <w:spacing w:after="0"/>
              <w:rPr>
                <w:sz w:val="20"/>
                <w:szCs w:val="20"/>
                <w:color w:val="auto"/>
              </w:rPr>
            </w:pPr>
            <w:r>
              <w:rPr>
                <w:rFonts w:ascii="Arial" w:cs="Arial" w:eastAsia="Arial" w:hAnsi="Arial"/>
                <w:sz w:val="18"/>
                <w:szCs w:val="18"/>
                <w:color w:val="auto"/>
              </w:rPr>
              <w:t>Paying Agent to Hold Money in Trust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2.05.</w:t>
            </w:r>
          </w:p>
        </w:tc>
        <w:tc>
          <w:tcPr>
            <w:tcW w:w="896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2.06.</w:t>
            </w:r>
          </w:p>
        </w:tc>
        <w:tc>
          <w:tcPr>
            <w:tcW w:w="8960" w:type="dxa"/>
            <w:vAlign w:val="bottom"/>
          </w:tcPr>
          <w:p>
            <w:pPr>
              <w:ind w:left="100"/>
              <w:spacing w:after="0"/>
              <w:rPr>
                <w:sz w:val="20"/>
                <w:szCs w:val="20"/>
                <w:color w:val="auto"/>
              </w:rPr>
            </w:pPr>
            <w:r>
              <w:rPr>
                <w:rFonts w:ascii="Arial" w:cs="Arial" w:eastAsia="Arial" w:hAnsi="Arial"/>
                <w:sz w:val="18"/>
                <w:szCs w:val="18"/>
                <w:color w:val="auto"/>
              </w:rPr>
              <w:t>Transfer and Exchange</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2.07.</w:t>
            </w:r>
          </w:p>
        </w:tc>
        <w:tc>
          <w:tcPr>
            <w:tcW w:w="896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2.08.</w:t>
            </w:r>
          </w:p>
        </w:tc>
        <w:tc>
          <w:tcPr>
            <w:tcW w:w="896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2.09.</w:t>
            </w:r>
          </w:p>
        </w:tc>
        <w:tc>
          <w:tcPr>
            <w:tcW w:w="8960" w:type="dxa"/>
            <w:vAlign w:val="bottom"/>
          </w:tcPr>
          <w:p>
            <w:pPr>
              <w:ind w:left="100"/>
              <w:spacing w:after="0"/>
              <w:rPr>
                <w:sz w:val="20"/>
                <w:szCs w:val="20"/>
                <w:color w:val="auto"/>
              </w:rPr>
            </w:pPr>
            <w:r>
              <w:rPr>
                <w:rFonts w:ascii="Arial" w:cs="Arial" w:eastAsia="Arial" w:hAnsi="Arial"/>
                <w:sz w:val="18"/>
                <w:szCs w:val="18"/>
                <w:color w:val="auto"/>
              </w:rPr>
              <w:t>Treasury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896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2.11.</w:t>
            </w:r>
          </w:p>
        </w:tc>
        <w:tc>
          <w:tcPr>
            <w:tcW w:w="896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2.12.</w:t>
            </w:r>
          </w:p>
        </w:tc>
        <w:tc>
          <w:tcPr>
            <w:tcW w:w="896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2.13.</w:t>
            </w:r>
          </w:p>
        </w:tc>
        <w:tc>
          <w:tcPr>
            <w:tcW w:w="8960" w:type="dxa"/>
            <w:vAlign w:val="bottom"/>
          </w:tcPr>
          <w:p>
            <w:pPr>
              <w:ind w:left="100"/>
              <w:spacing w:after="0"/>
              <w:rPr>
                <w:sz w:val="20"/>
                <w:szCs w:val="20"/>
                <w:color w:val="auto"/>
              </w:rPr>
            </w:pPr>
            <w:r>
              <w:rPr>
                <w:rFonts w:ascii="Arial" w:cs="Arial" w:eastAsia="Arial" w:hAnsi="Arial"/>
                <w:sz w:val="18"/>
                <w:szCs w:val="18"/>
                <w:color w:val="auto"/>
              </w:rPr>
              <w:t>Additional Transfer and Exchange Requirements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940" w:type="dxa"/>
            <w:vAlign w:val="bottom"/>
          </w:tcPr>
          <w:p>
            <w:pPr>
              <w:ind w:left="540"/>
              <w:spacing w:after="0"/>
              <w:rPr>
                <w:sz w:val="20"/>
                <w:szCs w:val="20"/>
                <w:color w:val="auto"/>
              </w:rPr>
            </w:pPr>
            <w:r>
              <w:rPr>
                <w:rFonts w:ascii="Arial" w:cs="Arial" w:eastAsia="Arial" w:hAnsi="Arial"/>
                <w:sz w:val="18"/>
                <w:szCs w:val="18"/>
                <w:color w:val="auto"/>
              </w:rPr>
              <w:t>Section 2.14.</w:t>
            </w:r>
          </w:p>
        </w:tc>
        <w:tc>
          <w:tcPr>
            <w:tcW w:w="8960" w:type="dxa"/>
            <w:vAlign w:val="bottom"/>
          </w:tcPr>
          <w:p>
            <w:pPr>
              <w:ind w:left="100"/>
              <w:spacing w:after="0"/>
              <w:rPr>
                <w:sz w:val="20"/>
                <w:szCs w:val="20"/>
                <w:color w:val="auto"/>
              </w:rPr>
            </w:pPr>
            <w:r>
              <w:rPr>
                <w:rFonts w:ascii="Arial" w:cs="Arial" w:eastAsia="Arial" w:hAnsi="Arial"/>
                <w:sz w:val="18"/>
                <w:szCs w:val="18"/>
                <w:color w:val="auto"/>
              </w:rPr>
              <w:t>Additional Notes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w w:val="94"/>
              </w:rPr>
              <w:t>ARTICLE 3 Repurchases</w:t>
            </w:r>
          </w:p>
        </w:tc>
        <w:tc>
          <w:tcPr>
            <w:tcW w:w="8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940" w:type="dxa"/>
            <w:vAlign w:val="bottom"/>
          </w:tcPr>
          <w:p>
            <w:pPr>
              <w:ind w:left="540"/>
              <w:spacing w:after="0"/>
              <w:rPr>
                <w:sz w:val="20"/>
                <w:szCs w:val="20"/>
                <w:color w:val="auto"/>
              </w:rPr>
            </w:pPr>
            <w:r>
              <w:rPr>
                <w:rFonts w:ascii="Arial" w:cs="Arial" w:eastAsia="Arial" w:hAnsi="Arial"/>
                <w:sz w:val="18"/>
                <w:szCs w:val="18"/>
                <w:color w:val="auto"/>
              </w:rPr>
              <w:t>Section 3.01.</w:t>
            </w:r>
          </w:p>
        </w:tc>
        <w:tc>
          <w:tcPr>
            <w:tcW w:w="8960" w:type="dxa"/>
            <w:vAlign w:val="bottom"/>
          </w:tcPr>
          <w:p>
            <w:pPr>
              <w:ind w:left="100"/>
              <w:spacing w:after="0"/>
              <w:rPr>
                <w:sz w:val="20"/>
                <w:szCs w:val="20"/>
                <w:color w:val="auto"/>
              </w:rPr>
            </w:pPr>
            <w:r>
              <w:rPr>
                <w:rFonts w:ascii="Arial" w:cs="Arial" w:eastAsia="Arial" w:hAnsi="Arial"/>
                <w:sz w:val="18"/>
                <w:szCs w:val="18"/>
                <w:color w:val="auto"/>
              </w:rPr>
              <w:t>Repurchase at the Option of the Holders Upon Change in Control or Termination of Trading</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3.02.</w:t>
            </w:r>
          </w:p>
        </w:tc>
        <w:tc>
          <w:tcPr>
            <w:tcW w:w="8960" w:type="dxa"/>
            <w:vAlign w:val="bottom"/>
          </w:tcPr>
          <w:p>
            <w:pPr>
              <w:ind w:left="100"/>
              <w:spacing w:after="0"/>
              <w:rPr>
                <w:sz w:val="20"/>
                <w:szCs w:val="20"/>
                <w:color w:val="auto"/>
              </w:rPr>
            </w:pPr>
            <w:r>
              <w:rPr>
                <w:rFonts w:ascii="Arial" w:cs="Arial" w:eastAsia="Arial" w:hAnsi="Arial"/>
                <w:sz w:val="18"/>
                <w:szCs w:val="18"/>
                <w:color w:val="auto"/>
              </w:rPr>
              <w:t>Repurchase of Securities by the Company at the Option of Holders on November 15, 2028</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3.03.</w:t>
            </w:r>
          </w:p>
        </w:tc>
        <w:tc>
          <w:tcPr>
            <w:tcW w:w="8960" w:type="dxa"/>
            <w:vAlign w:val="bottom"/>
          </w:tcPr>
          <w:p>
            <w:pPr>
              <w:ind w:left="100"/>
              <w:spacing w:after="0"/>
              <w:rPr>
                <w:sz w:val="20"/>
                <w:szCs w:val="20"/>
                <w:color w:val="auto"/>
              </w:rPr>
            </w:pPr>
            <w:r>
              <w:rPr>
                <w:rFonts w:ascii="Arial" w:cs="Arial" w:eastAsia="Arial" w:hAnsi="Arial"/>
                <w:sz w:val="18"/>
                <w:szCs w:val="18"/>
                <w:color w:val="auto"/>
              </w:rPr>
              <w:t>Effect of Repurchase Notice</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3.04.</w:t>
            </w:r>
          </w:p>
        </w:tc>
        <w:tc>
          <w:tcPr>
            <w:tcW w:w="8960" w:type="dxa"/>
            <w:vAlign w:val="bottom"/>
          </w:tcPr>
          <w:p>
            <w:pPr>
              <w:ind w:left="100"/>
              <w:spacing w:after="0"/>
              <w:rPr>
                <w:sz w:val="20"/>
                <w:szCs w:val="20"/>
                <w:color w:val="auto"/>
              </w:rPr>
            </w:pPr>
            <w:r>
              <w:rPr>
                <w:rFonts w:ascii="Arial" w:cs="Arial" w:eastAsia="Arial" w:hAnsi="Arial"/>
                <w:sz w:val="18"/>
                <w:szCs w:val="18"/>
                <w:color w:val="auto"/>
              </w:rPr>
              <w:t>Deposit of Repurchase Price</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3.05.</w:t>
            </w:r>
          </w:p>
        </w:tc>
        <w:tc>
          <w:tcPr>
            <w:tcW w:w="8960" w:type="dxa"/>
            <w:vAlign w:val="bottom"/>
          </w:tcPr>
          <w:p>
            <w:pPr>
              <w:ind w:left="100"/>
              <w:spacing w:after="0"/>
              <w:rPr>
                <w:sz w:val="20"/>
                <w:szCs w:val="20"/>
                <w:color w:val="auto"/>
              </w:rPr>
            </w:pPr>
            <w:r>
              <w:rPr>
                <w:rFonts w:ascii="Arial" w:cs="Arial" w:eastAsia="Arial" w:hAnsi="Arial"/>
                <w:sz w:val="18"/>
                <w:szCs w:val="18"/>
                <w:color w:val="auto"/>
              </w:rPr>
              <w:t>Notes Repurchased in Part</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940" w:type="dxa"/>
            <w:vAlign w:val="bottom"/>
          </w:tcPr>
          <w:p>
            <w:pPr>
              <w:ind w:left="540"/>
              <w:spacing w:after="0"/>
              <w:rPr>
                <w:sz w:val="20"/>
                <w:szCs w:val="20"/>
                <w:color w:val="auto"/>
              </w:rPr>
            </w:pPr>
            <w:r>
              <w:rPr>
                <w:rFonts w:ascii="Arial" w:cs="Arial" w:eastAsia="Arial" w:hAnsi="Arial"/>
                <w:sz w:val="18"/>
                <w:szCs w:val="18"/>
                <w:color w:val="auto"/>
              </w:rPr>
              <w:t>Section 3.06.</w:t>
            </w:r>
          </w:p>
        </w:tc>
        <w:tc>
          <w:tcPr>
            <w:tcW w:w="8960" w:type="dxa"/>
            <w:vAlign w:val="bottom"/>
          </w:tcPr>
          <w:p>
            <w:pPr>
              <w:ind w:left="100"/>
              <w:spacing w:after="0"/>
              <w:rPr>
                <w:sz w:val="20"/>
                <w:szCs w:val="20"/>
                <w:color w:val="auto"/>
              </w:rPr>
            </w:pPr>
            <w:r>
              <w:rPr>
                <w:rFonts w:ascii="Arial" w:cs="Arial" w:eastAsia="Arial" w:hAnsi="Arial"/>
                <w:sz w:val="18"/>
                <w:szCs w:val="18"/>
                <w:color w:val="auto"/>
              </w:rPr>
              <w:t>Covenant to Comply with Securities Laws upon Repurchase of Notes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ARTICLE 4 Covenants</w:t>
            </w:r>
          </w:p>
        </w:tc>
        <w:tc>
          <w:tcPr>
            <w:tcW w:w="8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940" w:type="dxa"/>
            <w:vAlign w:val="bottom"/>
          </w:tcPr>
          <w:p>
            <w:pPr>
              <w:ind w:left="540"/>
              <w:spacing w:after="0"/>
              <w:rPr>
                <w:sz w:val="20"/>
                <w:szCs w:val="20"/>
                <w:color w:val="auto"/>
              </w:rPr>
            </w:pPr>
            <w:r>
              <w:rPr>
                <w:rFonts w:ascii="Arial" w:cs="Arial" w:eastAsia="Arial" w:hAnsi="Arial"/>
                <w:sz w:val="18"/>
                <w:szCs w:val="18"/>
                <w:color w:val="auto"/>
              </w:rPr>
              <w:t>Section 4.01.</w:t>
            </w:r>
          </w:p>
        </w:tc>
        <w:tc>
          <w:tcPr>
            <w:tcW w:w="8960" w:type="dxa"/>
            <w:vAlign w:val="bottom"/>
          </w:tcPr>
          <w:p>
            <w:pPr>
              <w:ind w:left="100"/>
              <w:spacing w:after="0"/>
              <w:rPr>
                <w:sz w:val="20"/>
                <w:szCs w:val="20"/>
                <w:color w:val="auto"/>
              </w:rPr>
            </w:pPr>
            <w:r>
              <w:rPr>
                <w:rFonts w:ascii="Arial" w:cs="Arial" w:eastAsia="Arial" w:hAnsi="Arial"/>
                <w:sz w:val="18"/>
                <w:szCs w:val="18"/>
                <w:color w:val="auto"/>
              </w:rPr>
              <w:t>Payment of Notes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4.02.</w:t>
            </w:r>
          </w:p>
        </w:tc>
        <w:tc>
          <w:tcPr>
            <w:tcW w:w="8960" w:type="dxa"/>
            <w:vAlign w:val="bottom"/>
          </w:tcPr>
          <w:p>
            <w:pPr>
              <w:ind w:left="100"/>
              <w:spacing w:after="0"/>
              <w:rPr>
                <w:sz w:val="20"/>
                <w:szCs w:val="20"/>
                <w:color w:val="auto"/>
              </w:rPr>
            </w:pPr>
            <w:r>
              <w:rPr>
                <w:rFonts w:ascii="Arial" w:cs="Arial" w:eastAsia="Arial" w:hAnsi="Arial"/>
                <w:sz w:val="18"/>
                <w:szCs w:val="18"/>
                <w:color w:val="auto"/>
              </w:rPr>
              <w:t>Maintenance of Office or Agency</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4.03.</w:t>
            </w:r>
          </w:p>
        </w:tc>
        <w:tc>
          <w:tcPr>
            <w:tcW w:w="8960" w:type="dxa"/>
            <w:vAlign w:val="bottom"/>
          </w:tcPr>
          <w:p>
            <w:pPr>
              <w:ind w:left="100"/>
              <w:spacing w:after="0"/>
              <w:rPr>
                <w:sz w:val="20"/>
                <w:szCs w:val="20"/>
                <w:color w:val="auto"/>
              </w:rPr>
            </w:pPr>
            <w:r>
              <w:rPr>
                <w:rFonts w:ascii="Arial" w:cs="Arial" w:eastAsia="Arial" w:hAnsi="Arial"/>
                <w:sz w:val="18"/>
                <w:szCs w:val="18"/>
                <w:color w:val="auto"/>
              </w:rPr>
              <w:t>Existence</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4.04.</w:t>
            </w:r>
          </w:p>
        </w:tc>
        <w:tc>
          <w:tcPr>
            <w:tcW w:w="8960" w:type="dxa"/>
            <w:vAlign w:val="bottom"/>
          </w:tcPr>
          <w:p>
            <w:pPr>
              <w:ind w:left="100"/>
              <w:spacing w:after="0"/>
              <w:rPr>
                <w:sz w:val="20"/>
                <w:szCs w:val="20"/>
                <w:color w:val="auto"/>
              </w:rPr>
            </w:pPr>
            <w:r>
              <w:rPr>
                <w:rFonts w:ascii="Arial" w:cs="Arial" w:eastAsia="Arial" w:hAnsi="Arial"/>
                <w:sz w:val="18"/>
                <w:szCs w:val="18"/>
                <w:color w:val="auto"/>
              </w:rPr>
              <w:t>Reports; 144A Information</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tcPr>
          <w:p>
            <w:pPr>
              <w:ind w:left="540"/>
              <w:spacing w:after="0"/>
              <w:rPr>
                <w:sz w:val="20"/>
                <w:szCs w:val="20"/>
                <w:color w:val="auto"/>
              </w:rPr>
            </w:pPr>
            <w:r>
              <w:rPr>
                <w:rFonts w:ascii="Arial" w:cs="Arial" w:eastAsia="Arial" w:hAnsi="Arial"/>
                <w:sz w:val="18"/>
                <w:szCs w:val="18"/>
                <w:color w:val="auto"/>
              </w:rPr>
              <w:t>Section 4.05.</w:t>
            </w:r>
          </w:p>
        </w:tc>
        <w:tc>
          <w:tcPr>
            <w:tcW w:w="8960" w:type="dxa"/>
            <w:vAlign w:val="bottom"/>
          </w:tcPr>
          <w:p>
            <w:pPr>
              <w:ind w:left="100"/>
              <w:spacing w:after="0"/>
              <w:rPr>
                <w:sz w:val="20"/>
                <w:szCs w:val="20"/>
                <w:color w:val="auto"/>
              </w:rPr>
            </w:pPr>
            <w:r>
              <w:rPr>
                <w:rFonts w:ascii="Arial" w:cs="Arial" w:eastAsia="Arial" w:hAnsi="Arial"/>
                <w:sz w:val="18"/>
                <w:szCs w:val="18"/>
                <w:color w:val="auto"/>
              </w:rPr>
              <w:t>Reports to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940" w:type="dxa"/>
            <w:vAlign w:val="bottom"/>
          </w:tcPr>
          <w:p>
            <w:pPr>
              <w:ind w:left="540"/>
              <w:spacing w:after="0"/>
              <w:rPr>
                <w:sz w:val="20"/>
                <w:szCs w:val="20"/>
                <w:color w:val="auto"/>
              </w:rPr>
            </w:pPr>
            <w:r>
              <w:rPr>
                <w:rFonts w:ascii="Arial" w:cs="Arial" w:eastAsia="Arial" w:hAnsi="Arial"/>
                <w:sz w:val="18"/>
                <w:szCs w:val="18"/>
                <w:color w:val="auto"/>
              </w:rPr>
              <w:t>Section 4.06.</w:t>
            </w:r>
          </w:p>
        </w:tc>
        <w:tc>
          <w:tcPr>
            <w:tcW w:w="8960" w:type="dxa"/>
            <w:vAlign w:val="bottom"/>
          </w:tcPr>
          <w:p>
            <w:pPr>
              <w:ind w:left="100"/>
              <w:spacing w:after="0"/>
              <w:rPr>
                <w:sz w:val="20"/>
                <w:szCs w:val="20"/>
                <w:color w:val="auto"/>
              </w:rPr>
            </w:pPr>
            <w:r>
              <w:rPr>
                <w:rFonts w:ascii="Arial" w:cs="Arial" w:eastAsia="Arial" w:hAnsi="Arial"/>
                <w:sz w:val="18"/>
                <w:szCs w:val="18"/>
                <w:color w:val="auto"/>
              </w:rPr>
              <w:t>Stay, Extension and Usury Laws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27"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0900" w:type="dxa"/>
            <w:vAlign w:val="bottom"/>
            <w:gridSpan w:val="2"/>
          </w:tcPr>
          <w:p>
            <w:pPr>
              <w:spacing w:after="0"/>
              <w:rPr>
                <w:sz w:val="20"/>
                <w:szCs w:val="20"/>
                <w:color w:val="auto"/>
              </w:rPr>
            </w:pPr>
            <w:r>
              <w:rPr>
                <w:rFonts w:ascii="Arial" w:cs="Arial" w:eastAsia="Arial" w:hAnsi="Arial"/>
                <w:sz w:val="18"/>
                <w:szCs w:val="18"/>
                <w:color w:val="auto"/>
              </w:rPr>
              <w:t>ARTICLE 5 Consolidation, Merger, Sale or Lease of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960" w:type="dxa"/>
            <w:vAlign w:val="bottom"/>
          </w:tcPr>
          <w:p>
            <w:pPr>
              <w:ind w:left="540"/>
              <w:spacing w:after="0"/>
              <w:rPr>
                <w:sz w:val="20"/>
                <w:szCs w:val="20"/>
                <w:color w:val="auto"/>
              </w:rPr>
            </w:pPr>
            <w:r>
              <w:rPr>
                <w:rFonts w:ascii="Arial" w:cs="Arial" w:eastAsia="Arial" w:hAnsi="Arial"/>
                <w:sz w:val="18"/>
                <w:szCs w:val="18"/>
                <w:color w:val="auto"/>
              </w:rPr>
              <w:t>Section 5.01.</w:t>
            </w:r>
          </w:p>
        </w:tc>
        <w:tc>
          <w:tcPr>
            <w:tcW w:w="8940" w:type="dxa"/>
            <w:vAlign w:val="bottom"/>
          </w:tcPr>
          <w:p>
            <w:pPr>
              <w:ind w:left="80"/>
              <w:spacing w:after="0"/>
              <w:rPr>
                <w:sz w:val="20"/>
                <w:szCs w:val="20"/>
                <w:color w:val="auto"/>
              </w:rPr>
            </w:pPr>
            <w:r>
              <w:rPr>
                <w:rFonts w:ascii="Arial" w:cs="Arial" w:eastAsia="Arial" w:hAnsi="Arial"/>
                <w:sz w:val="18"/>
                <w:szCs w:val="18"/>
                <w:color w:val="auto"/>
              </w:rPr>
              <w:t>Consolidation, Merger, Sale or Lease of Assets by the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6 Default and Remedies</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6.01.</w:t>
            </w:r>
          </w:p>
        </w:tc>
        <w:tc>
          <w:tcPr>
            <w:tcW w:w="894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6.02.</w:t>
            </w:r>
          </w:p>
        </w:tc>
        <w:tc>
          <w:tcPr>
            <w:tcW w:w="8940" w:type="dxa"/>
            <w:vAlign w:val="bottom"/>
          </w:tcPr>
          <w:p>
            <w:pPr>
              <w:ind w:left="80"/>
              <w:spacing w:after="0"/>
              <w:rPr>
                <w:sz w:val="20"/>
                <w:szCs w:val="20"/>
                <w:color w:val="auto"/>
              </w:rPr>
            </w:pPr>
            <w:r>
              <w:rPr>
                <w:rFonts w:ascii="Arial" w:cs="Arial" w:eastAsia="Arial" w:hAnsi="Arial"/>
                <w:sz w:val="18"/>
                <w:szCs w:val="18"/>
                <w:color w:val="auto"/>
              </w:rPr>
              <w:t>Acceleration</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6.03.</w:t>
            </w:r>
          </w:p>
        </w:tc>
        <w:tc>
          <w:tcPr>
            <w:tcW w:w="8940" w:type="dxa"/>
            <w:vAlign w:val="bottom"/>
          </w:tcPr>
          <w:p>
            <w:pPr>
              <w:ind w:left="80"/>
              <w:spacing w:after="0"/>
              <w:rPr>
                <w:sz w:val="20"/>
                <w:szCs w:val="20"/>
                <w:color w:val="auto"/>
              </w:rPr>
            </w:pPr>
            <w:r>
              <w:rPr>
                <w:rFonts w:ascii="Arial" w:cs="Arial" w:eastAsia="Arial" w:hAnsi="Arial"/>
                <w:sz w:val="18"/>
                <w:szCs w:val="18"/>
                <w:color w:val="auto"/>
              </w:rPr>
              <w:t>Other Remedies</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6.04.</w:t>
            </w:r>
          </w:p>
        </w:tc>
        <w:tc>
          <w:tcPr>
            <w:tcW w:w="8940" w:type="dxa"/>
            <w:vAlign w:val="bottom"/>
          </w:tcPr>
          <w:p>
            <w:pPr>
              <w:ind w:left="80"/>
              <w:spacing w:after="0"/>
              <w:rPr>
                <w:sz w:val="20"/>
                <w:szCs w:val="20"/>
                <w:color w:val="auto"/>
              </w:rPr>
            </w:pPr>
            <w:r>
              <w:rPr>
                <w:rFonts w:ascii="Arial" w:cs="Arial" w:eastAsia="Arial" w:hAnsi="Arial"/>
                <w:sz w:val="18"/>
                <w:szCs w:val="18"/>
                <w:color w:val="auto"/>
              </w:rPr>
              <w:t>Waiver of Past Defaults</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6.05.</w:t>
            </w:r>
          </w:p>
        </w:tc>
        <w:tc>
          <w:tcPr>
            <w:tcW w:w="8940" w:type="dxa"/>
            <w:vAlign w:val="bottom"/>
          </w:tcPr>
          <w:p>
            <w:pPr>
              <w:ind w:left="80"/>
              <w:spacing w:after="0"/>
              <w:rPr>
                <w:sz w:val="20"/>
                <w:szCs w:val="20"/>
                <w:color w:val="auto"/>
              </w:rPr>
            </w:pPr>
            <w:r>
              <w:rPr>
                <w:rFonts w:ascii="Arial" w:cs="Arial" w:eastAsia="Arial" w:hAnsi="Arial"/>
                <w:sz w:val="18"/>
                <w:szCs w:val="18"/>
                <w:color w:val="auto"/>
              </w:rPr>
              <w:t>Control by Majority</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6.06.</w:t>
            </w:r>
          </w:p>
        </w:tc>
        <w:tc>
          <w:tcPr>
            <w:tcW w:w="8940" w:type="dxa"/>
            <w:vAlign w:val="bottom"/>
          </w:tcPr>
          <w:p>
            <w:pPr>
              <w:ind w:left="80"/>
              <w:spacing w:after="0"/>
              <w:rPr>
                <w:sz w:val="20"/>
                <w:szCs w:val="20"/>
                <w:color w:val="auto"/>
              </w:rPr>
            </w:pPr>
            <w:r>
              <w:rPr>
                <w:rFonts w:ascii="Arial" w:cs="Arial" w:eastAsia="Arial" w:hAnsi="Arial"/>
                <w:sz w:val="18"/>
                <w:szCs w:val="18"/>
                <w:color w:val="auto"/>
              </w:rPr>
              <w:t>Limitation on Suits</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6.07.</w:t>
            </w:r>
          </w:p>
        </w:tc>
        <w:tc>
          <w:tcPr>
            <w:tcW w:w="8940" w:type="dxa"/>
            <w:vAlign w:val="bottom"/>
          </w:tcPr>
          <w:p>
            <w:pPr>
              <w:ind w:left="80"/>
              <w:spacing w:after="0"/>
              <w:rPr>
                <w:sz w:val="20"/>
                <w:szCs w:val="20"/>
                <w:color w:val="auto"/>
              </w:rPr>
            </w:pPr>
            <w:r>
              <w:rPr>
                <w:rFonts w:ascii="Arial" w:cs="Arial" w:eastAsia="Arial" w:hAnsi="Arial"/>
                <w:sz w:val="18"/>
                <w:szCs w:val="18"/>
                <w:color w:val="auto"/>
              </w:rPr>
              <w:t>Rights of Holders to Receive Payment</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6.08.</w:t>
            </w:r>
          </w:p>
        </w:tc>
        <w:tc>
          <w:tcPr>
            <w:tcW w:w="8940" w:type="dxa"/>
            <w:vAlign w:val="bottom"/>
          </w:tcPr>
          <w:p>
            <w:pPr>
              <w:ind w:left="80"/>
              <w:spacing w:after="0"/>
              <w:rPr>
                <w:sz w:val="20"/>
                <w:szCs w:val="20"/>
                <w:color w:val="auto"/>
              </w:rPr>
            </w:pPr>
            <w:r>
              <w:rPr>
                <w:rFonts w:ascii="Arial" w:cs="Arial" w:eastAsia="Arial" w:hAnsi="Arial"/>
                <w:sz w:val="18"/>
                <w:szCs w:val="18"/>
                <w:color w:val="auto"/>
              </w:rPr>
              <w:t>Collection Suit by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6.09.</w:t>
            </w:r>
          </w:p>
        </w:tc>
        <w:tc>
          <w:tcPr>
            <w:tcW w:w="8940" w:type="dxa"/>
            <w:vAlign w:val="bottom"/>
          </w:tcPr>
          <w:p>
            <w:pPr>
              <w:ind w:left="80"/>
              <w:spacing w:after="0"/>
              <w:rPr>
                <w:sz w:val="20"/>
                <w:szCs w:val="20"/>
                <w:color w:val="auto"/>
              </w:rPr>
            </w:pPr>
            <w:r>
              <w:rPr>
                <w:rFonts w:ascii="Arial" w:cs="Arial" w:eastAsia="Arial" w:hAnsi="Arial"/>
                <w:sz w:val="18"/>
                <w:szCs w:val="18"/>
                <w:color w:val="auto"/>
              </w:rPr>
              <w:t>Trustee May File Proofs of Claim</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6.10.</w:t>
            </w:r>
          </w:p>
        </w:tc>
        <w:tc>
          <w:tcPr>
            <w:tcW w:w="8940" w:type="dxa"/>
            <w:vAlign w:val="bottom"/>
          </w:tcPr>
          <w:p>
            <w:pPr>
              <w:ind w:left="80"/>
              <w:spacing w:after="0"/>
              <w:rPr>
                <w:sz w:val="20"/>
                <w:szCs w:val="20"/>
                <w:color w:val="auto"/>
              </w:rPr>
            </w:pPr>
            <w:r>
              <w:rPr>
                <w:rFonts w:ascii="Arial" w:cs="Arial" w:eastAsia="Arial" w:hAnsi="Arial"/>
                <w:sz w:val="18"/>
                <w:szCs w:val="18"/>
                <w:color w:val="auto"/>
              </w:rPr>
              <w:t>Priorities</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6.11.</w:t>
            </w:r>
          </w:p>
        </w:tc>
        <w:tc>
          <w:tcPr>
            <w:tcW w:w="8940" w:type="dxa"/>
            <w:vAlign w:val="bottom"/>
          </w:tcPr>
          <w:p>
            <w:pPr>
              <w:ind w:left="80"/>
              <w:spacing w:after="0"/>
              <w:rPr>
                <w:sz w:val="20"/>
                <w:szCs w:val="20"/>
                <w:color w:val="auto"/>
              </w:rPr>
            </w:pPr>
            <w:r>
              <w:rPr>
                <w:rFonts w:ascii="Arial" w:cs="Arial" w:eastAsia="Arial" w:hAnsi="Arial"/>
                <w:sz w:val="18"/>
                <w:szCs w:val="18"/>
                <w:color w:val="auto"/>
              </w:rPr>
              <w:t>Restoration of Rights and Remedies</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6.12.</w:t>
            </w:r>
          </w:p>
        </w:tc>
        <w:tc>
          <w:tcPr>
            <w:tcW w:w="8940" w:type="dxa"/>
            <w:vAlign w:val="bottom"/>
          </w:tcPr>
          <w:p>
            <w:pPr>
              <w:ind w:left="80"/>
              <w:spacing w:after="0"/>
              <w:rPr>
                <w:sz w:val="20"/>
                <w:szCs w:val="20"/>
                <w:color w:val="auto"/>
              </w:rPr>
            </w:pPr>
            <w:r>
              <w:rPr>
                <w:rFonts w:ascii="Arial" w:cs="Arial" w:eastAsia="Arial" w:hAnsi="Arial"/>
                <w:sz w:val="18"/>
                <w:szCs w:val="18"/>
                <w:color w:val="auto"/>
              </w:rPr>
              <w:t>Undertaking for Costs</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6.13.</w:t>
            </w:r>
          </w:p>
        </w:tc>
        <w:tc>
          <w:tcPr>
            <w:tcW w:w="8940" w:type="dxa"/>
            <w:vAlign w:val="bottom"/>
          </w:tcPr>
          <w:p>
            <w:pPr>
              <w:ind w:left="80"/>
              <w:spacing w:after="0"/>
              <w:rPr>
                <w:sz w:val="20"/>
                <w:szCs w:val="20"/>
                <w:color w:val="auto"/>
              </w:rPr>
            </w:pPr>
            <w:r>
              <w:rPr>
                <w:rFonts w:ascii="Arial" w:cs="Arial" w:eastAsia="Arial" w:hAnsi="Arial"/>
                <w:sz w:val="18"/>
                <w:szCs w:val="18"/>
                <w:color w:val="auto"/>
              </w:rPr>
              <w:t>Rights and Remedies Cumulative</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6.14.</w:t>
            </w:r>
          </w:p>
        </w:tc>
        <w:tc>
          <w:tcPr>
            <w:tcW w:w="8940" w:type="dxa"/>
            <w:vAlign w:val="bottom"/>
          </w:tcPr>
          <w:p>
            <w:pPr>
              <w:ind w:left="80"/>
              <w:spacing w:after="0"/>
              <w:rPr>
                <w:sz w:val="20"/>
                <w:szCs w:val="20"/>
                <w:color w:val="auto"/>
              </w:rPr>
            </w:pPr>
            <w:r>
              <w:rPr>
                <w:rFonts w:ascii="Arial" w:cs="Arial" w:eastAsia="Arial" w:hAnsi="Arial"/>
                <w:sz w:val="18"/>
                <w:szCs w:val="18"/>
                <w:color w:val="auto"/>
              </w:rPr>
              <w:t>Delay or Omission Not Waiver</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6.15.</w:t>
            </w:r>
          </w:p>
        </w:tc>
        <w:tc>
          <w:tcPr>
            <w:tcW w:w="8940" w:type="dxa"/>
            <w:vAlign w:val="bottom"/>
          </w:tcPr>
          <w:p>
            <w:pPr>
              <w:ind w:left="80"/>
              <w:spacing w:after="0"/>
              <w:rPr>
                <w:sz w:val="20"/>
                <w:szCs w:val="20"/>
                <w:color w:val="auto"/>
              </w:rPr>
            </w:pPr>
            <w:r>
              <w:rPr>
                <w:rFonts w:ascii="Arial" w:cs="Arial" w:eastAsia="Arial" w:hAnsi="Arial"/>
                <w:sz w:val="18"/>
                <w:szCs w:val="18"/>
                <w:color w:val="auto"/>
              </w:rPr>
              <w:t>Additional Interest; Failure to File</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7 The Trustee</w:t>
            </w:r>
          </w:p>
        </w:tc>
        <w:tc>
          <w:tcPr>
            <w:tcW w:w="8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7.01.</w:t>
            </w:r>
          </w:p>
        </w:tc>
        <w:tc>
          <w:tcPr>
            <w:tcW w:w="8940" w:type="dxa"/>
            <w:vAlign w:val="bottom"/>
          </w:tcPr>
          <w:p>
            <w:pPr>
              <w:ind w:left="80"/>
              <w:spacing w:after="0"/>
              <w:rPr>
                <w:sz w:val="20"/>
                <w:szCs w:val="20"/>
                <w:color w:val="auto"/>
              </w:rPr>
            </w:pPr>
            <w:r>
              <w:rPr>
                <w:rFonts w:ascii="Arial" w:cs="Arial" w:eastAsia="Arial" w:hAnsi="Arial"/>
                <w:sz w:val="18"/>
                <w:szCs w:val="18"/>
                <w:color w:val="auto"/>
              </w:rPr>
              <w:t>General</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7.02.</w:t>
            </w:r>
          </w:p>
        </w:tc>
        <w:tc>
          <w:tcPr>
            <w:tcW w:w="8940" w:type="dxa"/>
            <w:vAlign w:val="bottom"/>
          </w:tcPr>
          <w:p>
            <w:pPr>
              <w:ind w:left="80"/>
              <w:spacing w:after="0"/>
              <w:rPr>
                <w:sz w:val="20"/>
                <w:szCs w:val="20"/>
                <w:color w:val="auto"/>
              </w:rPr>
            </w:pPr>
            <w:r>
              <w:rPr>
                <w:rFonts w:ascii="Arial" w:cs="Arial" w:eastAsia="Arial" w:hAnsi="Arial"/>
                <w:sz w:val="18"/>
                <w:szCs w:val="18"/>
                <w:color w:val="auto"/>
              </w:rPr>
              <w:t>Certain Rights of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7.03.</w:t>
            </w:r>
          </w:p>
        </w:tc>
        <w:tc>
          <w:tcPr>
            <w:tcW w:w="8940" w:type="dxa"/>
            <w:vAlign w:val="bottom"/>
          </w:tcPr>
          <w:p>
            <w:pPr>
              <w:ind w:left="80"/>
              <w:spacing w:after="0"/>
              <w:rPr>
                <w:sz w:val="20"/>
                <w:szCs w:val="20"/>
                <w:color w:val="auto"/>
              </w:rPr>
            </w:pPr>
            <w:r>
              <w:rPr>
                <w:rFonts w:ascii="Arial" w:cs="Arial" w:eastAsia="Arial" w:hAnsi="Arial"/>
                <w:sz w:val="18"/>
                <w:szCs w:val="18"/>
                <w:color w:val="auto"/>
              </w:rPr>
              <w:t>Individual Rights of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7.04.</w:t>
            </w:r>
          </w:p>
        </w:tc>
        <w:tc>
          <w:tcPr>
            <w:tcW w:w="8940" w:type="dxa"/>
            <w:vAlign w:val="bottom"/>
          </w:tcPr>
          <w:p>
            <w:pPr>
              <w:ind w:left="80"/>
              <w:spacing w:after="0"/>
              <w:rPr>
                <w:sz w:val="20"/>
                <w:szCs w:val="20"/>
                <w:color w:val="auto"/>
              </w:rPr>
            </w:pPr>
            <w:r>
              <w:rPr>
                <w:rFonts w:ascii="Arial" w:cs="Arial" w:eastAsia="Arial" w:hAnsi="Arial"/>
                <w:sz w:val="18"/>
                <w:szCs w:val="18"/>
                <w:color w:val="auto"/>
              </w:rPr>
              <w:t>Trustee’s Disclaimer</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7.05.</w:t>
            </w:r>
          </w:p>
        </w:tc>
        <w:tc>
          <w:tcPr>
            <w:tcW w:w="8940" w:type="dxa"/>
            <w:vAlign w:val="bottom"/>
          </w:tcPr>
          <w:p>
            <w:pPr>
              <w:ind w:left="80"/>
              <w:spacing w:after="0"/>
              <w:rPr>
                <w:sz w:val="20"/>
                <w:szCs w:val="20"/>
                <w:color w:val="auto"/>
              </w:rPr>
            </w:pPr>
            <w:r>
              <w:rPr>
                <w:rFonts w:ascii="Arial" w:cs="Arial" w:eastAsia="Arial" w:hAnsi="Arial"/>
                <w:sz w:val="18"/>
                <w:szCs w:val="18"/>
                <w:color w:val="auto"/>
              </w:rPr>
              <w:t>Notice of Default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7.06.</w:t>
            </w:r>
          </w:p>
        </w:tc>
        <w:tc>
          <w:tcPr>
            <w:tcW w:w="8940" w:type="dxa"/>
            <w:vAlign w:val="bottom"/>
          </w:tcPr>
          <w:p>
            <w:pPr>
              <w:ind w:left="80"/>
              <w:spacing w:after="0"/>
              <w:rPr>
                <w:sz w:val="20"/>
                <w:szCs w:val="20"/>
                <w:color w:val="auto"/>
              </w:rPr>
            </w:pPr>
            <w:r>
              <w:rPr>
                <w:rFonts w:ascii="Arial" w:cs="Arial" w:eastAsia="Arial" w:hAnsi="Arial"/>
                <w:sz w:val="18"/>
                <w:szCs w:val="18"/>
                <w:color w:val="auto"/>
              </w:rPr>
              <w:t>Reports by Trustee to 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7.07.</w:t>
            </w:r>
          </w:p>
        </w:tc>
        <w:tc>
          <w:tcPr>
            <w:tcW w:w="8940" w:type="dxa"/>
            <w:vAlign w:val="bottom"/>
          </w:tcPr>
          <w:p>
            <w:pPr>
              <w:ind w:left="80"/>
              <w:spacing w:after="0"/>
              <w:rPr>
                <w:sz w:val="20"/>
                <w:szCs w:val="20"/>
                <w:color w:val="auto"/>
              </w:rPr>
            </w:pPr>
            <w:r>
              <w:rPr>
                <w:rFonts w:ascii="Arial" w:cs="Arial" w:eastAsia="Arial" w:hAnsi="Arial"/>
                <w:sz w:val="18"/>
                <w:szCs w:val="18"/>
                <w:color w:val="auto"/>
              </w:rPr>
              <w:t>Compensation and Indemnity</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7.08.</w:t>
            </w:r>
          </w:p>
        </w:tc>
        <w:tc>
          <w:tcPr>
            <w:tcW w:w="8940" w:type="dxa"/>
            <w:vAlign w:val="bottom"/>
          </w:tcPr>
          <w:p>
            <w:pPr>
              <w:ind w:left="80"/>
              <w:spacing w:after="0"/>
              <w:rPr>
                <w:sz w:val="20"/>
                <w:szCs w:val="20"/>
                <w:color w:val="auto"/>
              </w:rPr>
            </w:pPr>
            <w:r>
              <w:rPr>
                <w:rFonts w:ascii="Arial" w:cs="Arial" w:eastAsia="Arial" w:hAnsi="Arial"/>
                <w:sz w:val="18"/>
                <w:szCs w:val="18"/>
                <w:color w:val="auto"/>
              </w:rPr>
              <w:t>Replacement of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7.09.</w:t>
            </w:r>
          </w:p>
        </w:tc>
        <w:tc>
          <w:tcPr>
            <w:tcW w:w="8940" w:type="dxa"/>
            <w:vAlign w:val="bottom"/>
          </w:tcPr>
          <w:p>
            <w:pPr>
              <w:ind w:left="80"/>
              <w:spacing w:after="0"/>
              <w:rPr>
                <w:sz w:val="20"/>
                <w:szCs w:val="20"/>
                <w:color w:val="auto"/>
              </w:rPr>
            </w:pPr>
            <w:r>
              <w:rPr>
                <w:rFonts w:ascii="Arial" w:cs="Arial" w:eastAsia="Arial" w:hAnsi="Arial"/>
                <w:sz w:val="18"/>
                <w:szCs w:val="18"/>
                <w:color w:val="auto"/>
              </w:rPr>
              <w:t>Successor Trustee by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7.10.</w:t>
            </w:r>
          </w:p>
        </w:tc>
        <w:tc>
          <w:tcPr>
            <w:tcW w:w="8940" w:type="dxa"/>
            <w:vAlign w:val="bottom"/>
          </w:tcPr>
          <w:p>
            <w:pPr>
              <w:ind w:left="80"/>
              <w:spacing w:after="0"/>
              <w:rPr>
                <w:sz w:val="20"/>
                <w:szCs w:val="20"/>
                <w:color w:val="auto"/>
              </w:rPr>
            </w:pPr>
            <w:r>
              <w:rPr>
                <w:rFonts w:ascii="Arial" w:cs="Arial" w:eastAsia="Arial" w:hAnsi="Arial"/>
                <w:sz w:val="18"/>
                <w:szCs w:val="18"/>
                <w:color w:val="auto"/>
              </w:rPr>
              <w:t>Eligibility</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7.11.</w:t>
            </w:r>
          </w:p>
        </w:tc>
        <w:tc>
          <w:tcPr>
            <w:tcW w:w="8940" w:type="dxa"/>
            <w:vAlign w:val="bottom"/>
          </w:tcPr>
          <w:p>
            <w:pPr>
              <w:ind w:left="80"/>
              <w:spacing w:after="0"/>
              <w:rPr>
                <w:sz w:val="20"/>
                <w:szCs w:val="20"/>
                <w:color w:val="auto"/>
              </w:rPr>
            </w:pPr>
            <w:r>
              <w:rPr>
                <w:rFonts w:ascii="Arial" w:cs="Arial" w:eastAsia="Arial" w:hAnsi="Arial"/>
                <w:sz w:val="18"/>
                <w:szCs w:val="18"/>
                <w:color w:val="auto"/>
              </w:rPr>
              <w:t>Money Held in Trust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8 Discharge</w:t>
            </w:r>
          </w:p>
        </w:tc>
        <w:tc>
          <w:tcPr>
            <w:tcW w:w="8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8.01.</w:t>
            </w:r>
          </w:p>
        </w:tc>
        <w:tc>
          <w:tcPr>
            <w:tcW w:w="8940" w:type="dxa"/>
            <w:vAlign w:val="bottom"/>
          </w:tcPr>
          <w:p>
            <w:pPr>
              <w:ind w:left="80"/>
              <w:spacing w:after="0"/>
              <w:rPr>
                <w:sz w:val="20"/>
                <w:szCs w:val="20"/>
                <w:color w:val="auto"/>
              </w:rPr>
            </w:pPr>
            <w:r>
              <w:rPr>
                <w:rFonts w:ascii="Arial" w:cs="Arial" w:eastAsia="Arial" w:hAnsi="Arial"/>
                <w:sz w:val="18"/>
                <w:szCs w:val="18"/>
                <w:color w:val="auto"/>
              </w:rPr>
              <w:t>Satisfaction and Discharge of this Indenture</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8.02.</w:t>
            </w:r>
          </w:p>
        </w:tc>
        <w:tc>
          <w:tcPr>
            <w:tcW w:w="8940" w:type="dxa"/>
            <w:vAlign w:val="bottom"/>
          </w:tcPr>
          <w:p>
            <w:pPr>
              <w:ind w:left="80"/>
              <w:spacing w:after="0"/>
              <w:rPr>
                <w:sz w:val="20"/>
                <w:szCs w:val="20"/>
                <w:color w:val="auto"/>
              </w:rPr>
            </w:pPr>
            <w:r>
              <w:rPr>
                <w:rFonts w:ascii="Arial" w:cs="Arial" w:eastAsia="Arial" w:hAnsi="Arial"/>
                <w:sz w:val="18"/>
                <w:szCs w:val="18"/>
                <w:color w:val="auto"/>
              </w:rPr>
              <w:t>Application of Trust Money</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8.03.</w:t>
            </w:r>
          </w:p>
        </w:tc>
        <w:tc>
          <w:tcPr>
            <w:tcW w:w="8940" w:type="dxa"/>
            <w:vAlign w:val="bottom"/>
          </w:tcPr>
          <w:p>
            <w:pPr>
              <w:ind w:left="80"/>
              <w:spacing w:after="0"/>
              <w:rPr>
                <w:sz w:val="20"/>
                <w:szCs w:val="20"/>
                <w:color w:val="auto"/>
              </w:rPr>
            </w:pPr>
            <w:r>
              <w:rPr>
                <w:rFonts w:ascii="Arial" w:cs="Arial" w:eastAsia="Arial" w:hAnsi="Arial"/>
                <w:sz w:val="18"/>
                <w:szCs w:val="18"/>
                <w:color w:val="auto"/>
              </w:rPr>
              <w:t>Repayment to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8.04.</w:t>
            </w:r>
          </w:p>
        </w:tc>
        <w:tc>
          <w:tcPr>
            <w:tcW w:w="8940" w:type="dxa"/>
            <w:vAlign w:val="bottom"/>
          </w:tcPr>
          <w:p>
            <w:pPr>
              <w:ind w:left="80"/>
              <w:spacing w:after="0"/>
              <w:rPr>
                <w:sz w:val="20"/>
                <w:szCs w:val="20"/>
                <w:color w:val="auto"/>
              </w:rPr>
            </w:pPr>
            <w:r>
              <w:rPr>
                <w:rFonts w:ascii="Arial" w:cs="Arial" w:eastAsia="Arial" w:hAnsi="Arial"/>
                <w:sz w:val="18"/>
                <w:szCs w:val="18"/>
                <w:color w:val="auto"/>
              </w:rPr>
              <w:t>Reinstatement</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9 Amendments, Supplements and Waivers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9.01.</w:t>
            </w:r>
          </w:p>
        </w:tc>
        <w:tc>
          <w:tcPr>
            <w:tcW w:w="8940" w:type="dxa"/>
            <w:vAlign w:val="bottom"/>
          </w:tcPr>
          <w:p>
            <w:pPr>
              <w:ind w:left="80"/>
              <w:spacing w:after="0"/>
              <w:rPr>
                <w:sz w:val="20"/>
                <w:szCs w:val="20"/>
                <w:color w:val="auto"/>
              </w:rPr>
            </w:pPr>
            <w:r>
              <w:rPr>
                <w:rFonts w:ascii="Arial" w:cs="Arial" w:eastAsia="Arial" w:hAnsi="Arial"/>
                <w:sz w:val="18"/>
                <w:szCs w:val="18"/>
                <w:color w:val="auto"/>
              </w:rPr>
              <w:t>Amendments Without Consent of 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9.02.</w:t>
            </w:r>
          </w:p>
        </w:tc>
        <w:tc>
          <w:tcPr>
            <w:tcW w:w="8940" w:type="dxa"/>
            <w:vAlign w:val="bottom"/>
          </w:tcPr>
          <w:p>
            <w:pPr>
              <w:ind w:left="80"/>
              <w:spacing w:after="0"/>
              <w:rPr>
                <w:sz w:val="20"/>
                <w:szCs w:val="20"/>
                <w:color w:val="auto"/>
              </w:rPr>
            </w:pPr>
            <w:r>
              <w:rPr>
                <w:rFonts w:ascii="Arial" w:cs="Arial" w:eastAsia="Arial" w:hAnsi="Arial"/>
                <w:sz w:val="18"/>
                <w:szCs w:val="18"/>
                <w:color w:val="auto"/>
              </w:rPr>
              <w:t>Amendments With Consent of 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9.03.</w:t>
            </w:r>
          </w:p>
        </w:tc>
        <w:tc>
          <w:tcPr>
            <w:tcW w:w="8940" w:type="dxa"/>
            <w:vAlign w:val="bottom"/>
          </w:tcPr>
          <w:p>
            <w:pPr>
              <w:ind w:left="80"/>
              <w:spacing w:after="0"/>
              <w:rPr>
                <w:sz w:val="20"/>
                <w:szCs w:val="20"/>
                <w:color w:val="auto"/>
              </w:rPr>
            </w:pPr>
            <w:r>
              <w:rPr>
                <w:rFonts w:ascii="Arial" w:cs="Arial" w:eastAsia="Arial" w:hAnsi="Arial"/>
                <w:sz w:val="18"/>
                <w:szCs w:val="18"/>
                <w:color w:val="auto"/>
              </w:rPr>
              <w:t>Effect of Consent</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9.04.</w:t>
            </w:r>
          </w:p>
        </w:tc>
        <w:tc>
          <w:tcPr>
            <w:tcW w:w="8940" w:type="dxa"/>
            <w:vAlign w:val="bottom"/>
          </w:tcPr>
          <w:p>
            <w:pPr>
              <w:ind w:left="80"/>
              <w:spacing w:after="0"/>
              <w:rPr>
                <w:sz w:val="20"/>
                <w:szCs w:val="20"/>
                <w:color w:val="auto"/>
              </w:rPr>
            </w:pPr>
            <w:r>
              <w:rPr>
                <w:rFonts w:ascii="Arial" w:cs="Arial" w:eastAsia="Arial" w:hAnsi="Arial"/>
                <w:sz w:val="18"/>
                <w:szCs w:val="18"/>
                <w:color w:val="auto"/>
              </w:rPr>
              <w:t>Trustee’s Rights and Obligations</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9.05.</w:t>
            </w:r>
          </w:p>
        </w:tc>
        <w:tc>
          <w:tcPr>
            <w:tcW w:w="8940" w:type="dxa"/>
            <w:vAlign w:val="bottom"/>
          </w:tcPr>
          <w:p>
            <w:pPr>
              <w:ind w:left="80"/>
              <w:spacing w:after="0"/>
              <w:rPr>
                <w:sz w:val="20"/>
                <w:szCs w:val="20"/>
                <w:color w:val="auto"/>
              </w:rPr>
            </w:pPr>
            <w:r>
              <w:rPr>
                <w:rFonts w:ascii="Arial" w:cs="Arial" w:eastAsia="Arial" w:hAnsi="Arial"/>
                <w:sz w:val="18"/>
                <w:szCs w:val="18"/>
                <w:color w:val="auto"/>
              </w:rPr>
              <w:t>Payments for Consents</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960" w:type="dxa"/>
            <w:vAlign w:val="bottom"/>
          </w:tcPr>
          <w:p>
            <w:pPr>
              <w:spacing w:after="0"/>
              <w:rPr>
                <w:sz w:val="24"/>
                <w:szCs w:val="24"/>
                <w:color w:val="auto"/>
              </w:rPr>
            </w:pPr>
          </w:p>
        </w:tc>
        <w:tc>
          <w:tcPr>
            <w:tcW w:w="8940" w:type="dxa"/>
            <w:vAlign w:val="bottom"/>
          </w:tcPr>
          <w:p>
            <w:pPr>
              <w:ind w:left="3700"/>
              <w:spacing w:after="0"/>
              <w:rPr>
                <w:sz w:val="20"/>
                <w:szCs w:val="20"/>
                <w:color w:val="auto"/>
              </w:rPr>
            </w:pPr>
            <w:r>
              <w:rPr>
                <w:rFonts w:ascii="Arial" w:cs="Arial" w:eastAsia="Arial" w:hAnsi="Arial"/>
                <w:sz w:val="18"/>
                <w:szCs w:val="18"/>
                <w:color w:val="auto"/>
              </w:rPr>
              <w:t>ii</w:t>
            </w:r>
          </w:p>
        </w:tc>
        <w:tc>
          <w:tcPr>
            <w:tcW w:w="56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89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r>
      <w:tr>
        <w:trPr>
          <w:trHeight w:val="780"/>
        </w:trPr>
        <w:tc>
          <w:tcPr>
            <w:tcW w:w="1960" w:type="dxa"/>
            <w:vAlign w:val="bottom"/>
          </w:tcPr>
          <w:p>
            <w:pPr>
              <w:spacing w:after="0"/>
              <w:rPr>
                <w:sz w:val="20"/>
                <w:szCs w:val="20"/>
                <w:color w:val="auto"/>
              </w:rPr>
            </w:pPr>
            <w:r>
              <w:rPr>
                <w:rFonts w:ascii="Arial" w:cs="Arial" w:eastAsia="Arial" w:hAnsi="Arial"/>
                <w:sz w:val="18"/>
                <w:szCs w:val="18"/>
                <w:color w:val="auto"/>
                <w:w w:val="98"/>
              </w:rPr>
              <w:t>ARTICLE 10 Conversion</w:t>
            </w:r>
          </w:p>
        </w:tc>
        <w:tc>
          <w:tcPr>
            <w:tcW w:w="8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960" w:type="dxa"/>
            <w:vAlign w:val="bottom"/>
          </w:tcPr>
          <w:p>
            <w:pPr>
              <w:ind w:left="540"/>
              <w:spacing w:after="0"/>
              <w:rPr>
                <w:sz w:val="20"/>
                <w:szCs w:val="20"/>
                <w:color w:val="auto"/>
              </w:rPr>
            </w:pPr>
            <w:r>
              <w:rPr>
                <w:rFonts w:ascii="Arial" w:cs="Arial" w:eastAsia="Arial" w:hAnsi="Arial"/>
                <w:sz w:val="18"/>
                <w:szCs w:val="18"/>
                <w:color w:val="auto"/>
              </w:rPr>
              <w:t>Section 10.01.</w:t>
            </w:r>
          </w:p>
        </w:tc>
        <w:tc>
          <w:tcPr>
            <w:tcW w:w="8940" w:type="dxa"/>
            <w:vAlign w:val="bottom"/>
          </w:tcPr>
          <w:p>
            <w:pPr>
              <w:ind w:left="80"/>
              <w:spacing w:after="0"/>
              <w:rPr>
                <w:sz w:val="20"/>
                <w:szCs w:val="20"/>
                <w:color w:val="auto"/>
              </w:rPr>
            </w:pPr>
            <w:r>
              <w:rPr>
                <w:rFonts w:ascii="Arial" w:cs="Arial" w:eastAsia="Arial" w:hAnsi="Arial"/>
                <w:sz w:val="18"/>
                <w:szCs w:val="18"/>
                <w:color w:val="auto"/>
              </w:rPr>
              <w:t>Conversion Privilege</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10.02.</w:t>
            </w:r>
          </w:p>
        </w:tc>
        <w:tc>
          <w:tcPr>
            <w:tcW w:w="8940" w:type="dxa"/>
            <w:vAlign w:val="bottom"/>
          </w:tcPr>
          <w:p>
            <w:pPr>
              <w:ind w:left="80"/>
              <w:spacing w:after="0"/>
              <w:rPr>
                <w:sz w:val="20"/>
                <w:szCs w:val="20"/>
                <w:color w:val="auto"/>
              </w:rPr>
            </w:pPr>
            <w:r>
              <w:rPr>
                <w:rFonts w:ascii="Arial" w:cs="Arial" w:eastAsia="Arial" w:hAnsi="Arial"/>
                <w:sz w:val="18"/>
                <w:szCs w:val="18"/>
                <w:color w:val="auto"/>
              </w:rPr>
              <w:t>Conversion Procedures; Conversion Settlement</w:t>
            </w: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10.03.</w:t>
            </w:r>
          </w:p>
        </w:tc>
        <w:tc>
          <w:tcPr>
            <w:tcW w:w="8940" w:type="dxa"/>
            <w:vAlign w:val="bottom"/>
          </w:tcPr>
          <w:p>
            <w:pPr>
              <w:ind w:left="80"/>
              <w:spacing w:after="0"/>
              <w:rPr>
                <w:sz w:val="20"/>
                <w:szCs w:val="20"/>
                <w:color w:val="auto"/>
              </w:rPr>
            </w:pPr>
            <w:r>
              <w:rPr>
                <w:rFonts w:ascii="Arial" w:cs="Arial" w:eastAsia="Arial" w:hAnsi="Arial"/>
                <w:sz w:val="18"/>
                <w:szCs w:val="18"/>
                <w:color w:val="auto"/>
              </w:rPr>
              <w:t>Settlement Upon Conversion</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10.04.</w:t>
            </w:r>
          </w:p>
        </w:tc>
        <w:tc>
          <w:tcPr>
            <w:tcW w:w="8940" w:type="dxa"/>
            <w:vAlign w:val="bottom"/>
          </w:tcPr>
          <w:p>
            <w:pPr>
              <w:ind w:left="80"/>
              <w:spacing w:after="0"/>
              <w:rPr>
                <w:sz w:val="20"/>
                <w:szCs w:val="20"/>
                <w:color w:val="auto"/>
              </w:rPr>
            </w:pPr>
            <w:r>
              <w:rPr>
                <w:rFonts w:ascii="Arial" w:cs="Arial" w:eastAsia="Arial" w:hAnsi="Arial"/>
                <w:sz w:val="18"/>
                <w:szCs w:val="18"/>
                <w:color w:val="auto"/>
              </w:rPr>
              <w:t>Fractional Share</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10.05.</w:t>
            </w:r>
          </w:p>
        </w:tc>
        <w:tc>
          <w:tcPr>
            <w:tcW w:w="8940" w:type="dxa"/>
            <w:vAlign w:val="bottom"/>
          </w:tcPr>
          <w:p>
            <w:pPr>
              <w:ind w:left="80"/>
              <w:spacing w:after="0"/>
              <w:rPr>
                <w:sz w:val="20"/>
                <w:szCs w:val="20"/>
                <w:color w:val="auto"/>
              </w:rPr>
            </w:pPr>
            <w:r>
              <w:rPr>
                <w:rFonts w:ascii="Arial" w:cs="Arial" w:eastAsia="Arial" w:hAnsi="Arial"/>
                <w:sz w:val="18"/>
                <w:szCs w:val="18"/>
                <w:color w:val="auto"/>
              </w:rPr>
              <w:t>Taxes on Conversion</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10.06.</w:t>
            </w:r>
          </w:p>
        </w:tc>
        <w:tc>
          <w:tcPr>
            <w:tcW w:w="8940" w:type="dxa"/>
            <w:vAlign w:val="bottom"/>
          </w:tcPr>
          <w:p>
            <w:pPr>
              <w:ind w:left="80"/>
              <w:spacing w:after="0"/>
              <w:rPr>
                <w:sz w:val="20"/>
                <w:szCs w:val="20"/>
                <w:color w:val="auto"/>
              </w:rPr>
            </w:pPr>
            <w:r>
              <w:rPr>
                <w:rFonts w:ascii="Arial" w:cs="Arial" w:eastAsia="Arial" w:hAnsi="Arial"/>
                <w:sz w:val="18"/>
                <w:szCs w:val="18"/>
                <w:color w:val="auto"/>
              </w:rPr>
              <w:t>Company to Provide 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10.07.</w:t>
            </w:r>
          </w:p>
        </w:tc>
        <w:tc>
          <w:tcPr>
            <w:tcW w:w="8940" w:type="dxa"/>
            <w:vAlign w:val="bottom"/>
          </w:tcPr>
          <w:p>
            <w:pPr>
              <w:ind w:left="80"/>
              <w:spacing w:after="0"/>
              <w:rPr>
                <w:sz w:val="20"/>
                <w:szCs w:val="20"/>
                <w:color w:val="auto"/>
              </w:rPr>
            </w:pPr>
            <w:r>
              <w:rPr>
                <w:rFonts w:ascii="Arial" w:cs="Arial" w:eastAsia="Arial" w:hAnsi="Arial"/>
                <w:sz w:val="18"/>
                <w:szCs w:val="18"/>
                <w:color w:val="auto"/>
              </w:rPr>
              <w:t>Adjustment to Conversion Rate</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10.08.</w:t>
            </w:r>
          </w:p>
        </w:tc>
        <w:tc>
          <w:tcPr>
            <w:tcW w:w="8940" w:type="dxa"/>
            <w:vAlign w:val="bottom"/>
          </w:tcPr>
          <w:p>
            <w:pPr>
              <w:ind w:left="80"/>
              <w:spacing w:after="0"/>
              <w:rPr>
                <w:sz w:val="20"/>
                <w:szCs w:val="20"/>
                <w:color w:val="auto"/>
              </w:rPr>
            </w:pPr>
            <w:r>
              <w:rPr>
                <w:rFonts w:ascii="Arial" w:cs="Arial" w:eastAsia="Arial" w:hAnsi="Arial"/>
                <w:sz w:val="18"/>
                <w:szCs w:val="18"/>
                <w:color w:val="auto"/>
              </w:rPr>
              <w:t>Provisions Governing Adjustment to Conversion Rate</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10.09.</w:t>
            </w:r>
          </w:p>
        </w:tc>
        <w:tc>
          <w:tcPr>
            <w:tcW w:w="8940" w:type="dxa"/>
            <w:vAlign w:val="bottom"/>
          </w:tcPr>
          <w:p>
            <w:pPr>
              <w:ind w:left="80"/>
              <w:spacing w:after="0"/>
              <w:rPr>
                <w:sz w:val="20"/>
                <w:szCs w:val="20"/>
                <w:color w:val="auto"/>
              </w:rPr>
            </w:pPr>
            <w:r>
              <w:rPr>
                <w:rFonts w:ascii="Arial" w:cs="Arial" w:eastAsia="Arial" w:hAnsi="Arial"/>
                <w:sz w:val="18"/>
                <w:szCs w:val="18"/>
                <w:color w:val="auto"/>
              </w:rPr>
              <w:t>Disposition Events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10.10.</w:t>
            </w:r>
          </w:p>
        </w:tc>
        <w:tc>
          <w:tcPr>
            <w:tcW w:w="8940" w:type="dxa"/>
            <w:vAlign w:val="bottom"/>
          </w:tcPr>
          <w:p>
            <w:pPr>
              <w:ind w:left="80"/>
              <w:spacing w:after="0"/>
              <w:rPr>
                <w:sz w:val="20"/>
                <w:szCs w:val="20"/>
                <w:color w:val="auto"/>
              </w:rPr>
            </w:pPr>
            <w:r>
              <w:rPr>
                <w:rFonts w:ascii="Arial" w:cs="Arial" w:eastAsia="Arial" w:hAnsi="Arial"/>
                <w:sz w:val="18"/>
                <w:szCs w:val="18"/>
                <w:color w:val="auto"/>
                <w:w w:val="95"/>
              </w:rPr>
              <w:t>Adjustment to Conversion Rate Upon a Make-Whole Change in Control or Redemptions prior to November 20, 2018;</w:t>
            </w:r>
          </w:p>
        </w:tc>
        <w:tc>
          <w:tcPr>
            <w:tcW w:w="5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8940" w:type="dxa"/>
            <w:vAlign w:val="bottom"/>
          </w:tcPr>
          <w:p>
            <w:pPr>
              <w:ind w:left="80"/>
              <w:spacing w:after="0"/>
              <w:rPr>
                <w:sz w:val="20"/>
                <w:szCs w:val="20"/>
                <w:color w:val="auto"/>
              </w:rPr>
            </w:pPr>
            <w:r>
              <w:rPr>
                <w:rFonts w:ascii="Arial" w:cs="Arial" w:eastAsia="Arial" w:hAnsi="Arial"/>
                <w:sz w:val="18"/>
                <w:szCs w:val="18"/>
                <w:color w:val="auto"/>
              </w:rPr>
              <w:t>Discretionary Adjustment</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10.11.</w:t>
            </w:r>
          </w:p>
        </w:tc>
        <w:tc>
          <w:tcPr>
            <w:tcW w:w="8940" w:type="dxa"/>
            <w:vAlign w:val="bottom"/>
          </w:tcPr>
          <w:p>
            <w:pPr>
              <w:ind w:left="80"/>
              <w:spacing w:after="0"/>
              <w:rPr>
                <w:sz w:val="20"/>
                <w:szCs w:val="20"/>
                <w:color w:val="auto"/>
              </w:rPr>
            </w:pPr>
            <w:r>
              <w:rPr>
                <w:rFonts w:ascii="Arial" w:cs="Arial" w:eastAsia="Arial" w:hAnsi="Arial"/>
                <w:sz w:val="18"/>
                <w:szCs w:val="18"/>
                <w:color w:val="auto"/>
              </w:rPr>
              <w:t>When Adjustment May Be Deferred</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10.12.</w:t>
            </w:r>
          </w:p>
        </w:tc>
        <w:tc>
          <w:tcPr>
            <w:tcW w:w="8940" w:type="dxa"/>
            <w:vAlign w:val="bottom"/>
          </w:tcPr>
          <w:p>
            <w:pPr>
              <w:ind w:left="80"/>
              <w:spacing w:after="0"/>
              <w:rPr>
                <w:sz w:val="20"/>
                <w:szCs w:val="20"/>
                <w:color w:val="auto"/>
              </w:rPr>
            </w:pPr>
            <w:r>
              <w:rPr>
                <w:rFonts w:ascii="Arial" w:cs="Arial" w:eastAsia="Arial" w:hAnsi="Arial"/>
                <w:sz w:val="18"/>
                <w:szCs w:val="18"/>
                <w:color w:val="auto"/>
              </w:rPr>
              <w:t>When No Adjustment Required</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10.13.</w:t>
            </w:r>
          </w:p>
        </w:tc>
        <w:tc>
          <w:tcPr>
            <w:tcW w:w="8940" w:type="dxa"/>
            <w:vAlign w:val="bottom"/>
          </w:tcPr>
          <w:p>
            <w:pPr>
              <w:ind w:left="80"/>
              <w:spacing w:after="0"/>
              <w:rPr>
                <w:sz w:val="20"/>
                <w:szCs w:val="20"/>
                <w:color w:val="auto"/>
              </w:rPr>
            </w:pPr>
            <w:r>
              <w:rPr>
                <w:rFonts w:ascii="Arial" w:cs="Arial" w:eastAsia="Arial" w:hAnsi="Arial"/>
                <w:sz w:val="18"/>
                <w:szCs w:val="18"/>
                <w:color w:val="auto"/>
              </w:rPr>
              <w:t>Notice of Adjustment</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10.14.</w:t>
            </w:r>
          </w:p>
        </w:tc>
        <w:tc>
          <w:tcPr>
            <w:tcW w:w="8940" w:type="dxa"/>
            <w:vAlign w:val="bottom"/>
          </w:tcPr>
          <w:p>
            <w:pPr>
              <w:ind w:left="80"/>
              <w:spacing w:after="0"/>
              <w:rPr>
                <w:sz w:val="20"/>
                <w:szCs w:val="20"/>
                <w:color w:val="auto"/>
              </w:rPr>
            </w:pPr>
            <w:r>
              <w:rPr>
                <w:rFonts w:ascii="Arial" w:cs="Arial" w:eastAsia="Arial" w:hAnsi="Arial"/>
                <w:sz w:val="18"/>
                <w:szCs w:val="18"/>
                <w:color w:val="auto"/>
              </w:rPr>
              <w:t>Notice of Certain Transactions</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10.15.</w:t>
            </w:r>
          </w:p>
        </w:tc>
        <w:tc>
          <w:tcPr>
            <w:tcW w:w="8940" w:type="dxa"/>
            <w:vAlign w:val="bottom"/>
          </w:tcPr>
          <w:p>
            <w:pPr>
              <w:ind w:left="80"/>
              <w:spacing w:after="0"/>
              <w:rPr>
                <w:sz w:val="20"/>
                <w:szCs w:val="20"/>
                <w:color w:val="auto"/>
              </w:rPr>
            </w:pPr>
            <w:r>
              <w:rPr>
                <w:rFonts w:ascii="Arial" w:cs="Arial" w:eastAsia="Arial" w:hAnsi="Arial"/>
                <w:sz w:val="18"/>
                <w:szCs w:val="18"/>
                <w:color w:val="auto"/>
              </w:rPr>
              <w:t>Right of Holders to Convert</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10.16.</w:t>
            </w:r>
          </w:p>
        </w:tc>
        <w:tc>
          <w:tcPr>
            <w:tcW w:w="8940" w:type="dxa"/>
            <w:vAlign w:val="bottom"/>
          </w:tcPr>
          <w:p>
            <w:pPr>
              <w:ind w:left="80"/>
              <w:spacing w:after="0"/>
              <w:rPr>
                <w:sz w:val="20"/>
                <w:szCs w:val="20"/>
                <w:color w:val="auto"/>
              </w:rPr>
            </w:pPr>
            <w:r>
              <w:rPr>
                <w:rFonts w:ascii="Arial" w:cs="Arial" w:eastAsia="Arial" w:hAnsi="Arial"/>
                <w:sz w:val="18"/>
                <w:szCs w:val="18"/>
                <w:color w:val="auto"/>
              </w:rPr>
              <w:t>Company Determination Final</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10.17.</w:t>
            </w:r>
          </w:p>
        </w:tc>
        <w:tc>
          <w:tcPr>
            <w:tcW w:w="8940" w:type="dxa"/>
            <w:vAlign w:val="bottom"/>
          </w:tcPr>
          <w:p>
            <w:pPr>
              <w:ind w:left="80"/>
              <w:spacing w:after="0"/>
              <w:rPr>
                <w:sz w:val="20"/>
                <w:szCs w:val="20"/>
                <w:color w:val="auto"/>
              </w:rPr>
            </w:pPr>
            <w:r>
              <w:rPr>
                <w:rFonts w:ascii="Arial" w:cs="Arial" w:eastAsia="Arial" w:hAnsi="Arial"/>
                <w:sz w:val="18"/>
                <w:szCs w:val="18"/>
                <w:color w:val="auto"/>
              </w:rPr>
              <w:t>Trustee’s Adjustment Disclaimer</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10.18.</w:t>
            </w:r>
          </w:p>
        </w:tc>
        <w:tc>
          <w:tcPr>
            <w:tcW w:w="7900" w:type="dxa"/>
            <w:vAlign w:val="bottom"/>
          </w:tcPr>
          <w:p>
            <w:pPr>
              <w:ind w:left="60"/>
              <w:spacing w:after="0"/>
              <w:rPr>
                <w:sz w:val="20"/>
                <w:szCs w:val="20"/>
                <w:color w:val="auto"/>
              </w:rPr>
            </w:pPr>
            <w:r>
              <w:rPr>
                <w:rFonts w:ascii="Arial" w:cs="Arial" w:eastAsia="Arial" w:hAnsi="Arial"/>
                <w:sz w:val="18"/>
                <w:szCs w:val="18"/>
                <w:color w:val="auto"/>
              </w:rPr>
              <w:t>Simultaneous Adjustments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10.19.</w:t>
            </w:r>
          </w:p>
        </w:tc>
        <w:tc>
          <w:tcPr>
            <w:tcW w:w="7900" w:type="dxa"/>
            <w:vAlign w:val="bottom"/>
          </w:tcPr>
          <w:p>
            <w:pPr>
              <w:ind w:left="60"/>
              <w:spacing w:after="0"/>
              <w:rPr>
                <w:sz w:val="20"/>
                <w:szCs w:val="20"/>
                <w:color w:val="auto"/>
              </w:rPr>
            </w:pPr>
            <w:r>
              <w:rPr>
                <w:rFonts w:ascii="Arial" w:cs="Arial" w:eastAsia="Arial" w:hAnsi="Arial"/>
                <w:sz w:val="18"/>
                <w:szCs w:val="18"/>
                <w:color w:val="auto"/>
              </w:rPr>
              <w:t>Successive Adjustments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10.20.</w:t>
            </w:r>
          </w:p>
        </w:tc>
        <w:tc>
          <w:tcPr>
            <w:tcW w:w="7900" w:type="dxa"/>
            <w:vAlign w:val="bottom"/>
          </w:tcPr>
          <w:p>
            <w:pPr>
              <w:ind w:left="60"/>
              <w:spacing w:after="0"/>
              <w:rPr>
                <w:sz w:val="20"/>
                <w:szCs w:val="20"/>
                <w:color w:val="auto"/>
              </w:rPr>
            </w:pPr>
            <w:r>
              <w:rPr>
                <w:rFonts w:ascii="Arial" w:cs="Arial" w:eastAsia="Arial" w:hAnsi="Arial"/>
                <w:sz w:val="18"/>
                <w:szCs w:val="18"/>
                <w:color w:val="auto"/>
              </w:rPr>
              <w:t>Rights Issued in Respect of Common Stock Issued Upon Conversion</w:t>
            </w: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10.21.</w:t>
            </w:r>
          </w:p>
        </w:tc>
        <w:tc>
          <w:tcPr>
            <w:tcW w:w="7900" w:type="dxa"/>
            <w:vAlign w:val="bottom"/>
          </w:tcPr>
          <w:p>
            <w:pPr>
              <w:ind w:left="60"/>
              <w:spacing w:after="0"/>
              <w:rPr>
                <w:sz w:val="20"/>
                <w:szCs w:val="20"/>
                <w:color w:val="auto"/>
              </w:rPr>
            </w:pPr>
            <w:r>
              <w:rPr>
                <w:rFonts w:ascii="Arial" w:cs="Arial" w:eastAsia="Arial" w:hAnsi="Arial"/>
                <w:sz w:val="18"/>
                <w:szCs w:val="18"/>
                <w:color w:val="auto"/>
              </w:rPr>
              <w:t>Withholding Taxes for Adjustments in Conversion Rate</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980" w:type="dxa"/>
            <w:vAlign w:val="bottom"/>
            <w:gridSpan w:val="2"/>
          </w:tcPr>
          <w:p>
            <w:pPr>
              <w:spacing w:after="0"/>
              <w:rPr>
                <w:sz w:val="20"/>
                <w:szCs w:val="20"/>
                <w:color w:val="auto"/>
              </w:rPr>
            </w:pPr>
            <w:r>
              <w:rPr>
                <w:rFonts w:ascii="Arial" w:cs="Arial" w:eastAsia="Arial" w:hAnsi="Arial"/>
                <w:sz w:val="18"/>
                <w:szCs w:val="18"/>
                <w:color w:val="auto"/>
                <w:w w:val="96"/>
              </w:rPr>
              <w:t>ARTICLE 11 Redemption</w:t>
            </w:r>
          </w:p>
        </w:tc>
        <w:tc>
          <w:tcPr>
            <w:tcW w:w="79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11.01.</w:t>
            </w:r>
          </w:p>
        </w:tc>
        <w:tc>
          <w:tcPr>
            <w:tcW w:w="7900" w:type="dxa"/>
            <w:vAlign w:val="bottom"/>
          </w:tcPr>
          <w:p>
            <w:pPr>
              <w:ind w:left="60"/>
              <w:spacing w:after="0"/>
              <w:rPr>
                <w:sz w:val="20"/>
                <w:szCs w:val="20"/>
                <w:color w:val="auto"/>
              </w:rPr>
            </w:pPr>
            <w:r>
              <w:rPr>
                <w:rFonts w:ascii="Arial" w:cs="Arial" w:eastAsia="Arial" w:hAnsi="Arial"/>
                <w:sz w:val="18"/>
                <w:szCs w:val="18"/>
                <w:color w:val="auto"/>
              </w:rPr>
              <w:t>Right to Redeem; Notices to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11.02.</w:t>
            </w:r>
          </w:p>
        </w:tc>
        <w:tc>
          <w:tcPr>
            <w:tcW w:w="7900" w:type="dxa"/>
            <w:vAlign w:val="bottom"/>
          </w:tcPr>
          <w:p>
            <w:pPr>
              <w:ind w:left="60"/>
              <w:spacing w:after="0"/>
              <w:rPr>
                <w:sz w:val="20"/>
                <w:szCs w:val="20"/>
                <w:color w:val="auto"/>
              </w:rPr>
            </w:pPr>
            <w:r>
              <w:rPr>
                <w:rFonts w:ascii="Arial" w:cs="Arial" w:eastAsia="Arial" w:hAnsi="Arial"/>
                <w:sz w:val="18"/>
                <w:szCs w:val="18"/>
                <w:color w:val="auto"/>
              </w:rPr>
              <w:t>Selection of Notes to be Redeemed</w:t>
            </w: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11.03.</w:t>
            </w:r>
          </w:p>
        </w:tc>
        <w:tc>
          <w:tcPr>
            <w:tcW w:w="7900" w:type="dxa"/>
            <w:vAlign w:val="bottom"/>
          </w:tcPr>
          <w:p>
            <w:pPr>
              <w:ind w:left="60"/>
              <w:spacing w:after="0"/>
              <w:rPr>
                <w:sz w:val="20"/>
                <w:szCs w:val="20"/>
                <w:color w:val="auto"/>
              </w:rPr>
            </w:pPr>
            <w:r>
              <w:rPr>
                <w:rFonts w:ascii="Arial" w:cs="Arial" w:eastAsia="Arial" w:hAnsi="Arial"/>
                <w:sz w:val="18"/>
                <w:szCs w:val="18"/>
                <w:color w:val="auto"/>
              </w:rPr>
              <w:t>Notice of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11.04.</w:t>
            </w:r>
          </w:p>
        </w:tc>
        <w:tc>
          <w:tcPr>
            <w:tcW w:w="7900" w:type="dxa"/>
            <w:vAlign w:val="bottom"/>
          </w:tcPr>
          <w:p>
            <w:pPr>
              <w:ind w:left="60"/>
              <w:spacing w:after="0"/>
              <w:rPr>
                <w:sz w:val="20"/>
                <w:szCs w:val="20"/>
                <w:color w:val="auto"/>
              </w:rPr>
            </w:pPr>
            <w:r>
              <w:rPr>
                <w:rFonts w:ascii="Arial" w:cs="Arial" w:eastAsia="Arial" w:hAnsi="Arial"/>
                <w:sz w:val="18"/>
                <w:szCs w:val="18"/>
                <w:color w:val="auto"/>
              </w:rPr>
              <w:t>Effect of Notice of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11.05.</w:t>
            </w:r>
          </w:p>
        </w:tc>
        <w:tc>
          <w:tcPr>
            <w:tcW w:w="7900" w:type="dxa"/>
            <w:vAlign w:val="bottom"/>
          </w:tcPr>
          <w:p>
            <w:pPr>
              <w:ind w:left="60"/>
              <w:spacing w:after="0"/>
              <w:rPr>
                <w:sz w:val="20"/>
                <w:szCs w:val="20"/>
                <w:color w:val="auto"/>
              </w:rPr>
            </w:pPr>
            <w:r>
              <w:rPr>
                <w:rFonts w:ascii="Arial" w:cs="Arial" w:eastAsia="Arial" w:hAnsi="Arial"/>
                <w:sz w:val="18"/>
                <w:szCs w:val="18"/>
                <w:color w:val="auto"/>
              </w:rPr>
              <w:t>Deposit of Redemption Price</w:t>
            </w: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11.06.</w:t>
            </w:r>
          </w:p>
        </w:tc>
        <w:tc>
          <w:tcPr>
            <w:tcW w:w="7900" w:type="dxa"/>
            <w:vAlign w:val="bottom"/>
          </w:tcPr>
          <w:p>
            <w:pPr>
              <w:ind w:left="60"/>
              <w:spacing w:after="0"/>
              <w:rPr>
                <w:sz w:val="20"/>
                <w:szCs w:val="20"/>
                <w:color w:val="auto"/>
              </w:rPr>
            </w:pPr>
            <w:r>
              <w:rPr>
                <w:rFonts w:ascii="Arial" w:cs="Arial" w:eastAsia="Arial" w:hAnsi="Arial"/>
                <w:sz w:val="18"/>
                <w:szCs w:val="18"/>
                <w:color w:val="auto"/>
              </w:rPr>
              <w:t>Notes Redeemed in Part</w:t>
            </w: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9880" w:type="dxa"/>
            <w:vAlign w:val="bottom"/>
            <w:gridSpan w:val="3"/>
          </w:tcPr>
          <w:p>
            <w:pPr>
              <w:spacing w:after="0"/>
              <w:rPr>
                <w:sz w:val="20"/>
                <w:szCs w:val="20"/>
                <w:color w:val="auto"/>
              </w:rPr>
            </w:pPr>
            <w:r>
              <w:rPr>
                <w:rFonts w:ascii="Arial" w:cs="Arial" w:eastAsia="Arial" w:hAnsi="Arial"/>
                <w:sz w:val="18"/>
                <w:szCs w:val="18"/>
                <w:color w:val="auto"/>
              </w:rPr>
              <w:t>ARTICLE 12 Payment of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8"/>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12.01.</w:t>
            </w:r>
          </w:p>
        </w:tc>
        <w:tc>
          <w:tcPr>
            <w:tcW w:w="7900" w:type="dxa"/>
            <w:vAlign w:val="bottom"/>
          </w:tcPr>
          <w:p>
            <w:pPr>
              <w:ind w:left="60"/>
              <w:spacing w:after="0"/>
              <w:rPr>
                <w:sz w:val="20"/>
                <w:szCs w:val="20"/>
                <w:color w:val="auto"/>
              </w:rPr>
            </w:pPr>
            <w:r>
              <w:rPr>
                <w:rFonts w:ascii="Arial" w:cs="Arial" w:eastAsia="Arial" w:hAnsi="Arial"/>
                <w:sz w:val="18"/>
                <w:szCs w:val="18"/>
                <w:color w:val="auto"/>
              </w:rPr>
              <w:t>Interest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12.02.</w:t>
            </w:r>
          </w:p>
        </w:tc>
        <w:tc>
          <w:tcPr>
            <w:tcW w:w="7900" w:type="dxa"/>
            <w:vAlign w:val="bottom"/>
          </w:tcPr>
          <w:p>
            <w:pPr>
              <w:ind w:left="60"/>
              <w:spacing w:after="0"/>
              <w:rPr>
                <w:sz w:val="20"/>
                <w:szCs w:val="20"/>
                <w:color w:val="auto"/>
              </w:rPr>
            </w:pPr>
            <w:r>
              <w:rPr>
                <w:rFonts w:ascii="Arial" w:cs="Arial" w:eastAsia="Arial" w:hAnsi="Arial"/>
                <w:sz w:val="18"/>
                <w:szCs w:val="18"/>
                <w:color w:val="auto"/>
              </w:rPr>
              <w:t>Defaulted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12.03.</w:t>
            </w:r>
          </w:p>
        </w:tc>
        <w:tc>
          <w:tcPr>
            <w:tcW w:w="7900" w:type="dxa"/>
            <w:vAlign w:val="bottom"/>
          </w:tcPr>
          <w:p>
            <w:pPr>
              <w:ind w:left="60"/>
              <w:spacing w:after="0"/>
              <w:rPr>
                <w:sz w:val="20"/>
                <w:szCs w:val="20"/>
                <w:color w:val="auto"/>
              </w:rPr>
            </w:pPr>
            <w:r>
              <w:rPr>
                <w:rFonts w:ascii="Arial" w:cs="Arial" w:eastAsia="Arial" w:hAnsi="Arial"/>
                <w:sz w:val="18"/>
                <w:szCs w:val="18"/>
                <w:color w:val="auto"/>
              </w:rPr>
              <w:t>Interest Rights Preserved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9880" w:type="dxa"/>
            <w:vAlign w:val="bottom"/>
            <w:gridSpan w:val="3"/>
          </w:tcPr>
          <w:p>
            <w:pPr>
              <w:spacing w:after="0"/>
              <w:rPr>
                <w:sz w:val="20"/>
                <w:szCs w:val="20"/>
                <w:color w:val="auto"/>
              </w:rPr>
            </w:pPr>
            <w:r>
              <w:rPr>
                <w:rFonts w:ascii="Arial" w:cs="Arial" w:eastAsia="Arial" w:hAnsi="Arial"/>
                <w:sz w:val="18"/>
                <w:szCs w:val="18"/>
                <w:color w:val="auto"/>
              </w:rPr>
              <w:t>ARTICLE 13 Miscellaneous</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8"/>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13.01.</w:t>
            </w:r>
          </w:p>
        </w:tc>
        <w:tc>
          <w:tcPr>
            <w:tcW w:w="7900" w:type="dxa"/>
            <w:vAlign w:val="bottom"/>
          </w:tcPr>
          <w:p>
            <w:pPr>
              <w:ind w:left="60"/>
              <w:spacing w:after="0"/>
              <w:rPr>
                <w:sz w:val="20"/>
                <w:szCs w:val="20"/>
                <w:color w:val="auto"/>
              </w:rPr>
            </w:pPr>
            <w:r>
              <w:rPr>
                <w:rFonts w:ascii="Arial" w:cs="Arial" w:eastAsia="Arial" w:hAnsi="Arial"/>
                <w:sz w:val="18"/>
                <w:szCs w:val="18"/>
                <w:color w:val="auto"/>
              </w:rPr>
              <w:t>Trust Indenture Act of 1939</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13.02.</w:t>
            </w:r>
          </w:p>
        </w:tc>
        <w:tc>
          <w:tcPr>
            <w:tcW w:w="7900" w:type="dxa"/>
            <w:vAlign w:val="bottom"/>
          </w:tcPr>
          <w:p>
            <w:pPr>
              <w:ind w:left="60"/>
              <w:spacing w:after="0"/>
              <w:rPr>
                <w:sz w:val="20"/>
                <w:szCs w:val="20"/>
                <w:color w:val="auto"/>
              </w:rPr>
            </w:pPr>
            <w:r>
              <w:rPr>
                <w:rFonts w:ascii="Arial" w:cs="Arial" w:eastAsia="Arial" w:hAnsi="Arial"/>
                <w:sz w:val="18"/>
                <w:szCs w:val="18"/>
                <w:color w:val="auto"/>
              </w:rPr>
              <w:t>Holder Communications; Holder Actions</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13.03.</w:t>
            </w:r>
          </w:p>
        </w:tc>
        <w:tc>
          <w:tcPr>
            <w:tcW w:w="7900" w:type="dxa"/>
            <w:vAlign w:val="bottom"/>
          </w:tcPr>
          <w:p>
            <w:pPr>
              <w:ind w:left="60"/>
              <w:spacing w:after="0"/>
              <w:rPr>
                <w:sz w:val="20"/>
                <w:szCs w:val="20"/>
                <w:color w:val="auto"/>
              </w:rPr>
            </w:pPr>
            <w:r>
              <w:rPr>
                <w:rFonts w:ascii="Arial" w:cs="Arial" w:eastAsia="Arial" w:hAnsi="Arial"/>
                <w:sz w:val="18"/>
                <w:szCs w:val="18"/>
                <w:color w:val="auto"/>
              </w:rPr>
              <w:t>Notices</w:t>
            </w: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13.04.</w:t>
            </w:r>
          </w:p>
        </w:tc>
        <w:tc>
          <w:tcPr>
            <w:tcW w:w="7900" w:type="dxa"/>
            <w:vAlign w:val="bottom"/>
          </w:tcPr>
          <w:p>
            <w:pPr>
              <w:ind w:left="60"/>
              <w:spacing w:after="0"/>
              <w:rPr>
                <w:sz w:val="20"/>
                <w:szCs w:val="20"/>
                <w:color w:val="auto"/>
              </w:rPr>
            </w:pPr>
            <w:r>
              <w:rPr>
                <w:rFonts w:ascii="Arial" w:cs="Arial" w:eastAsia="Arial" w:hAnsi="Arial"/>
                <w:sz w:val="18"/>
                <w:szCs w:val="18"/>
                <w:color w:val="auto"/>
              </w:rPr>
              <w:t>Communication by Holders with Other 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13.05.</w:t>
            </w:r>
          </w:p>
        </w:tc>
        <w:tc>
          <w:tcPr>
            <w:tcW w:w="7900" w:type="dxa"/>
            <w:vAlign w:val="bottom"/>
          </w:tcPr>
          <w:p>
            <w:pPr>
              <w:ind w:left="60"/>
              <w:spacing w:after="0"/>
              <w:rPr>
                <w:sz w:val="20"/>
                <w:szCs w:val="20"/>
                <w:color w:val="auto"/>
              </w:rPr>
            </w:pPr>
            <w:r>
              <w:rPr>
                <w:rFonts w:ascii="Arial" w:cs="Arial" w:eastAsia="Arial" w:hAnsi="Arial"/>
                <w:sz w:val="18"/>
                <w:szCs w:val="18"/>
                <w:color w:val="auto"/>
              </w:rPr>
              <w:t>Certificate and Opinion as to Conditions Precedent</w:t>
            </w:r>
          </w:p>
        </w:tc>
        <w:tc>
          <w:tcPr>
            <w:tcW w:w="1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13.06.</w:t>
            </w:r>
          </w:p>
        </w:tc>
        <w:tc>
          <w:tcPr>
            <w:tcW w:w="7900" w:type="dxa"/>
            <w:vAlign w:val="bottom"/>
          </w:tcPr>
          <w:p>
            <w:pPr>
              <w:ind w:left="60"/>
              <w:spacing w:after="0"/>
              <w:rPr>
                <w:sz w:val="20"/>
                <w:szCs w:val="20"/>
                <w:color w:val="auto"/>
              </w:rPr>
            </w:pPr>
            <w:r>
              <w:rPr>
                <w:rFonts w:ascii="Arial" w:cs="Arial" w:eastAsia="Arial" w:hAnsi="Arial"/>
                <w:sz w:val="18"/>
                <w:szCs w:val="18"/>
                <w:color w:val="auto"/>
              </w:rPr>
              <w:t>Statements Required in Certificate or Opinion</w:t>
            </w:r>
          </w:p>
        </w:tc>
        <w:tc>
          <w:tcPr>
            <w:tcW w:w="1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900" w:type="dxa"/>
            <w:vAlign w:val="bottom"/>
          </w:tcPr>
          <w:p>
            <w:pPr>
              <w:ind w:left="3660"/>
              <w:spacing w:after="0"/>
              <w:rPr>
                <w:sz w:val="20"/>
                <w:szCs w:val="20"/>
                <w:color w:val="auto"/>
              </w:rPr>
            </w:pPr>
            <w:r>
              <w:rPr>
                <w:rFonts w:ascii="Arial" w:cs="Arial" w:eastAsia="Arial" w:hAnsi="Arial"/>
                <w:sz w:val="18"/>
                <w:szCs w:val="18"/>
                <w:color w:val="auto"/>
              </w:rPr>
              <w:t>iii</w:t>
            </w:r>
          </w:p>
        </w:tc>
        <w:tc>
          <w:tcPr>
            <w:tcW w:w="158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790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r>
      <w:tr>
        <w:trPr>
          <w:trHeight w:val="76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13.07.</w:t>
            </w:r>
          </w:p>
        </w:tc>
        <w:tc>
          <w:tcPr>
            <w:tcW w:w="7900" w:type="dxa"/>
            <w:vAlign w:val="bottom"/>
          </w:tcPr>
          <w:p>
            <w:pPr>
              <w:ind w:left="60"/>
              <w:spacing w:after="0"/>
              <w:rPr>
                <w:sz w:val="20"/>
                <w:szCs w:val="20"/>
                <w:color w:val="auto"/>
              </w:rPr>
            </w:pPr>
            <w:r>
              <w:rPr>
                <w:rFonts w:ascii="Arial" w:cs="Arial" w:eastAsia="Arial" w:hAnsi="Arial"/>
                <w:sz w:val="18"/>
                <w:szCs w:val="18"/>
                <w:color w:val="auto"/>
              </w:rPr>
              <w:t>Legal Holiday</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13.08.</w:t>
            </w:r>
          </w:p>
        </w:tc>
        <w:tc>
          <w:tcPr>
            <w:tcW w:w="7900" w:type="dxa"/>
            <w:vAlign w:val="bottom"/>
          </w:tcPr>
          <w:p>
            <w:pPr>
              <w:ind w:left="60"/>
              <w:spacing w:after="0"/>
              <w:rPr>
                <w:sz w:val="20"/>
                <w:szCs w:val="20"/>
                <w:color w:val="auto"/>
              </w:rPr>
            </w:pPr>
            <w:r>
              <w:rPr>
                <w:rFonts w:ascii="Arial" w:cs="Arial" w:eastAsia="Arial" w:hAnsi="Arial"/>
                <w:sz w:val="18"/>
                <w:szCs w:val="18"/>
                <w:color w:val="auto"/>
              </w:rPr>
              <w:t>Rules by Trustee, Paying Agent, Conversion Agent and Registrar</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13.09.</w:t>
            </w:r>
          </w:p>
        </w:tc>
        <w:tc>
          <w:tcPr>
            <w:tcW w:w="79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13.10.</w:t>
            </w:r>
          </w:p>
        </w:tc>
        <w:tc>
          <w:tcPr>
            <w:tcW w:w="7900" w:type="dxa"/>
            <w:vAlign w:val="bottom"/>
          </w:tcPr>
          <w:p>
            <w:pPr>
              <w:ind w:left="60"/>
              <w:spacing w:after="0"/>
              <w:rPr>
                <w:sz w:val="20"/>
                <w:szCs w:val="20"/>
                <w:color w:val="auto"/>
              </w:rPr>
            </w:pPr>
            <w:r>
              <w:rPr>
                <w:rFonts w:ascii="Arial" w:cs="Arial" w:eastAsia="Arial" w:hAnsi="Arial"/>
                <w:sz w:val="18"/>
                <w:szCs w:val="18"/>
                <w:color w:val="auto"/>
              </w:rPr>
              <w:t>No Adverse Interpretation of Other Agreements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13.11.</w:t>
            </w:r>
          </w:p>
        </w:tc>
        <w:tc>
          <w:tcPr>
            <w:tcW w:w="7900" w:type="dxa"/>
            <w:vAlign w:val="bottom"/>
          </w:tcPr>
          <w:p>
            <w:pPr>
              <w:ind w:left="60"/>
              <w:spacing w:after="0"/>
              <w:rPr>
                <w:sz w:val="20"/>
                <w:szCs w:val="20"/>
                <w:color w:val="auto"/>
              </w:rPr>
            </w:pPr>
            <w:r>
              <w:rPr>
                <w:rFonts w:ascii="Arial" w:cs="Arial" w:eastAsia="Arial" w:hAnsi="Arial"/>
                <w:sz w:val="18"/>
                <w:szCs w:val="18"/>
                <w:color w:val="auto"/>
              </w:rPr>
              <w:t>Successors</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13.12.</w:t>
            </w:r>
          </w:p>
        </w:tc>
        <w:tc>
          <w:tcPr>
            <w:tcW w:w="79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13.13.</w:t>
            </w:r>
          </w:p>
        </w:tc>
        <w:tc>
          <w:tcPr>
            <w:tcW w:w="79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13.14.</w:t>
            </w:r>
          </w:p>
        </w:tc>
        <w:tc>
          <w:tcPr>
            <w:tcW w:w="7900" w:type="dxa"/>
            <w:vAlign w:val="bottom"/>
          </w:tcPr>
          <w:p>
            <w:pPr>
              <w:ind w:left="60"/>
              <w:spacing w:after="0"/>
              <w:rPr>
                <w:sz w:val="20"/>
                <w:szCs w:val="20"/>
                <w:color w:val="auto"/>
              </w:rPr>
            </w:pPr>
            <w:r>
              <w:rPr>
                <w:rFonts w:ascii="Arial" w:cs="Arial" w:eastAsia="Arial" w:hAnsi="Arial"/>
                <w:sz w:val="18"/>
                <w:szCs w:val="18"/>
                <w:color w:val="auto"/>
              </w:rPr>
              <w:t>Table of Contents and Headings</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Section 13.15.</w:t>
            </w:r>
          </w:p>
        </w:tc>
        <w:tc>
          <w:tcPr>
            <w:tcW w:w="7900" w:type="dxa"/>
            <w:vAlign w:val="bottom"/>
          </w:tcPr>
          <w:p>
            <w:pPr>
              <w:ind w:left="60"/>
              <w:spacing w:after="0"/>
              <w:rPr>
                <w:sz w:val="20"/>
                <w:szCs w:val="20"/>
                <w:color w:val="auto"/>
              </w:rPr>
            </w:pPr>
            <w:r>
              <w:rPr>
                <w:rFonts w:ascii="Arial" w:cs="Arial" w:eastAsia="Arial" w:hAnsi="Arial"/>
                <w:sz w:val="18"/>
                <w:szCs w:val="18"/>
                <w:color w:val="auto"/>
              </w:rPr>
              <w:t>No Liability of Directors, Officers, Employees, Incorporators, Members and Stockholders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11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8"/>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A</w:t>
            </w:r>
          </w:p>
        </w:tc>
        <w:tc>
          <w:tcPr>
            <w:tcW w:w="7900" w:type="dxa"/>
            <w:vAlign w:val="bottom"/>
          </w:tcPr>
          <w:p>
            <w:pPr>
              <w:ind w:left="60"/>
              <w:spacing w:after="0"/>
              <w:rPr>
                <w:sz w:val="20"/>
                <w:szCs w:val="20"/>
                <w:color w:val="auto"/>
              </w:rPr>
            </w:pPr>
            <w:r>
              <w:rPr>
                <w:rFonts w:ascii="Arial" w:cs="Arial" w:eastAsia="Arial" w:hAnsi="Arial"/>
                <w:sz w:val="18"/>
                <w:szCs w:val="18"/>
                <w:i w:val="1"/>
                <w:iCs w:val="1"/>
                <w:color w:val="auto"/>
              </w:rPr>
              <w:t>Form of Note</w:t>
            </w:r>
          </w:p>
        </w:tc>
        <w:tc>
          <w:tcPr>
            <w:tcW w:w="1580" w:type="dxa"/>
            <w:vAlign w:val="bottom"/>
          </w:tcPr>
          <w:p>
            <w:pPr>
              <w:spacing w:after="0"/>
              <w:rPr>
                <w:sz w:val="24"/>
                <w:szCs w:val="24"/>
                <w:color w:val="auto"/>
              </w:rPr>
            </w:pP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B</w:t>
            </w:r>
          </w:p>
        </w:tc>
        <w:tc>
          <w:tcPr>
            <w:tcW w:w="7900" w:type="dxa"/>
            <w:vAlign w:val="bottom"/>
          </w:tcPr>
          <w:p>
            <w:pPr>
              <w:ind w:left="60"/>
              <w:spacing w:after="0"/>
              <w:rPr>
                <w:sz w:val="20"/>
                <w:szCs w:val="20"/>
                <w:color w:val="auto"/>
              </w:rPr>
            </w:pPr>
            <w:r>
              <w:rPr>
                <w:rFonts w:ascii="Arial" w:cs="Arial" w:eastAsia="Arial" w:hAnsi="Arial"/>
                <w:sz w:val="18"/>
                <w:szCs w:val="18"/>
                <w:i w:val="1"/>
                <w:iCs w:val="1"/>
                <w:color w:val="auto"/>
              </w:rPr>
              <w:t>DTC Legend</w:t>
            </w:r>
          </w:p>
        </w:tc>
        <w:tc>
          <w:tcPr>
            <w:tcW w:w="1580" w:type="dxa"/>
            <w:vAlign w:val="bottom"/>
          </w:tcPr>
          <w:p>
            <w:pPr>
              <w:spacing w:after="0"/>
              <w:rPr>
                <w:sz w:val="18"/>
                <w:szCs w:val="18"/>
                <w:color w:val="auto"/>
              </w:rPr>
            </w:pP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C</w:t>
            </w:r>
          </w:p>
        </w:tc>
        <w:tc>
          <w:tcPr>
            <w:tcW w:w="7900" w:type="dxa"/>
            <w:vAlign w:val="bottom"/>
          </w:tcPr>
          <w:p>
            <w:pPr>
              <w:ind w:left="60"/>
              <w:spacing w:after="0"/>
              <w:rPr>
                <w:sz w:val="20"/>
                <w:szCs w:val="20"/>
                <w:color w:val="auto"/>
              </w:rPr>
            </w:pPr>
            <w:r>
              <w:rPr>
                <w:rFonts w:ascii="Arial" w:cs="Arial" w:eastAsia="Arial" w:hAnsi="Arial"/>
                <w:sz w:val="18"/>
                <w:szCs w:val="18"/>
                <w:i w:val="1"/>
                <w:iCs w:val="1"/>
                <w:color w:val="auto"/>
              </w:rPr>
              <w:t>Transfer Restricted Note Legend</w:t>
            </w:r>
          </w:p>
        </w:tc>
        <w:tc>
          <w:tcPr>
            <w:tcW w:w="1580" w:type="dxa"/>
            <w:vAlign w:val="bottom"/>
          </w:tcPr>
          <w:p>
            <w:pPr>
              <w:spacing w:after="0"/>
              <w:rPr>
                <w:sz w:val="18"/>
                <w:szCs w:val="18"/>
                <w:color w:val="auto"/>
              </w:rPr>
            </w:pP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D</w:t>
            </w:r>
          </w:p>
        </w:tc>
        <w:tc>
          <w:tcPr>
            <w:tcW w:w="7900" w:type="dxa"/>
            <w:vAlign w:val="bottom"/>
          </w:tcPr>
          <w:p>
            <w:pPr>
              <w:ind w:left="60"/>
              <w:spacing w:after="0"/>
              <w:rPr>
                <w:sz w:val="20"/>
                <w:szCs w:val="20"/>
                <w:color w:val="auto"/>
              </w:rPr>
            </w:pPr>
            <w:r>
              <w:rPr>
                <w:rFonts w:ascii="Arial" w:cs="Arial" w:eastAsia="Arial" w:hAnsi="Arial"/>
                <w:sz w:val="18"/>
                <w:szCs w:val="18"/>
                <w:i w:val="1"/>
                <w:iCs w:val="1"/>
                <w:color w:val="auto"/>
              </w:rPr>
              <w:t>Certificate for Exchange or Transfer of Transfer Restricted Notes</w:t>
            </w:r>
          </w:p>
        </w:tc>
        <w:tc>
          <w:tcPr>
            <w:tcW w:w="1580" w:type="dxa"/>
            <w:vAlign w:val="bottom"/>
          </w:tcPr>
          <w:p>
            <w:pPr>
              <w:spacing w:after="0"/>
              <w:rPr>
                <w:sz w:val="18"/>
                <w:szCs w:val="18"/>
                <w:color w:val="auto"/>
              </w:rPr>
            </w:pPr>
          </w:p>
        </w:tc>
      </w:tr>
      <w:tr>
        <w:trPr>
          <w:trHeight w:val="216"/>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E</w:t>
            </w:r>
          </w:p>
        </w:tc>
        <w:tc>
          <w:tcPr>
            <w:tcW w:w="7900" w:type="dxa"/>
            <w:vAlign w:val="bottom"/>
          </w:tcPr>
          <w:p>
            <w:pPr>
              <w:ind w:left="60"/>
              <w:spacing w:after="0"/>
              <w:rPr>
                <w:sz w:val="20"/>
                <w:szCs w:val="20"/>
                <w:color w:val="auto"/>
              </w:rPr>
            </w:pPr>
            <w:r>
              <w:rPr>
                <w:rFonts w:ascii="Arial" w:cs="Arial" w:eastAsia="Arial" w:hAnsi="Arial"/>
                <w:sz w:val="18"/>
                <w:szCs w:val="18"/>
                <w:i w:val="1"/>
                <w:iCs w:val="1"/>
                <w:color w:val="auto"/>
              </w:rPr>
              <w:t>Accreted Principal Amount</w:t>
            </w:r>
          </w:p>
        </w:tc>
        <w:tc>
          <w:tcPr>
            <w:tcW w:w="1580" w:type="dxa"/>
            <w:vAlign w:val="bottom"/>
          </w:tcPr>
          <w:p>
            <w:pPr>
              <w:spacing w:after="0"/>
              <w:rPr>
                <w:sz w:val="18"/>
                <w:szCs w:val="18"/>
                <w:color w:val="auto"/>
              </w:rPr>
            </w:pPr>
          </w:p>
        </w:tc>
      </w:tr>
      <w:tr>
        <w:trPr>
          <w:trHeight w:val="230"/>
        </w:trPr>
        <w:tc>
          <w:tcPr>
            <w:tcW w:w="1980" w:type="dxa"/>
            <w:vAlign w:val="bottom"/>
            <w:gridSpan w:val="2"/>
          </w:tcPr>
          <w:p>
            <w:pPr>
              <w:ind w:left="540"/>
              <w:spacing w:after="0"/>
              <w:rPr>
                <w:sz w:val="20"/>
                <w:szCs w:val="20"/>
                <w:color w:val="auto"/>
              </w:rPr>
            </w:pPr>
            <w:r>
              <w:rPr>
                <w:rFonts w:ascii="Arial" w:cs="Arial" w:eastAsia="Arial" w:hAnsi="Arial"/>
                <w:sz w:val="18"/>
                <w:szCs w:val="18"/>
                <w:color w:val="auto"/>
              </w:rPr>
              <w:t>EXHIBIT F</w:t>
            </w:r>
          </w:p>
        </w:tc>
        <w:tc>
          <w:tcPr>
            <w:tcW w:w="7900" w:type="dxa"/>
            <w:vAlign w:val="bottom"/>
          </w:tcPr>
          <w:p>
            <w:pPr>
              <w:ind w:left="60"/>
              <w:spacing w:after="0"/>
              <w:rPr>
                <w:sz w:val="20"/>
                <w:szCs w:val="20"/>
                <w:color w:val="auto"/>
              </w:rPr>
            </w:pPr>
            <w:r>
              <w:rPr>
                <w:rFonts w:ascii="Arial" w:cs="Arial" w:eastAsia="Arial" w:hAnsi="Arial"/>
                <w:sz w:val="18"/>
                <w:szCs w:val="18"/>
                <w:i w:val="1"/>
                <w:iCs w:val="1"/>
                <w:color w:val="auto"/>
              </w:rPr>
              <w:t>OID Legend</w:t>
            </w: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0" w:firstLine="324"/>
        <w:spacing w:after="0" w:line="282" w:lineRule="auto"/>
        <w:rPr>
          <w:sz w:val="20"/>
          <w:szCs w:val="20"/>
          <w:color w:val="auto"/>
        </w:rPr>
      </w:pPr>
      <w:r>
        <w:rPr>
          <w:rFonts w:ascii="Arial" w:cs="Arial" w:eastAsia="Arial" w:hAnsi="Arial"/>
          <w:sz w:val="18"/>
          <w:szCs w:val="18"/>
          <w:color w:val="auto"/>
        </w:rPr>
        <w:t>INDENTURE dated as of November 12, 2013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U.S. Bank National Association, a national banking association, as Trustee.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of $1,025,000,000 aggregate Principal Amount at Maturity of the Company’s 3.00% Convertible Senior Notes due 2043 (the “</w:t>
      </w:r>
      <w:r>
        <w:rPr>
          <w:rFonts w:ascii="Arial" w:cs="Arial" w:eastAsia="Arial" w:hAnsi="Arial"/>
          <w:sz w:val="18"/>
          <w:szCs w:val="18"/>
          <w:b w:val="1"/>
          <w:bCs w:val="1"/>
          <w:color w:val="auto"/>
        </w:rPr>
        <w:t>Notes</w:t>
      </w:r>
      <w:r>
        <w:rPr>
          <w:rFonts w:ascii="Arial" w:cs="Arial" w:eastAsia="Arial" w:hAnsi="Arial"/>
          <w:sz w:val="18"/>
          <w:szCs w:val="18"/>
          <w:color w:val="auto"/>
        </w:rPr>
        <w:t>”). All things necessary to make this Indenture a valid and binding agreement of the Company, in accordance with its terms, have been done, and the Company has done all things necessary to make the Notes, when executed by the Company and authenticated and delivered by the Trustee and duly issued by the Company, the valid and binding obligations of the Company as hereinafter provided.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INDENTURE WITNESSETH</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ectPr>
          <w:pgSz w:w="11900" w:h="16838" w:orient="portrait"/>
          <w:cols w:equalWidth="0" w:num="1">
            <w:col w:w="11460"/>
          </w:cols>
          <w:pgMar w:left="240" w:top="125" w:right="199" w:bottom="0" w:gutter="0" w:footer="0" w:header="0"/>
        </w:sectPr>
      </w:pPr>
    </w:p>
    <w:bookmarkStart w:id="6" w:name="page7"/>
    <w:bookmarkEnd w:id="6"/>
    <w:p>
      <w:pPr>
        <w:spacing w:after="0" w:line="9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1"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Accreted Principal Amount</w:t>
      </w:r>
      <w:r>
        <w:rPr>
          <w:rFonts w:ascii="Arial" w:cs="Arial" w:eastAsia="Arial" w:hAnsi="Arial"/>
          <w:sz w:val="18"/>
          <w:szCs w:val="18"/>
          <w:color w:val="auto"/>
        </w:rPr>
        <w:t>” means, as of any date of determination, the principal amount per $1,000 Principal Amount at Maturity of Notes as determined as of such date and calculated in accordance with Exhibit E hereto. For the avoidance of doubt, the Accreted Principal Amount on the Maturity Date will be equal to the Principal Amount at Maturity.</w:t>
      </w:r>
    </w:p>
    <w:p>
      <w:pPr>
        <w:spacing w:after="0" w:line="176" w:lineRule="exact"/>
        <w:rPr>
          <w:sz w:val="20"/>
          <w:szCs w:val="20"/>
          <w:color w:val="auto"/>
        </w:rPr>
      </w:pPr>
    </w:p>
    <w:p>
      <w:pPr>
        <w:ind w:right="34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Law</w:t>
      </w:r>
      <w:r>
        <w:rPr>
          <w:rFonts w:ascii="Arial" w:cs="Arial" w:eastAsia="Arial" w:hAnsi="Arial"/>
          <w:sz w:val="17"/>
          <w:szCs w:val="17"/>
          <w:color w:val="auto"/>
        </w:rPr>
        <w:t>” means Title 11 of the United States Code (or any successor thereto) or any similar federal or state law for the relief of debtors.</w:t>
      </w:r>
    </w:p>
    <w:p>
      <w:pPr>
        <w:spacing w:after="0" w:line="237"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62"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a place of payment are authorized or obligated to close.</w:t>
      </w:r>
    </w:p>
    <w:p>
      <w:pPr>
        <w:spacing w:after="0" w:line="162"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have the meaning set forth in Section 3.01(a) of this Indenture.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November 12, 2013.</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 of Common Stock or any other security on any date means the closing sale price per share (or, if no closing sale price is reported, the average of the last bid and ask prices or, if more than one in either case, the average of the average last bid and the average last ask prices) on that date as reported in composite transactions for the principal U.S. national or regional securities exchange on which Common Stock or such other security is listed.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a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Common Stock of the Company, $0.10 par value, as it exists on the date of this Indenture and any shares of any class or classes of Capital Stock of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84"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is principally administered, which at the date of this Indenture is located at 633 West Fifth Street, 24th Floor, Los Angeles, California 90071</w:t>
      </w:r>
      <w:r>
        <w:rPr>
          <w:rFonts w:ascii="Arial" w:cs="Arial" w:eastAsia="Arial" w:hAnsi="Arial"/>
          <w:sz w:val="18"/>
          <w:szCs w:val="18"/>
          <w:b w:val="1"/>
          <w:bCs w:val="1"/>
          <w:color w:val="auto"/>
        </w:rPr>
        <w:t>.</w:t>
      </w:r>
    </w:p>
    <w:p>
      <w:pPr>
        <w:sectPr>
          <w:pgSz w:w="11900" w:h="16933" w:orient="portrait"/>
          <w:cols w:equalWidth="0" w:num="1">
            <w:col w:w="11400"/>
          </w:cols>
          <w:pgMar w:left="240" w:top="125" w:right="259" w:bottom="0" w:gutter="0" w:footer="0" w:header="0"/>
        </w:sectPr>
      </w:pPr>
    </w:p>
    <w:bookmarkStart w:id="7" w:name="page8"/>
    <w:bookmarkEnd w:id="7"/>
    <w:p>
      <w:pPr>
        <w:spacing w:after="0" w:line="32" w:lineRule="exact"/>
        <w:rPr>
          <w:sz w:val="20"/>
          <w:szCs w:val="20"/>
          <w:color w:val="auto"/>
        </w:rPr>
      </w:pPr>
    </w:p>
    <w:p>
      <w:pPr>
        <w:ind w:right="4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76" w:lineRule="exact"/>
        <w:rPr>
          <w:sz w:val="20"/>
          <w:szCs w:val="20"/>
          <w:color w:val="auto"/>
        </w:rPr>
      </w:pPr>
    </w:p>
    <w:p>
      <w:pPr>
        <w:ind w:right="76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20 consecutive Trading Days during the Observation Period, 5.00% of the product of (a) the Conversion Rate in effect on such Trading Day and (b) the Daily VWAP on such Trading Day.</w:t>
      </w:r>
    </w:p>
    <w:p>
      <w:pPr>
        <w:spacing w:after="0" w:line="162"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means: (a) if the Company does not elect a Cash Percentage pursuant to Section 10.03(d), the Specified Dollar Amount </w:t>
      </w:r>
      <w:r>
        <w:rPr>
          <w:rFonts w:ascii="Arial" w:cs="Arial" w:eastAsia="Arial" w:hAnsi="Arial"/>
          <w:sz w:val="18"/>
          <w:szCs w:val="18"/>
          <w:i w:val="1"/>
          <w:iCs w:val="1"/>
          <w:color w:val="auto"/>
        </w:rPr>
        <w:t xml:space="preserve">divided </w:t>
      </w:r>
      <w:r>
        <w:rPr>
          <w:rFonts w:ascii="Arial" w:cs="Arial" w:eastAsia="Arial" w:hAnsi="Arial"/>
          <w:sz w:val="18"/>
          <w:szCs w:val="18"/>
          <w:color w:val="auto"/>
        </w:rPr>
        <w:t>by 20; or (b) if the Company elects a Cash Percentage pursuant Section 10.03(d), the</w:t>
      </w:r>
      <w:r>
        <w:rPr>
          <w:rFonts w:ascii="Arial" w:cs="Arial" w:eastAsia="Arial" w:hAnsi="Arial"/>
          <w:sz w:val="18"/>
          <w:szCs w:val="18"/>
          <w:i w:val="1"/>
          <w:iCs w:val="1"/>
          <w:color w:val="auto"/>
        </w:rPr>
        <w:t xml:space="preserve"> product </w:t>
      </w:r>
      <w:r>
        <w:rPr>
          <w:rFonts w:ascii="Arial" w:cs="Arial" w:eastAsia="Arial" w:hAnsi="Arial"/>
          <w:sz w:val="18"/>
          <w:szCs w:val="18"/>
          <w:color w:val="auto"/>
        </w:rPr>
        <w:t>of (i) the Cash Percentage, (ii) the Conversion Rate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 on such Trading Day and (iii) the Daily VWAP for such Trading Day,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20.</w:t>
      </w:r>
    </w:p>
    <w:p>
      <w:pPr>
        <w:spacing w:after="0" w:line="17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Settlement Amount</w:t>
      </w:r>
      <w:r>
        <w:rPr>
          <w:rFonts w:ascii="Arial" w:cs="Arial" w:eastAsia="Arial" w:hAnsi="Arial"/>
          <w:sz w:val="17"/>
          <w:szCs w:val="17"/>
          <w:color w:val="auto"/>
        </w:rPr>
        <w:t xml:space="preserve">” means for each of the 20 consecutive Trading Days during the applicable Observation Period: (a) if the Company does not elect a Cash Percentage pursuant to Section 10.03(d), (i) Cash in an amount equal to the lesser of (A) the Daily Measurement Value and (B) the Daily Conversion Value; and (ii) if the Daily Conversion Value exceeds the Daily Measurement Value, a number of shares of Common Stock equal to (X) the difference between the Daily Conversion Value and the Daily Measurement Value,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(Y) the Daily VWAP for such Trading Day; or (b) if the Company elects a Cash Percentage pursuant to Section 10.03(d), (i) Cash in an amount equal to the Daily Measurement Value; and (ii) if the Daily Conversion Value exceeds the Daily Measurement Value, a number of shares of Common Stock equal to (X) the difference between the Daily Conversion Value and the Daily Measurement Value,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(Y) the Daily VWAP for such Trading Day.</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VWAP</w:t>
      </w:r>
      <w:r>
        <w:rPr>
          <w:rFonts w:ascii="Arial" w:cs="Arial" w:eastAsia="Arial" w:hAnsi="Arial"/>
          <w:sz w:val="17"/>
          <w:szCs w:val="17"/>
          <w:color w:val="auto"/>
        </w:rPr>
        <w:t>” means, for each of the 20 consecutive Trading Days during the applicable Observation Period, the Volume Weighted Average Price.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without duplication, all obligations (other than non-recourse obligations) of such Person for borrowed money or evidenced by bonds, debentures, notes or other similar instruments.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ind w:right="240" w:firstLine="324"/>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(i) with respect to a Make-Whole Change in Control, the effective date of such Make-Whole Change in Control, and (ii) with respect to any conversion in connection with a redemption prior to November 20, 2018 pursuant to Section 11.01 hereof, the Conversion Date.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issuance, dividend or distribution on Common Stock, the first date on which the shares of Common Stock trade on the applicable exchange or in the applicable market, regular way, without the right to receive such distribution.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registered holder of any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an entity that, with respect to any Depositary, clears through or maintains a direct or indirect, custodial relationship with a Participant.</w:t>
      </w:r>
    </w:p>
    <w:p>
      <w:pPr>
        <w:spacing w:after="0" w:line="162" w:lineRule="exact"/>
        <w:rPr>
          <w:sz w:val="20"/>
          <w:szCs w:val="20"/>
          <w:color w:val="auto"/>
        </w:rPr>
      </w:pPr>
    </w:p>
    <w:p>
      <w:pPr>
        <w:ind w:right="4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Notes</w:t>
      </w:r>
      <w:r>
        <w:rPr>
          <w:rFonts w:ascii="Arial" w:cs="Arial" w:eastAsia="Arial" w:hAnsi="Arial"/>
          <w:sz w:val="18"/>
          <w:szCs w:val="18"/>
          <w:color w:val="auto"/>
        </w:rPr>
        <w:t>” means the Notes issued on the Closing Date and any Notes issued in replacement thereof, and the Initial Notes shall be Unrestricted Notes.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May 15 and November 15 of each year, commencing May 15, 2014.</w:t>
      </w:r>
    </w:p>
    <w:p>
      <w:pPr>
        <w:spacing w:after="0" w:line="225"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Price</w:t>
      </w:r>
      <w:r>
        <w:rPr>
          <w:rFonts w:ascii="Arial" w:cs="Arial" w:eastAsia="Arial" w:hAnsi="Arial"/>
          <w:sz w:val="18"/>
          <w:szCs w:val="18"/>
          <w:color w:val="auto"/>
        </w:rPr>
        <w:t>” of any Note means, in connection with the original issuance of such Note, the initial issue price at which such Note is issued as set forth on the face of such Note.</w:t>
      </w:r>
    </w:p>
    <w:p>
      <w:pPr>
        <w:spacing w:after="0" w:line="162" w:lineRule="exact"/>
        <w:rPr>
          <w:sz w:val="20"/>
          <w:szCs w:val="20"/>
          <w:color w:val="auto"/>
        </w:rPr>
      </w:pPr>
    </w:p>
    <w:p>
      <w:pPr>
        <w:ind w:right="460" w:firstLine="324"/>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Common Stock or any other security, the occurrence or existence for more than one-half hour period in the aggregate on any Scheduled Trading Day for Common Stock or such other security of any suspension or limitation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imposed on trading (by reason of movements in price exceeding limits permitted by the stock exchange or otherwise) in the Common Stock or such other security or in any options, contracts or future contracts relating to Common Stock or such other security, and such suspension or limitation occurs or exists at any time before 1:00 p.m., New York City time, on such day.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November 15, 2043.</w:t>
      </w:r>
    </w:p>
    <w:p>
      <w:pPr>
        <w:sectPr>
          <w:pgSz w:w="11900" w:h="16870" w:orient="portrait"/>
          <w:cols w:equalWidth="0" w:num="1">
            <w:col w:w="11380"/>
          </w:cols>
          <w:pgMar w:left="240" w:top="337" w:right="279" w:bottom="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80" w:firstLine="324"/>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Observation Period</w:t>
      </w:r>
      <w:r>
        <w:rPr>
          <w:rFonts w:ascii="Arial" w:cs="Arial" w:eastAsia="Arial" w:hAnsi="Arial"/>
          <w:sz w:val="16"/>
          <w:szCs w:val="16"/>
          <w:color w:val="auto"/>
        </w:rPr>
        <w:t>” with respect to any Note surrendered for conversion means (a) in the case of a conversion of a Note called for redemption pursuant to Section 11.01, the 20 consecutive Trading Day period beginning on, and including, the 22nd Scheduled Trading Day prior to the Redemption Date; (b) except as set forth in clause (a), if the relevant Conversion Date occurs before the 24th Scheduled Trading Day immediately preceding the Maturity Date, the 20 consecutive Trading Day period beginning on, and including, the third Trading Day after such Conversion Date; and (c) except as set forth in clause (a), if the relevant Conversion Date occurs on or after the 24th Scheduled Trading Day immediately preceding the Maturity Date, the 20 consecutive Trading Days beginning on, and including, the 22nd Scheduled Trading Day immediately preceding the Maturity Date.</w:t>
      </w:r>
    </w:p>
    <w:p>
      <w:pPr>
        <w:spacing w:after="0" w:line="156"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pacing w:after="0" w:line="162" w:lineRule="exact"/>
        <w:rPr>
          <w:sz w:val="20"/>
          <w:szCs w:val="20"/>
          <w:color w:val="auto"/>
        </w:rPr>
      </w:pPr>
    </w:p>
    <w:p>
      <w:pPr>
        <w:ind w:right="320" w:firstLine="32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OID Legend</w:t>
      </w:r>
      <w:r>
        <w:rPr>
          <w:rFonts w:ascii="Arial" w:cs="Arial" w:eastAsia="Arial" w:hAnsi="Arial"/>
          <w:sz w:val="18"/>
          <w:szCs w:val="18"/>
          <w:color w:val="auto"/>
        </w:rPr>
        <w:t>” means the legend set forth in Exhibit F.</w:t>
      </w:r>
    </w:p>
    <w:p>
      <w:pPr>
        <w:spacing w:after="0" w:line="225"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who has an account with the Depositary.</w:t>
      </w:r>
    </w:p>
    <w:p>
      <w:pPr>
        <w:spacing w:after="0" w:line="225"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62"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2"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Amount at Maturity</w:t>
      </w:r>
      <w:r>
        <w:rPr>
          <w:rFonts w:ascii="Arial" w:cs="Arial" w:eastAsia="Arial" w:hAnsi="Arial"/>
          <w:sz w:val="18"/>
          <w:szCs w:val="18"/>
          <w:color w:val="auto"/>
        </w:rPr>
        <w:t>” of a Note means the Principal Amount at Maturity of such Note as set forth on the face of such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means the May 1 or November 1 next preceding such Interest Payment Date.</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 or any successor to such Rule.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promulgated under the Securities Act or any successor to such Rule.</w:t>
      </w:r>
    </w:p>
    <w:p>
      <w:pPr>
        <w:spacing w:after="0" w:line="225"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“Scheduled Trading Day” means a Business Day.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the maximum Cash amount per $1,000 Principal Amount at Maturity of Notes to be received upon conversion as specified in the Settlement Notice specifying the Company’s chosen Settlement Method.</w:t>
      </w:r>
    </w:p>
    <w:p>
      <w:pPr>
        <w:spacing w:after="0" w:line="162" w:lineRule="exact"/>
        <w:rPr>
          <w:sz w:val="20"/>
          <w:szCs w:val="20"/>
          <w:color w:val="auto"/>
        </w:rPr>
      </w:pPr>
    </w:p>
    <w:p>
      <w:pPr>
        <w:jc w:val="both"/>
        <w:ind w:right="1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76"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Common Stock, or other Capital Stock into which the Notes are then convertible, is not listed for trading on a United States national securities exchange or approved for quotation on a U.S. system of automated dissemination of quotations of securities prices similar to The NASDAQ Global Select Market prior to its designation as a national securities exchange.</w:t>
      </w:r>
    </w:p>
    <w:p>
      <w:pPr>
        <w:spacing w:after="0" w:line="176" w:lineRule="exact"/>
        <w:rPr>
          <w:sz w:val="20"/>
          <w:szCs w:val="20"/>
          <w:color w:val="auto"/>
        </w:rPr>
      </w:pPr>
    </w:p>
    <w:p>
      <w:pPr>
        <w:ind w:right="360" w:firstLine="324"/>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with respect to Common Stock or any other security, a day during which (a) trading in Common Stock or such other security generally occurs on The NASDAQ Global Select Market or, if the Common Stock is not then listed on The NASDAQ Global Select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316" w:gutter="0" w:footer="0" w:header="0"/>
        </w:sectPr>
      </w:pPr>
    </w:p>
    <w:bookmarkStart w:id="9" w:name="page10"/>
    <w:bookmarkEnd w:id="9"/>
    <w:p>
      <w:pPr>
        <w:spacing w:after="0" w:line="62"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Market, on the principal other U.S. national or regional securities exchange, if any, on which the Common Stock is then listed or, if the Common Stock is not then listed on a U.S. national or regional securities exchange, on the principal other market, if any, on which the Common Stock is then admitted for trading,</w:t>
      </w:r>
    </w:p>
    <w:p>
      <w:pPr>
        <w:jc w:val="both"/>
        <w:ind w:right="60" w:firstLine="8"/>
        <w:spacing w:after="0" w:line="27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there is no Market Disruption Event and (c) a Closing Price for Common Stock or such other security (other than a Closing Price referred to in the next to last sentence of such definition) is available on such securities exchange or market;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Common Stock or such other security is not admitted for trading or quotation on or by any exchange, market, bureau or other organization, “Trading Day” will mean any Business Day.</w:t>
      </w:r>
    </w:p>
    <w:p>
      <w:pPr>
        <w:spacing w:after="0" w:line="169" w:lineRule="exact"/>
        <w:rPr>
          <w:sz w:val="20"/>
          <w:szCs w:val="20"/>
          <w:color w:val="auto"/>
        </w:rPr>
      </w:pPr>
    </w:p>
    <w:p>
      <w:pPr>
        <w:ind w:right="120" w:firstLine="324"/>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means, on any date of determination, the average of the secondary market bid quotations obtained by the Trustee for $5.0 million Principal Amount at Maturity of Notes at approximately 3:30 p.m., New York City time, on such determination date from three independent U.S. nationally recognized securities dealers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Trustee, but two such bids are obtained, then the average of the two bids shall be used, and if only one such bid can reasonably be obtained by the Trustee, that one bid shall be used. Any such determination will be conclusive absent manifest error. If the Trustee cannot reasonably obtain at least one bid for $5.0 million Principal Amount at Maturity of Notes from a U.S. nationally recognized securities dealer, then the Trading Price per $1,000 Principal Amount at Maturity of relevant Notes will be deemed to be less than 98% of the product of the Closing Price of the Common Stock and the then Applicable Conversion Rate for the Notes.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Global Note</w:t>
      </w:r>
      <w:r>
        <w:rPr>
          <w:rFonts w:ascii="Arial" w:cs="Arial" w:eastAsia="Arial" w:hAnsi="Arial"/>
          <w:sz w:val="18"/>
          <w:szCs w:val="18"/>
          <w:color w:val="auto"/>
        </w:rPr>
        <w:t>” means a Global Note that is a Transfer Restricted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w:t>
      </w:r>
      <w:r>
        <w:rPr>
          <w:rFonts w:ascii="Arial" w:cs="Arial" w:eastAsia="Arial" w:hAnsi="Arial"/>
          <w:sz w:val="18"/>
          <w:szCs w:val="18"/>
          <w:color w:val="auto"/>
        </w:rPr>
        <w:t>” means a Note that is subject to resale restrictions pursuant to the Securities Act.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 Legend</w:t>
      </w:r>
      <w:r>
        <w:rPr>
          <w:rFonts w:ascii="Arial" w:cs="Arial" w:eastAsia="Arial" w:hAnsi="Arial"/>
          <w:sz w:val="18"/>
          <w:szCs w:val="18"/>
          <w:color w:val="auto"/>
        </w:rPr>
        <w:t>” means the legend set forth in Exhibit 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Note</w:t>
      </w:r>
      <w:r>
        <w:rPr>
          <w:rFonts w:ascii="Arial" w:cs="Arial" w:eastAsia="Arial" w:hAnsi="Arial"/>
          <w:sz w:val="18"/>
          <w:szCs w:val="18"/>
          <w:color w:val="auto"/>
        </w:rPr>
        <w:t>” means a Global Note that is not a Transfer Restricted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Note</w:t>
      </w:r>
      <w:r>
        <w:rPr>
          <w:rFonts w:ascii="Arial" w:cs="Arial" w:eastAsia="Arial" w:hAnsi="Arial"/>
          <w:sz w:val="18"/>
          <w:szCs w:val="18"/>
          <w:color w:val="auto"/>
        </w:rPr>
        <w:t>” means a Note that is not a Transfer Restricted Note.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Volume Weighted Average Price</w:t>
      </w:r>
      <w:r>
        <w:rPr>
          <w:rFonts w:ascii="Arial" w:cs="Arial" w:eastAsia="Arial" w:hAnsi="Arial"/>
          <w:sz w:val="17"/>
          <w:szCs w:val="17"/>
          <w:color w:val="auto"/>
        </w:rPr>
        <w:t>” means the per share volume weighted average price of Common Stock as displayed on Bloomberg (or any successor service) page MU &lt;Equity&gt;AQR in respect of the period from 9:30 a.m. to 4:00 p.m., New York City time, on such Trading Day; or, if such price is not available, the Volume Weighted Average Price means the market value per share of Common Stock on such day as determined by a nationally recognized independent investment banking firm retained for this purpose by the Company. The Volume Weighted Average Price shall be determined without regard to afterhours trading or any other trading outside of the regular trading session’s trading hours.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i w:val="1"/>
                <w:iCs w:val="1"/>
                <w:color w:val="auto"/>
              </w:rPr>
              <w:t>Section 1.02.</w:t>
            </w:r>
          </w:p>
        </w:tc>
        <w:tc>
          <w:tcPr>
            <w:tcW w:w="5500" w:type="dxa"/>
            <w:vAlign w:val="bottom"/>
            <w:gridSpan w:val="2"/>
          </w:tcPr>
          <w:p>
            <w:pPr>
              <w:ind w:left="60"/>
              <w:spacing w:after="0"/>
              <w:rPr>
                <w:sz w:val="20"/>
                <w:szCs w:val="20"/>
                <w:color w:val="auto"/>
              </w:rPr>
            </w:pPr>
            <w:r>
              <w:rPr>
                <w:rFonts w:ascii="Arial" w:cs="Arial" w:eastAsia="Arial" w:hAnsi="Arial"/>
                <w:sz w:val="18"/>
                <w:szCs w:val="18"/>
                <w:i w:val="1"/>
                <w:iCs w:val="1"/>
                <w:color w:val="auto"/>
              </w:rPr>
              <w:t>Other Definitions</w:t>
            </w:r>
            <w:r>
              <w:rPr>
                <w:rFonts w:ascii="Arial" w:cs="Arial" w:eastAsia="Arial" w:hAnsi="Arial"/>
                <w:sz w:val="18"/>
                <w:szCs w:val="18"/>
                <w:color w:val="auto"/>
              </w:rPr>
              <w:t>.</w:t>
            </w:r>
          </w:p>
        </w:tc>
        <w:tc>
          <w:tcPr>
            <w:tcW w:w="3900" w:type="dxa"/>
            <w:vAlign w:val="bottom"/>
          </w:tcPr>
          <w:p>
            <w:pPr>
              <w:spacing w:after="0"/>
              <w:rPr>
                <w:sz w:val="20"/>
                <w:szCs w:val="20"/>
                <w:color w:val="auto"/>
              </w:rPr>
            </w:pPr>
          </w:p>
        </w:tc>
      </w:tr>
      <w:tr>
        <w:trPr>
          <w:trHeight w:val="365"/>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504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900" w:type="dxa"/>
            <w:vAlign w:val="bottom"/>
            <w:tcBorders>
              <w:bottom w:val="single" w:sz="8" w:color="auto"/>
            </w:tcBorders>
          </w:tcPr>
          <w:p>
            <w:pPr>
              <w:jc w:val="right"/>
              <w:ind w:right="1311"/>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“2028 Repurchase Date”</w:t>
            </w: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3.02(a)</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“2028 Repurchase Price”</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3.02(a)</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“2028 Repurchase Notice”</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3.02(c)</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“Act”</w:t>
            </w: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13.01(b)</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Interest”</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6.15(a)</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“Bankruptcy Default”</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6.01(h)</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“beneficial owner”</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3.01(a)</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“Cash Percentage”</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10.03(d)</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Settlement”</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10.03(a)</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“Company Order”</w:t>
            </w:r>
          </w:p>
        </w:tc>
        <w:tc>
          <w:tcPr>
            <w:tcW w:w="3900" w:type="dxa"/>
            <w:vAlign w:val="bottom"/>
          </w:tcPr>
          <w:p>
            <w:pPr>
              <w:jc w:val="right"/>
              <w:ind w:right="2071"/>
              <w:spacing w:after="0"/>
              <w:rPr>
                <w:sz w:val="20"/>
                <w:szCs w:val="20"/>
                <w:color w:val="auto"/>
              </w:rPr>
            </w:pPr>
            <w:r>
              <w:rPr>
                <w:rFonts w:ascii="Arial" w:cs="Arial" w:eastAsia="Arial" w:hAnsi="Arial"/>
                <w:sz w:val="18"/>
                <w:szCs w:val="18"/>
                <w:color w:val="auto"/>
              </w:rPr>
              <w:t>2.02</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“Combination Settlement”</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10.03(a)</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“Conversion Agent”</w:t>
            </w:r>
          </w:p>
        </w:tc>
        <w:tc>
          <w:tcPr>
            <w:tcW w:w="3900" w:type="dxa"/>
            <w:vAlign w:val="bottom"/>
          </w:tcPr>
          <w:p>
            <w:pPr>
              <w:jc w:val="right"/>
              <w:ind w:right="2071"/>
              <w:spacing w:after="0"/>
              <w:rPr>
                <w:sz w:val="20"/>
                <w:szCs w:val="20"/>
                <w:color w:val="auto"/>
              </w:rPr>
            </w:pPr>
            <w:r>
              <w:rPr>
                <w:rFonts w:ascii="Arial" w:cs="Arial" w:eastAsia="Arial" w:hAnsi="Arial"/>
                <w:sz w:val="18"/>
                <w:szCs w:val="18"/>
                <w:color w:val="auto"/>
              </w:rPr>
              <w:t>2.03</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Consideration”</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10.01(a)</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“Conversion Date”</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10.02(a)</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Obligation”</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10.01(a)</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“Conversion Rate”</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10.01(a)</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Trigger Price”</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10.01(c)</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“Defaulted Interest”</w:t>
            </w:r>
          </w:p>
        </w:tc>
        <w:tc>
          <w:tcPr>
            <w:tcW w:w="3900" w:type="dxa"/>
            <w:vAlign w:val="bottom"/>
          </w:tcPr>
          <w:p>
            <w:pPr>
              <w:jc w:val="right"/>
              <w:ind w:right="2071"/>
              <w:spacing w:after="0"/>
              <w:rPr>
                <w:sz w:val="20"/>
                <w:szCs w:val="20"/>
                <w:color w:val="auto"/>
              </w:rPr>
            </w:pPr>
            <w:r>
              <w:rPr>
                <w:rFonts w:ascii="Arial" w:cs="Arial" w:eastAsia="Arial" w:hAnsi="Arial"/>
                <w:sz w:val="18"/>
                <w:szCs w:val="18"/>
                <w:color w:val="auto"/>
              </w:rPr>
              <w:t>12.02</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“Disposition Event”</w:t>
            </w:r>
          </w:p>
        </w:tc>
        <w:tc>
          <w:tcPr>
            <w:tcW w:w="390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10.09</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“Distributed Assets”</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10.07(c)</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390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6.01</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“Expiration Date”</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10.07(e)</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“Fundamental Change Repurchase Date”</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3.01(a)</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“Fundamental Change Repurchase Price”</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3.01(a)</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“Fundamental Change Repurchase Notice”</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3.01(c)</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“group”</w:t>
            </w: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3.01(a)</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“Legal Holiday”</w:t>
            </w:r>
          </w:p>
        </w:tc>
        <w:tc>
          <w:tcPr>
            <w:tcW w:w="5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2071"/>
              <w:spacing w:after="0"/>
              <w:rPr>
                <w:sz w:val="20"/>
                <w:szCs w:val="20"/>
                <w:color w:val="auto"/>
              </w:rPr>
            </w:pPr>
            <w:r>
              <w:rPr>
                <w:rFonts w:ascii="Arial" w:cs="Arial" w:eastAsia="Arial" w:hAnsi="Arial"/>
                <w:sz w:val="18"/>
                <w:szCs w:val="18"/>
                <w:color w:val="auto"/>
              </w:rPr>
              <w:t>13.06</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“Make-Whole Change in Control”</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10.10(a)</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“Make-Whole Shares”</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10.10(a)</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“Merger Event”</w:t>
            </w: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2071"/>
              <w:spacing w:after="0"/>
              <w:rPr>
                <w:sz w:val="20"/>
                <w:szCs w:val="20"/>
                <w:color w:val="auto"/>
              </w:rPr>
            </w:pPr>
            <w:r>
              <w:rPr>
                <w:rFonts w:ascii="Arial" w:cs="Arial" w:eastAsia="Arial" w:hAnsi="Arial"/>
                <w:sz w:val="18"/>
                <w:szCs w:val="18"/>
                <w:color w:val="auto"/>
              </w:rPr>
              <w:t>10.09</w:t>
            </w: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 Settlement”</w:t>
            </w: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10.03(e)</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“Net Share Settlement Election”</w:t>
            </w: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10.03(e)</w:t>
            </w:r>
          </w:p>
        </w:tc>
      </w:tr>
      <w:tr>
        <w:trPr>
          <w:trHeight w:val="124"/>
        </w:trPr>
        <w:tc>
          <w:tcPr>
            <w:tcW w:w="1240" w:type="dxa"/>
            <w:vAlign w:val="bottom"/>
            <w:shd w:val="clear" w:color="auto" w:fill="CCEEFF"/>
          </w:tcPr>
          <w:p>
            <w:pPr>
              <w:spacing w:after="0"/>
              <w:rPr>
                <w:sz w:val="10"/>
                <w:szCs w:val="10"/>
                <w:color w:val="auto"/>
              </w:rPr>
            </w:pPr>
          </w:p>
        </w:tc>
        <w:tc>
          <w:tcPr>
            <w:tcW w:w="50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900" w:type="dxa"/>
            <w:vAlign w:val="bottom"/>
            <w:shd w:val="clear" w:color="auto" w:fill="CCEEFF"/>
          </w:tcPr>
          <w:p>
            <w:pPr>
              <w:spacing w:after="0"/>
              <w:rPr>
                <w:sz w:val="10"/>
                <w:szCs w:val="10"/>
                <w:color w:val="auto"/>
              </w:rPr>
            </w:pPr>
          </w:p>
        </w:tc>
      </w:tr>
    </w:tbl>
    <w:p>
      <w:pPr>
        <w:sectPr>
          <w:pgSz w:w="11900" w:h="16900" w:orient="portrait"/>
          <w:cols w:equalWidth="0" w:num="1">
            <w:col w:w="11400"/>
          </w:cols>
          <w:pgMar w:left="240" w:top="125" w:right="259" w:bottom="0" w:gutter="0" w:footer="0" w:header="0"/>
        </w:sectPr>
      </w:pPr>
    </w:p>
    <w:bookmarkStart w:id="10" w:name="page11"/>
    <w:bookmarkEnd w:id="10"/>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7080" w:type="dxa"/>
            <w:vAlign w:val="bottom"/>
            <w:gridSpan w:val="3"/>
            <w:shd w:val="clear" w:color="auto" w:fill="CCEEFF"/>
          </w:tcPr>
          <w:p>
            <w:pPr>
              <w:jc w:val="right"/>
              <w:ind w:right="20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“person”</w:t>
            </w: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161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“Physical Settlement”</w:t>
            </w: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“Primary Registrar”</w:t>
            </w:r>
          </w:p>
        </w:tc>
        <w:tc>
          <w:tcPr>
            <w:tcW w:w="7080" w:type="dxa"/>
            <w:vAlign w:val="bottom"/>
            <w:gridSpan w:val="3"/>
          </w:tcPr>
          <w:p>
            <w:pPr>
              <w:jc w:val="right"/>
              <w:ind w:right="20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“Redemption Price”</w:t>
            </w: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11.01(b)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“Reference Period”</w:t>
            </w: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“Reference Property”</w:t>
            </w:r>
          </w:p>
        </w:tc>
        <w:tc>
          <w:tcPr>
            <w:tcW w:w="7080" w:type="dxa"/>
            <w:vAlign w:val="bottom"/>
            <w:gridSpan w:val="3"/>
            <w:shd w:val="clear" w:color="auto" w:fill="CCEEFF"/>
          </w:tcPr>
          <w:p>
            <w:pPr>
              <w:jc w:val="right"/>
              <w:ind w:right="207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720" w:type="dxa"/>
            <w:vAlign w:val="bottom"/>
          </w:tcPr>
          <w:p>
            <w:pPr>
              <w:jc w:val="right"/>
              <w:ind w:right="109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4220" w:type="dxa"/>
            <w:vAlign w:val="bottom"/>
            <w:tcBorders>
              <w:bottom w:val="single" w:sz="8" w:color="010101"/>
            </w:tcBorders>
            <w:gridSpan w:val="2"/>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9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r>
        <w:trPr>
          <w:trHeight w:val="713"/>
        </w:trPr>
        <w:tc>
          <w:tcPr>
            <w:tcW w:w="422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00" w:type="dxa"/>
            <w:vAlign w:val="bottom"/>
          </w:tcPr>
          <w:p>
            <w:pPr>
              <w:jc w:val="right"/>
              <w:ind w:right="1311"/>
              <w:spacing w:after="0"/>
              <w:rPr>
                <w:sz w:val="20"/>
                <w:szCs w:val="20"/>
                <w:color w:val="auto"/>
              </w:rPr>
            </w:pPr>
            <w:r>
              <w:rPr>
                <w:rFonts w:ascii="Arial" w:cs="Arial" w:eastAsia="Arial" w:hAnsi="Arial"/>
                <w:sz w:val="14"/>
                <w:szCs w:val="14"/>
                <w:b w:val="1"/>
                <w:bCs w:val="1"/>
                <w:color w:val="auto"/>
              </w:rPr>
              <w:t>Defined in Section</w:t>
            </w:r>
          </w:p>
        </w:tc>
        <w:tc>
          <w:tcPr>
            <w:tcW w:w="1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“Register”</w:t>
            </w:r>
          </w:p>
        </w:tc>
        <w:tc>
          <w:tcPr>
            <w:tcW w:w="27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auto"/>
            </w:tcBorders>
            <w:shd w:val="clear" w:color="auto" w:fill="CCEEFF"/>
          </w:tcPr>
          <w:p>
            <w:pPr>
              <w:jc w:val="right"/>
              <w:ind w:right="20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“Registrar”</w:t>
            </w:r>
          </w:p>
        </w:tc>
        <w:tc>
          <w:tcPr>
            <w:tcW w:w="7080" w:type="dxa"/>
            <w:vAlign w:val="bottom"/>
            <w:gridSpan w:val="3"/>
          </w:tcPr>
          <w:p>
            <w:pPr>
              <w:jc w:val="right"/>
              <w:ind w:right="207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“Repurchase Date”</w:t>
            </w: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“Repurchase Notice”</w:t>
            </w: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“Repurchase Price”</w:t>
            </w: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“Rights”</w:t>
            </w:r>
          </w:p>
        </w:tc>
        <w:tc>
          <w:tcPr>
            <w:tcW w:w="7080" w:type="dxa"/>
            <w:vAlign w:val="bottom"/>
            <w:gridSpan w:val="3"/>
          </w:tcPr>
          <w:p>
            <w:pPr>
              <w:jc w:val="right"/>
              <w:ind w:right="2071"/>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“Settlement Method”</w:t>
            </w: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“Settlement Notice”</w:t>
            </w: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10.03(c)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“Shareholders Rights Plan”</w:t>
            </w:r>
          </w:p>
        </w:tc>
        <w:tc>
          <w:tcPr>
            <w:tcW w:w="7080" w:type="dxa"/>
            <w:vAlign w:val="bottom"/>
            <w:gridSpan w:val="3"/>
            <w:shd w:val="clear" w:color="auto" w:fill="CCEEFF"/>
          </w:tcPr>
          <w:p>
            <w:pPr>
              <w:jc w:val="right"/>
              <w:ind w:right="2071"/>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“Special Record Date”</w:t>
            </w: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12.02(a)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“Spin-Off”</w:t>
            </w: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“Stock Price”</w:t>
            </w: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00" w:type="dxa"/>
            <w:vAlign w:val="bottom"/>
          </w:tcPr>
          <w:p>
            <w:pPr>
              <w:jc w:val="right"/>
              <w:ind w:right="1871"/>
              <w:spacing w:after="0"/>
              <w:rPr>
                <w:sz w:val="20"/>
                <w:szCs w:val="20"/>
                <w:color w:val="auto"/>
              </w:rPr>
            </w:pPr>
            <w:r>
              <w:rPr>
                <w:rFonts w:ascii="Arial" w:cs="Arial" w:eastAsia="Arial" w:hAnsi="Arial"/>
                <w:sz w:val="18"/>
                <w:szCs w:val="18"/>
                <w:color w:val="auto"/>
              </w:rPr>
              <w:t>10.10(b)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“Trading Price Condition”</w:t>
            </w:r>
          </w:p>
        </w:tc>
        <w:tc>
          <w:tcPr>
            <w:tcW w:w="2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0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“Trigger Event”</w:t>
            </w:r>
          </w:p>
        </w:tc>
        <w:tc>
          <w:tcPr>
            <w:tcW w:w="7080" w:type="dxa"/>
            <w:vAlign w:val="bottom"/>
            <w:gridSpan w:val="3"/>
          </w:tcPr>
          <w:p>
            <w:pPr>
              <w:jc w:val="right"/>
              <w:ind w:right="2071"/>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“Unit of Reference Property”</w:t>
            </w:r>
          </w:p>
        </w:tc>
        <w:tc>
          <w:tcPr>
            <w:tcW w:w="7080" w:type="dxa"/>
            <w:vAlign w:val="bottom"/>
            <w:gridSpan w:val="3"/>
            <w:shd w:val="clear" w:color="auto" w:fill="CCEEFF"/>
          </w:tcPr>
          <w:p>
            <w:pPr>
              <w:jc w:val="right"/>
              <w:ind w:right="207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spacing w:after="0"/>
        <w:tabs>
          <w:tab w:leader="none" w:pos="1940" w:val="left"/>
          <w:tab w:leader="none" w:pos="3680" w:val="left"/>
        </w:tabs>
        <w:rPr>
          <w:sz w:val="20"/>
          <w:szCs w:val="20"/>
          <w:color w:val="auto"/>
        </w:rPr>
      </w:pPr>
      <w:r>
        <w:rPr>
          <w:rFonts w:ascii="Arial" w:cs="Arial" w:eastAsia="Arial" w:hAnsi="Arial"/>
          <w:sz w:val="18"/>
          <w:szCs w:val="18"/>
          <w:i w:val="1"/>
          <w:iCs w:val="1"/>
          <w:color w:val="auto"/>
        </w:rPr>
        <w:t>Section 1.03.</w:t>
      </w:r>
      <w:r>
        <w:rPr>
          <w:sz w:val="20"/>
          <w:szCs w:val="20"/>
          <w:color w:val="auto"/>
        </w:rPr>
        <w:tab/>
      </w:r>
      <w:r>
        <w:rPr>
          <w:rFonts w:ascii="Arial" w:cs="Arial" w:eastAsia="Arial" w:hAnsi="Arial"/>
          <w:sz w:val="18"/>
          <w:szCs w:val="18"/>
          <w:i w:val="1"/>
          <w:iCs w:val="1"/>
          <w:color w:val="auto"/>
        </w:rPr>
        <w:t>Rules of Construction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Unless the context otherwise requires or except as otherwise expressly provided,</w:t>
      </w:r>
    </w:p>
    <w:p>
      <w:pPr>
        <w:spacing w:after="0" w:line="225" w:lineRule="exact"/>
        <w:rPr>
          <w:sz w:val="20"/>
          <w:szCs w:val="20"/>
          <w:color w:val="auto"/>
        </w:rPr>
      </w:pPr>
    </w:p>
    <w:p>
      <w:pPr>
        <w:ind w:left="2000" w:hanging="695"/>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Section, Article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subdivision;</w:t>
      </w:r>
    </w:p>
    <w:p>
      <w:pPr>
        <w:spacing w:after="0" w:line="211" w:lineRule="exact"/>
        <w:rPr>
          <w:sz w:val="20"/>
          <w:szCs w:val="20"/>
          <w:color w:val="auto"/>
        </w:rPr>
      </w:pPr>
    </w:p>
    <w:p>
      <w:pPr>
        <w:ind w:left="2000" w:hanging="695"/>
        <w:spacing w:after="0"/>
        <w:tabs>
          <w:tab w:leader="none" w:pos="2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references to Sections or Articles or Exhibits refer to Sections or Articles or Exhibits of or to this Indenture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ind w:right="700" w:firstLine="1305"/>
        <w:spacing w:after="0" w:line="277" w:lineRule="auto"/>
        <w:tabs>
          <w:tab w:leader="none" w:pos="199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70" w:lineRule="exact"/>
        <w:rPr>
          <w:rFonts w:ascii="Arial" w:cs="Arial" w:eastAsia="Arial" w:hAnsi="Arial"/>
          <w:sz w:val="18"/>
          <w:szCs w:val="18"/>
          <w:color w:val="auto"/>
        </w:rPr>
      </w:pPr>
    </w:p>
    <w:p>
      <w:pPr>
        <w:ind w:right="560" w:firstLine="1305"/>
        <w:spacing w:after="0" w:line="277" w:lineRule="auto"/>
        <w:tabs>
          <w:tab w:leader="none" w:pos="201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Section 1.04. Payments due on non-Business Days</w:t>
      </w:r>
      <w:r>
        <w:rPr>
          <w:rFonts w:ascii="Arial" w:cs="Arial" w:eastAsia="Arial" w:hAnsi="Arial"/>
          <w:sz w:val="18"/>
          <w:szCs w:val="18"/>
          <w:color w:val="auto"/>
        </w:rPr>
        <w:t>. Notwithstanding anything herein to the contrary, any payment required to be made on any</w:t>
      </w:r>
      <w:r>
        <w:rPr>
          <w:rFonts w:ascii="Arial" w:cs="Arial" w:eastAsia="Arial" w:hAnsi="Arial"/>
          <w:sz w:val="18"/>
          <w:szCs w:val="18"/>
          <w:i w:val="1"/>
          <w:iCs w:val="1"/>
          <w:color w:val="auto"/>
        </w:rPr>
        <w:t xml:space="preserve"> </w:t>
      </w:r>
      <w:r>
        <w:rPr>
          <w:rFonts w:ascii="Arial" w:cs="Arial" w:eastAsia="Arial" w:hAnsi="Arial"/>
          <w:sz w:val="18"/>
          <w:szCs w:val="18"/>
          <w:color w:val="auto"/>
        </w:rPr>
        <w:t>day that is not a Business Day will be made on the next succeeding Business Day.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i w:val="1"/>
          <w:iCs w:val="1"/>
          <w:color w:val="auto"/>
        </w:rPr>
        <w:t xml:space="preserve">Section 2.01. Form, Dating and Denominations; Legends. </w:t>
      </w:r>
      <w:r>
        <w:rPr>
          <w:rFonts w:ascii="Arial" w:cs="Arial" w:eastAsia="Arial" w:hAnsi="Arial"/>
          <w:sz w:val="16"/>
          <w:szCs w:val="16"/>
          <w:color w:val="auto"/>
        </w:rPr>
        <w:t>(a) The Notes and the Trustee’s certificate of authentication will be substantially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at Maturity and any integral multiple thereof. The Initial Notes are being issued by the Company pursuant to one or more agreements between the Company and certain initial investors who are exchanging the Initial Notes solely in exchange for other securities of the Company in a transaction exempt from registration under the Securities Act pursuant to Section 4(a)(2) of the Securities Act. The Initial Notes shall be issued as Unrestricted Notes without any restriction on transfer under the U.S. federal securities laws in reliance upon Rule 144.</w:t>
      </w:r>
    </w:p>
    <w:p>
      <w:pPr>
        <w:spacing w:after="0" w:line="166" w:lineRule="exact"/>
        <w:rPr>
          <w:sz w:val="20"/>
          <w:szCs w:val="20"/>
          <w:color w:val="auto"/>
        </w:rPr>
      </w:pPr>
    </w:p>
    <w:p>
      <w:pPr>
        <w:jc w:val="both"/>
        <w:ind w:right="400" w:firstLine="1305"/>
        <w:spacing w:after="0" w:line="312" w:lineRule="auto"/>
        <w:tabs>
          <w:tab w:leader="none" w:pos="200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Global Notes in General</w:t>
      </w:r>
      <w:r>
        <w:rPr>
          <w:rFonts w:ascii="Arial" w:cs="Arial" w:eastAsia="Arial" w:hAnsi="Arial"/>
          <w:sz w:val="16"/>
          <w:szCs w:val="16"/>
          <w:color w:val="auto"/>
        </w:rPr>
        <w:t>. Each Global Note shall represent such of the Principal Amount at Maturity of outstanding Notes as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specified therein and each shall provide that it shall represent the aggregate Principal Amount at Maturity of outstanding Notes from time to time endorsed thereon and that the aggregate Principal Amount at Maturity of outstanding Notes represented thereby may from time to time be reduced or</w:t>
      </w:r>
    </w:p>
    <w:p>
      <w:pPr>
        <w:sectPr>
          <w:pgSz w:w="11900" w:h="16898" w:orient="portrait"/>
          <w:cols w:equalWidth="0" w:num="1">
            <w:col w:w="11460"/>
          </w:cols>
          <w:pgMar w:left="240" w:top="140" w:right="199" w:bottom="0" w:gutter="0" w:footer="0" w:header="0"/>
        </w:sectPr>
      </w:pPr>
    </w:p>
    <w:bookmarkStart w:id="11" w:name="page12"/>
    <w:bookmarkEnd w:id="11"/>
    <w:p>
      <w:pPr>
        <w:spacing w:after="0" w:line="13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increased, as appropriate, to reflect exchanges, purchases, conversions or issuances of such Notes. Any adjustment of the aggregate Principal Amount at Maturity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 The Global Note will reflect the Principal Amount at Maturity of the outstanding Notes and will not reflect the Accreted Principal Amount of outstanding Notes represented thereby. To the extent that a calculation of the Accreted Principal Amount is required at any given time, the Company will make such calculation.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Global Notes representing the Initial Notes shall be Unrestricted Global Notes.</w:t>
      </w:r>
    </w:p>
    <w:p>
      <w:pPr>
        <w:spacing w:after="0" w:line="225" w:lineRule="exact"/>
        <w:rPr>
          <w:sz w:val="20"/>
          <w:szCs w:val="20"/>
          <w:color w:val="auto"/>
        </w:rPr>
      </w:pPr>
    </w:p>
    <w:p>
      <w:pPr>
        <w:jc w:val="both"/>
        <w:ind w:right="160" w:firstLine="1297"/>
        <w:spacing w:after="0" w:line="288" w:lineRule="auto"/>
        <w:rPr>
          <w:sz w:val="20"/>
          <w:szCs w:val="20"/>
          <w:color w:val="auto"/>
        </w:rPr>
      </w:pPr>
      <w:r>
        <w:rPr>
          <w:rFonts w:ascii="Arial" w:cs="Arial" w:eastAsia="Arial" w:hAnsi="Arial"/>
          <w:sz w:val="16"/>
          <w:szCs w:val="16"/>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w:t>
      </w:r>
    </w:p>
    <w:p>
      <w:pPr>
        <w:ind w:right="160" w:firstLine="8"/>
        <w:spacing w:after="0" w:line="261"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prevent the Company, the Trustee or any agent of the Company or the Trustee from giving effect to any written certification, proxy or other authorization furnished by the Depositary or (ii) impair, as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between the Depositary and its Agent Members, the operation of customary practices governing the exercise of the rights of a Holder of any Note.</w:t>
      </w:r>
    </w:p>
    <w:p>
      <w:pPr>
        <w:spacing w:after="0" w:line="237" w:lineRule="exact"/>
        <w:rPr>
          <w:sz w:val="20"/>
          <w:szCs w:val="20"/>
          <w:color w:val="auto"/>
        </w:rPr>
      </w:pPr>
    </w:p>
    <w:p>
      <w:pPr>
        <w:ind w:right="60" w:firstLine="1305"/>
        <w:spacing w:after="0" w:line="286" w:lineRule="auto"/>
        <w:tabs>
          <w:tab w:leader="none" w:pos="1991"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The Company shall execute and the Trustee shall, in accordance with this Section 2.01(c), authenticate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initially one 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OID Legend</w:t>
      </w:r>
      <w:r>
        <w:rPr>
          <w:rFonts w:ascii="Arial" w:cs="Arial" w:eastAsia="Arial" w:hAnsi="Arial"/>
          <w:sz w:val="18"/>
          <w:szCs w:val="18"/>
          <w:color w:val="auto"/>
        </w:rPr>
        <w:t>. The Initial Notes shall bear the legend set forth in Exhibit F.</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Transfer Restricted Note Legend</w:t>
      </w:r>
      <w:r>
        <w:rPr>
          <w:rFonts w:ascii="Arial" w:cs="Arial" w:eastAsia="Arial" w:hAnsi="Arial"/>
          <w:sz w:val="18"/>
          <w:szCs w:val="18"/>
          <w:color w:val="auto"/>
        </w:rPr>
        <w:t>. All Transfer Restricted Notes shall bear the Transfer Restricted Note Legend.</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Section 2.02. Execution and Authentication</w:t>
      </w:r>
      <w:r>
        <w:rPr>
          <w:rFonts w:ascii="Arial" w:cs="Arial" w:eastAsia="Arial" w:hAnsi="Arial"/>
          <w:sz w:val="18"/>
          <w:szCs w:val="18"/>
          <w:color w:val="auto"/>
        </w:rPr>
        <w:t>. An Officer shall sign the Notes for the Company by manual or facsimile signature. Typographic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errors or defects in any such facsimile signature shall not affect the validity or enforceability of any Note which has been authenticated and delivered by the Trustee.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an Officer whose signature is on a Note no longer holds that office at the time the Trustee authenticates the Note, the Note shall be valid nevertheless.</w:t>
      </w:r>
    </w:p>
    <w:p>
      <w:pPr>
        <w:spacing w:after="0" w:line="24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the Closing Date, the Company shall issue, and the Trustee shall authenticate and make available for delivery, the Initial Notes for original issue in the aggregate Principal Amount at Maturity of $1,025,000,000 (with an aggregate initial Issue Price of $820,000,000) upon receipt of a written order or orders of the Company signed by an Officer of the Company (a “</w:t>
      </w:r>
      <w:r>
        <w:rPr>
          <w:rFonts w:ascii="Arial" w:cs="Arial" w:eastAsia="Arial" w:hAnsi="Arial"/>
          <w:sz w:val="16"/>
          <w:szCs w:val="16"/>
          <w:b w:val="1"/>
          <w:bCs w:val="1"/>
          <w:color w:val="auto"/>
        </w:rPr>
        <w:t>Company Order</w:t>
      </w:r>
      <w:r>
        <w:rPr>
          <w:rFonts w:ascii="Arial" w:cs="Arial" w:eastAsia="Arial" w:hAnsi="Arial"/>
          <w:sz w:val="16"/>
          <w:szCs w:val="16"/>
          <w:color w:val="auto"/>
        </w:rPr>
        <w:t>”). After the Closing Date, the Company may issue, and the Trustee shall authenticate and make available for delivery, Additional Notes issued pursuant to Section 2.14. The Company Order shall specify the amount of Notes to be authenticated, shall provide that all such Notes will be represented by a Global Note and the date on which each original issue of Notes is to be authenticated.</w:t>
      </w:r>
    </w:p>
    <w:p>
      <w:pPr>
        <w:spacing w:after="0" w:line="158"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Company at any time or from time to time may, without the consent of any Holder, issue Additional Notes pursuant to Section 2.14, which Additional Notes shall be entitled to all of the benefits of this Indenture. Such Additional Notes will be deemed Notes for all purposes hereunder, including without limitation in determining the necessary Holders who may take the actions or consent to the taking of actions as specified in this Indenture.</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Notes shall be issuable only in registered form without coupons and only in denominations of $1,000 Principal Amount at Maturity and any integral multiple thereof.</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Section 2.03. Registrar, Paying Agent and Conversion Agent</w:t>
      </w:r>
      <w:r>
        <w:rPr>
          <w:rFonts w:ascii="Arial" w:cs="Arial" w:eastAsia="Arial" w:hAnsi="Arial"/>
          <w:sz w:val="18"/>
          <w:szCs w:val="18"/>
          <w:color w:val="auto"/>
        </w:rPr>
        <w:t>. The Company shall maintain one or more offices or agencies where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18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Paying Agent (except for the purposes of Article 8).</w:t>
      </w:r>
    </w:p>
    <w:p>
      <w:pPr>
        <w:spacing w:after="0" w:line="188" w:lineRule="exact"/>
        <w:rPr>
          <w:sz w:val="20"/>
          <w:szCs w:val="20"/>
          <w:color w:val="auto"/>
        </w:rPr>
      </w:pPr>
    </w:p>
    <w:p>
      <w:pPr>
        <w:jc w:val="both"/>
        <w:ind w:right="280" w:firstLine="324"/>
        <w:spacing w:after="0" w:line="342" w:lineRule="auto"/>
        <w:rPr>
          <w:sz w:val="20"/>
          <w:szCs w:val="20"/>
          <w:color w:val="auto"/>
        </w:rPr>
      </w:pPr>
      <w:r>
        <w:rPr>
          <w:rFonts w:ascii="Arial" w:cs="Arial" w:eastAsia="Arial" w:hAnsi="Arial"/>
          <w:sz w:val="16"/>
          <w:szCs w:val="16"/>
          <w:color w:val="auto"/>
        </w:rPr>
        <w:t>The Company hereby initially designates the Trustee as Paying Agent, Registrar, and Conversion Agent, and each of the Corporate Trust Office of the Trustee and the office or agency of the Trustee in the United States (located at c/o U.S. Bank Association, Corporate Trust Services, 633 West Fifth Street,</w:t>
      </w:r>
    </w:p>
    <w:p>
      <w:pPr>
        <w:sectPr>
          <w:pgSz w:w="11900" w:h="16975" w:orient="portrait"/>
          <w:cols w:equalWidth="0" w:num="1">
            <w:col w:w="11420"/>
          </w:cols>
          <w:pgMar w:left="240" w:top="125" w:right="239" w:bottom="0" w:gutter="0" w:footer="0" w:header="0"/>
        </w:sectPr>
      </w:pPr>
    </w:p>
    <w:bookmarkStart w:id="12" w:name="page13"/>
    <w:bookmarkEnd w:id="12"/>
    <w:p>
      <w:pPr>
        <w:spacing w:after="0" w:line="79"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Los Angeles, CA 90071, Tel. (213) 615-6043, Attention: Paula Oswald (Micron 2043 Indenture)), one such office or agency of the Company for each of the aforesaid purposes.</w:t>
      </w:r>
    </w:p>
    <w:p>
      <w:pPr>
        <w:spacing w:after="0" w:line="20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Section 2.04. Paying Agent to Hold Money in Trust</w:t>
      </w:r>
      <w:r>
        <w:rPr>
          <w:rFonts w:ascii="Arial" w:cs="Arial" w:eastAsia="Arial" w:hAnsi="Arial"/>
          <w:sz w:val="16"/>
          <w:szCs w:val="16"/>
          <w:color w:val="auto"/>
        </w:rPr>
        <w:t>. Prior to 12:00 p.m., New York City time, on each date on which the Accreted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or interest (including Additional Interest), if any, on any Notes is due and payable, the Company shall deposit with a Paying Agent a sum sufficient to pay such Accreted Principal Amount or interest (including Additional Interest), if any, so becoming due. A Paying Agent shall hold in trust for the benefit of Holders or the Trustee all money held by the Paying Agent for the payment of Accreted Principal Amount of or interest (including Additional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Accreted Principal Amount of or interest (including any Additional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Section 2.05. Holder Lists</w:t>
      </w:r>
      <w:r>
        <w:rPr>
          <w:rFonts w:ascii="Arial" w:cs="Arial" w:eastAsia="Arial" w:hAnsi="Arial"/>
          <w:sz w:val="18"/>
          <w:szCs w:val="18"/>
          <w:color w:val="auto"/>
        </w:rPr>
        <w:t>. The Trustee shall preserve in as current a form as is reasonably practicable the most recent list available to 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addresses of Holders. If the Trustee is not the Primary Registrar, the Company shall furnish to the Trustee on or before 10 Business Days prior to the Interest Payment Date, and at such other times as the Trustee may request in writing, a list in such form and as of such date as the Trustee may reasonably require of the names and addresses of Holders.</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Section 2.06. Transfer and Exchange</w:t>
      </w:r>
      <w:r>
        <w:rPr>
          <w:rFonts w:ascii="Arial" w:cs="Arial" w:eastAsia="Arial" w:hAnsi="Arial"/>
          <w:sz w:val="17"/>
          <w:szCs w:val="17"/>
          <w:color w:val="auto"/>
        </w:rPr>
        <w:t>. Subject to compliance with any applicable additional requirements contained in Section 2.13, when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 is presented to a Registrar with a request to register a transfer thereof or to exchange such Note for an equal Principal Amount at Maturity of Notes of other authorized denominations, the Registrar shall register the transfer or make the exchange as requested if its requirements for such transactions are met;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every Note presented or surrendered for registration of transfer or exchange shall be duly endorsed or accompanied by an assignment form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Maturity at the Registrar’s request. Any exchange or transfer shall be without service charge, except that the Company or the Registrar may require payment of a sum sufficient to cover any tax, assessment or other governmental charge that may be imposed in relation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sentence shall not apply to any exchange pursuant to Section 2.10, Section 3.05, Section 9.03(b) or Section 11.06 not involving any transfer.</w:t>
      </w:r>
    </w:p>
    <w:p>
      <w:pPr>
        <w:spacing w:after="0" w:line="17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Section 2.07. Replacement Notes</w:t>
      </w:r>
      <w:r>
        <w:rPr>
          <w:rFonts w:ascii="Arial" w:cs="Arial" w:eastAsia="Arial" w:hAnsi="Arial"/>
          <w:sz w:val="17"/>
          <w:szCs w:val="17"/>
          <w:color w:val="auto"/>
        </w:rPr>
        <w:t>. If any mutilated Note is surrendered to the Company, a Registrar or the Trustee, or the Company, a Registrar</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and upon its written request the Trustee shall authenticate and deliver, in exchange for any such mutilated Note or in lieu of any such destroyed, lost or stolen Note, a new Note of like tenor and Principal Amount at Maturity, bearing a number not contemporaneously outstanding.</w:t>
      </w:r>
    </w:p>
    <w:p>
      <w:pPr>
        <w:spacing w:after="0" w:line="14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or is about to be purchased by the Company pursuant to Article 3 or is about to be redeemed by the Company pursuant to Article 11, the Company in its discretion may, instead of issuing a new Note, pay or purchase or redeem such Note, as the case may be.</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81"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Section 2.08. Outstanding Notes</w:t>
      </w:r>
      <w:r>
        <w:rPr>
          <w:rFonts w:ascii="Arial" w:cs="Arial" w:eastAsia="Arial" w:hAnsi="Arial"/>
          <w:sz w:val="18"/>
          <w:szCs w:val="18"/>
          <w:color w:val="auto"/>
        </w:rPr>
        <w:t>. Notes outstanding at any time are all Notes authenticated by the Trustee, except for those canceled by it, those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pursuant to Article 10, those delivered to it for cancellation or surrendered for transfer or exchange and those described in this Section 2.08 as not outstanding.</w:t>
      </w:r>
    </w:p>
    <w:p>
      <w:pPr>
        <w:sectPr>
          <w:pgSz w:w="11900" w:h="16918" w:orient="portrait"/>
          <w:cols w:equalWidth="0" w:num="1">
            <w:col w:w="11420"/>
          </w:cols>
          <w:pgMar w:left="240" w:top="125" w:right="239" w:bottom="0" w:gutter="0" w:footer="0" w:header="0"/>
        </w:sectPr>
      </w:pPr>
    </w:p>
    <w:bookmarkStart w:id="13" w:name="page14"/>
    <w:bookmarkEnd w:id="13"/>
    <w:p>
      <w:pPr>
        <w:ind w:right="280" w:firstLine="324"/>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 (as defined in Section 8-303 of the New York Uniform Commercial Code).</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a Paying Agent holds at 12:00 p.m., New York City time, on the Maturity Date Cash sufficient to pay the Principal Amount at Maturity of the Notes payable on that date, then on and after the Maturity Date, such Notes shall cease to be outstanding and the Principal Amount at Maturity thereof shall cease to bear interest.</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Section 2.09. Treasury Notes</w:t>
      </w:r>
      <w:r>
        <w:rPr>
          <w:rFonts w:ascii="Arial" w:cs="Arial" w:eastAsia="Arial" w:hAnsi="Arial"/>
          <w:sz w:val="18"/>
          <w:szCs w:val="18"/>
          <w:color w:val="auto"/>
        </w:rPr>
        <w:t>. In determining whether the Holders of the required Principal Amount at Maturity of Notes have concurred in any</w:t>
      </w:r>
      <w:r>
        <w:rPr>
          <w:rFonts w:ascii="Arial" w:cs="Arial" w:eastAsia="Arial" w:hAnsi="Arial"/>
          <w:sz w:val="18"/>
          <w:szCs w:val="18"/>
          <w:i w:val="1"/>
          <w:iCs w:val="1"/>
          <w:color w:val="auto"/>
        </w:rPr>
        <w:t xml:space="preserve"> </w:t>
      </w:r>
      <w:r>
        <w:rPr>
          <w:rFonts w:ascii="Arial" w:cs="Arial" w:eastAsia="Arial" w:hAnsi="Arial"/>
          <w:sz w:val="18"/>
          <w:szCs w:val="18"/>
          <w:color w:val="auto"/>
        </w:rPr>
        <w:t>notice, 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Section 2.10. Temporary Notes</w:t>
      </w:r>
      <w:r>
        <w:rPr>
          <w:rFonts w:ascii="Arial" w:cs="Arial" w:eastAsia="Arial" w:hAnsi="Arial"/>
          <w:sz w:val="17"/>
          <w:szCs w:val="17"/>
          <w:color w:val="auto"/>
        </w:rPr>
        <w:t>. Until definitive Notes are ready for delivery, the Company may prepare and execute, and, upon receipt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Section 2.11. Cancellation</w:t>
      </w:r>
      <w:r>
        <w:rPr>
          <w:rFonts w:ascii="Arial" w:cs="Arial" w:eastAsia="Arial" w:hAnsi="Arial"/>
          <w:sz w:val="17"/>
          <w:szCs w:val="17"/>
          <w:color w:val="auto"/>
        </w:rPr>
        <w:t>. The Company at any time may deliver Notes to the Trustee for cancellation. The Registrar, the Paying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Section 2.12. CUSIP Numbers</w:t>
      </w:r>
      <w:r>
        <w:rPr>
          <w:rFonts w:ascii="Arial" w:cs="Arial" w:eastAsia="Arial" w:hAnsi="Arial"/>
          <w:sz w:val="18"/>
          <w:szCs w:val="18"/>
          <w:color w:val="auto"/>
        </w:rPr>
        <w:t>. The Company in issuing the Notes may use one or more “CUSIP” numbers (if then generally in use), and, if 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Trustee shall use “CUSIP” numbers in notices of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Section 2.13. Additional Transfer and Exchange Requirements</w:t>
      </w:r>
      <w:r>
        <w:rPr>
          <w:rFonts w:ascii="Arial" w:cs="Arial" w:eastAsia="Arial" w:hAnsi="Arial"/>
          <w:sz w:val="17"/>
          <w:szCs w:val="17"/>
          <w:color w:val="auto"/>
        </w:rPr>
        <w:t>. (a) If Notes are issued upon the transfer, exchange or replacement of Notes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restrictions on transfer and bearing the Transfer Restricted Note Legend, or if a request is made to remove the Transfer Restricted Note Legend on a Note, the Notes so issued shall bear the Transfer Restricted Note Legend, or the Transfer Restricted Note Legend shall not be removed, as the case may be, unless there is delivered to the Company and the Registrar such satisfactory evidence, which shall include an Opinion of Counsel if requested by the Company or such Registrar, as may be reasonably required by the Company and the Registrar, that neither the Transfer Restricted Note Legend nor the restrictions on transfer set forth therein are required to ensure that transfers thereof comply with the provisions of Rule 144A or Rule 144 or that such Notes are not “restricted” within the meaning of Rule 144; provided that no such evidence need be supplied in connection with the sale of such Note pursuant to a registration statement that is effective at the time of such sale. Upon (i) provision of such satisfactory evidence if requested, or (ii) notification by the Company to the Trustee and Registrar of the sale of such Note pursuant to a registration statement that is effective at the time of such sale, the Trustee, at the written direction of the Company, shall authenticate and deliver a Note that does not bear the Transfer Restricted Note Legend. If the Transfer Restricted Note Legend is removed from the face of 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 and the Note is subsequently held by an Affiliate of the Company, the Transfer Restricted Note Legend shall be reinstated.</w:t>
      </w:r>
    </w:p>
    <w:p>
      <w:pPr>
        <w:spacing w:after="0" w:line="225" w:lineRule="exact"/>
        <w:rPr>
          <w:sz w:val="20"/>
          <w:szCs w:val="20"/>
          <w:color w:val="auto"/>
        </w:rPr>
      </w:pPr>
    </w:p>
    <w:p>
      <w:pPr>
        <w:ind w:right="560" w:firstLine="1305"/>
        <w:spacing w:after="0" w:line="277" w:lineRule="auto"/>
        <w:tabs>
          <w:tab w:leader="none" w:pos="20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transfer of a Note to any Person shall be effective under this Indenture or the Notes unless and until such Note has been registered in the name of such Person.</w:t>
      </w:r>
    </w:p>
    <w:p>
      <w:pPr>
        <w:spacing w:after="0" w:line="170" w:lineRule="exact"/>
        <w:rPr>
          <w:rFonts w:ascii="Arial" w:cs="Arial" w:eastAsia="Arial" w:hAnsi="Arial"/>
          <w:sz w:val="18"/>
          <w:szCs w:val="18"/>
          <w:color w:val="auto"/>
        </w:rPr>
      </w:pPr>
    </w:p>
    <w:p>
      <w:pPr>
        <w:ind w:right="100" w:firstLine="1305"/>
        <w:spacing w:after="0" w:line="277" w:lineRule="auto"/>
        <w:tabs>
          <w:tab w:leader="none" w:pos="199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transfer and exchange of beneficial interests in the Global Notes shall be effected through the Depositary, in accordance with the provisions of this Indenture and the Applicable Procedures.</w:t>
      </w:r>
    </w:p>
    <w:p>
      <w:pPr>
        <w:spacing w:after="0" w:line="170" w:lineRule="exact"/>
        <w:rPr>
          <w:rFonts w:ascii="Arial" w:cs="Arial" w:eastAsia="Arial" w:hAnsi="Arial"/>
          <w:sz w:val="18"/>
          <w:szCs w:val="18"/>
          <w:color w:val="auto"/>
        </w:rPr>
      </w:pPr>
    </w:p>
    <w:p>
      <w:pPr>
        <w:ind w:firstLine="1953"/>
        <w:spacing w:after="0" w:line="257" w:lineRule="auto"/>
        <w:tabs>
          <w:tab w:leader="none" w:pos="26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Beneficial interests in any Transfer Restricted Global Note may be transferred to Persons who take delivery thereof in the form of a beneficial interest in the same Transfer Restricted Global Note in accordance with the transfer restrictions set forth in the Transfer Restricted Note Legend. Beneficial interests in any Unrestricted Global Note may be transferred to Persons who take delivery thereof in the form of a beneficial interest in the same or any other Unrestricted Global Note. No written orders or instructions shall be required to be delivered to the Registrar to effect the transfers described in this Section 2.13(c)(i).</w:t>
      </w:r>
    </w:p>
    <w:p>
      <w:pPr>
        <w:spacing w:after="0" w:line="188" w:lineRule="exact"/>
        <w:rPr>
          <w:rFonts w:ascii="Arial" w:cs="Arial" w:eastAsia="Arial" w:hAnsi="Arial"/>
          <w:sz w:val="18"/>
          <w:szCs w:val="18"/>
          <w:color w:val="auto"/>
        </w:rPr>
      </w:pPr>
    </w:p>
    <w:p>
      <w:pPr>
        <w:ind w:right="40" w:firstLine="1953"/>
        <w:spacing w:after="0" w:line="257"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connection with all transfers and exchanges of beneficial interests that are not subject to Section 2.13(c)(i), the transferor of such beneficial interest must deliver to the Registrar an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instructions given in accordance with the Applicable Procedures containing information regarding the Participant account to be credited with such increase.</w:t>
      </w:r>
    </w:p>
    <w:p>
      <w:pPr>
        <w:sectPr>
          <w:pgSz w:w="11900" w:h="16838" w:orient="portrait"/>
          <w:cols w:equalWidth="0" w:num="1">
            <w:col w:w="11420"/>
          </w:cols>
          <w:pgMar w:left="240" w:top="341" w:right="239" w:bottom="0" w:gutter="0" w:footer="0" w:header="0"/>
        </w:sectPr>
      </w:pPr>
    </w:p>
    <w:bookmarkStart w:id="14" w:name="page15"/>
    <w:bookmarkEnd w:id="14"/>
    <w:p>
      <w:pPr>
        <w:spacing w:after="0" w:line="115" w:lineRule="exact"/>
        <w:rPr>
          <w:sz w:val="20"/>
          <w:szCs w:val="20"/>
          <w:color w:val="auto"/>
        </w:rPr>
      </w:pPr>
    </w:p>
    <w:p>
      <w:pPr>
        <w:ind w:right="40" w:firstLine="1953"/>
        <w:spacing w:after="0" w:line="264" w:lineRule="auto"/>
        <w:tabs>
          <w:tab w:leader="none" w:pos="26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transferred to a Person who takes delivery thereof in the form of a beneficial interest in another Transfer Restricted Global Note if the transfer complies with the requirements of Section 2.13(c)(ii) and the Registrar receives a duly executed certificate substantially in the form of Exhibit D hereto.</w:t>
      </w:r>
    </w:p>
    <w:p>
      <w:pPr>
        <w:spacing w:after="0" w:line="181" w:lineRule="exact"/>
        <w:rPr>
          <w:rFonts w:ascii="Arial" w:cs="Arial" w:eastAsia="Arial" w:hAnsi="Arial"/>
          <w:sz w:val="18"/>
          <w:szCs w:val="18"/>
          <w:color w:val="auto"/>
        </w:rPr>
      </w:pPr>
    </w:p>
    <w:p>
      <w:pPr>
        <w:ind w:firstLine="1953"/>
        <w:spacing w:after="0" w:line="255" w:lineRule="auto"/>
        <w:tabs>
          <w:tab w:leader="none" w:pos="2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exchanged for a beneficial interest in an Unrestricted Global Note or transferred to a Person who takes delivery thereof in the form of a beneficial interest in an Unrestricted Global Note if (1) the exchange or transfer complies with the requirements of Section 2.13(c)(ii) and (2)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Transfer Restricted Note Legend are no longer required in order to maintain compliance with the Securities Act.</w:t>
      </w:r>
    </w:p>
    <w:p>
      <w:pPr>
        <w:spacing w:after="0" w:line="193" w:lineRule="exact"/>
        <w:rPr>
          <w:sz w:val="20"/>
          <w:szCs w:val="20"/>
          <w:color w:val="auto"/>
        </w:rPr>
      </w:pPr>
    </w:p>
    <w:p>
      <w:pPr>
        <w:ind w:right="240" w:firstLine="1305"/>
        <w:spacing w:after="0" w:line="264" w:lineRule="auto"/>
        <w:tabs>
          <w:tab w:leader="none" w:pos="20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restrictions imposed by the Transfer Restricted Note Legend upon the transferability of any Note shall cease and terminate when such Note has been sold pursuant to an effective registration statement under the Securities Act or transferred in compliance with Rule 144 (or any successor provision thereto) or, if earlier, upon the expiration of the holding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period applicable to sales thereof under Rule 144(d)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Section 2.13 (accompanied, in the event that such restrictions on transfer have terminated by reason of a transfer in compliance with Rule 144 (or any successor provision), by, if requested, an Opinion of Counsel reasonably acceptable to the Company, addressed to the Company and in form acceptable to the Company, to the effect that the transfer of such Note has been made in compliance with Rule 144 (or such successor provision)), be exchanged for a new Note, of like tenor and aggregate Principal Amount at Maturity, which shall not bear the Transfer Restricted Note Legend.</w:t>
      </w:r>
    </w:p>
    <w:p>
      <w:pPr>
        <w:spacing w:after="0" w:line="165" w:lineRule="exact"/>
        <w:rPr>
          <w:sz w:val="20"/>
          <w:szCs w:val="20"/>
          <w:color w:val="auto"/>
        </w:rPr>
      </w:pPr>
    </w:p>
    <w:p>
      <w:pPr>
        <w:ind w:left="2000" w:hanging="695"/>
        <w:spacing w:after="0"/>
        <w:tabs>
          <w:tab w:leader="none" w:pos="2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used in Section 2.13(c) and (d), the term “transfer” encompasses any sale, pledge, transfer, hypothecation or other disposition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any Note.</w:t>
      </w:r>
    </w:p>
    <w:p>
      <w:pPr>
        <w:spacing w:after="0" w:line="211" w:lineRule="exact"/>
        <w:rPr>
          <w:sz w:val="20"/>
          <w:szCs w:val="20"/>
          <w:color w:val="auto"/>
        </w:rPr>
      </w:pPr>
    </w:p>
    <w:p>
      <w:pPr>
        <w:ind w:left="2020" w:hanging="715"/>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Section 2.13(f) shall apply only to Global Notes:</w:t>
      </w:r>
    </w:p>
    <w:p>
      <w:pPr>
        <w:spacing w:after="0" w:line="225" w:lineRule="exact"/>
        <w:rPr>
          <w:rFonts w:ascii="Arial" w:cs="Arial" w:eastAsia="Arial" w:hAnsi="Arial"/>
          <w:sz w:val="18"/>
          <w:szCs w:val="18"/>
          <w:color w:val="auto"/>
        </w:rPr>
      </w:pPr>
    </w:p>
    <w:p>
      <w:pPr>
        <w:ind w:firstLine="1953"/>
        <w:spacing w:after="0" w:line="270" w:lineRule="auto"/>
        <w:tabs>
          <w:tab w:leader="none" w:pos="2655"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or the Notes,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(A) the Depositary has notified the Company that it is unwilling or unable to continue as Depositary for such Global Note or such Depositary has ceased to be a “clearing agency” registered under the Exchange Act, and a successor Depositary is not appointed by the Company within 90 days, (B) the Company has provided the Depositary with written notice that it has decided to discontinue use of the system of book-entry transfer through the Depositary or any successor Depositary or (C) an Event of Default has occurred and is continuing. Any Global Note exchanged pursuant to clauses (A) or (B) above shall be so exchanged in whole and not in part, and any Global Note exchanged pursuant to clause (C) above may be exchanged in whole or from time to time in part as directed by the Depositary. Any Note issued in exchange for a Global Note or any portion thereof shall be a Global Note; provided that any such Note so issued that is registered in the name of a Person other than the Depositary or a nominee thereof shall not be a Global Note.</w:t>
      </w:r>
    </w:p>
    <w:p>
      <w:pPr>
        <w:spacing w:after="0" w:line="177" w:lineRule="exact"/>
        <w:rPr>
          <w:rFonts w:ascii="Arial" w:cs="Arial" w:eastAsia="Arial" w:hAnsi="Arial"/>
          <w:sz w:val="17"/>
          <w:szCs w:val="17"/>
          <w:color w:val="auto"/>
        </w:rPr>
      </w:pPr>
    </w:p>
    <w:p>
      <w:pPr>
        <w:ind w:right="20" w:firstLine="1953"/>
        <w:spacing w:after="0" w:line="290" w:lineRule="auto"/>
        <w:tabs>
          <w:tab w:leader="none" w:pos="2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Notes issued in exchange for a Global Note or any portion thereof shall be issued in definitive, fully-registered book entry form, without interest coupons, shall have an aggregate Principal Amount at Maturity equal to that of such Global Note or portion thereof to be so exchanged, shall be registered in such names and be in such authorized denominations as the Depositary shall designate and shall bear the applicable legends provided for herein.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at Maturity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953"/>
        <w:spacing w:after="0" w:line="264" w:lineRule="auto"/>
        <w:tabs>
          <w:tab w:leader="none" w:pos="26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provisions of clause (v) below, the registered Holder may grant proxies and otherwise authorize any Person, including Agent Members and persons that may hold interests through Agent Members, to take any action which a Holder is entitled to take under this Indenture or the Notes.</w:t>
      </w:r>
    </w:p>
    <w:p>
      <w:pPr>
        <w:spacing w:after="0" w:line="181" w:lineRule="exact"/>
        <w:rPr>
          <w:rFonts w:ascii="Arial" w:cs="Arial" w:eastAsia="Arial" w:hAnsi="Arial"/>
          <w:sz w:val="18"/>
          <w:szCs w:val="18"/>
          <w:color w:val="auto"/>
        </w:rPr>
      </w:pPr>
    </w:p>
    <w:p>
      <w:pPr>
        <w:ind w:right="540" w:firstLine="1953"/>
        <w:spacing w:after="0" w:line="308" w:lineRule="auto"/>
        <w:tabs>
          <w:tab w:leader="none" w:pos="2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event of the occurrence of any of the events specified in clause (i) above, the Company will promptly make available to the Trustee a reasonable supply of Certificated Notes in definitive, fully registered form, without interest coupons.</w:t>
      </w:r>
    </w:p>
    <w:p>
      <w:pPr>
        <w:spacing w:after="0" w:line="146" w:lineRule="exact"/>
        <w:rPr>
          <w:rFonts w:ascii="Arial" w:cs="Arial" w:eastAsia="Arial" w:hAnsi="Arial"/>
          <w:sz w:val="17"/>
          <w:szCs w:val="17"/>
          <w:color w:val="auto"/>
        </w:rPr>
      </w:pPr>
    </w:p>
    <w:p>
      <w:pPr>
        <w:ind w:right="40" w:firstLine="1953"/>
        <w:spacing w:after="0" w:line="271" w:lineRule="auto"/>
        <w:tabs>
          <w:tab w:leader="none" w:pos="265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Neither Agent Members nor any other Persons on whose behalf Agent Members may act shall have any rights under this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 Neither the Trustee nor any Agent Member shall have any responsibility or liability for any actions taken or not taken by the Depositary.</w:t>
      </w:r>
    </w:p>
    <w:p>
      <w:pPr>
        <w:spacing w:after="0" w:line="179"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i w:val="1"/>
          <w:iCs w:val="1"/>
          <w:color w:val="auto"/>
        </w:rPr>
        <w:t>Section 2.14.</w:t>
      </w:r>
      <w:r>
        <w:rPr>
          <w:sz w:val="20"/>
          <w:szCs w:val="20"/>
          <w:color w:val="auto"/>
        </w:rPr>
        <w:tab/>
      </w:r>
      <w:r>
        <w:rPr>
          <w:rFonts w:ascii="Arial" w:cs="Arial" w:eastAsia="Arial" w:hAnsi="Arial"/>
          <w:sz w:val="16"/>
          <w:szCs w:val="16"/>
          <w:i w:val="1"/>
          <w:iCs w:val="1"/>
          <w:color w:val="auto"/>
        </w:rPr>
        <w:t>Additional Notes</w:t>
      </w:r>
      <w:r>
        <w:rPr>
          <w:rFonts w:ascii="Arial" w:cs="Arial" w:eastAsia="Arial" w:hAnsi="Arial"/>
          <w:sz w:val="16"/>
          <w:szCs w:val="16"/>
          <w:color w:val="auto"/>
        </w:rPr>
        <w:t>.</w:t>
      </w:r>
    </w:p>
    <w:p>
      <w:pPr>
        <w:spacing w:after="0" w:line="221"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If authorized by a resolution of the Board of Directors, the Company shall be entitled to issue additional Notes under this Indenture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which shall have substantially identical terms as the Notes, other than with respect to (i) the date of issuance, (ii) the Issue Price and Accreted</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(iii) the amount of interest payable on the first interest payment date applicable thereto (to the extent such Additional Notes are issued with</w:t>
      </w:r>
    </w:p>
    <w:p>
      <w:pPr>
        <w:sectPr>
          <w:pgSz w:w="11900" w:h="16953" w:orient="portrait"/>
          <w:cols w:equalWidth="0" w:num="1">
            <w:col w:w="11400"/>
          </w:cols>
          <w:pgMar w:left="240" w:top="125" w:right="259" w:bottom="0" w:gutter="0" w:footer="0" w:header="0"/>
        </w:sectPr>
      </w:pPr>
    </w:p>
    <w:bookmarkStart w:id="15" w:name="page16"/>
    <w:bookmarkEnd w:id="15"/>
    <w:p>
      <w:pPr>
        <w:spacing w:after="0" w:line="273" w:lineRule="auto"/>
        <w:rPr>
          <w:sz w:val="20"/>
          <w:szCs w:val="20"/>
          <w:color w:val="auto"/>
        </w:rPr>
      </w:pPr>
      <w:r>
        <w:rPr>
          <w:rFonts w:ascii="Arial" w:cs="Arial" w:eastAsia="Arial" w:hAnsi="Arial"/>
          <w:sz w:val="17"/>
          <w:szCs w:val="17"/>
          <w:color w:val="auto"/>
        </w:rPr>
        <w:t>a different “CUSIP”, “ISIN” or “Common Code” number than the Notes), and, (iv) if such Additional Notes shall be issued in the form of Unrestricted Notes or Transfer Restricted Notes (in which case the Transfer Restricted Notes will bear the legends set forth in Exhibit D), the transfer restrictions in respect of Notes that are, respectively, Transfer Restricted Notes or Unrestricted Notes; provided that such issuance shall be made in compliance with this Indenture; provided, further, that no Additional Notes may be issued with the same “CUSIP”, “ISIN” or “Common Code” number as other Notes unless it is so permitted in accordance with applicable law and such Additional Notes are fungible with the Notes for U.S. federal tax purposes. The Notes issued on the Closing Date and any Additional Notes shall be treated as a single class for all purposes under this Indenture.</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With respect to any Additional Notes, the Company shall set forth in an Officers’ Certificate, a copy of which shall be delivered to the Trustee, and in a supplemental indenture, the following information:</w:t>
      </w:r>
    </w:p>
    <w:p>
      <w:pPr>
        <w:spacing w:after="0" w:line="170" w:lineRule="exact"/>
        <w:rPr>
          <w:sz w:val="20"/>
          <w:szCs w:val="20"/>
          <w:color w:val="auto"/>
        </w:rPr>
      </w:pPr>
    </w:p>
    <w:p>
      <w:pPr>
        <w:jc w:val="center"/>
        <w:ind w:left="5620" w:right="1020" w:hanging="4964"/>
        <w:spacing w:after="0" w:line="528" w:lineRule="auto"/>
        <w:tabs>
          <w:tab w:leader="none" w:pos="13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at Maturity of Notes outstanding immediately prior to the issuance of such Additional Notes; 18</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60" w:hanging="704"/>
        <w:spacing w:after="0"/>
        <w:tabs>
          <w:tab w:leader="none" w:pos="1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aggregate Principal Amount at Maturity of such Additional Notes to be authenticated and delivered pursuant to this Indenture;</w:t>
      </w:r>
    </w:p>
    <w:p>
      <w:pPr>
        <w:spacing w:after="0" w:line="23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Issue Price, if any, the Accreted Principal Amount applicable to such Additional Notes and the issue date of such Additional Notes and the amount of interest payable on the first interest payment date applicable thereto;</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“CUSIP”, “ISIN” or “Common Code” number, as applicable, of such Additional Notes;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such Additional Notes shall be Transfer Restricted Notes or Unrestricted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-1470025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Section 3.01. Repurchase at the Option of the Holders Upon Change in Control or Termination of Trading</w:t>
      </w:r>
      <w:r>
        <w:rPr>
          <w:rFonts w:ascii="Arial" w:cs="Arial" w:eastAsia="Arial" w:hAnsi="Arial"/>
          <w:sz w:val="18"/>
          <w:szCs w:val="18"/>
          <w:color w:val="auto"/>
        </w:rPr>
        <w:t>. (a) Upon the occurrence of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or a Termination of Trading, each Holder shall have the right, at such Holder’s option, subject to the terms and conditions of this Article 3, to require the Company to repurchase for Cash all or any portion of such Holder’s Notes in integral multiples of $1,000 Principal Amount at Maturity at a price (the “</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xml:space="preserve">”) equal to the Accreted Principal Amount of the Notes to be repurchased, plus accrued and unpaid interest (including Additional Interest), if any, to, but excluding, the Fundamental Change Repurchase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Fundamental Change Repurchase Date is after a Regular Record Date and on or prior to the Interest Payment Date to which it relates, the interest accrued to the Interest Payment Date will be paid to Holders of the Notes as of the preceding Regular Record Date, and the Fundamental Change Repurchase Price shall be equal to the Accreted Principal Amount of Notes subject to repurchase. Upon a valid exercise of such an option, the Company will be required to repurchase the Notes on a date selected by the Company (the “</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which shall be no earlier than 20 days or later than 35 days after the date on which the Company sends the notice contemplated by Section 3.01(b), subject to satisfaction by or on behalf of the Holder of the requirements set forth in Section 3.01(c).</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29" w:lineRule="exact"/>
        <w:rPr>
          <w:sz w:val="20"/>
          <w:szCs w:val="20"/>
          <w:color w:val="auto"/>
        </w:rPr>
      </w:pPr>
    </w:p>
    <w:p>
      <w:pPr>
        <w:ind w:right="40" w:firstLine="1953"/>
        <w:spacing w:after="0" w:line="255" w:lineRule="auto"/>
        <w:tabs>
          <w:tab w:leader="none" w:pos="2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953"/>
        <w:spacing w:after="0" w:line="255" w:lineRule="auto"/>
        <w:tabs>
          <w:tab w:leader="none" w:pos="2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none of these circumstances will be a Change in Control if persons that beneficially own the Voting Securities of the Company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transaction own, directly or indirectly, a majority of the Voting Securities of the surviving or transferee person, or the direct or indirect parent thereof, immediately after the transaction in substantially the same proportion as their ownership of the Company’s Voting Securities immediately prior to the transaction; or</w:t>
      </w:r>
    </w:p>
    <w:p>
      <w:pPr>
        <w:spacing w:after="0" w:line="189" w:lineRule="exact"/>
        <w:rPr>
          <w:rFonts w:ascii="Arial" w:cs="Arial" w:eastAsia="Arial" w:hAnsi="Arial"/>
          <w:sz w:val="18"/>
          <w:szCs w:val="18"/>
          <w:color w:val="auto"/>
        </w:rPr>
      </w:pPr>
    </w:p>
    <w:p>
      <w:pPr>
        <w:ind w:left="2680" w:hanging="727"/>
        <w:spacing w:after="0"/>
        <w:tabs>
          <w:tab w:leader="none" w:pos="2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defining a Change in Control:</w:t>
      </w:r>
    </w:p>
    <w:p>
      <w:pPr>
        <w:spacing w:after="0" w:line="221" w:lineRule="exact"/>
        <w:rPr>
          <w:sz w:val="20"/>
          <w:szCs w:val="20"/>
          <w:color w:val="auto"/>
        </w:rPr>
      </w:pPr>
    </w:p>
    <w:p>
      <w:pPr>
        <w:ind w:left="3300" w:hanging="699"/>
        <w:spacing w:after="0"/>
        <w:tabs>
          <w:tab w:leader="none" w:pos="3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and 14(d) of the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 or any successor provisions;</w:t>
      </w:r>
    </w:p>
    <w:p>
      <w:pPr>
        <w:spacing w:after="0" w:line="207" w:lineRule="exact"/>
        <w:rPr>
          <w:sz w:val="20"/>
          <w:szCs w:val="20"/>
          <w:color w:val="auto"/>
        </w:rPr>
      </w:pPr>
    </w:p>
    <w:p>
      <w:pPr>
        <w:ind w:right="420" w:firstLine="2601"/>
        <w:spacing w:after="0" w:line="282" w:lineRule="auto"/>
        <w:tabs>
          <w:tab w:leader="none" w:pos="32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61" w:lineRule="exact"/>
        <w:rPr>
          <w:rFonts w:ascii="Arial" w:cs="Arial" w:eastAsia="Arial" w:hAnsi="Arial"/>
          <w:sz w:val="18"/>
          <w:szCs w:val="18"/>
          <w:color w:val="auto"/>
        </w:rPr>
      </w:pPr>
    </w:p>
    <w:p>
      <w:pPr>
        <w:jc w:val="both"/>
        <w:ind w:right="120" w:firstLine="2601"/>
        <w:spacing w:after="0" w:line="266" w:lineRule="auto"/>
        <w:tabs>
          <w:tab w:leader="none" w:pos="32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ectPr>
          <w:pgSz w:w="11900" w:h="16838" w:orient="portrait"/>
          <w:cols w:equalWidth="0" w:num="1">
            <w:col w:w="11420"/>
          </w:cols>
          <w:pgMar w:left="240" w:top="125" w:right="239" w:bottom="0" w:gutter="0" w:footer="0" w:header="0"/>
        </w:sectPr>
      </w:pPr>
    </w:p>
    <w:bookmarkStart w:id="16" w:name="page17"/>
    <w:bookmarkEnd w:id="16"/>
    <w:p>
      <w:pPr>
        <w:ind w:firstLine="324"/>
        <w:spacing w:after="0" w:line="297" w:lineRule="auto"/>
        <w:rPr>
          <w:sz w:val="20"/>
          <w:szCs w:val="20"/>
          <w:color w:val="auto"/>
        </w:rPr>
      </w:pPr>
      <w:r>
        <w:rPr>
          <w:rFonts w:ascii="Arial" w:cs="Arial" w:eastAsia="Arial" w:hAnsi="Arial"/>
          <w:sz w:val="16"/>
          <w:szCs w:val="16"/>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(excluding Cash payments for fractional shares and Cash payments made in respect of dissenters’ appraisal rights).</w:t>
      </w:r>
    </w:p>
    <w:p>
      <w:pPr>
        <w:spacing w:after="0" w:line="158" w:lineRule="exact"/>
        <w:rPr>
          <w:sz w:val="20"/>
          <w:szCs w:val="20"/>
          <w:color w:val="auto"/>
        </w:rPr>
      </w:pPr>
    </w:p>
    <w:p>
      <w:pPr>
        <w:ind w:right="120" w:firstLine="1305"/>
        <w:spacing w:after="0" w:line="259" w:lineRule="auto"/>
        <w:tabs>
          <w:tab w:leader="none" w:pos="20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or before the 15th day after the occurrence of a Change in Control or Termination of Trading, the Company will deliver a written notice of Change in Control or Termination of Trading, as applicable, to the Trustee and to each Holder at their addresses shown in the register of the Registrar (and to beneficial owners as required by applicable law). The notice shall include a form of Fundamental Change Repurchase Notice to be completed by the Holder and shall state:</w:t>
      </w:r>
    </w:p>
    <w:p>
      <w:pPr>
        <w:spacing w:after="0" w:line="186" w:lineRule="exact"/>
        <w:rPr>
          <w:rFonts w:ascii="Arial" w:cs="Arial" w:eastAsia="Arial" w:hAnsi="Arial"/>
          <w:sz w:val="18"/>
          <w:szCs w:val="18"/>
          <w:color w:val="auto"/>
        </w:rPr>
      </w:pPr>
    </w:p>
    <w:p>
      <w:pPr>
        <w:ind w:left="2660" w:hanging="707"/>
        <w:spacing w:after="0"/>
        <w:tabs>
          <w:tab w:leader="none" w:pos="2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whether a Change in Control constitutes a Make-Whole Change in Control;</w:t>
      </w:r>
    </w:p>
    <w:p>
      <w:pPr>
        <w:spacing w:after="0" w:line="225" w:lineRule="exact"/>
        <w:rPr>
          <w:rFonts w:ascii="Arial" w:cs="Arial" w:eastAsia="Arial" w:hAnsi="Arial"/>
          <w:sz w:val="18"/>
          <w:szCs w:val="18"/>
          <w:color w:val="auto"/>
        </w:rPr>
      </w:pPr>
    </w:p>
    <w:p>
      <w:pPr>
        <w:jc w:val="both"/>
        <w:ind w:right="340" w:firstLine="1953"/>
        <w:spacing w:after="0" w:line="342" w:lineRule="auto"/>
        <w:tabs>
          <w:tab w:leader="none" w:pos="26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that Notes with respect to which a Fundamental Change Repurchase Notice is given by the Holder may be converted pursuant to Article 10 hereof only if the Fundamental Change Repurchase Notice has been withdrawn in accordance with the terms of this Indenture; and</w:t>
      </w:r>
    </w:p>
    <w:p>
      <w:pPr>
        <w:spacing w:after="0" w:line="123" w:lineRule="exact"/>
        <w:rPr>
          <w:rFonts w:ascii="Arial" w:cs="Arial" w:eastAsia="Arial" w:hAnsi="Arial"/>
          <w:sz w:val="16"/>
          <w:szCs w:val="16"/>
          <w:color w:val="auto"/>
        </w:rPr>
      </w:pPr>
    </w:p>
    <w:p>
      <w:pPr>
        <w:ind w:left="2660" w:hanging="707"/>
        <w:spacing w:after="0"/>
        <w:tabs>
          <w:tab w:leader="none" w:pos="2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21" w:lineRule="exact"/>
        <w:rPr>
          <w:rFonts w:ascii="Arial" w:cs="Arial" w:eastAsia="Arial" w:hAnsi="Arial"/>
          <w:sz w:val="18"/>
          <w:szCs w:val="18"/>
          <w:color w:val="auto"/>
        </w:rPr>
      </w:pPr>
    </w:p>
    <w:p>
      <w:pPr>
        <w:ind w:right="120" w:firstLine="1305"/>
        <w:spacing w:after="0" w:line="266" w:lineRule="auto"/>
        <w:tabs>
          <w:tab w:leader="none" w:pos="19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Holder may exercise its rights specified in Section 3.01 by delivery of a written notice (a “</w:t>
      </w:r>
      <w:r>
        <w:rPr>
          <w:rFonts w:ascii="Arial" w:cs="Arial" w:eastAsia="Arial" w:hAnsi="Arial"/>
          <w:sz w:val="18"/>
          <w:szCs w:val="18"/>
          <w:b w:val="1"/>
          <w:bCs w:val="1"/>
          <w:color w:val="auto"/>
        </w:rPr>
        <w:t>Fundamental Change Repurchase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the Paying Agent at any time prior to the Close of Business on the Business Day immediately preceding the Fundamental Change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Fundamental Change Repurchase Notice shall state:</w:t>
      </w:r>
    </w:p>
    <w:p>
      <w:pPr>
        <w:spacing w:after="0" w:line="180" w:lineRule="exact"/>
        <w:rPr>
          <w:rFonts w:ascii="Arial" w:cs="Arial" w:eastAsia="Arial" w:hAnsi="Arial"/>
          <w:sz w:val="18"/>
          <w:szCs w:val="18"/>
          <w:color w:val="auto"/>
        </w:rPr>
      </w:pPr>
    </w:p>
    <w:p>
      <w:pPr>
        <w:ind w:right="300" w:firstLine="1953"/>
        <w:spacing w:after="0" w:line="277" w:lineRule="auto"/>
        <w:tabs>
          <w:tab w:leader="none" w:pos="26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portion of the Principal Amount at Maturity of Notes to be repurchased, which portion must be $1,000 or an integral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multiple of $1,000; and</w:t>
      </w:r>
    </w:p>
    <w:p>
      <w:pPr>
        <w:spacing w:after="0" w:line="210" w:lineRule="exact"/>
        <w:rPr>
          <w:rFonts w:ascii="Arial" w:cs="Arial" w:eastAsia="Arial" w:hAnsi="Arial"/>
          <w:sz w:val="16"/>
          <w:szCs w:val="16"/>
          <w:color w:val="auto"/>
        </w:rPr>
      </w:pPr>
    </w:p>
    <w:p>
      <w:pPr>
        <w:ind w:left="2680" w:hanging="727"/>
        <w:spacing w:after="0"/>
        <w:tabs>
          <w:tab w:leader="none" w:pos="26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that such Notes shall be repurchased by the Company pursuant to the terms and conditions specified in this Section 3.01.</w:t>
      </w:r>
    </w:p>
    <w:p>
      <w:pPr>
        <w:spacing w:after="0" w:line="24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delivery of such Note to the Paying Agent prior to, on or after the Fundamental Change Repurchase Date (together with all necessary endorsements and compliance by the Holder with the Applicable Procedures) at the offices of the Paying Agent shall be a condition to the receipt by the Holder of the Fundamental Change Repurchase Price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Fundamental Change Repurchase Price shall be so paid pursuant to this Section 3.01 only if the Note so delivered to the Paying Agent shall conform in all respects to the description thereof set forth in the related Fundamental Change Repurchase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shall repurchase from the Holder thereof, pursuant to this Section 3.01, a portion of a Note if the Principal Amount at Maturity of such portion is $1,000 or an integral multiple of $1,000. Provisions of this Indenture that apply to the repurchase of all of a Note also apply to the repurchase of such portion of such Note.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Any repurchase by the Company contemplated pursuant to the provisions of this Section 3.01 shall be consummated by the delivery of the consideration to be received by the Holder (together with accrued and unpaid interest (including any Additional Interest) to but not including the Fundamental Change Repurchase Date) on or prior to the later of the Fundamental Change Repurchase Date and the time of delivery of the Note to the Paying Agent in accordance with this Section 3.01.</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3.01(c) shall have the right to withdraw such Fundamental Change Repurchase Notice at any time prior to the Close of Business on the Business Day immediately preceding the Fundamental Change Repurchase Date by delivery of a written notice of withdrawal to the Paying Agent in accordance with Section 3.03(b).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Paying Agent shall promptly notify the Company of the receipt by it of any Fundamental Change Repurchase Notice or written withdrawal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ectPr>
          <w:pgSz w:w="11900" w:h="16838" w:orient="portrait"/>
          <w:cols w:equalWidth="0" w:num="1">
            <w:col w:w="11420"/>
          </w:cols>
          <w:pgMar w:left="240" w:top="125" w:right="239" w:bottom="18" w:gutter="0" w:footer="0" w:header="0"/>
        </w:sectPr>
      </w:pPr>
    </w:p>
    <w:bookmarkStart w:id="17" w:name="page18"/>
    <w:bookmarkEnd w:id="17"/>
    <w:p>
      <w:pPr>
        <w:ind w:right="380" w:firstLine="648"/>
        <w:spacing w:after="0" w:line="293" w:lineRule="auto"/>
        <w:rPr>
          <w:sz w:val="20"/>
          <w:szCs w:val="20"/>
          <w:color w:val="auto"/>
        </w:rPr>
      </w:pPr>
      <w:r>
        <w:rPr>
          <w:rFonts w:ascii="Arial" w:cs="Arial" w:eastAsia="Arial" w:hAnsi="Arial"/>
          <w:sz w:val="16"/>
          <w:szCs w:val="16"/>
          <w:color w:val="auto"/>
        </w:rPr>
        <w:t>No Notes may be repurchased by the Company at the option of Holders upon a Change in Control or a Termination of Trading if the Accreted Principal Amount of the Notes has been accelerated (other than as a result of a default in the payment of the Fundamental Change Repurchase Price with respect to the Notes), and such acceleration has not been rescinded, on or prior to the date on which such repurchase is to be consummated. The Paying Agent will promptly return to the respective Holders thereof any Notes (x) with respect to which a Fundamental Change Repurchase Notice has been withdrawn in compliance with this Indenture, or (y) held by it during the continuance of acceleration described in the immediately preceding sentence in which case, upon such return, the Fundamental Change Repurchase Notice with respect thereto shall be deemed to have been withdrawn.</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3.02.</w:t>
      </w:r>
      <w:r>
        <w:rPr>
          <w:sz w:val="20"/>
          <w:szCs w:val="20"/>
          <w:color w:val="auto"/>
        </w:rPr>
        <w:tab/>
      </w:r>
      <w:r>
        <w:rPr>
          <w:rFonts w:ascii="Arial" w:cs="Arial" w:eastAsia="Arial" w:hAnsi="Arial"/>
          <w:sz w:val="16"/>
          <w:szCs w:val="16"/>
          <w:i w:val="1"/>
          <w:iCs w:val="1"/>
          <w:color w:val="auto"/>
        </w:rPr>
        <w:t>Repurchase of Securities by the Company at the Option of Holders on November 15, 2028.</w:t>
      </w:r>
    </w:p>
    <w:p>
      <w:pPr>
        <w:spacing w:after="0" w:line="221" w:lineRule="exact"/>
        <w:rPr>
          <w:sz w:val="20"/>
          <w:szCs w:val="20"/>
          <w:color w:val="auto"/>
        </w:rPr>
      </w:pPr>
    </w:p>
    <w:p>
      <w:pPr>
        <w:jc w:val="both"/>
        <w:ind w:right="80" w:firstLine="656"/>
        <w:spacing w:after="0" w:line="261" w:lineRule="auto"/>
        <w:tabs>
          <w:tab w:leader="none" w:pos="1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November 15, 2028 (the “</w:t>
      </w:r>
      <w:r>
        <w:rPr>
          <w:rFonts w:ascii="Arial" w:cs="Arial" w:eastAsia="Arial" w:hAnsi="Arial"/>
          <w:sz w:val="18"/>
          <w:szCs w:val="18"/>
          <w:b w:val="1"/>
          <w:bCs w:val="1"/>
          <w:color w:val="auto"/>
        </w:rPr>
        <w:t>2028 Repurchase Date</w:t>
      </w:r>
      <w:r>
        <w:rPr>
          <w:rFonts w:ascii="Arial" w:cs="Arial" w:eastAsia="Arial" w:hAnsi="Arial"/>
          <w:sz w:val="18"/>
          <w:szCs w:val="18"/>
          <w:color w:val="auto"/>
        </w:rPr>
        <w:t>”), each Holder shall have the right, at such Holder’s option, subject to the terms and conditions of this Article 3, to require the Company to repurchase for Cash all or any portion of such Holder’s Notes in integral multiples of $1,000 Principal Amount at Maturity at a price (the “</w:t>
      </w:r>
      <w:r>
        <w:rPr>
          <w:rFonts w:ascii="Arial" w:cs="Arial" w:eastAsia="Arial" w:hAnsi="Arial"/>
          <w:sz w:val="18"/>
          <w:szCs w:val="18"/>
          <w:b w:val="1"/>
          <w:bCs w:val="1"/>
          <w:color w:val="auto"/>
        </w:rPr>
        <w:t>2028 Repurchase Price</w:t>
      </w:r>
      <w:r>
        <w:rPr>
          <w:rFonts w:ascii="Arial" w:cs="Arial" w:eastAsia="Arial" w:hAnsi="Arial"/>
          <w:sz w:val="18"/>
          <w:szCs w:val="18"/>
          <w:color w:val="auto"/>
        </w:rPr>
        <w:t>”) equal to the Accreted Principal Amount of the Notes to be repurchased, plus accrued and unpaid interest (including Additional Interest), if any, to, but excluding, the 2028 Repurchase Date.</w:t>
      </w:r>
    </w:p>
    <w:p>
      <w:pPr>
        <w:spacing w:after="0" w:line="184" w:lineRule="exact"/>
        <w:rPr>
          <w:rFonts w:ascii="Arial" w:cs="Arial" w:eastAsia="Arial" w:hAnsi="Arial"/>
          <w:sz w:val="18"/>
          <w:szCs w:val="18"/>
          <w:color w:val="auto"/>
        </w:rPr>
      </w:pPr>
    </w:p>
    <w:p>
      <w:pPr>
        <w:ind w:right="40" w:firstLine="656"/>
        <w:spacing w:after="0" w:line="264" w:lineRule="auto"/>
        <w:tabs>
          <w:tab w:leader="none" w:pos="13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or before the 20th Business Day prior to the 2028 Repurchase Date, the Company shall deliver or cause to be delivered to all Holders of record on such date at their addresses shown in the Register of the Registrar (and to beneficial owners as required by applicable law) a 2028 Repurchase Notice as set forth in Section 3.02(c). No failure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Company to give the foregoing notices and no defect therein shall limit the repurchase rights of Holders or affect the validity of the proceedings for the repurchase of the Notes pursuant to this Section 3.02.</w:t>
      </w:r>
    </w:p>
    <w:p>
      <w:pPr>
        <w:spacing w:after="0" w:line="170" w:lineRule="exact"/>
        <w:rPr>
          <w:sz w:val="20"/>
          <w:szCs w:val="20"/>
          <w:color w:val="auto"/>
        </w:rPr>
      </w:pPr>
    </w:p>
    <w:p>
      <w:pPr>
        <w:ind w:right="20" w:firstLine="656"/>
        <w:spacing w:after="0" w:line="269" w:lineRule="auto"/>
        <w:tabs>
          <w:tab w:leader="none" w:pos="13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Notes to be so repurchased at the option of the Holder, the Holder must deliver to the Paying Agent, at any time during the period beginning at 9:00 a.m., New York City time, on the date that is 20 Business Days prior to the applicable Repurchase Date and ending at the Close of Business on the Business Day immediately preceding the 2028 Repurchase Date, (i) a notice (the “</w:t>
      </w:r>
      <w:r>
        <w:rPr>
          <w:rFonts w:ascii="Arial" w:cs="Arial" w:eastAsia="Arial" w:hAnsi="Arial"/>
          <w:sz w:val="17"/>
          <w:szCs w:val="17"/>
          <w:b w:val="1"/>
          <w:bCs w:val="1"/>
          <w:color w:val="auto"/>
        </w:rPr>
        <w:t>2028 Repurchase Notice</w:t>
      </w:r>
      <w:r>
        <w:rPr>
          <w:rFonts w:ascii="Arial" w:cs="Arial" w:eastAsia="Arial" w:hAnsi="Arial"/>
          <w:sz w:val="17"/>
          <w:szCs w:val="17"/>
          <w:color w:val="auto"/>
        </w:rPr>
        <w:t xml:space="preserve">”) in the form set forth on the reverse of the Notes duly completed (if the Notes are certificated) or comply with applicable Depositary procedures (if the Notes are represented by a Global Note) together with (ii) such Notes duly endorsed for transfer (if the Notes are certificated) or book-entry transfer of such Notes (if such Notes are represented by a Global Note). The delivery of such Notes to the Paying Agent with, or at any time after delivery of, the 2028 Repurchase Notice (together with all necessary endorsements) at the office of the Paying Agent shall be a condition to the payment by the Company to the Holder of the 2028 Repurchase Price therefor;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Repurchase Price shall be so paid pursuant to this Section 3.02 only if the Notes so delivered to the Paying Agent shall conform in all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to the description thereof in the 2028 Repurchase Notice. All questions as to the validity, eligibility (including time of receipt) and acceptance of any Notes for repurchase shall be determined in good faith by the Company, whose determination shall be final and binding absent manifest error. The 2028 Repurchase Notice shall state:</w:t>
      </w:r>
    </w:p>
    <w:p>
      <w:pPr>
        <w:spacing w:after="0" w:line="182" w:lineRule="exact"/>
        <w:rPr>
          <w:rFonts w:ascii="Arial" w:cs="Arial" w:eastAsia="Arial" w:hAnsi="Arial"/>
          <w:sz w:val="17"/>
          <w:szCs w:val="17"/>
          <w:color w:val="auto"/>
        </w:rPr>
      </w:pPr>
    </w:p>
    <w:p>
      <w:pPr>
        <w:ind w:left="1980" w:hanging="675"/>
        <w:spacing w:after="0"/>
        <w:tabs>
          <w:tab w:leader="none" w:pos="1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certificate numbers of the Notes to be repurchased, if they are Certificated Notes;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portion of the Principal Amount at Maturity of a Holder’s Notes to be repurchased, which must be in integral multiples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$1,000 Principal Amount at Maturity; and</w:t>
      </w:r>
    </w:p>
    <w:p>
      <w:pPr>
        <w:spacing w:after="0" w:line="211" w:lineRule="exact"/>
        <w:rPr>
          <w:sz w:val="20"/>
          <w:szCs w:val="20"/>
          <w:color w:val="auto"/>
        </w:rPr>
      </w:pPr>
    </w:p>
    <w:p>
      <w:pPr>
        <w:ind w:left="2000" w:hanging="695"/>
        <w:spacing w:after="0"/>
        <w:tabs>
          <w:tab w:leader="none" w:pos="20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 Indenture.</w:t>
      </w:r>
    </w:p>
    <w:p>
      <w:pPr>
        <w:spacing w:after="0" w:line="236" w:lineRule="exact"/>
        <w:rPr>
          <w:rFonts w:ascii="Arial" w:cs="Arial" w:eastAsia="Arial" w:hAnsi="Arial"/>
          <w:sz w:val="17"/>
          <w:szCs w:val="17"/>
          <w:color w:val="auto"/>
        </w:rPr>
      </w:pPr>
    </w:p>
    <w:p>
      <w:pPr>
        <w:ind w:right="540" w:firstLine="656"/>
        <w:spacing w:after="0" w:line="277"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repurchase from the Holder thereof, pursuant to this Section 3.02, a portion of a Note, if the Principal Amount at Maturity of such portion is in integral multiples of $1,000 Principal Amount at Maturity.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Paying Agent shall promptly notify the Company of the receipt by it of any 2028 Repurchase Notice or written notice of withdrawal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firstLine="656"/>
        <w:spacing w:after="0" w:line="264" w:lineRule="auto"/>
        <w:tabs>
          <w:tab w:leader="none" w:pos="13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repurchase by the Company contemplated pursuant to the provisions of this Section 3.02 shall be consummated by the delivery of the consideration to be received by the Holder promptly following the later of the 2028 Repurchase Date and the time of the book-entry transfer or delivery of the Notes, as the case may be.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Section 3.03. Effect of Repurchase Notice</w:t>
      </w:r>
      <w:r>
        <w:rPr>
          <w:rFonts w:ascii="Arial" w:cs="Arial" w:eastAsia="Arial" w:hAnsi="Arial"/>
          <w:sz w:val="18"/>
          <w:szCs w:val="18"/>
          <w:color w:val="auto"/>
        </w:rPr>
        <w:t>. (a) Upon receipt by the Paying Agent of the Fundamental Change Repurchase Notice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3.01(c) or the 2028 Repurchase Notice specified in Section 3.02(c) (each of the foregoing, a “</w:t>
      </w:r>
      <w:r>
        <w:rPr>
          <w:rFonts w:ascii="Arial" w:cs="Arial" w:eastAsia="Arial" w:hAnsi="Arial"/>
          <w:sz w:val="18"/>
          <w:szCs w:val="18"/>
          <w:b w:val="1"/>
          <w:bCs w:val="1"/>
          <w:color w:val="auto"/>
        </w:rPr>
        <w:t>Repurchase Notice</w:t>
      </w:r>
      <w:r>
        <w:rPr>
          <w:rFonts w:ascii="Arial" w:cs="Arial" w:eastAsia="Arial" w:hAnsi="Arial"/>
          <w:sz w:val="18"/>
          <w:szCs w:val="18"/>
          <w:color w:val="auto"/>
        </w:rPr>
        <w:t>”), the Holder of the Note in respect of which such Repurchase Notice was given shall (unless such Repurchase Notice is withdrawn as specified in this Section 3.03) thereafter be entitled to receive solely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Fundamental Change Repurchase Price or 2028 Repurchase Price (each of the foregoing, a “</w:t>
      </w:r>
      <w:r>
        <w:rPr>
          <w:rFonts w:ascii="Arial" w:cs="Arial" w:eastAsia="Arial" w:hAnsi="Arial"/>
          <w:sz w:val="16"/>
          <w:szCs w:val="16"/>
          <w:b w:val="1"/>
          <w:bCs w:val="1"/>
          <w:color w:val="auto"/>
        </w:rPr>
        <w:t>Repurchase Price</w:t>
      </w:r>
      <w:r>
        <w:rPr>
          <w:rFonts w:ascii="Arial" w:cs="Arial" w:eastAsia="Arial" w:hAnsi="Arial"/>
          <w:sz w:val="16"/>
          <w:szCs w:val="16"/>
          <w:color w:val="auto"/>
        </w:rPr>
        <w:t>”), as applicable, and any accrued and unpaid interest (including any Additional Interest) to but not including the Fundamental Change Repurchase Date or 2028 Repurchase Date (each of the foregoing, a “</w:t>
      </w:r>
      <w:r>
        <w:rPr>
          <w:rFonts w:ascii="Arial" w:cs="Arial" w:eastAsia="Arial" w:hAnsi="Arial"/>
          <w:sz w:val="16"/>
          <w:szCs w:val="16"/>
          <w:b w:val="1"/>
          <w:bCs w:val="1"/>
          <w:color w:val="auto"/>
        </w:rPr>
        <w:t>Repurchase Date</w:t>
      </w:r>
      <w:r>
        <w:rPr>
          <w:rFonts w:ascii="Arial" w:cs="Arial" w:eastAsia="Arial" w:hAnsi="Arial"/>
          <w:sz w:val="16"/>
          <w:szCs w:val="16"/>
          <w:color w:val="auto"/>
        </w:rPr>
        <w:t>”), as applicable, with respect to such Note. Such Repurchase Price shall be paid to such Holder, subject to receipt of funds by the Paying Agent, on or prior to the later of (x) the Repurchase Date with respect to such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conditions in Section 3.01(c) or Section 3.02(c), as applicable, have been satisfied) and (y) the time of delivery of such Note to the Paying Agent by the Holder thereof in the manner required by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3.01(c) or Section 3.02(c), as applicable. Notes in respect of which a Repurchase Notice has been given by the Holder thereof may not be converted pursuant to Article 10 hereof on or after the date of the delivery of such Repurchase Notice unless such Repurchase Notice has first been validly withdrawn as specified in this Section 3.03.</w:t>
      </w:r>
    </w:p>
    <w:p>
      <w:pPr>
        <w:spacing w:after="0" w:line="190" w:lineRule="exact"/>
        <w:rPr>
          <w:sz w:val="20"/>
          <w:szCs w:val="20"/>
          <w:color w:val="auto"/>
        </w:rPr>
      </w:pPr>
    </w:p>
    <w:p>
      <w:pPr>
        <w:ind w:firstLine="1305"/>
        <w:spacing w:after="0" w:line="286" w:lineRule="auto"/>
        <w:tabs>
          <w:tab w:leader="none" w:pos="19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Repurchase Notice may be withdrawn by means of a written notice of withdrawal delivered to the office of the Paying Agent at any time prior to the Close of Business on the Business Day immediately preceding the Repurchase Date. If a Repurchase Notice is withdrawn, the Company will not be obligated to repurchase such Notes listed in the Repurchase Notice. Such notice of withdrawal shall state:</w:t>
      </w:r>
    </w:p>
    <w:p>
      <w:pPr>
        <w:sectPr>
          <w:pgSz w:w="11900" w:h="16838" w:orient="portrait"/>
          <w:cols w:equalWidth="0" w:num="1">
            <w:col w:w="11400"/>
          </w:cols>
          <w:pgMar w:left="240" w:top="125" w:right="259" w:bottom="0" w:gutter="0" w:footer="0" w:header="0"/>
        </w:sectPr>
      </w:pPr>
    </w:p>
    <w:bookmarkStart w:id="18" w:name="page19"/>
    <w:bookmarkEnd w:id="18"/>
    <w:p>
      <w:pPr>
        <w:spacing w:after="0" w:line="68" w:lineRule="exact"/>
        <w:rPr>
          <w:sz w:val="20"/>
          <w:szCs w:val="20"/>
          <w:color w:val="auto"/>
        </w:rPr>
      </w:pPr>
    </w:p>
    <w:p>
      <w:pPr>
        <w:ind w:left="2620" w:hanging="667"/>
        <w:spacing w:after="0"/>
        <w:tabs>
          <w:tab w:leader="none" w:pos="2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Amount at Maturity being withdrawn;</w:t>
      </w:r>
    </w:p>
    <w:p>
      <w:pPr>
        <w:spacing w:after="0" w:line="225" w:lineRule="exact"/>
        <w:rPr>
          <w:rFonts w:ascii="Arial" w:cs="Arial" w:eastAsia="Arial" w:hAnsi="Arial"/>
          <w:sz w:val="18"/>
          <w:szCs w:val="18"/>
          <w:color w:val="auto"/>
        </w:rPr>
      </w:pPr>
    </w:p>
    <w:p>
      <w:pPr>
        <w:ind w:right="120" w:firstLine="1953"/>
        <w:spacing w:after="0" w:line="277" w:lineRule="auto"/>
        <w:tabs>
          <w:tab w:leader="none" w:pos="2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Principal Amount at Maturity, if any, of the Notes that remain subject to a Repurchase Notice, which must be $1,000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whole multiples thereof.</w:t>
      </w:r>
    </w:p>
    <w:p>
      <w:pPr>
        <w:spacing w:after="0" w:line="21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Section 3.04. Deposit of Repurchase Price</w:t>
      </w:r>
      <w:r>
        <w:rPr>
          <w:rFonts w:ascii="Arial" w:cs="Arial" w:eastAsia="Arial" w:hAnsi="Arial"/>
          <w:sz w:val="16"/>
          <w:szCs w:val="16"/>
          <w:color w:val="auto"/>
        </w:rPr>
        <w:t>. Prior to 12:00 p.m., New York City time, on or prior to the Repurchase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Paying Agent holds money sufficient to pay the Repurchase Price with respect to the Notes to be repurchased on the Repurchase Date in accordance with the terms of this Indenture, then, immediately on and after the Repurchase Date, those Notes shall cease to be outstanding, interest (including any Additional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17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i w:val="1"/>
          <w:iCs w:val="1"/>
          <w:color w:val="auto"/>
        </w:rPr>
        <w:t>Section 3.05. Notes Repurchased in Part</w:t>
      </w:r>
      <w:r>
        <w:rPr>
          <w:rFonts w:ascii="Arial" w:cs="Arial" w:eastAsia="Arial" w:hAnsi="Arial"/>
          <w:sz w:val="17"/>
          <w:szCs w:val="17"/>
          <w:color w:val="auto"/>
        </w:rPr>
        <w:t>. Any Note which is to be repurchased only in part shall be surrendered at the office of the Paying</w:t>
      </w:r>
      <w:r>
        <w:rPr>
          <w:rFonts w:ascii="Arial" w:cs="Arial" w:eastAsia="Arial" w:hAnsi="Arial"/>
          <w:sz w:val="17"/>
          <w:szCs w:val="17"/>
          <w:i w:val="1"/>
          <w:iCs w:val="1"/>
          <w:color w:val="auto"/>
        </w:rPr>
        <w:t xml:space="preserve"> </w:t>
      </w:r>
      <w:r>
        <w:rPr>
          <w:rFonts w:ascii="Arial" w:cs="Arial" w:eastAsia="Arial" w:hAnsi="Arial"/>
          <w:sz w:val="17"/>
          <w:szCs w:val="17"/>
          <w:color w:val="auto"/>
        </w:rPr>
        <w:t>Agent (with, if the Company or the Trustee so requires, due endorsement by, or a written instrument of transfer in form satisfactory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at Maturity equal to, and in exchange for, the portion of the Principal Amount at Maturity of the Note so surrendered that is not repurchased.</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3.06.</w:t>
      </w:r>
      <w:r>
        <w:rPr>
          <w:sz w:val="20"/>
          <w:szCs w:val="20"/>
          <w:color w:val="auto"/>
        </w:rPr>
        <w:tab/>
      </w:r>
      <w:r>
        <w:rPr>
          <w:rFonts w:ascii="Arial" w:cs="Arial" w:eastAsia="Arial" w:hAnsi="Arial"/>
          <w:sz w:val="16"/>
          <w:szCs w:val="16"/>
          <w:i w:val="1"/>
          <w:iCs w:val="1"/>
          <w:color w:val="auto"/>
        </w:rPr>
        <w:t>Covenant to Comply with Securities Laws upon Repurchase of Notes</w:t>
      </w:r>
      <w:r>
        <w:rPr>
          <w:rFonts w:ascii="Arial" w:cs="Arial" w:eastAsia="Arial" w:hAnsi="Arial"/>
          <w:sz w:val="16"/>
          <w:szCs w:val="16"/>
          <w:color w:val="auto"/>
        </w:rPr>
        <w:t>. In connection with any repurchase upon the occurrence of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or Termination of Trading or in connection with the 2028 Repurchase Date, to the extent required by applicable law, the Company shall:</w:t>
      </w:r>
    </w:p>
    <w:p>
      <w:pPr>
        <w:spacing w:after="0" w:line="234" w:lineRule="exact"/>
        <w:rPr>
          <w:sz w:val="20"/>
          <w:szCs w:val="20"/>
          <w:color w:val="auto"/>
        </w:rPr>
      </w:pPr>
    </w:p>
    <w:p>
      <w:pPr>
        <w:ind w:left="1940" w:hanging="635"/>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the tender offer rules under the Exchange Act that may then be applicable;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as necessary to effect a repurchase of Notes by the Company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of Holder.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Section 4.01. Payment of Notes</w:t>
      </w:r>
      <w:r>
        <w:rPr>
          <w:rFonts w:ascii="Arial" w:cs="Arial" w:eastAsia="Arial" w:hAnsi="Arial"/>
          <w:sz w:val="17"/>
          <w:szCs w:val="17"/>
          <w:color w:val="auto"/>
        </w:rPr>
        <w:t>. (a) The Company agrees to pay the Accreted Principal Amount of and interest (including any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Interest) on the Notes on the dates and in the manner provided in the Notes and this Indenture. Not later than 12:00 p.m. New York City time, on the due date of any Accreted Principal Amount of or interest (including any Additional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or any Affiliate of the Company is acting as Paying Agent, it will, on or before each due date, segregate and hold in a separate trust fund for the benefit of the Holders a sum of money sufficient to pay such amounts until paid to such Holders or otherwise disposed of as provided in this Indenture. In each case the Company will promptly notify the Trustee of its compliance with this paragraph.</w:t>
      </w:r>
    </w:p>
    <w:p>
      <w:pPr>
        <w:spacing w:after="0" w:line="178" w:lineRule="exact"/>
        <w:rPr>
          <w:sz w:val="20"/>
          <w:szCs w:val="20"/>
          <w:color w:val="auto"/>
        </w:rPr>
      </w:pPr>
    </w:p>
    <w:p>
      <w:pPr>
        <w:ind w:right="160" w:firstLine="1305"/>
        <w:spacing w:after="0" w:line="259" w:lineRule="auto"/>
        <w:tabs>
          <w:tab w:leader="none" w:pos="19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installment of Accreted Principal Amount or interest (including any Additional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Accreted Principal Amount or interest (including any Additional Interest) will be considered paid on the due date only if paid to the Holders.</w:t>
      </w:r>
    </w:p>
    <w:p>
      <w:pPr>
        <w:spacing w:after="0" w:line="186" w:lineRule="exact"/>
        <w:rPr>
          <w:rFonts w:ascii="Arial" w:cs="Arial" w:eastAsia="Arial" w:hAnsi="Arial"/>
          <w:sz w:val="18"/>
          <w:szCs w:val="18"/>
          <w:color w:val="auto"/>
        </w:rPr>
      </w:pPr>
    </w:p>
    <w:p>
      <w:pPr>
        <w:ind w:right="360" w:firstLine="1305"/>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agrees to pay interest on overdue Accreted Principal Amount, and, to the extent lawful, overdue installments of interest at the rate per annum specified in the Notes.</w:t>
      </w:r>
    </w:p>
    <w:p>
      <w:pPr>
        <w:spacing w:after="0" w:line="170" w:lineRule="exact"/>
        <w:rPr>
          <w:rFonts w:ascii="Arial" w:cs="Arial" w:eastAsia="Arial" w:hAnsi="Arial"/>
          <w:sz w:val="18"/>
          <w:szCs w:val="18"/>
          <w:color w:val="auto"/>
        </w:rPr>
      </w:pPr>
    </w:p>
    <w:p>
      <w:pPr>
        <w:ind w:right="600" w:firstLine="1305"/>
        <w:spacing w:after="0" w:line="277" w:lineRule="auto"/>
        <w:tabs>
          <w:tab w:leader="none" w:pos="19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in respect of the Notes represented by the Global Notes are to be made by wire transfer of same-day funds to the Depositary for the purpose of permitting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Section 4.02. Maintenance of Office or Agency</w:t>
      </w:r>
      <w:r>
        <w:rPr>
          <w:rFonts w:ascii="Arial" w:cs="Arial" w:eastAsia="Arial" w:hAnsi="Arial"/>
          <w:sz w:val="18"/>
          <w:szCs w:val="18"/>
          <w:color w:val="auto"/>
        </w:rPr>
        <w:t>. The Company will maintain in the United States, an office or agency where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surrendered for registration of transfer or exchange or for presentation for payment and where notices and demands to or upon the 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ectPr>
          <w:pgSz w:w="11900" w:h="16906" w:orient="portrait"/>
          <w:cols w:equalWidth="0" w:num="1">
            <w:col w:w="11400"/>
          </w:cols>
          <w:pgMar w:left="240" w:top="125" w:right="259" w:bottom="0" w:gutter="0" w:footer="0" w:header="0"/>
        </w:sectPr>
      </w:pPr>
    </w:p>
    <w:bookmarkStart w:id="19" w:name="page20"/>
    <w:bookmarkEnd w:id="19"/>
    <w:p>
      <w:pPr>
        <w:jc w:val="both"/>
        <w:ind w:right="12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Section 4.03. Existence</w:t>
      </w:r>
      <w:r>
        <w:rPr>
          <w:rFonts w:ascii="Arial" w:cs="Arial" w:eastAsia="Arial" w:hAnsi="Arial"/>
          <w:sz w:val="18"/>
          <w:szCs w:val="18"/>
          <w:color w:val="auto"/>
        </w:rPr>
        <w:t>. The Company will do or cause to be done all things necessary to preserve and keep in full force and effect its existence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this Section does not prohibit any transaction otherwise permitted by Section 5.01.</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Section 4.04. Reports; 144A Information</w:t>
      </w:r>
      <w:r>
        <w:rPr>
          <w:rFonts w:ascii="Arial" w:cs="Arial" w:eastAsia="Arial" w:hAnsi="Arial"/>
          <w:sz w:val="16"/>
          <w:szCs w:val="16"/>
          <w:color w:val="auto"/>
        </w:rPr>
        <w:t>. (a) The Company shall deliver to the Trustee, within 15 days after the Company is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 Section 15(d) of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information, documents or reports filed with the Commission pursuant to its Electronic Data Gathering, Analysis and Retrieval (or EDGAR) (or any successor electronic delivery procedure) system shall be deemed to be filed with the Trustee.</w:t>
      </w:r>
    </w:p>
    <w:p>
      <w:pPr>
        <w:spacing w:after="0" w:line="158" w:lineRule="exact"/>
        <w:rPr>
          <w:sz w:val="20"/>
          <w:szCs w:val="20"/>
          <w:color w:val="auto"/>
        </w:rPr>
      </w:pPr>
    </w:p>
    <w:p>
      <w:pPr>
        <w:ind w:right="120" w:firstLine="1305"/>
        <w:spacing w:after="0" w:line="312" w:lineRule="auto"/>
        <w:tabs>
          <w:tab w:leader="none" w:pos="19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7" w:lineRule="auto"/>
        <w:tabs>
          <w:tab w:leader="none" w:pos="1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at any time that any of the Notes are “restricted securities” within the meaning of Rule 144 under the Securities Act, the Company is not subject to the reporting requirements of the Exchange Act, the Company shall, upon the request of a Holder, beneficial owner or prospective purchaser of the Notes or any shares of Common Stock issuable upon conversion of the Notes, promptly furnish such Holder, beneficial owner or prospective purchaser the information required to be delivered pursuant to Rule 144A(d)(4) under the Securities Act to facilitate the resale of the Notes pursuant to Rule 144A.</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4.05.</w:t>
      </w:r>
      <w:r>
        <w:rPr>
          <w:sz w:val="20"/>
          <w:szCs w:val="20"/>
          <w:color w:val="auto"/>
        </w:rPr>
        <w:tab/>
      </w:r>
      <w:r>
        <w:rPr>
          <w:rFonts w:ascii="Arial" w:cs="Arial" w:eastAsia="Arial" w:hAnsi="Arial"/>
          <w:sz w:val="16"/>
          <w:szCs w:val="16"/>
          <w:i w:val="1"/>
          <w:iCs w:val="1"/>
          <w:color w:val="auto"/>
        </w:rPr>
        <w:t>Reports to Trustee</w:t>
      </w:r>
      <w:r>
        <w:rPr>
          <w:rFonts w:ascii="Arial" w:cs="Arial" w:eastAsia="Arial" w:hAnsi="Arial"/>
          <w:sz w:val="16"/>
          <w:szCs w:val="16"/>
          <w:color w:val="auto"/>
        </w:rPr>
        <w:t>. The Company will deliver to the Trustee:</w:t>
      </w:r>
    </w:p>
    <w:p>
      <w:pPr>
        <w:spacing w:after="0" w:line="225" w:lineRule="exact"/>
        <w:rPr>
          <w:sz w:val="20"/>
          <w:szCs w:val="20"/>
          <w:color w:val="auto"/>
        </w:rPr>
      </w:pPr>
    </w:p>
    <w:p>
      <w:pPr>
        <w:ind w:right="240" w:firstLine="1305"/>
        <w:spacing w:after="0" w:line="259" w:lineRule="auto"/>
        <w:tabs>
          <w:tab w:leader="none" w:pos="19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within 120 days after the end of each fiscal year commencing with the fiscal year ended August 28, 2014, a certificate from the principal executive, financial or accounting officer of the Company stating 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86" w:lineRule="exact"/>
        <w:rPr>
          <w:rFonts w:ascii="Arial" w:cs="Arial" w:eastAsia="Arial" w:hAnsi="Arial"/>
          <w:sz w:val="18"/>
          <w:szCs w:val="18"/>
          <w:color w:val="auto"/>
        </w:rPr>
      </w:pPr>
    </w:p>
    <w:p>
      <w:pPr>
        <w:ind w:right="20" w:firstLine="1305"/>
        <w:spacing w:after="0" w:line="342" w:lineRule="auto"/>
        <w:tabs>
          <w:tab w:leader="none" w:pos="19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12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Section 4.06. Stay, Extension and Usury Laws</w:t>
      </w:r>
      <w:r>
        <w:rPr>
          <w:rFonts w:ascii="Arial" w:cs="Arial" w:eastAsia="Arial" w:hAnsi="Arial"/>
          <w:sz w:val="17"/>
          <w:szCs w:val="17"/>
          <w:color w:val="auto"/>
        </w:rPr>
        <w:t>. The Company covenants (to the extent that it may lawfully do so) that it will not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Section 5.01. Consolidation, Merger, Sale or Lease of Assets by the Company</w:t>
      </w:r>
      <w:r>
        <w:rPr>
          <w:rFonts w:ascii="Arial" w:cs="Arial" w:eastAsia="Arial" w:hAnsi="Arial"/>
          <w:sz w:val="18"/>
          <w:szCs w:val="18"/>
          <w:color w:val="auto"/>
        </w:rPr>
        <w:t>. (a) The Company may consolidate with or merge into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or convey, transfer or lease its properties and assets substantially as an entirety to another Person only if:</w:t>
      </w:r>
    </w:p>
    <w:p>
      <w:pPr>
        <w:spacing w:after="0" w:line="170" w:lineRule="exact"/>
        <w:rPr>
          <w:sz w:val="20"/>
          <w:szCs w:val="20"/>
          <w:color w:val="auto"/>
        </w:rPr>
      </w:pPr>
    </w:p>
    <w:p>
      <w:pPr>
        <w:ind w:right="40" w:firstLine="1953"/>
        <w:spacing w:after="0" w:line="277" w:lineRule="auto"/>
        <w:tabs>
          <w:tab w:leader="none" w:pos="26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such corporation (if other than the Company) assumes all of the obligations of the Company under the Notes and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left="5620" w:right="40" w:hanging="3667"/>
        <w:spacing w:after="0" w:line="528" w:lineRule="auto"/>
        <w:tabs>
          <w:tab w:leader="none" w:pos="26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Default has occurred and is continuing; and 27</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860" w:firstLine="1953"/>
        <w:spacing w:after="0" w:line="308" w:lineRule="auto"/>
        <w:tabs>
          <w:tab w:leader="none" w:pos="26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delivers to the Trustee an Officers’ Certificate and an Opinion of Counsel, each stating that such consolidation, merger, conveyance, transfer or lease and the supplemental indenture (if any) comply with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-696595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7" w:lineRule="exact"/>
        <w:rPr>
          <w:sz w:val="20"/>
          <w:szCs w:val="20"/>
          <w:color w:val="auto"/>
        </w:rPr>
      </w:pPr>
    </w:p>
    <w:p>
      <w:pPr>
        <w:ind w:firstLine="1305"/>
        <w:spacing w:after="0" w:line="257" w:lineRule="auto"/>
        <w:tabs>
          <w:tab w:leader="none" w:pos="19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 Company’s Subsidiaries, the Company will be released from its obligations under the Notes and this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ectPr>
          <w:pgSz w:w="11900" w:h="16838" w:orient="portrait"/>
          <w:cols w:equalWidth="0" w:num="1">
            <w:col w:w="11420"/>
          </w:cols>
          <w:pgMar w:left="240" w:top="341" w:right="239" w:bottom="0" w:gutter="0" w:footer="0" w:header="0"/>
        </w:sectPr>
      </w:pPr>
    </w:p>
    <w:bookmarkStart w:id="20" w:name="page21"/>
    <w:bookmarkEnd w:id="20"/>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29" w:lineRule="exact"/>
        <w:rPr>
          <w:sz w:val="20"/>
          <w:szCs w:val="20"/>
          <w:color w:val="auto"/>
        </w:rPr>
      </w:pPr>
    </w:p>
    <w:p>
      <w:pPr>
        <w:ind w:right="100" w:firstLine="1305"/>
        <w:spacing w:after="0" w:line="277" w:lineRule="auto"/>
        <w:tabs>
          <w:tab w:leader="none" w:pos="19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defaults in payment of the Accreted Principal Amount or any Repurchase Price or Redemption Price with respect to any Note, when such becomes due and payable upon required purchase, upon declaration or otherwise;</w:t>
      </w:r>
    </w:p>
    <w:p>
      <w:pPr>
        <w:spacing w:after="0" w:line="170" w:lineRule="exact"/>
        <w:rPr>
          <w:rFonts w:ascii="Arial" w:cs="Arial" w:eastAsia="Arial" w:hAnsi="Arial"/>
          <w:sz w:val="18"/>
          <w:szCs w:val="18"/>
          <w:color w:val="auto"/>
        </w:rPr>
      </w:pPr>
    </w:p>
    <w:p>
      <w:pPr>
        <w:ind w:right="60" w:firstLine="1305"/>
        <w:spacing w:after="0" w:line="277"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defaults in payment of any interest (including any Additional Interest) due on any Note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40" w:firstLine="1305"/>
        <w:spacing w:after="0" w:line="264"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or a Change in Control as required under Section 3.01(b) of this Indenture or a Make-Whole Change in Control that does not constitute a Change in Control as required under Section 10.10(a) of this Indenture, and such default continues for a period of three Business Days;</w:t>
      </w:r>
    </w:p>
    <w:p>
      <w:pPr>
        <w:spacing w:after="0" w:line="181" w:lineRule="exact"/>
        <w:rPr>
          <w:rFonts w:ascii="Arial" w:cs="Arial" w:eastAsia="Arial" w:hAnsi="Arial"/>
          <w:sz w:val="18"/>
          <w:szCs w:val="18"/>
          <w:color w:val="auto"/>
        </w:rPr>
      </w:pPr>
    </w:p>
    <w:p>
      <w:pPr>
        <w:ind w:firstLine="1305"/>
        <w:spacing w:after="0" w:line="264"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Cash, shares of Common Stock or a combination thereof, as described in Section 10.03, upon exercise of a Holder’s right to convert its Notes pursuant to Article 10 and such default continues for a period of three Business Days;</w:t>
      </w:r>
    </w:p>
    <w:p>
      <w:pPr>
        <w:spacing w:after="0" w:line="181" w:lineRule="exact"/>
        <w:rPr>
          <w:rFonts w:ascii="Arial" w:cs="Arial" w:eastAsia="Arial" w:hAnsi="Arial"/>
          <w:sz w:val="18"/>
          <w:szCs w:val="18"/>
          <w:color w:val="auto"/>
        </w:rPr>
      </w:pPr>
    </w:p>
    <w:p>
      <w:pPr>
        <w:jc w:val="both"/>
        <w:ind w:right="420" w:firstLine="1305"/>
        <w:spacing w:after="0" w:line="264"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at Maturity of the Notes then outstanding;</w:t>
      </w:r>
    </w:p>
    <w:p>
      <w:pPr>
        <w:spacing w:after="0" w:line="181" w:lineRule="exact"/>
        <w:rPr>
          <w:rFonts w:ascii="Arial" w:cs="Arial" w:eastAsia="Arial" w:hAnsi="Arial"/>
          <w:sz w:val="18"/>
          <w:szCs w:val="18"/>
          <w:color w:val="auto"/>
        </w:rPr>
      </w:pPr>
    </w:p>
    <w:p>
      <w:pPr>
        <w:ind w:right="160" w:firstLine="1305"/>
        <w:spacing w:after="0" w:line="259" w:lineRule="auto"/>
        <w:tabs>
          <w:tab w:leader="none" w:pos="19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(1) the Company fails to make any payment at maturity (after giving effect to any applicable grace period) of any Debt of the Company in a principal amount in excess of $100,000,000 and the continuance of such failure, or (2) the acceleration of Debt of the Company in an amount in excess of $100,000,000 because of a default with respect to such Debt without such Debt having been discharged or such acceleration having been cured, waived,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rescinded or annulled within a period of 30 days after written notice to the Company by the Trustee or to the Company and the Trustee by the Holders of not less than 25% in aggregate Principal Amount at Maturity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w:t>
      </w: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above shall cease or be cured, waived, rescinded or annulled, then the resulting Event of Default shall be deemed not to have occurred;</w:t>
      </w:r>
    </w:p>
    <w:p>
      <w:pPr>
        <w:spacing w:after="0" w:line="210" w:lineRule="exact"/>
        <w:rPr>
          <w:rFonts w:ascii="Arial" w:cs="Arial" w:eastAsia="Arial" w:hAnsi="Arial"/>
          <w:sz w:val="18"/>
          <w:szCs w:val="18"/>
          <w:color w:val="auto"/>
        </w:rPr>
      </w:pPr>
    </w:p>
    <w:p>
      <w:pPr>
        <w:ind w:right="80" w:firstLine="1305"/>
        <w:spacing w:after="0" w:line="297" w:lineRule="auto"/>
        <w:tabs>
          <w:tab w:leader="none" w:pos="1965"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Company, pursuant to or under or within the meaning of any Bankruptcy Law, (i) commences a voluntary case or proceeding; (ii) consents to the entry of an order for relief against it in an involuntary case or proceeding or the commencement of any case against it; (iii) consents to the appointment of any receiver, trustee, assignee, liquidator, 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58" w:lineRule="exact"/>
        <w:rPr>
          <w:rFonts w:ascii="Arial" w:cs="Arial" w:eastAsia="Arial" w:hAnsi="Arial"/>
          <w:sz w:val="16"/>
          <w:szCs w:val="16"/>
          <w:color w:val="auto"/>
        </w:rPr>
      </w:pPr>
    </w:p>
    <w:p>
      <w:pPr>
        <w:ind w:right="20" w:firstLine="1305"/>
        <w:spacing w:after="0" w:line="302" w:lineRule="auto"/>
        <w:tabs>
          <w:tab w:leader="none" w:pos="19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(g) or (h) a “</w:t>
      </w:r>
      <w:r>
        <w:rPr>
          <w:rFonts w:ascii="Arial" w:cs="Arial" w:eastAsia="Arial" w:hAnsi="Arial"/>
          <w:sz w:val="16"/>
          <w:szCs w:val="16"/>
          <w:b w:val="1"/>
          <w:bCs w:val="1"/>
          <w:color w:val="auto"/>
        </w:rPr>
        <w:t>Bankruptcy Default</w:t>
      </w:r>
      <w:r>
        <w:rPr>
          <w:rFonts w:ascii="Arial" w:cs="Arial" w:eastAsia="Arial" w:hAnsi="Arial"/>
          <w:sz w:val="16"/>
          <w:szCs w:val="16"/>
          <w:color w:val="auto"/>
        </w:rPr>
        <w:t>”).</w:t>
      </w:r>
    </w:p>
    <w:p>
      <w:pPr>
        <w:spacing w:after="0" w:line="15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i w:val="1"/>
          <w:iCs w:val="1"/>
          <w:color w:val="auto"/>
        </w:rPr>
        <w:t>Section 6.02. Acceleration</w:t>
      </w:r>
      <w:r>
        <w:rPr>
          <w:rFonts w:ascii="Arial" w:cs="Arial" w:eastAsia="Arial" w:hAnsi="Arial"/>
          <w:sz w:val="16"/>
          <w:szCs w:val="16"/>
          <w:color w:val="auto"/>
        </w:rPr>
        <w:t>. If an Event of Default, other than a Bankruptcy Default and subject to Section 6.15 of this Indenture, occurs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under this Indenture, the Trustee or the Holders of at least 25% in aggregate of the outstanding Principal Amount at Maturity of the Notes, by written notice to the Company (and to the Trustee if the notice is given by the Holders), may, and the Trustee at the request of such Holders may, declare the Accreted Principal Amount of and accrued and unpaid interest (including any Additional Interest) on the Notes to be immediately due and payable. Upon a declaration of acceleration, such Accreted Principal Amount and interest (including any Additional Interest) will become immediately due and payable. If a Bankruptcy Default occurs, the Accreted Principal Amount of and accrued and unpaid interest (including any Additional Interest) on the Notes then outstanding will become immediately due and payable automatically without any declaration or other act on the part of the Trustee or any Holder.</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6.03. Other Remedies</w:t>
      </w:r>
      <w:r>
        <w:rPr>
          <w:rFonts w:ascii="Arial" w:cs="Arial" w:eastAsia="Arial" w:hAnsi="Arial"/>
          <w:sz w:val="18"/>
          <w:szCs w:val="18"/>
          <w:color w:val="auto"/>
        </w:rPr>
        <w:t>. If an Event of Default occurs and is continuing, the Trustee may pursue, in its own name or as trustee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trust, any available remedy by proceeding at law or in equity to collect the payment of Accreted Principal Amount of and interest (including any Additional Interest) on the Notes or to enforce the performance of any provision of the Notes or this Indenture. The Trustee may maintain a proceeding even if it does not possess any of the Notes or does not produce any of them in the proceeding.</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i w:val="1"/>
          <w:iCs w:val="1"/>
          <w:color w:val="auto"/>
        </w:rPr>
        <w:t>Section 6.04. Waiver of Past Defaults</w:t>
      </w:r>
      <w:r>
        <w:rPr>
          <w:rFonts w:ascii="Arial" w:cs="Arial" w:eastAsia="Arial" w:hAnsi="Arial"/>
          <w:sz w:val="17"/>
          <w:szCs w:val="17"/>
          <w:color w:val="auto"/>
        </w:rPr>
        <w:t>. Except as otherwise provided in Section 6.07 and Section 9.02(b), Holders of a majority in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at Maturity of the Notes then outstanding by written notice to the Company and to the Trustee may waive any existing or past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Default or Event of Default and its consequences and rescind and annul a declaration of acceleration with respect to such Default or Event of Default and its consequences (other than an uncured default (a) in the payment of the Accreted Principal Amount with respect to any Note, accrued and unpaid interest (including any Additional Interest) with respect to any Note or the Repurchase Price or Redemption Price with respect to any Note, (b) in the payment or delivery of Cash and shares of Common Stock, if any, due upon conversion or the redemption of the Notes or (c) in respect of any provision that under this Indenture cannot be modified or amended without the consent of the Holder of each outstanding Note affected) if:</w:t>
      </w:r>
    </w:p>
    <w:p>
      <w:pPr>
        <w:spacing w:after="0" w:line="173" w:lineRule="exact"/>
        <w:rPr>
          <w:sz w:val="20"/>
          <w:szCs w:val="20"/>
          <w:color w:val="auto"/>
        </w:rPr>
      </w:pPr>
    </w:p>
    <w:p>
      <w:pPr>
        <w:ind w:firstLine="1953"/>
        <w:spacing w:after="0" w:line="308" w:lineRule="auto"/>
        <w:tabs>
          <w:tab w:leader="none" w:pos="26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existing Events of Default, other than the nonpayment of the Accreted Principal Amount of and interest (including any Additional Interest) on the Notes that have become due solely by the declaration of acceleration, have been cured or waived, and</w:t>
      </w:r>
    </w:p>
    <w:p>
      <w:pPr>
        <w:spacing w:after="0" w:line="146" w:lineRule="exact"/>
        <w:rPr>
          <w:rFonts w:ascii="Arial" w:cs="Arial" w:eastAsia="Arial" w:hAnsi="Arial"/>
          <w:sz w:val="17"/>
          <w:szCs w:val="17"/>
          <w:color w:val="auto"/>
        </w:rPr>
      </w:pPr>
    </w:p>
    <w:p>
      <w:pPr>
        <w:ind w:left="2640" w:hanging="687"/>
        <w:spacing w:after="0"/>
        <w:tabs>
          <w:tab w:leader="none" w:pos="2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ectPr>
          <w:pgSz w:w="11900" w:h="16874" w:orient="portrait"/>
          <w:cols w:equalWidth="0" w:num="1">
            <w:col w:w="11400"/>
          </w:cols>
          <w:pgMar w:left="240" w:top="121" w:right="259" w:bottom="0" w:gutter="0" w:footer="0" w:header="0"/>
        </w:sectPr>
      </w:pPr>
    </w:p>
    <w:bookmarkStart w:id="21" w:name="page22"/>
    <w:bookmarkEnd w:id="21"/>
    <w:p>
      <w:pPr>
        <w:spacing w:after="0" w:line="1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i w:val="1"/>
          <w:iCs w:val="1"/>
          <w:color w:val="auto"/>
        </w:rPr>
        <w:t>Section 6.05. Control by Majority</w:t>
      </w:r>
      <w:r>
        <w:rPr>
          <w:rFonts w:ascii="Arial" w:cs="Arial" w:eastAsia="Arial" w:hAnsi="Arial"/>
          <w:sz w:val="17"/>
          <w:szCs w:val="17"/>
          <w:color w:val="auto"/>
        </w:rPr>
        <w:t>. The Holders of a majority in aggregate Principal Amount at Maturity of the Notes then outstanding may</w:t>
      </w:r>
      <w:r>
        <w:rPr>
          <w:rFonts w:ascii="Arial" w:cs="Arial" w:eastAsia="Arial" w:hAnsi="Arial"/>
          <w:sz w:val="17"/>
          <w:szCs w:val="17"/>
          <w:i w:val="1"/>
          <w:iCs w:val="1"/>
          <w:color w:val="auto"/>
        </w:rPr>
        <w:t xml:space="preserve"> </w:t>
      </w:r>
      <w:r>
        <w:rPr>
          <w:rFonts w:ascii="Arial" w:cs="Arial" w:eastAsia="Arial" w:hAnsi="Arial"/>
          <w:sz w:val="17"/>
          <w:szCs w:val="17"/>
          <w:color w:val="auto"/>
        </w:rPr>
        <w:t>direct the time, 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may take any other action it deems proper that is not inconsistent with any such direction received from Holders.</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Section 6.06. Limitation on Suits</w:t>
      </w:r>
      <w:r>
        <w:rPr>
          <w:rFonts w:ascii="Arial" w:cs="Arial" w:eastAsia="Arial" w:hAnsi="Arial"/>
          <w:sz w:val="18"/>
          <w:szCs w:val="18"/>
          <w:color w:val="auto"/>
        </w:rPr>
        <w:t>. A Holder may not institute any proceeding, judicial or otherwise, with respect to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or for the appointment of a receiver or trustee, or for any other remedy under this Indenture or the Notes, unless:</w:t>
      </w:r>
    </w:p>
    <w:p>
      <w:pPr>
        <w:spacing w:after="0" w:line="170" w:lineRule="exact"/>
        <w:rPr>
          <w:sz w:val="20"/>
          <w:szCs w:val="20"/>
          <w:color w:val="auto"/>
        </w:rPr>
      </w:pPr>
    </w:p>
    <w:p>
      <w:pPr>
        <w:ind w:left="2620" w:hanging="667"/>
        <w:spacing w:after="0"/>
        <w:tabs>
          <w:tab w:leader="none" w:pos="2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right="140" w:firstLine="1953"/>
        <w:spacing w:after="0" w:line="277" w:lineRule="auto"/>
        <w:tabs>
          <w:tab w:leader="none" w:pos="2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at Maturity of Notes then outstanding have made written request to the Trustee to institute proceedings in respect of the Event of Default in its own name as Trustee under this Indenture;</w:t>
      </w:r>
    </w:p>
    <w:p>
      <w:pPr>
        <w:spacing w:after="0" w:line="170" w:lineRule="exact"/>
        <w:rPr>
          <w:rFonts w:ascii="Arial" w:cs="Arial" w:eastAsia="Arial" w:hAnsi="Arial"/>
          <w:sz w:val="18"/>
          <w:szCs w:val="18"/>
          <w:color w:val="auto"/>
        </w:rPr>
      </w:pPr>
    </w:p>
    <w:p>
      <w:pPr>
        <w:ind w:right="220" w:firstLine="1953"/>
        <w:spacing w:after="0" w:line="277" w:lineRule="auto"/>
        <w:tabs>
          <w:tab w:leader="none" w:pos="26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1953"/>
        <w:spacing w:after="0" w:line="277" w:lineRule="auto"/>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at Maturity of the Notes then outstanding have not given the Trustee a direction that is inconsistent with such written request.</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6.07.</w:t>
      </w:r>
      <w:r>
        <w:rPr>
          <w:sz w:val="20"/>
          <w:szCs w:val="20"/>
          <w:color w:val="auto"/>
        </w:rPr>
        <w:tab/>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anything to the contrary, the right of a Holder of a Note to receive</w:t>
      </w:r>
    </w:p>
    <w:p>
      <w:pPr>
        <w:spacing w:after="0" w:line="23" w:lineRule="exact"/>
        <w:rPr>
          <w:sz w:val="20"/>
          <w:szCs w:val="20"/>
          <w:color w:val="auto"/>
        </w:rPr>
      </w:pPr>
    </w:p>
    <w:p>
      <w:pPr>
        <w:ind w:firstLine="8"/>
        <w:spacing w:after="0" w:line="253" w:lineRule="auto"/>
        <w:tabs>
          <w:tab w:leader="none" w:pos="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Principal Amount at Maturity of or interest (including any Additional Interest) on its Note on the Maturity Date or the relevant Interest Payment Date, as the case may be, (x) payment of the Repurchase Price on the Repurchase Date, (y) payment of the Redemption Price on the Redemption Date and (z) payment or delivery, as the case may be, of Cash and shares of Common Stock, if any, or a combination thereof upon conversion of such Note on the date specified in Section 10.02(b), or to bring suit for the enforcement of any such payment or delivery, as the case may be, on or after such respective dates, may not be impaired or affected without the consent of that Holder.</w:t>
      </w:r>
    </w:p>
    <w:p>
      <w:pPr>
        <w:spacing w:after="0" w:line="19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Section 6.08. Collection Suit by Trustee</w:t>
      </w:r>
      <w:r>
        <w:rPr>
          <w:rFonts w:ascii="Arial" w:cs="Arial" w:eastAsia="Arial" w:hAnsi="Arial"/>
          <w:sz w:val="17"/>
          <w:szCs w:val="17"/>
          <w:color w:val="auto"/>
        </w:rPr>
        <w:t>. If an Event of Default in payment of Accreted Principal Amount or interest (including any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specified in clause (a) or (b) of Section 6.01 occurs and is continuing, the Trustee may recover judgment in its own name and as trustee of an express trust for the whole amount of Accreted Principal Amount and accrued interest (including any Additional Interest) remaining unpaid, together with interest on overdue Accreted Principal Amount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Section 6.09. Trustee May File Proofs of Claim</w:t>
      </w:r>
      <w:r>
        <w:rPr>
          <w:rFonts w:ascii="Arial" w:cs="Arial" w:eastAsia="Arial" w:hAnsi="Arial"/>
          <w:sz w:val="16"/>
          <w:szCs w:val="16"/>
          <w:color w:val="auto"/>
        </w:rPr>
        <w:t>. The Trustee may file proofs of claim and other papers or documents as may be necessary or</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6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Section 6.10. Priorities</w:t>
      </w:r>
      <w:r>
        <w:rPr>
          <w:rFonts w:ascii="Arial" w:cs="Arial" w:eastAsia="Arial" w:hAnsi="Arial"/>
          <w:sz w:val="18"/>
          <w:szCs w:val="18"/>
          <w:color w:val="auto"/>
        </w:rPr>
        <w:t>. If the Trustee collects any money or property pursuant to this Article, it shall pay out the money or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Trustee for all amounts due under Section 7.07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Second: to Holders for amounts then due and unpaid for Accreted Principal Amount of and interest (including any Additional Interest) on the Notes, ratably, without preference or priority of any kind, according to the amounts due and payable on the Notes for Accreted Principal Amount and interest (including any Additional Interest);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Trustee, upon written notice to the Company, may fix a record date and payment date for any payment to Holders pursuant to this Section. At least 15 days before such record date, the Trustee shall send to each Holder and the Company a notice that states the record date, the payment date and the</w:t>
      </w:r>
    </w:p>
    <w:p>
      <w:pPr>
        <w:sectPr>
          <w:pgSz w:w="11900" w:h="16975" w:orient="portrait"/>
          <w:cols w:equalWidth="0" w:num="1">
            <w:col w:w="11400"/>
          </w:cols>
          <w:pgMar w:left="240" w:top="341" w:right="259" w:bottom="0" w:gutter="0" w:footer="0" w:header="0"/>
        </w:sectPr>
      </w:pPr>
    </w:p>
    <w:bookmarkStart w:id="22" w:name="page23"/>
    <w:bookmarkEnd w:id="22"/>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amount to be paid.</w:t>
      </w:r>
    </w:p>
    <w:p>
      <w:pPr>
        <w:spacing w:after="0" w:line="225"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i w:val="1"/>
          <w:iCs w:val="1"/>
          <w:color w:val="auto"/>
        </w:rPr>
        <w:t>Section 6.11. Restoration of Rights and Remedies</w:t>
      </w:r>
      <w:r>
        <w:rPr>
          <w:rFonts w:ascii="Arial" w:cs="Arial" w:eastAsia="Arial" w:hAnsi="Arial"/>
          <w:sz w:val="16"/>
          <w:szCs w:val="16"/>
          <w:color w:val="auto"/>
        </w:rPr>
        <w:t>. If the Trustee or any Holder has instituted a proceeding to enforce any right or remedy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15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Section 6.12. Undertaking for Costs</w:t>
      </w:r>
      <w:r>
        <w:rPr>
          <w:rFonts w:ascii="Arial" w:cs="Arial" w:eastAsia="Arial" w:hAnsi="Arial"/>
          <w:sz w:val="17"/>
          <w:szCs w:val="17"/>
          <w:color w:val="auto"/>
        </w:rPr>
        <w:t>. In any suit for the enforcement of any right or remedy under this Indenture or in any suit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 (a) Accreted Principal Amount of or interest (including any Additional Interest) on any Note on the respective due dates, (b) the Repurchase Price on the Repurchase Date, (c) the Redemption Price on the Redemption Date, (d) the Cash and shares of Common Stock, if any, due upon conversion of a Note or (e) a suit by Holders of more than 10% in Principal Amount at Maturity of the Notes then outstanding.</w:t>
      </w:r>
    </w:p>
    <w:p>
      <w:pPr>
        <w:spacing w:after="0" w:line="178"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i w:val="1"/>
          <w:iCs w:val="1"/>
          <w:color w:val="auto"/>
        </w:rPr>
        <w:t>Section 6.13. Rights and Remedies Cumulative</w:t>
      </w:r>
      <w:r>
        <w:rPr>
          <w:rFonts w:ascii="Arial" w:cs="Arial" w:eastAsia="Arial" w:hAnsi="Arial"/>
          <w:sz w:val="17"/>
          <w:szCs w:val="17"/>
          <w:color w:val="auto"/>
        </w:rPr>
        <w:t>. No right or remedy conferred or reserved to the Trustee or to the Holders under this Indenture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7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Section 6.14. Delay or Omission Not Waiver</w:t>
      </w:r>
      <w:r>
        <w:rPr>
          <w:rFonts w:ascii="Arial" w:cs="Arial" w:eastAsia="Arial" w:hAnsi="Arial"/>
          <w:sz w:val="18"/>
          <w:szCs w:val="18"/>
          <w:color w:val="auto"/>
        </w:rPr>
        <w:t>. No delay or omission of the Trustee or of any Holder to exercise any right or remedy accruing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any Event of Default will impair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Section 6.15. Additional Interest; Failure to File</w:t>
      </w:r>
      <w:r>
        <w:rPr>
          <w:rFonts w:ascii="Arial" w:cs="Arial" w:eastAsia="Arial" w:hAnsi="Arial"/>
          <w:sz w:val="16"/>
          <w:szCs w:val="16"/>
          <w:color w:val="auto"/>
        </w:rPr>
        <w:t>. (a) Notwithstanding anything in this Article 6, the Company may, at its option, elect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sole remedy for an Event of Default relating to its failure to comply with its obligations described under Section 4.04 will for the first 180 days after the occurrence of such an Event of Default (which will be the 60th day after written notice is provided to the Company in accordance with Section 6.01(e)), consist exclusively of the right to receive additional interest on the Notes at a rate equal to 0.25% per annum of the Principal Amount at Maturity of the Notes (the “</w:t>
      </w:r>
      <w:r>
        <w:rPr>
          <w:rFonts w:ascii="Arial" w:cs="Arial" w:eastAsia="Arial" w:hAnsi="Arial"/>
          <w:sz w:val="16"/>
          <w:szCs w:val="16"/>
          <w:b w:val="1"/>
          <w:bCs w:val="1"/>
          <w:color w:val="auto"/>
        </w:rPr>
        <w:t>Additional Interest</w:t>
      </w:r>
      <w:r>
        <w:rPr>
          <w:rFonts w:ascii="Arial" w:cs="Arial" w:eastAsia="Arial" w:hAnsi="Arial"/>
          <w:sz w:val="16"/>
          <w:szCs w:val="16"/>
          <w:color w:val="auto"/>
        </w:rPr>
        <w:t>”). If the Company elects to pay Additional Interest, such Additional Interest will be payable on all outstanding Notes from and including the date on which such Event of Default first occurs to but excluding the 181st day thereafter (or such earlier date on which the Event of Default relating to a failure to comply with such requirements has been cured or waived). On the 181st day after such Event of Default (if such violation is not cured or waived prior to such 181st day), the Notes will be subject to acceleration as provided in Section 6.02. In the event the Company does not elect to pay the Additional Interest upon any such Event of Default in accordance with this Section 6.15, the Notes will be subject to acceleration as provided in Section 6.02. This Section 6.15 shall not affect the rights of Holders if any other Event of Default occurs under this Indenture.</w:t>
      </w:r>
    </w:p>
    <w:p>
      <w:pPr>
        <w:spacing w:after="0" w:line="16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In order elect to pay the Additional Interest as the sole remedy during the first 180 days after the occurrence of any Event of Default relating to the failure to comply with the reporting obligations in accordance with the preceding paragraph, the Company shall notify all Holders and the Trustee and Paying Agent of such election in writing prior to the Close of Business on the date on which such Event of Default occurs. If the Company fails to timely give such notice, the Notes will be immediately subject to acceleration as provided in Section 6.02.</w:t>
      </w:r>
    </w:p>
    <w:p>
      <w:pPr>
        <w:spacing w:after="0" w:line="187" w:lineRule="exact"/>
        <w:rPr>
          <w:sz w:val="20"/>
          <w:szCs w:val="20"/>
          <w:color w:val="auto"/>
        </w:rPr>
      </w:pPr>
    </w:p>
    <w:p>
      <w:pPr>
        <w:ind w:left="1960" w:hanging="655"/>
        <w:spacing w:after="0"/>
        <w:tabs>
          <w:tab w:leader="none" w:pos="1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Additional Interest shall be payable at the same time, in the same manner and to the same Persons as ordinary interest.</w:t>
      </w:r>
    </w:p>
    <w:p>
      <w:pPr>
        <w:spacing w:after="0" w:line="236" w:lineRule="exact"/>
        <w:rPr>
          <w:rFonts w:ascii="Arial" w:cs="Arial" w:eastAsia="Arial" w:hAnsi="Arial"/>
          <w:sz w:val="17"/>
          <w:szCs w:val="17"/>
          <w:color w:val="auto"/>
        </w:rPr>
      </w:pPr>
    </w:p>
    <w:p>
      <w:pPr>
        <w:ind w:right="60" w:firstLine="1305"/>
        <w:spacing w:after="0" w:line="272" w:lineRule="auto"/>
        <w:tabs>
          <w:tab w:leader="none" w:pos="19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i w:val="1"/>
          <w:iCs w:val="1"/>
          <w:color w:val="auto"/>
        </w:rPr>
        <w:t>Section 7.01. General</w:t>
      </w:r>
      <w:r>
        <w:rPr>
          <w:rFonts w:ascii="Arial" w:cs="Arial" w:eastAsia="Arial" w:hAnsi="Arial"/>
          <w:sz w:val="18"/>
          <w:szCs w:val="18"/>
          <w:color w:val="auto"/>
        </w:rPr>
        <w:t>. (a) The duties and responsibilities of the Trustee are as provided by the Trust Indenture Act and as set forth herein.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expressly so provided, every provision of this Indenture relating to the conduct or affecting the liability of or affording protection to the Trustee is subject to this Article.</w:t>
      </w:r>
    </w:p>
    <w:p>
      <w:pPr>
        <w:spacing w:after="0" w:line="181" w:lineRule="exact"/>
        <w:rPr>
          <w:sz w:val="20"/>
          <w:szCs w:val="20"/>
          <w:color w:val="auto"/>
        </w:rPr>
      </w:pPr>
    </w:p>
    <w:p>
      <w:pPr>
        <w:ind w:right="140" w:firstLine="1305"/>
        <w:spacing w:after="0" w:line="279" w:lineRule="auto"/>
        <w:tabs>
          <w:tab w:leader="none" w:pos="19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71" w:lineRule="exact"/>
        <w:rPr>
          <w:rFonts w:ascii="Arial" w:cs="Arial" w:eastAsia="Arial" w:hAnsi="Arial"/>
          <w:sz w:val="17"/>
          <w:szCs w:val="17"/>
          <w:color w:val="auto"/>
        </w:rPr>
      </w:pPr>
    </w:p>
    <w:p>
      <w:pPr>
        <w:ind w:right="20" w:firstLine="1305"/>
        <w:spacing w:after="0" w:line="277"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ectPr>
          <w:pgSz w:w="11900" w:h="16929" w:orient="portrait"/>
          <w:cols w:equalWidth="0" w:num="1">
            <w:col w:w="11420"/>
          </w:cols>
          <w:pgMar w:left="240" w:top="125" w:right="239" w:bottom="0" w:gutter="0" w:footer="0" w:header="0"/>
        </w:sectPr>
      </w:pPr>
    </w:p>
    <w:bookmarkStart w:id="23" w:name="page24"/>
    <w:bookmarkEnd w:id="23"/>
    <w:p>
      <w:pPr>
        <w:spacing w:after="0" w:line="13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40" w:firstLine="1305"/>
        <w:spacing w:after="0" w:line="255" w:lineRule="auto"/>
        <w:tabs>
          <w:tab w:leader="none" w:pos="19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189" w:lineRule="exact"/>
        <w:rPr>
          <w:rFonts w:ascii="Arial" w:cs="Arial" w:eastAsia="Arial" w:hAnsi="Arial"/>
          <w:sz w:val="18"/>
          <w:szCs w:val="18"/>
          <w:color w:val="auto"/>
        </w:rPr>
      </w:pPr>
    </w:p>
    <w:p>
      <w:pPr>
        <w:ind w:right="20" w:firstLine="1305"/>
        <w:spacing w:after="0" w:line="342" w:lineRule="auto"/>
        <w:tabs>
          <w:tab w:leader="none" w:pos="19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and/or an Opinion of Counsel conforming to Section 13.06 and the Trustee will not be liable for any action it takes or omits to take in good faith in reliance on the certificate or opinion.</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appointed with due care.</w:t>
      </w:r>
    </w:p>
    <w:p>
      <w:pPr>
        <w:spacing w:after="0" w:line="210" w:lineRule="exact"/>
        <w:rPr>
          <w:rFonts w:ascii="Arial" w:cs="Arial" w:eastAsia="Arial" w:hAnsi="Arial"/>
          <w:sz w:val="16"/>
          <w:szCs w:val="16"/>
          <w:color w:val="auto"/>
        </w:rPr>
      </w:pPr>
    </w:p>
    <w:p>
      <w:pPr>
        <w:ind w:right="460" w:firstLine="1305"/>
        <w:spacing w:after="0" w:line="277"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have offered to the Trustee reasonable security or indemnity against the costs, expenses and liabilities that might be incurred by it in compliance with such request or direction.</w:t>
      </w:r>
    </w:p>
    <w:p>
      <w:pPr>
        <w:spacing w:after="0" w:line="170" w:lineRule="exact"/>
        <w:rPr>
          <w:sz w:val="20"/>
          <w:szCs w:val="20"/>
          <w:color w:val="auto"/>
        </w:rPr>
      </w:pPr>
    </w:p>
    <w:p>
      <w:pPr>
        <w:ind w:firstLine="1305"/>
        <w:spacing w:after="0" w:line="259" w:lineRule="auto"/>
        <w:tabs>
          <w:tab w:leader="none" w:pos="1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20" w:firstLine="1305"/>
        <w:spacing w:after="0" w:line="308" w:lineRule="auto"/>
        <w:tabs>
          <w:tab w:leader="none" w:pos="194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right="100" w:firstLine="1305"/>
        <w:spacing w:after="0" w:line="264" w:lineRule="auto"/>
        <w:tabs>
          <w:tab w:leader="none" w:pos="19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81" w:lineRule="exact"/>
        <w:rPr>
          <w:rFonts w:ascii="Arial" w:cs="Arial" w:eastAsia="Arial" w:hAnsi="Arial"/>
          <w:sz w:val="18"/>
          <w:szCs w:val="18"/>
          <w:color w:val="auto"/>
        </w:rPr>
      </w:pPr>
    </w:p>
    <w:p>
      <w:pPr>
        <w:ind w:firstLine="1305"/>
        <w:spacing w:after="0" w:line="257"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shall have no duty to inquire as to performance of the Company with respect to the covenants contained in Article 4 except with respect to Section 4.01 when it acts as Paying Agent. In addition, the Trustee shall not be deemed to have knowledge of a Default or an Event of Default except (i) a Default or Event of Default occurring pursuant to Section 6.01(a) and 6.01(b), or (ii) any Default or Event of Default of which the Trustee shall have received written notification from the Company or the Holders of at least 25% in aggregate Principal Amount at Maturity of Notes then outstanding or obtained actual knowledge.</w:t>
      </w:r>
    </w:p>
    <w:p>
      <w:pPr>
        <w:spacing w:after="0" w:line="188" w:lineRule="exact"/>
        <w:rPr>
          <w:rFonts w:ascii="Arial" w:cs="Arial" w:eastAsia="Arial" w:hAnsi="Arial"/>
          <w:sz w:val="18"/>
          <w:szCs w:val="18"/>
          <w:color w:val="auto"/>
        </w:rPr>
      </w:pPr>
    </w:p>
    <w:p>
      <w:pPr>
        <w:jc w:val="both"/>
        <w:ind w:right="460" w:firstLine="1305"/>
        <w:spacing w:after="0" w:line="264" w:lineRule="auto"/>
        <w:tabs>
          <w:tab w:leader="none" w:pos="19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rights to be indemnified are extended to and shall be enforced by the Trustee in its capacities hereunder and each agent, custodian and other person employed to act hereunder.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shall not be construed as a duty unless so specified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Section 7.03. Individual Rights of Trustee</w:t>
      </w:r>
      <w:r>
        <w:rPr>
          <w:rFonts w:ascii="Arial" w:cs="Arial" w:eastAsia="Arial" w:hAnsi="Arial"/>
          <w:sz w:val="18"/>
          <w:szCs w:val="18"/>
          <w:color w:val="auto"/>
        </w:rPr>
        <w:t>. The Trustee, in its individual or any other capacity, may become the owner or pledgee of Notes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Section 7.04. Trustee’s Disclaimer</w:t>
      </w:r>
      <w:r>
        <w:rPr>
          <w:rFonts w:ascii="Arial" w:cs="Arial" w:eastAsia="Arial" w:hAnsi="Arial"/>
          <w:sz w:val="18"/>
          <w:szCs w:val="18"/>
          <w:color w:val="auto"/>
        </w:rPr>
        <w:t>. The Trustee (a) makes no representation as to the validity or adequacy of this Indenture or the Notes, (b) is</w:t>
      </w:r>
      <w:r>
        <w:rPr>
          <w:rFonts w:ascii="Arial" w:cs="Arial" w:eastAsia="Arial" w:hAnsi="Arial"/>
          <w:sz w:val="18"/>
          <w:szCs w:val="18"/>
          <w:i w:val="1"/>
          <w:iCs w:val="1"/>
          <w:color w:val="auto"/>
        </w:rPr>
        <w:t xml:space="preserve"> </w:t>
      </w:r>
      <w:r>
        <w:rPr>
          <w:rFonts w:ascii="Arial" w:cs="Arial" w:eastAsia="Arial" w:hAnsi="Arial"/>
          <w:sz w:val="18"/>
          <w:szCs w:val="18"/>
          <w:color w:val="auto"/>
        </w:rPr>
        <w:t>not accountable for the Company’s use or application of the proceeds from the Notes and (c) is not responsible for any statement in the Notes other than its certificate of authentication.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Section 7.05. Notice of Default</w:t>
      </w:r>
      <w:r>
        <w:rPr>
          <w:rFonts w:ascii="Arial" w:cs="Arial" w:eastAsia="Arial" w:hAnsi="Arial"/>
          <w:sz w:val="18"/>
          <w:szCs w:val="18"/>
          <w:color w:val="auto"/>
        </w:rPr>
        <w:t>. If any Default or Event of Default occurs and is continuing and is known to the Trustee, the Trustee will send</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the Default or Event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Default to each Holder within 90 days after it occurs, unless the Default or Event of Default has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the case of a default</w:t>
      </w:r>
    </w:p>
    <w:p>
      <w:pPr>
        <w:spacing w:after="0" w:line="46" w:lineRule="exact"/>
        <w:rPr>
          <w:sz w:val="20"/>
          <w:szCs w:val="20"/>
          <w:color w:val="auto"/>
        </w:rPr>
      </w:pPr>
    </w:p>
    <w:p>
      <w:pPr>
        <w:ind w:right="100" w:firstLine="8"/>
        <w:spacing w:after="0" w:line="271" w:lineRule="auto"/>
        <w:tabs>
          <w:tab w:leader="none" w:pos="2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payment of the Accreted Principal Amount of or interest (including any Additional Interest) on any Note (x) in the payment of the Repurchase Price on the Repurchase Date, (y) in the payment of the Redemption Price on the Redemption Date or (z) in the delivery of Common Stock upon conversion of such Note on the date specified in Section 10.02(b), the Trustee may withhold the notice if and so long as a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17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Section 7.06. Reports by Trustee to Holders</w:t>
      </w:r>
      <w:r>
        <w:rPr>
          <w:rFonts w:ascii="Arial" w:cs="Arial" w:eastAsia="Arial" w:hAnsi="Arial"/>
          <w:sz w:val="16"/>
          <w:szCs w:val="16"/>
          <w:color w:val="auto"/>
        </w:rPr>
        <w:t>. Within 60 days after each February 1, beginning with February 1, 2014, the Trustee will mail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Holder, as provided in Trust Indenture Act Section 313(c), a brief report dated as of such February 1, if required by Trust Indenture Act Section 313(a),</w:t>
      </w:r>
    </w:p>
    <w:p>
      <w:pPr>
        <w:sectPr>
          <w:pgSz w:w="11900" w:h="16975" w:orient="portrait"/>
          <w:cols w:equalWidth="0" w:num="1">
            <w:col w:w="11380"/>
          </w:cols>
          <w:pgMar w:left="240" w:top="341" w:right="279" w:bottom="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and file such reports with each stock exchange upon which its Notes are listed and with the Commission as required by Trust Indenture Act Section 313(d).</w:t>
      </w:r>
    </w:p>
    <w:p>
      <w:pPr>
        <w:spacing w:after="0" w:line="24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Section 7.07. Compensation and Indemnity</w:t>
      </w:r>
      <w:r>
        <w:rPr>
          <w:rFonts w:ascii="Arial" w:cs="Arial" w:eastAsia="Arial" w:hAnsi="Arial"/>
          <w:sz w:val="18"/>
          <w:szCs w:val="18"/>
          <w:color w:val="auto"/>
        </w:rPr>
        <w:t>. (a) The Company will pay the Trustee compensation as agreed upon in writing for its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87" w:lineRule="exact"/>
        <w:rPr>
          <w:sz w:val="20"/>
          <w:szCs w:val="20"/>
          <w:color w:val="auto"/>
        </w:rPr>
      </w:pPr>
    </w:p>
    <w:p>
      <w:pPr>
        <w:ind w:firstLine="1305"/>
        <w:spacing w:after="0" w:line="279" w:lineRule="auto"/>
        <w:tabs>
          <w:tab w:leader="none" w:pos="19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 connection with the exercise or performance of any of its powers or duties under this Indenture and the Notes.</w:t>
      </w:r>
    </w:p>
    <w:p>
      <w:pPr>
        <w:spacing w:after="0" w:line="171" w:lineRule="exact"/>
        <w:rPr>
          <w:rFonts w:ascii="Arial" w:cs="Arial" w:eastAsia="Arial" w:hAnsi="Arial"/>
          <w:sz w:val="17"/>
          <w:szCs w:val="17"/>
          <w:color w:val="auto"/>
        </w:rPr>
      </w:pPr>
    </w:p>
    <w:p>
      <w:pPr>
        <w:ind w:right="140" w:firstLine="1305"/>
        <w:spacing w:after="0" w:line="264" w:lineRule="auto"/>
        <w:tabs>
          <w:tab w:leader="none" w:pos="19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the Trustee will have a lien prior to the Notes on all money or property held or collected by the Trustee, in its capacity as Trustee, except money or property held in trust to pay Accreted Principal Amount of, and interest (including any Additional Interest) on particular Notes.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7.08.</w:t>
      </w:r>
      <w:r>
        <w:rPr>
          <w:sz w:val="20"/>
          <w:szCs w:val="20"/>
          <w:color w:val="auto"/>
        </w:rPr>
        <w:tab/>
      </w:r>
      <w:r>
        <w:rPr>
          <w:rFonts w:ascii="Arial" w:cs="Arial" w:eastAsia="Arial" w:hAnsi="Arial"/>
          <w:sz w:val="16"/>
          <w:szCs w:val="16"/>
          <w:i w:val="1"/>
          <w:iCs w:val="1"/>
          <w:color w:val="auto"/>
        </w:rPr>
        <w:t>Replacement of Trustee</w:t>
      </w:r>
      <w:r>
        <w:rPr>
          <w:rFonts w:ascii="Arial" w:cs="Arial" w:eastAsia="Arial" w:hAnsi="Arial"/>
          <w:sz w:val="16"/>
          <w:szCs w:val="16"/>
          <w:color w:val="auto"/>
        </w:rPr>
        <w:t>. (a) (i) The Trustee may resign at any time by written notice to the Company.</w:t>
      </w:r>
    </w:p>
    <w:p>
      <w:pPr>
        <w:spacing w:after="0" w:line="225" w:lineRule="exact"/>
        <w:rPr>
          <w:sz w:val="20"/>
          <w:szCs w:val="20"/>
          <w:color w:val="auto"/>
        </w:rPr>
      </w:pPr>
    </w:p>
    <w:p>
      <w:pPr>
        <w:ind w:left="2640" w:hanging="687"/>
        <w:spacing w:after="0"/>
        <w:tabs>
          <w:tab w:leader="none" w:pos="2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Holders of a majority in Principal Amount at Maturity of the Notes then outstanding may remove the Trustee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written notice to the Trustee.</w:t>
      </w:r>
    </w:p>
    <w:p>
      <w:pPr>
        <w:spacing w:after="0" w:line="210" w:lineRule="exact"/>
        <w:rPr>
          <w:rFonts w:ascii="Arial" w:cs="Arial" w:eastAsia="Arial" w:hAnsi="Arial"/>
          <w:sz w:val="17"/>
          <w:szCs w:val="17"/>
          <w:color w:val="auto"/>
        </w:rPr>
      </w:pPr>
    </w:p>
    <w:p>
      <w:pPr>
        <w:ind w:right="460" w:firstLine="1953"/>
        <w:spacing w:after="0" w:line="264" w:lineRule="auto"/>
        <w:tabs>
          <w:tab w:leader="none" w:pos="26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953"/>
        <w:spacing w:after="0" w:line="264" w:lineRule="auto"/>
        <w:tabs>
          <w:tab w:leader="none" w:pos="26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 acting.</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70" w:lineRule="exact"/>
        <w:rPr>
          <w:sz w:val="20"/>
          <w:szCs w:val="20"/>
          <w:color w:val="auto"/>
        </w:rPr>
      </w:pPr>
    </w:p>
    <w:p>
      <w:pPr>
        <w:ind w:right="40" w:firstLine="1305"/>
        <w:spacing w:after="0" w:line="276" w:lineRule="auto"/>
        <w:tabs>
          <w:tab w:leader="none" w:pos="1952" w:val="left"/>
        </w:tabs>
        <w:numPr>
          <w:ilvl w:val="1"/>
          <w:numId w:val="52"/>
        </w:numPr>
        <w:rPr>
          <w:rFonts w:ascii="Arial" w:cs="Arial" w:eastAsia="Arial" w:hAnsi="Arial"/>
          <w:sz w:val="17"/>
          <w:szCs w:val="17"/>
          <w:color w:val="auto"/>
        </w:rPr>
      </w:pPr>
      <w:r>
        <w:rPr>
          <w:rFonts w:ascii="Arial" w:cs="Arial" w:eastAsia="Arial" w:hAnsi="Arial"/>
          <w:sz w:val="17"/>
          <w:szCs w:val="17"/>
          <w:color w:val="auto"/>
        </w:rPr>
        <w:t>If the Trustee has been removed by the Holders, Holders of a majority in Principal Amount at Maturity of the Notes then outstanding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at Maturity of the Notes then outstanding may petition any court of competent jurisdiction for the appointment of a successor Trustee.</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Upon delivery by the successor Trustee of a written acceptance of its appointment to the retiring Trustee and to the Company,</w:t>
      </w:r>
    </w:p>
    <w:p>
      <w:pPr>
        <w:spacing w:after="0" w:line="34" w:lineRule="exact"/>
        <w:rPr>
          <w:rFonts w:ascii="Arial" w:cs="Arial" w:eastAsia="Arial" w:hAnsi="Arial"/>
          <w:sz w:val="17"/>
          <w:szCs w:val="17"/>
          <w:color w:val="auto"/>
        </w:rPr>
      </w:pPr>
    </w:p>
    <w:p>
      <w:pPr>
        <w:ind w:right="180" w:firstLine="8"/>
        <w:spacing w:after="0" w:line="252" w:lineRule="auto"/>
        <w:tabs>
          <w:tab w:leader="none" w:pos="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pacing w:after="0" w:line="194" w:lineRule="exact"/>
        <w:rPr>
          <w:rFonts w:ascii="Arial" w:cs="Arial" w:eastAsia="Arial" w:hAnsi="Arial"/>
          <w:sz w:val="18"/>
          <w:szCs w:val="18"/>
          <w:color w:val="auto"/>
        </w:rPr>
      </w:pPr>
    </w:p>
    <w:p>
      <w:pPr>
        <w:ind w:right="140" w:firstLine="1305"/>
        <w:spacing w:after="0" w:line="277" w:lineRule="auto"/>
        <w:tabs>
          <w:tab w:leader="none" w:pos="19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Section 7.09. Successor Trustee by Merger</w:t>
      </w:r>
      <w:r>
        <w:rPr>
          <w:rFonts w:ascii="Arial" w:cs="Arial" w:eastAsia="Arial" w:hAnsi="Arial"/>
          <w:sz w:val="18"/>
          <w:szCs w:val="18"/>
          <w:color w:val="auto"/>
        </w:rPr>
        <w:t>. If the Trustee consolidates with, merges or converts into, or transfers all or substantially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Section 7.10. Eligibility</w:t>
      </w:r>
      <w:r>
        <w:rPr>
          <w:rFonts w:ascii="Arial" w:cs="Arial" w:eastAsia="Arial" w:hAnsi="Arial"/>
          <w:sz w:val="18"/>
          <w:szCs w:val="18"/>
          <w:color w:val="auto"/>
        </w:rPr>
        <w:t>. This Indenture must always have a Trustee that satisfies the requirements of Trust Indenture Act Section 310(a)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combined capital and surplus of at least $25,000,000 as set forth in its most recent published annual report of condition.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Section 7.11. Money Held in Trust</w:t>
      </w:r>
      <w:r>
        <w:rPr>
          <w:rFonts w:ascii="Arial" w:cs="Arial" w:eastAsia="Arial" w:hAnsi="Arial"/>
          <w:sz w:val="18"/>
          <w:szCs w:val="18"/>
          <w:color w:val="auto"/>
        </w:rPr>
        <w:t>. The Trustee will not be liable for interest on any money received by it except as it may agree in writing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Money held in trust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by the Trustee need not be segregated from other funds except to the extent required by law and except for money held in trust under Article 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DISCHARGE</w:t>
      </w:r>
    </w:p>
    <w:p>
      <w:pPr>
        <w:sectPr>
          <w:pgSz w:w="11900" w:h="16838" w:orient="portrait"/>
          <w:cols w:equalWidth="0" w:num="1">
            <w:col w:w="11420"/>
          </w:cols>
          <w:pgMar w:left="240" w:top="125" w:right="239" w:bottom="0" w:gutter="0" w:footer="0" w:header="0"/>
        </w:sectPr>
      </w:pPr>
    </w:p>
    <w:bookmarkStart w:id="25" w:name="page26"/>
    <w:bookmarkEnd w:id="25"/>
    <w:p>
      <w:pPr>
        <w:ind w:firstLine="648"/>
        <w:spacing w:after="0" w:line="270" w:lineRule="auto"/>
        <w:rPr>
          <w:sz w:val="20"/>
          <w:szCs w:val="20"/>
          <w:color w:val="auto"/>
        </w:rPr>
      </w:pPr>
      <w:r>
        <w:rPr>
          <w:rFonts w:ascii="Arial" w:cs="Arial" w:eastAsia="Arial" w:hAnsi="Arial"/>
          <w:sz w:val="17"/>
          <w:szCs w:val="17"/>
          <w:i w:val="1"/>
          <w:iCs w:val="1"/>
          <w:color w:val="auto"/>
        </w:rPr>
        <w:t>Section 8.01. Satisfaction and Discharge of this Indenture</w:t>
      </w:r>
      <w:r>
        <w:rPr>
          <w:rFonts w:ascii="Arial" w:cs="Arial" w:eastAsia="Arial" w:hAnsi="Arial"/>
          <w:sz w:val="17"/>
          <w:szCs w:val="17"/>
          <w:color w:val="auto"/>
        </w:rPr>
        <w:t>. (a) This Indenture shall cease to be of further effect if either: (i) all outstanding Notes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than Notes replaced pursuant to Section 2.07) have been delivered to the Trustee for cancellation, (ii) all outstanding Notes have become due and payable on the Maturity Date or on any Repurchase Date in connection with any repurchase upon the occurrence of a Change in Control or Termination of Trading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 to be settled, with the Trustee, the Paying Agent (if the Paying Agent is not the Company or any of its Affiliates) or the Conversion Agent, Cash in respect of such payment or Cash, Common Stock or a combination thereof in respect of any such conversion on the Maturity Date, the Repurchase Date, the Redemption Date or the date such conversion is to be settled,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the Company shall pay to the Trustee all other sums payable hereunder by the Company.</w:t>
      </w:r>
    </w:p>
    <w:p>
      <w:pPr>
        <w:spacing w:after="0" w:line="182" w:lineRule="exact"/>
        <w:rPr>
          <w:sz w:val="20"/>
          <w:szCs w:val="20"/>
          <w:color w:val="auto"/>
        </w:rPr>
      </w:pPr>
    </w:p>
    <w:p>
      <w:pPr>
        <w:ind w:left="1960" w:hanging="655"/>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w:t>
      </w:r>
    </w:p>
    <w:p>
      <w:pPr>
        <w:spacing w:after="0" w:line="225" w:lineRule="exact"/>
        <w:rPr>
          <w:rFonts w:ascii="Arial" w:cs="Arial" w:eastAsia="Arial" w:hAnsi="Arial"/>
          <w:sz w:val="18"/>
          <w:szCs w:val="18"/>
          <w:color w:val="auto"/>
        </w:rPr>
      </w:pPr>
    </w:p>
    <w:p>
      <w:pPr>
        <w:ind w:right="20" w:firstLine="1953"/>
        <w:spacing w:after="0" w:line="277" w:lineRule="auto"/>
        <w:tabs>
          <w:tab w:leader="none" w:pos="26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70" w:lineRule="exact"/>
        <w:rPr>
          <w:rFonts w:ascii="Arial" w:cs="Arial" w:eastAsia="Arial" w:hAnsi="Arial"/>
          <w:sz w:val="18"/>
          <w:szCs w:val="18"/>
          <w:color w:val="auto"/>
        </w:rPr>
      </w:pPr>
    </w:p>
    <w:p>
      <w:pPr>
        <w:jc w:val="both"/>
        <w:ind w:right="60" w:firstLine="1953"/>
        <w:spacing w:after="0" w:line="264" w:lineRule="auto"/>
        <w:tabs>
          <w:tab w:leader="none" w:pos="2633"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shall survive and, if money shall have been deposited with or Common Stock shall have been delivered to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8.02. Application of Trust Money</w:t>
      </w:r>
      <w:r>
        <w:rPr>
          <w:rFonts w:ascii="Arial" w:cs="Arial" w:eastAsia="Arial" w:hAnsi="Arial"/>
          <w:sz w:val="18"/>
          <w:szCs w:val="18"/>
          <w:color w:val="auto"/>
        </w:rPr>
        <w:t>. Subject to the provisions of Section 8.03, the Trustee or a Paying Agent shall hold in trust,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the Holders, all money, Common Stock or other consideration paid or delivered to it, as the case may be, pursuant to Section 8.01 and shall apply such money, Common Stock or other consideration in accordance with this Indenture and the Notes to the payment of the Accreted Principal Amount of (including the relevant Repurchase Price or Redemption Price) and interest (including any Additional Interest) on the Notes or delivery of Cash and shares of Common Stock, if any, issuable upon conversion of the Notes.</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Section 8.03. Repayment to Company</w:t>
      </w:r>
      <w:r>
        <w:rPr>
          <w:rFonts w:ascii="Arial" w:cs="Arial" w:eastAsia="Arial" w:hAnsi="Arial"/>
          <w:sz w:val="18"/>
          <w:szCs w:val="18"/>
          <w:color w:val="auto"/>
        </w:rPr>
        <w:t>. The Trustee and each Paying Agent shall promptly pay or deliver, as the case may be,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upon request any excess money, Common Stock or other consideration (x) paid or delivered to them pursuant to Section 8.01 and (y) held by them at any time.</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Subject to applicable abandoned property law, the Trustee and each Paying Agent shall also pay or deliver, as the case may be, to the Company upon request any money, Common Stock or other consideration held by them for the payment of the Accreted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Section 10.02(b),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 consideration then remaining will be repaid or re-delivered to the Company. After 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17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i w:val="1"/>
          <w:iCs w:val="1"/>
          <w:color w:val="auto"/>
        </w:rPr>
        <w:t>Section 8.04. Reinstatement</w:t>
      </w:r>
      <w:r>
        <w:rPr>
          <w:rFonts w:ascii="Arial" w:cs="Arial" w:eastAsia="Arial" w:hAnsi="Arial"/>
          <w:sz w:val="16"/>
          <w:szCs w:val="16"/>
          <w:color w:val="auto"/>
        </w:rPr>
        <w:t>. If the Trustee or any Paying Agent is unable to apply any money, Common Stock or other consideration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 delivery, as the case may be, had occurred pursuant to Section 8.01 until such time as the Trustee or such Paying Agent is permitted to apply all such money in accordance with Section 8.02;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the Accreted Principal Amount of (including the relevant Repurchase Price or Redemption Price) or interest (including any Additional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SUPPLEMENTS AND WAIVERS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Section 9.01. Amendments Without Consent of Holders</w:t>
      </w:r>
      <w:r>
        <w:rPr>
          <w:rFonts w:ascii="Arial" w:cs="Arial" w:eastAsia="Arial" w:hAnsi="Arial"/>
          <w:sz w:val="18"/>
          <w:szCs w:val="18"/>
          <w:color w:val="auto"/>
        </w:rPr>
        <w:t>. The Company and the Trustee may amend or supplement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notice to or the consent of any Holder:</w:t>
      </w:r>
    </w:p>
    <w:p>
      <w:pPr>
        <w:spacing w:after="0" w:line="170"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w:t>
      </w:r>
    </w:p>
    <w:p>
      <w:pPr>
        <w:sectPr>
          <w:pgSz w:w="11900" w:h="16838" w:orient="portrait"/>
          <w:cols w:equalWidth="0" w:num="1">
            <w:col w:w="11400"/>
          </w:cols>
          <w:pgMar w:left="240" w:top="125" w:right="259" w:bottom="32" w:gutter="0" w:footer="0" w:header="0"/>
        </w:sectPr>
      </w:pPr>
    </w:p>
    <w:bookmarkStart w:id="26" w:name="page27"/>
    <w:bookmarkEnd w:id="26"/>
    <w:p>
      <w:pPr>
        <w:jc w:val="both"/>
        <w:ind w:right="580" w:firstLine="1305"/>
        <w:spacing w:after="0" w:line="342" w:lineRule="auto"/>
        <w:tabs>
          <w:tab w:leader="none" w:pos="195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evidence a successor to the Company and the assumption by that successor of the obligations of the Company under this Indenture in accordance with Article 5 or Section 10.09, including to provide for the adjustments to the Conversion Rate as set forth in Section 10.09;</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the Notes or to surrender any right or power conferred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upon the Company;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Section 9.02. Amendments With Consent of Holders</w:t>
      </w:r>
      <w:r>
        <w:rPr>
          <w:rFonts w:ascii="Arial" w:cs="Arial" w:eastAsia="Arial" w:hAnsi="Arial"/>
          <w:sz w:val="18"/>
          <w:szCs w:val="18"/>
          <w:color w:val="auto"/>
        </w:rPr>
        <w:t>. (a) Except as otherwise provided in Section 6.07 or paragraph (b),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amend this Indenture and the Notes with the written consent of the Holders of at least a majority in Principal Amount at Maturity of then outstanding Notes, and the Holders of a majority in Principal Amount at Maturity of the Notes then outstanding by written notice to the Trustee may, on behalf of the Holders of such Notes, waive any existing or past default under this Indenture and its consequences, except an uncured default (i) in the payment of the Accreted Principal Amount, or accrued and unpaid interest (including any Additional Interest), with respect to any Note, (ii) the Repurchase Price with respect to any Note, (iii) the Redemption Price with respect to any Note, (iv) in the payment or delivery of the Cash and/or shares of Common Stock due upon conversion or redemption of the Notes or (v) in respect of any provision that under this Indenture cannot be modified or amended without the consent of the Holder of each outstanding Note affected.</w:t>
      </w:r>
    </w:p>
    <w:p>
      <w:pPr>
        <w:spacing w:after="0" w:line="192" w:lineRule="exact"/>
        <w:rPr>
          <w:sz w:val="20"/>
          <w:szCs w:val="20"/>
          <w:color w:val="auto"/>
        </w:rPr>
      </w:pPr>
    </w:p>
    <w:p>
      <w:pPr>
        <w:ind w:left="1960" w:hanging="655"/>
        <w:spacing w:after="0"/>
        <w:tabs>
          <w:tab w:leader="none" w:pos="1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Notwithstanding the provisions of paragraph (a), without the consent of each Holder affected, an amendment or waiver may not:</w:t>
      </w:r>
    </w:p>
    <w:p>
      <w:pPr>
        <w:spacing w:after="0" w:line="248" w:lineRule="exact"/>
        <w:rPr>
          <w:rFonts w:ascii="Arial" w:cs="Arial" w:eastAsia="Arial" w:hAnsi="Arial"/>
          <w:sz w:val="16"/>
          <w:szCs w:val="16"/>
          <w:color w:val="auto"/>
        </w:rPr>
      </w:pPr>
    </w:p>
    <w:p>
      <w:pPr>
        <w:ind w:right="60" w:firstLine="1953"/>
        <w:spacing w:after="0" w:line="277" w:lineRule="auto"/>
        <w:tabs>
          <w:tab w:leader="none" w:pos="2614"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reduce the Accreted Principal Amount or Principal Amount at Maturity of, or premium or interest payment on, any Note, or reduce the Repurchase Price or Redemption Price on any Note;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rFonts w:ascii="Arial" w:cs="Arial" w:eastAsia="Arial" w:hAnsi="Arial"/>
          <w:sz w:val="18"/>
          <w:szCs w:val="18"/>
          <w:color w:val="auto"/>
        </w:rPr>
      </w:pPr>
    </w:p>
    <w:p>
      <w:pPr>
        <w:ind w:right="500" w:firstLine="1953"/>
        <w:spacing w:after="0" w:line="277" w:lineRule="auto"/>
        <w:tabs>
          <w:tab w:leader="none" w:pos="261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require the Company to repurchase a Note upon the occurrence of a Change in Control or Termination of Trading or on the 2028 Repurchase Date;</w:t>
      </w:r>
    </w:p>
    <w:p>
      <w:pPr>
        <w:spacing w:after="0" w:line="170" w:lineRule="exact"/>
        <w:rPr>
          <w:rFonts w:ascii="Arial" w:cs="Arial" w:eastAsia="Arial" w:hAnsi="Arial"/>
          <w:sz w:val="18"/>
          <w:szCs w:val="18"/>
          <w:color w:val="auto"/>
        </w:rPr>
      </w:pPr>
    </w:p>
    <w:p>
      <w:pPr>
        <w:ind w:firstLine="1953"/>
        <w:spacing w:after="0" w:line="277" w:lineRule="auto"/>
        <w:tabs>
          <w:tab w:leader="none" w:pos="2619" w:val="left"/>
        </w:tabs>
        <w:numPr>
          <w:ilvl w:val="1"/>
          <w:numId w:val="58"/>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change the provisions in this Indenture that relate to modifying or amending the provisions of this Indenture.</w:t>
      </w:r>
    </w:p>
    <w:p>
      <w:pPr>
        <w:spacing w:after="0" w:line="225" w:lineRule="exact"/>
        <w:rPr>
          <w:rFonts w:ascii="Arial" w:cs="Arial" w:eastAsia="Arial" w:hAnsi="Arial"/>
          <w:sz w:val="18"/>
          <w:szCs w:val="18"/>
          <w:color w:val="auto"/>
        </w:rPr>
      </w:pPr>
    </w:p>
    <w:p>
      <w:pPr>
        <w:ind w:right="120" w:firstLine="1305"/>
        <w:spacing w:after="0" w:line="277" w:lineRule="auto"/>
        <w:tabs>
          <w:tab w:leader="none" w:pos="19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not necessary for Holders to approve the particular form of any proposed amendment, supplement or waiver, but is sufficient if their consent approves the substance thereof.</w:t>
      </w:r>
    </w:p>
    <w:p>
      <w:pPr>
        <w:spacing w:after="0" w:line="170" w:lineRule="exact"/>
        <w:rPr>
          <w:rFonts w:ascii="Arial" w:cs="Arial" w:eastAsia="Arial" w:hAnsi="Arial"/>
          <w:sz w:val="18"/>
          <w:szCs w:val="18"/>
          <w:color w:val="auto"/>
        </w:rPr>
      </w:pPr>
    </w:p>
    <w:p>
      <w:pPr>
        <w:ind w:right="80" w:firstLine="1305"/>
        <w:spacing w:after="0" w:line="255" w:lineRule="auto"/>
        <w:tabs>
          <w:tab w:leader="none" w:pos="19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amendment, supplement or waiver delivered under this Section will become effective on receipt by the Trustee of written consents (including consents delivered in accordance with the Applicable Procedures with respect to Global Notes) from the Holders of the requisite percentage in Principal Amount at Maturity of the Notes then outstanding. After an amendment, 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Section 9.03. Effect of Consent</w:t>
      </w:r>
      <w:r>
        <w:rPr>
          <w:rFonts w:ascii="Arial" w:cs="Arial" w:eastAsia="Arial" w:hAnsi="Arial"/>
          <w:sz w:val="18"/>
          <w:szCs w:val="18"/>
          <w:color w:val="auto"/>
        </w:rPr>
        <w:t>. (a) After an amendment, supplement or waiver becomes effective, it will bind every Holder unless it 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requiring the consent of each Holder affected. If the amendment, supplement or waiver is of the type requiring the consent of each Holder affected, the amendment, supplement or waiver shall bind each Holder that has consented to it and every subsequent Holder of a Note that evidences the same debt as the Note of the consenting Holder.</w:t>
      </w:r>
    </w:p>
    <w:p>
      <w:pPr>
        <w:spacing w:after="0" w:line="187" w:lineRule="exact"/>
        <w:rPr>
          <w:sz w:val="20"/>
          <w:szCs w:val="20"/>
          <w:color w:val="auto"/>
        </w:rPr>
      </w:pPr>
    </w:p>
    <w:p>
      <w:pPr>
        <w:ind w:right="20" w:firstLine="1305"/>
        <w:spacing w:after="0" w:line="279" w:lineRule="auto"/>
        <w:tabs>
          <w:tab w:leader="none" w:pos="195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Section 9.04. Trustee’s Rights and Obligations</w:t>
      </w:r>
      <w:r>
        <w:rPr>
          <w:rFonts w:ascii="Arial" w:cs="Arial" w:eastAsia="Arial" w:hAnsi="Arial"/>
          <w:sz w:val="17"/>
          <w:szCs w:val="17"/>
          <w:color w:val="auto"/>
        </w:rPr>
        <w:t>. The Trustee is entitled to receive, and will be fully protected in relying upon, an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and/or an Opinion of Counsel stating that the execution of any amendment, supplement or waiver authorized pursuant to this Article is authorized or permitted by this Indenture. If the Trustee has received such an Officers’ Certificate and/or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ectPr>
          <w:pgSz w:w="11900" w:h="16838" w:orient="portrait"/>
          <w:cols w:equalWidth="0" w:num="1">
            <w:col w:w="11400"/>
          </w:cols>
          <w:pgMar w:left="240" w:top="125" w:right="259" w:bottom="0" w:gutter="0" w:footer="0" w:header="0"/>
        </w:sectPr>
      </w:pPr>
    </w:p>
    <w:bookmarkStart w:id="27" w:name="page28"/>
    <w:bookmarkEnd w:id="27"/>
    <w:p>
      <w:pPr>
        <w:spacing w:after="0" w:line="14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Section 9.05. Payments for Consents</w:t>
      </w:r>
      <w:r>
        <w:rPr>
          <w:rFonts w:ascii="Arial" w:cs="Arial" w:eastAsia="Arial" w:hAnsi="Arial"/>
          <w:sz w:val="18"/>
          <w:szCs w:val="18"/>
          <w:color w:val="auto"/>
        </w:rPr>
        <w:t>. The Company shall not, and shall not permit or suffer any of its Subsidiaries or Affiliates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10.01.</w:t>
      </w:r>
      <w:r>
        <w:rPr>
          <w:sz w:val="20"/>
          <w:szCs w:val="20"/>
          <w:color w:val="auto"/>
        </w:rPr>
        <w:tab/>
      </w:r>
      <w:r>
        <w:rPr>
          <w:rFonts w:ascii="Arial" w:cs="Arial" w:eastAsia="Arial" w:hAnsi="Arial"/>
          <w:sz w:val="16"/>
          <w:szCs w:val="16"/>
          <w:i w:val="1"/>
          <w:iCs w:val="1"/>
          <w:color w:val="auto"/>
        </w:rPr>
        <w:t>Conversion Privilege</w:t>
      </w:r>
      <w:r>
        <w:rPr>
          <w:rFonts w:ascii="Arial" w:cs="Arial" w:eastAsia="Arial" w:hAnsi="Arial"/>
          <w:sz w:val="16"/>
          <w:szCs w:val="16"/>
          <w:color w:val="auto"/>
        </w:rPr>
        <w:t>. (a) Subject to and upon compliance with the provisions of this Article 10, a Holder shall have the right,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such Holder’s option, to convert all or any portion (if the portion to be converted is $1,000 Principal Amount at Maturity or an integral multiple thereof)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such Holder’s Notes at any time prior to the Close of Business on the Business Day immediately preceding the Maturity Date, upon the occurrence of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events set forth in clauses (i) through (ix) of Section 10.01(b), at a Conversion Rate (the “</w:t>
      </w:r>
      <w:r>
        <w:rPr>
          <w:rFonts w:ascii="Arial" w:cs="Arial" w:eastAsia="Arial" w:hAnsi="Arial"/>
          <w:sz w:val="16"/>
          <w:szCs w:val="16"/>
          <w:b w:val="1"/>
          <w:bCs w:val="1"/>
          <w:color w:val="auto"/>
        </w:rPr>
        <w:t>Conversion Rate</w:t>
      </w:r>
      <w:r>
        <w:rPr>
          <w:rFonts w:ascii="Arial" w:cs="Arial" w:eastAsia="Arial" w:hAnsi="Arial"/>
          <w:sz w:val="16"/>
          <w:szCs w:val="16"/>
          <w:color w:val="auto"/>
        </w:rPr>
        <w:t>”) of 34.2936 shares of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at Maturity of Notes. Upon conversion of any Notes, the Company shall deliver to the converting Holder Cash,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or a combination thereof, at the Company’s election, as described in Section 10.03 and subject to adjustment as set forth in this Article 10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obligation to deliver such consideration being herein called the “</w:t>
      </w:r>
      <w:r>
        <w:rPr>
          <w:rFonts w:ascii="Arial" w:cs="Arial" w:eastAsia="Arial" w:hAnsi="Arial"/>
          <w:sz w:val="17"/>
          <w:szCs w:val="17"/>
          <w:b w:val="1"/>
          <w:bCs w:val="1"/>
          <w:color w:val="auto"/>
        </w:rPr>
        <w:t>Conversion Obligation</w:t>
      </w:r>
      <w:r>
        <w:rPr>
          <w:rFonts w:ascii="Arial" w:cs="Arial" w:eastAsia="Arial" w:hAnsi="Arial"/>
          <w:sz w:val="17"/>
          <w:szCs w:val="17"/>
          <w:color w:val="auto"/>
        </w:rPr>
        <w:t>” and such consideration being herein called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Consideration</w:t>
      </w:r>
      <w:r>
        <w:rPr>
          <w:rFonts w:ascii="Arial" w:cs="Arial" w:eastAsia="Arial" w:hAnsi="Arial"/>
          <w:sz w:val="18"/>
          <w:szCs w:val="18"/>
          <w:color w:val="auto"/>
        </w:rPr>
        <w:t>”).</w:t>
      </w:r>
    </w:p>
    <w:p>
      <w:pPr>
        <w:spacing w:after="0" w:line="211" w:lineRule="exact"/>
        <w:rPr>
          <w:sz w:val="20"/>
          <w:szCs w:val="20"/>
          <w:color w:val="auto"/>
        </w:rPr>
      </w:pPr>
    </w:p>
    <w:p>
      <w:pPr>
        <w:ind w:right="400" w:firstLine="1305"/>
        <w:spacing w:after="0" w:line="277" w:lineRule="auto"/>
        <w:tabs>
          <w:tab w:leader="none" w:pos="19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Holder may convert its Notes prior to the Close of Business on the Business Day immediately preceding the Maturity Date, upon the occurrence of any of the events set forth below:</w:t>
      </w:r>
    </w:p>
    <w:p>
      <w:pPr>
        <w:spacing w:after="0" w:line="170" w:lineRule="exact"/>
        <w:rPr>
          <w:rFonts w:ascii="Arial" w:cs="Arial" w:eastAsia="Arial" w:hAnsi="Arial"/>
          <w:sz w:val="18"/>
          <w:szCs w:val="18"/>
          <w:color w:val="auto"/>
        </w:rPr>
      </w:pPr>
    </w:p>
    <w:p>
      <w:pPr>
        <w:ind w:right="160" w:firstLine="1953"/>
        <w:spacing w:after="0" w:line="312" w:lineRule="auto"/>
        <w:tabs>
          <w:tab w:leader="none" w:pos="2614" w:val="left"/>
        </w:tabs>
        <w:numPr>
          <w:ilvl w:val="1"/>
          <w:numId w:val="61"/>
        </w:numPr>
        <w:rPr>
          <w:rFonts w:ascii="Arial" w:cs="Arial" w:eastAsia="Arial" w:hAnsi="Arial"/>
          <w:sz w:val="16"/>
          <w:szCs w:val="16"/>
          <w:color w:val="auto"/>
        </w:rPr>
      </w:pPr>
      <w:r>
        <w:rPr>
          <w:rFonts w:ascii="Arial" w:cs="Arial" w:eastAsia="Arial" w:hAnsi="Arial"/>
          <w:sz w:val="16"/>
          <w:szCs w:val="16"/>
          <w:color w:val="auto"/>
        </w:rPr>
        <w:t>during any calendar quarter commencing at any time after March 31, 2014, and only during such calendar quarter, if the Closing Price of Common Stock for at least 20 Trading Days in the period of 30 consecutive Trading Days ending on the last Trading Day of the preceding calendar quarter exceeds the Conversion Trigger Price (as defined in Section 10.01(c)) on the last Trading Day of such preceding calendar quarter;</w:t>
      </w:r>
    </w:p>
    <w:p>
      <w:pPr>
        <w:spacing w:after="0" w:line="146" w:lineRule="exact"/>
        <w:rPr>
          <w:rFonts w:ascii="Arial" w:cs="Arial" w:eastAsia="Arial" w:hAnsi="Arial"/>
          <w:sz w:val="16"/>
          <w:szCs w:val="16"/>
          <w:color w:val="auto"/>
        </w:rPr>
      </w:pPr>
    </w:p>
    <w:p>
      <w:pPr>
        <w:ind w:right="340" w:firstLine="1953"/>
        <w:spacing w:after="0" w:line="308" w:lineRule="auto"/>
        <w:tabs>
          <w:tab w:leader="none" w:pos="2624" w:val="left"/>
        </w:tabs>
        <w:numPr>
          <w:ilvl w:val="1"/>
          <w:numId w:val="61"/>
        </w:numPr>
        <w:rPr>
          <w:rFonts w:ascii="Arial" w:cs="Arial" w:eastAsia="Arial" w:hAnsi="Arial"/>
          <w:sz w:val="17"/>
          <w:szCs w:val="17"/>
          <w:color w:val="auto"/>
        </w:rPr>
      </w:pPr>
      <w:r>
        <w:rPr>
          <w:rFonts w:ascii="Arial" w:cs="Arial" w:eastAsia="Arial" w:hAnsi="Arial"/>
          <w:sz w:val="17"/>
          <w:szCs w:val="17"/>
          <w:color w:val="auto"/>
        </w:rPr>
        <w:t>during the five Business Day period immediately after any five consecutive Trading Day period in which the Trading Price per $1,000 Principal Amount at Maturity of Notes for each Trading Day during that five-day period was less than 98% of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product of the Closing Price of Common Stock on such Trading Day and the then Applicable Conversion Rate for the Notes on such Trading Day, subject to compliance with the procedures and conditions described in Section 10.01(d) concerning the Trustee’s obligation to make a Trading Price determination (the “</w:t>
      </w:r>
      <w:r>
        <w:rPr>
          <w:rFonts w:ascii="Arial" w:cs="Arial" w:eastAsia="Arial" w:hAnsi="Arial"/>
          <w:sz w:val="18"/>
          <w:szCs w:val="18"/>
          <w:b w:val="1"/>
          <w:bCs w:val="1"/>
          <w:color w:val="auto"/>
        </w:rPr>
        <w:t>Trading Price Condition</w:t>
      </w:r>
      <w:r>
        <w:rPr>
          <w:rFonts w:ascii="Arial" w:cs="Arial" w:eastAsia="Arial" w:hAnsi="Arial"/>
          <w:sz w:val="18"/>
          <w:szCs w:val="18"/>
          <w:color w:val="auto"/>
        </w:rPr>
        <w:t>”);</w:t>
      </w:r>
    </w:p>
    <w:p>
      <w:pPr>
        <w:spacing w:after="0" w:line="181" w:lineRule="exact"/>
        <w:rPr>
          <w:sz w:val="20"/>
          <w:szCs w:val="20"/>
          <w:color w:val="auto"/>
        </w:rPr>
      </w:pPr>
    </w:p>
    <w:p>
      <w:pPr>
        <w:ind w:right="20" w:firstLine="1953"/>
        <w:spacing w:after="0" w:line="273" w:lineRule="auto"/>
        <w:tabs>
          <w:tab w:leader="none" w:pos="2633"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Company elects to distribute to all holders of Common Stock rights, options or warrants entitling all holders of Common Stock to subscribe for or purchase Common Stock, for a period expiring within 60 days after the record date for such distribution, at less than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78" w:lineRule="exact"/>
        <w:rPr>
          <w:rFonts w:ascii="Arial" w:cs="Arial" w:eastAsia="Arial" w:hAnsi="Arial"/>
          <w:sz w:val="17"/>
          <w:szCs w:val="17"/>
          <w:color w:val="auto"/>
        </w:rPr>
      </w:pPr>
    </w:p>
    <w:p>
      <w:pPr>
        <w:ind w:right="20" w:firstLine="1953"/>
        <w:spacing w:after="0" w:line="255" w:lineRule="auto"/>
        <w:tabs>
          <w:tab w:leader="none" w:pos="26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Company elects to distribute to all holders of Common Stock Cash, debt securities (or other evidence of indebtedness) or other assets (excluding dividends or distributions described in Section 10.07(a)), which distribution, together with all other such distributions within the preceding twelve months, has a per share value, as determined by the Board of Directors, exceeding 15% of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10.07(e) and ending on, and including, the earlier of (x) the Close of Business on the Business Day prior to the Ex-Date for such distribution and (y) the Company’s announcement that such distribution will not take place;</w:t>
      </w:r>
    </w:p>
    <w:p>
      <w:pPr>
        <w:spacing w:after="0" w:line="189" w:lineRule="exact"/>
        <w:rPr>
          <w:rFonts w:ascii="Arial" w:cs="Arial" w:eastAsia="Arial" w:hAnsi="Arial"/>
          <w:sz w:val="18"/>
          <w:szCs w:val="18"/>
          <w:color w:val="auto"/>
        </w:rPr>
      </w:pPr>
    </w:p>
    <w:p>
      <w:pPr>
        <w:ind w:right="80" w:firstLine="1953"/>
        <w:spacing w:after="0" w:line="264" w:lineRule="auto"/>
        <w:tabs>
          <w:tab w:leader="none" w:pos="2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Termination of Trading occurs, during the period from, and including, the earlier of (i) the date the applicable securities exchange announces that a Termination of Trading will occur and (ii) the effective date of the Termination of Trading, to, and including, the related Repurchase Date;</w:t>
      </w:r>
    </w:p>
    <w:p>
      <w:pPr>
        <w:spacing w:after="0" w:line="181" w:lineRule="exact"/>
        <w:rPr>
          <w:rFonts w:ascii="Arial" w:cs="Arial" w:eastAsia="Arial" w:hAnsi="Arial"/>
          <w:sz w:val="18"/>
          <w:szCs w:val="18"/>
          <w:color w:val="auto"/>
        </w:rPr>
      </w:pPr>
    </w:p>
    <w:p>
      <w:pPr>
        <w:ind w:firstLine="1953"/>
        <w:spacing w:after="0" w:line="279" w:lineRule="auto"/>
        <w:tabs>
          <w:tab w:leader="none" w:pos="261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a Make-Whole Change in Control that does not constitute a Change in Control occurs or if the Company is a party to a consolidation, merger, binding share exchange, or transfer or lease of all or substantially all of the Company’s assets, pursuant to which Common Stock would be converted into Cash, securities or other assets, during the period from, and including, the date that is 25 Business Days prior to the anticipated effective date of the transaction, to, and including, the date that is 35 Trading Days after the actual closing date of such transaction;</w:t>
      </w:r>
    </w:p>
    <w:p>
      <w:pPr>
        <w:spacing w:after="0" w:line="171" w:lineRule="exact"/>
        <w:rPr>
          <w:rFonts w:ascii="Arial" w:cs="Arial" w:eastAsia="Arial" w:hAnsi="Arial"/>
          <w:sz w:val="17"/>
          <w:szCs w:val="17"/>
          <w:color w:val="auto"/>
        </w:rPr>
      </w:pPr>
    </w:p>
    <w:p>
      <w:pPr>
        <w:ind w:right="560" w:firstLine="1953"/>
        <w:spacing w:after="0" w:line="277" w:lineRule="auto"/>
        <w:tabs>
          <w:tab w:leader="none" w:pos="26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Change in Control occurs, during the period from, and including, the date that is 25 Business Days prior to the anticipated effective date of the transaction, to, and including, the related Repurchase Date;</w:t>
      </w:r>
    </w:p>
    <w:p>
      <w:pPr>
        <w:spacing w:after="0" w:line="170" w:lineRule="exact"/>
        <w:rPr>
          <w:rFonts w:ascii="Arial" w:cs="Arial" w:eastAsia="Arial" w:hAnsi="Arial"/>
          <w:sz w:val="18"/>
          <w:szCs w:val="18"/>
          <w:color w:val="auto"/>
        </w:rPr>
      </w:pPr>
    </w:p>
    <w:p>
      <w:pPr>
        <w:ind w:right="840" w:firstLine="1953"/>
        <w:spacing w:after="0" w:line="308" w:lineRule="auto"/>
        <w:tabs>
          <w:tab w:leader="none" w:pos="2629"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Notes that have been called for redemption, at any time prior to the Close of Business on the Business Day immediately preceding the Redemption Date, even if the Notes called for redemption are not otherwise convertible at such time;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at any time on or after August 15, 2043 until the Close of Business on the Business Day immediately preceding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07" w:lineRule="exact"/>
        <w:rPr>
          <w:sz w:val="20"/>
          <w:szCs w:val="20"/>
          <w:color w:val="auto"/>
        </w:rPr>
      </w:pPr>
    </w:p>
    <w:p>
      <w:pPr>
        <w:jc w:val="both"/>
        <w:ind w:right="480" w:firstLine="1305"/>
        <w:spacing w:after="0" w:line="347" w:lineRule="auto"/>
        <w:tabs>
          <w:tab w:leader="none" w:pos="19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Conversion Trigger Price</w:t>
      </w:r>
      <w:r>
        <w:rPr>
          <w:rFonts w:ascii="Arial" w:cs="Arial" w:eastAsia="Arial" w:hAnsi="Arial"/>
          <w:sz w:val="16"/>
          <w:szCs w:val="16"/>
          <w:color w:val="auto"/>
        </w:rPr>
        <w:t>” shall equal 130% of the then current Conversion Price. The Conversion Trigger Price will initially equal $37.91 and shall be automatically adjusted whenever the Conversion Price is adjusted as a result of an adjustment in the Conversion Rate</w:t>
      </w:r>
    </w:p>
    <w:p>
      <w:pPr>
        <w:sectPr>
          <w:pgSz w:w="11900" w:h="16979" w:orient="portrait"/>
          <w:cols w:equalWidth="0" w:num="1">
            <w:col w:w="11420"/>
          </w:cols>
          <w:pgMar w:left="240" w:top="125" w:right="239" w:bottom="0" w:gutter="0" w:footer="0" w:header="0"/>
        </w:sectPr>
      </w:pPr>
    </w:p>
    <w:bookmarkStart w:id="28" w:name="page29"/>
    <w:bookmarkEnd w:id="28"/>
    <w:p>
      <w:pPr>
        <w:jc w:val="both"/>
        <w:ind w:right="200"/>
        <w:spacing w:after="0" w:line="264" w:lineRule="auto"/>
        <w:rPr>
          <w:sz w:val="20"/>
          <w:szCs w:val="20"/>
          <w:color w:val="auto"/>
        </w:rPr>
      </w:pPr>
      <w:r>
        <w:rPr>
          <w:rFonts w:ascii="Arial" w:cs="Arial" w:eastAsia="Arial" w:hAnsi="Arial"/>
          <w:sz w:val="18"/>
          <w:szCs w:val="18"/>
          <w:color w:val="auto"/>
        </w:rPr>
        <w:t>pursuant to this Article 10. The Company will determine at the beginning of each calendar quarter commencing at any time after March 31, 2014, whether the Notes are convertible as a result of the price of Common Stock exceeding the Conversion Trigger Price in accordance with Section 10.01(b)(i) and will notify the Conversion Agent and the Trustee.</w:t>
      </w:r>
    </w:p>
    <w:p>
      <w:pPr>
        <w:spacing w:after="0" w:line="181" w:lineRule="exact"/>
        <w:rPr>
          <w:sz w:val="20"/>
          <w:szCs w:val="20"/>
          <w:color w:val="auto"/>
        </w:rPr>
      </w:pPr>
    </w:p>
    <w:p>
      <w:pPr>
        <w:ind w:firstLine="1305"/>
        <w:spacing w:after="0" w:line="286" w:lineRule="auto"/>
        <w:tabs>
          <w:tab w:leader="none" w:pos="1952"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connection with any conversion upon satisfaction of the Trading Price Condition as set forth in Section 10.01(b)(ii) above, the Trustee shall have no obligation to determine the Trading Price of the Notes unless the Company has requested such determination, and the Company shall have no obligation to make such request unless a Holder provides the Company with reasonable evidence that the Trading Price per $1,000 Principal Amount at Maturity of the Notes at such time would be less than 98% of the product of the Closing Price of Common Stock and the then Applicable Conversion Rate. At such time, the Company shall instruct the Trustee to determine the Trading Price of the Notes beginning on the next Trading Day and on each successive Trading Day until the Trading Price per $1,000 Principal Amount at Maturity of the Notes is greater than or equal to 98% of the product of the Closing Price of Common Stock and the then Applicable Conversion Rate. If the Company does not, when it is obligated to, make a request to the Trustee to determine the Trading Price per $1,000 Principal Amount at Maturity of Notes, or if the Company makes such request to the Trustee, but the Trustee does not or cannot make such determination, then the Trading Price per $1,000 Principal Amount at Maturity of Notes will be deemed to be less than 98% of the product of the Closing Price of Common Stock and the then Applicable Conversion Rate on each day the Company or the Trustee fails to do so. If the Trading Price Condition has been met, the Company shall so notify the Holders and the Trustee. If, at any point after the Trading Price Condition has been met, the Trading Price per $1,000 Principal Amount at Maturity of Notes is greater than 98% of the product of the Closing Price of Common Stock and the then Applicable Conversion Rate, the Company shall so notify the Holders and the Trustee.</w:t>
      </w:r>
    </w:p>
    <w:p>
      <w:pPr>
        <w:spacing w:after="0" w:line="174" w:lineRule="exact"/>
        <w:rPr>
          <w:rFonts w:ascii="Arial" w:cs="Arial" w:eastAsia="Arial" w:hAnsi="Arial"/>
          <w:sz w:val="16"/>
          <w:szCs w:val="16"/>
          <w:color w:val="auto"/>
        </w:rPr>
      </w:pPr>
    </w:p>
    <w:p>
      <w:pPr>
        <w:jc w:val="both"/>
        <w:ind w:right="260" w:firstLine="1305"/>
        <w:spacing w:after="0" w:line="302" w:lineRule="auto"/>
        <w:tabs>
          <w:tab w:leader="none" w:pos="19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Upon the first public announcement of any distribution described in Section 10.01(b)(iii) or Section 10.01(b)(iv), the Company shall notify the Holders at least 35 Business Days prior to the Ex-Date for such distribution by (i) issuing a press release and using its reasonable efforts to post such information on its website or otherwise publicly disclose this information or (ii) providing written notice to Holders by mailing such notice to Holders at their address in the Register (in the case of a Certificated Note), or through the facilities of the Depositary (in the case of a Global Note).</w:t>
      </w:r>
    </w:p>
    <w:p>
      <w:pPr>
        <w:spacing w:after="0" w:line="154" w:lineRule="exact"/>
        <w:rPr>
          <w:rFonts w:ascii="Arial" w:cs="Arial" w:eastAsia="Arial" w:hAnsi="Arial"/>
          <w:sz w:val="16"/>
          <w:szCs w:val="16"/>
          <w:color w:val="auto"/>
        </w:rPr>
      </w:pPr>
    </w:p>
    <w:p>
      <w:pPr>
        <w:ind w:right="120" w:firstLine="1305"/>
        <w:spacing w:after="0" w:line="279" w:lineRule="auto"/>
        <w:tabs>
          <w:tab w:leader="none" w:pos="1949"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connection with the transactions described in Section 10.01(b)(v), (vi) or (vii), the Company shall notify the Holders and the Trustee (i) in the case of a Change in Control or a Make-Whole Change in Control, as promptly as practicable following the date the Company publicly announces such transaction, which shall be at least 25 Business Days prior to the anticipated effective date in the case of transactions to which the Company is a party, and (ii) in the case of a Termination of Trading, the earlier of (x) the day immediately following the date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applicable securities exchange announces that a termination of trading will occur and (y) the effective date of a Termination of Trading by (A) issuing a press release and using its reasonable efforts to post such information on its website or otherwise publicly disclose this information or (B) providing written notice to Holders by mailing such notice to Holders at their address in the Register (in the case of a Certificated Note), or through the facilities of the Depositary (in the case of a Global Note).</w:t>
      </w:r>
    </w:p>
    <w:p>
      <w:pPr>
        <w:spacing w:after="0" w:line="187" w:lineRule="exact"/>
        <w:rPr>
          <w:sz w:val="20"/>
          <w:szCs w:val="20"/>
          <w:color w:val="auto"/>
        </w:rPr>
      </w:pPr>
    </w:p>
    <w:p>
      <w:pPr>
        <w:jc w:val="both"/>
        <w:ind w:right="80" w:firstLine="1305"/>
        <w:spacing w:after="0" w:line="259" w:lineRule="auto"/>
        <w:tabs>
          <w:tab w:leader="none" w:pos="19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determining that Holders are entitled to convert their Notes in accordance with the provisions set forth in Section 10.01(b), the Company shall promptly (i) issue a press release and use its reasonable efforts to post such information on its website or otherwise publicly disclose such information or (ii) provide written notice to Holders by mailing such notice to Holders at their address in the Register (in the case of a Certificated Note), or through the facilities of the Depositary (in the case of a Global Note).</w:t>
      </w:r>
    </w:p>
    <w:p>
      <w:pPr>
        <w:spacing w:after="0" w:line="186" w:lineRule="exact"/>
        <w:rPr>
          <w:rFonts w:ascii="Arial" w:cs="Arial" w:eastAsia="Arial" w:hAnsi="Arial"/>
          <w:sz w:val="18"/>
          <w:szCs w:val="18"/>
          <w:color w:val="auto"/>
        </w:rPr>
      </w:pPr>
    </w:p>
    <w:p>
      <w:pPr>
        <w:ind w:right="140" w:firstLine="1305"/>
        <w:spacing w:after="0" w:line="297" w:lineRule="auto"/>
        <w:tabs>
          <w:tab w:leader="none" w:pos="19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Holders shall not have the right to convert their Notes pursuant to Section 10.01(b)(iii) or Section 10.01(b)(iv) if in connection with the distribution described in Section 10.01(b)(iii) or Section 10.01(b)(iv) that gives rise to a right to convert their Notes, such Holders are entitled to participate (as a result of holding the Notes, and at the same time as holders of Common Stock participate) in the distribution described in such Section as if such Holders held a number of shares of Common Stock equal to the Applicable Conversion Rate on the Ex-Date for such distribution,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Principal Amount at Maturity (expressed in thousands) of Notes held by such Holder, without having to convert their Notes.</w:t>
      </w:r>
    </w:p>
    <w:p>
      <w:pPr>
        <w:spacing w:after="0" w:line="15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6"/>
          <w:szCs w:val="16"/>
          <w:i w:val="1"/>
          <w:iCs w:val="1"/>
          <w:color w:val="auto"/>
        </w:rPr>
        <w:t>Conversion Procedures; Conversion Settlement</w:t>
      </w:r>
      <w:r>
        <w:rPr>
          <w:rFonts w:ascii="Arial" w:cs="Arial" w:eastAsia="Arial" w:hAnsi="Arial"/>
          <w:sz w:val="16"/>
          <w:szCs w:val="16"/>
          <w:color w:val="auto"/>
        </w:rPr>
        <w:t>. (a) To convert a Note that is represented by a Certificated Note, a Holder must</w:t>
      </w:r>
    </w:p>
    <w:p>
      <w:pPr>
        <w:spacing w:after="0" w:line="23" w:lineRule="exact"/>
        <w:rPr>
          <w:sz w:val="20"/>
          <w:szCs w:val="20"/>
          <w:color w:val="auto"/>
        </w:rPr>
      </w:pPr>
    </w:p>
    <w:p>
      <w:pPr>
        <w:ind w:firstLine="8"/>
        <w:spacing w:after="0" w:line="281" w:lineRule="auto"/>
        <w:tabs>
          <w:tab w:leader="none" w:pos="2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complete and manually sign a Conversion Notice, a form of which is on the back of the Note, and deliver such Conversion Notice to the Conversion Agent, (2) surrender the Note to the Conversion Agent, (3) if required, furnish appropriate endorsement and transfer documents, (4) if required, pay all transfer or similar taxes and (5) if required, pay Cash equal to amount of interest due on the next Interest Payment Date for such Note. If a Holder holds a beneficial interest in a Global Note, to convert such beneficial interest, such Holder must comply with requirements (4) and (5) as set forth in the immediately preceding sentence and comply with the Applicable Procedures of the Depositary for converting a beneficial interest in a Global Note. The first date on which all of the requirements set forth in the first sentence of this Section 10.02 (in the case of a Certificated Note) or the second sentence of this</w:t>
      </w:r>
    </w:p>
    <w:p>
      <w:pPr>
        <w:spacing w:after="0" w:line="4"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Section 10.02 (in the case of a Global Note or a beneficial interest therein) have been satisfied is referred to in this Indenture as the “</w:t>
      </w:r>
      <w:r>
        <w:rPr>
          <w:rFonts w:ascii="Arial" w:cs="Arial" w:eastAsia="Arial" w:hAnsi="Arial"/>
          <w:sz w:val="18"/>
          <w:szCs w:val="18"/>
          <w:b w:val="1"/>
          <w:bCs w:val="1"/>
          <w:color w:val="auto"/>
        </w:rPr>
        <w:t>Conversion Date</w:t>
      </w:r>
      <w:r>
        <w:rPr>
          <w:rFonts w:ascii="Arial" w:cs="Arial" w:eastAsia="Arial" w:hAnsi="Arial"/>
          <w:sz w:val="18"/>
          <w:szCs w:val="18"/>
          <w:color w:val="auto"/>
        </w:rPr>
        <w:t>.” The Conversion Agent shall, within one (1) Business Day of any Conversion Date, provide notice to the Company, as set forth in Section 13.03, of the occurrence of such Conversion Date.</w:t>
      </w:r>
    </w:p>
    <w:p>
      <w:pPr>
        <w:spacing w:after="0" w:line="190" w:lineRule="exact"/>
        <w:rPr>
          <w:rFonts w:ascii="Arial" w:cs="Arial" w:eastAsia="Arial" w:hAnsi="Arial"/>
          <w:sz w:val="16"/>
          <w:szCs w:val="16"/>
          <w:color w:val="auto"/>
        </w:rPr>
      </w:pPr>
    </w:p>
    <w:p>
      <w:pPr>
        <w:ind w:right="40" w:firstLine="1305"/>
        <w:spacing w:after="0" w:line="264" w:lineRule="auto"/>
        <w:tabs>
          <w:tab w:leader="none" w:pos="19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Subject to Section 10.09 and Section 10.10, the Company will deliver the Conversion Consideration on the third Business Day immediately following the relevant Conversion Date, if the Company elects Physical Settlement, or on the third Business Day immediately following the last Trading Day of the relevant Observation Period, in the case of any other Settlement Method.</w:t>
      </w:r>
    </w:p>
    <w:p>
      <w:pPr>
        <w:spacing w:after="0" w:line="181" w:lineRule="exact"/>
        <w:rPr>
          <w:rFonts w:ascii="Arial" w:cs="Arial" w:eastAsia="Arial" w:hAnsi="Arial"/>
          <w:sz w:val="18"/>
          <w:szCs w:val="18"/>
          <w:color w:val="auto"/>
        </w:rPr>
      </w:pPr>
    </w:p>
    <w:p>
      <w:pPr>
        <w:ind w:right="200" w:firstLine="1305"/>
        <w:spacing w:after="0" w:line="277" w:lineRule="auto"/>
        <w:tabs>
          <w:tab w:leader="none" w:pos="195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Holder receiving Common Stock upon conversion shall not be entitled to any rights as a holder of Common Stock, including, among other things, the right to vote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receive dividends and notices of stockholder meetings, until the Close of Business on (i) the Conversion Date (if the Company delivers solely shares of Common Stock in respect of the Conversion Obligation, other than solely Cash in lieu of any fractional shares) or (ii) the last Trading Day of the Observation Period (if the Company delivers Cash in respect of any portion of the Conversion Obligation, other than solely Cash in lieu of any fractional shares, or if the Company has made a Net Share Settlement Election).</w:t>
      </w:r>
    </w:p>
    <w:p>
      <w:pPr>
        <w:sectPr>
          <w:pgSz w:w="11900" w:h="16838" w:orient="portrait"/>
          <w:cols w:equalWidth="0" w:num="1">
            <w:col w:w="11380"/>
          </w:cols>
          <w:pgMar w:left="240" w:top="125" w:right="279" w:bottom="0" w:gutter="0" w:footer="0" w:header="0"/>
        </w:sectPr>
      </w:pPr>
    </w:p>
    <w:bookmarkStart w:id="29" w:name="page30"/>
    <w:bookmarkEnd w:id="29"/>
    <w:p>
      <w:pPr>
        <w:ind w:right="20" w:firstLine="1305"/>
        <w:spacing w:after="0" w:line="254" w:lineRule="auto"/>
        <w:tabs>
          <w:tab w:leader="none" w:pos="19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payment or adjustment will be made for dividends on, or other distributions with respect to, any Common Stock except as provided in this Article 10. Upon conversion of a Note, a Holder will not receive, except as described below, any Cash payment representing accrued interest (including any Additional Interest). Instead, accrued interest (including any Additional Interest) will be deemed paid by the Cash, shares of Common Stock or a combination thereof, received by the Holder upon conversion. Delivery to the Holder of such Cash and shares of Common Stock shall thus be deemed to satisfy (1) the Company’s obligation to pay the Accreted Principal Amount of a Note, and (2) the Company’s obligation to pay any accrued and unpaid interest (including any Additional Interest) on the Note from the last Interest Payment Date to the Conversion Date. As a result, upon conversion of a Note, accrued and unpaid interest (including any Additional Interest) on such Note to, but not including, the Conversion Date is deemed paid in full rather than cancelled, extinguished or forfeited.</w:t>
      </w:r>
    </w:p>
    <w:p>
      <w:pPr>
        <w:spacing w:after="0" w:line="192"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Section 10.02(d), if Notes are converted in connection with a redemption pursuant to Section 11.01 that occurs prior to November 20, 2018, a Holder will receive, in addition to the amount of Cash and number of shares of Common Stock, if any, due upon conversion, a Cash payment representing accrued and unpaid interest (including Additional Interest, if any) to the Conversion Date; provided that no such payment shall be required to be made if such conversion occurs after a Regular Record Date and on or prior to the next succeeding Interest Payment Date and such accrued and unpaid interest is paid in accordance with Section 10.02(f) below.</w:t>
      </w:r>
    </w:p>
    <w:p>
      <w:pPr>
        <w:spacing w:after="0" w:line="188" w:lineRule="exact"/>
        <w:rPr>
          <w:rFonts w:ascii="Arial" w:cs="Arial" w:eastAsia="Arial" w:hAnsi="Arial"/>
          <w:sz w:val="18"/>
          <w:szCs w:val="18"/>
          <w:color w:val="auto"/>
        </w:rPr>
      </w:pPr>
    </w:p>
    <w:p>
      <w:pPr>
        <w:ind w:firstLine="1305"/>
        <w:spacing w:after="0" w:line="271" w:lineRule="auto"/>
        <w:tabs>
          <w:tab w:leader="none" w:pos="1949"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Notwithstanding Section 10.02(d), if Notes are converted after a Regular Record Date but prior to the next succeeding Interest Payment Date, Holders of such Notes at the Close of Business on such Regular Record Date will receive the interest payable (including Additional Interest) on such Notes on the corresponding Interest Payment Date notwithstanding the conversion. Such Notes, upon surrender for conversion, must be accompanied by Cash equal to the amount of interest (including any Additional Interest) payable on such Interest Payment Date on the Notes so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need be made (1) if the Company has specified a Redemption Date that is after a Regular Record Date but on or prior to the next succeeding Interest Payment Date, (2) if the Company has specified a Repurchase Date that is after a Regular Record Date but on or prior to the next succeeding Interest Payment Date, (3) with respect to any Notes converted after the Regular Record Date immediately preceding November 15, 2018, or (4) to the extent of any Defaulted Interest that exists at the time of conversion with respect to such Note.</w:t>
      </w:r>
    </w:p>
    <w:p>
      <w:pPr>
        <w:spacing w:after="0" w:line="178" w:lineRule="exact"/>
        <w:rPr>
          <w:rFonts w:ascii="Arial" w:cs="Arial" w:eastAsia="Arial" w:hAnsi="Arial"/>
          <w:sz w:val="17"/>
          <w:szCs w:val="17"/>
          <w:color w:val="auto"/>
        </w:rPr>
      </w:pPr>
    </w:p>
    <w:p>
      <w:pPr>
        <w:ind w:right="60" w:firstLine="1305"/>
        <w:spacing w:after="0" w:line="342" w:lineRule="auto"/>
        <w:tabs>
          <w:tab w:leader="none" w:pos="19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a Holder converts more than one Note at the same time, the number of shares of Common Stock and the amount of Cash delivered in lieu of fractional shares, if any, due upon conversion shall be determined based on the total Principal Amount at Maturity of the Notes converted.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308" w:lineRule="auto"/>
        <w:tabs>
          <w:tab w:leader="none" w:pos="19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Upon surrender of a Note that is converted in part, the Company shall execute, and the Trustee shall authenticate and deliver to the Holder, a new Note in an authorized denomination equal in Principal Amount at Maturity to the unconverted portion of the Note surrendered.</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Section 10.03. Settlement Upon Conversion</w:t>
      </w:r>
      <w:r>
        <w:rPr>
          <w:rFonts w:ascii="Arial" w:cs="Arial" w:eastAsia="Arial" w:hAnsi="Arial"/>
          <w:sz w:val="18"/>
          <w:szCs w:val="18"/>
          <w:color w:val="auto"/>
        </w:rPr>
        <w:t>. (a) Subject to Section 10.09, upon conversion of any Note, the Company may choose to pay 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as the case may be, either Cash (“</w:t>
      </w:r>
      <w:r>
        <w:rPr>
          <w:rFonts w:ascii="Arial" w:cs="Arial" w:eastAsia="Arial" w:hAnsi="Arial"/>
          <w:sz w:val="18"/>
          <w:szCs w:val="18"/>
          <w:b w:val="1"/>
          <w:bCs w:val="1"/>
          <w:color w:val="auto"/>
        </w:rPr>
        <w:t>Cash Settlement</w:t>
      </w:r>
      <w:r>
        <w:rPr>
          <w:rFonts w:ascii="Arial" w:cs="Arial" w:eastAsia="Arial" w:hAnsi="Arial"/>
          <w:sz w:val="18"/>
          <w:szCs w:val="18"/>
          <w:color w:val="auto"/>
        </w:rPr>
        <w:t>”), shares of Common Stock (other than Cash for any fractional shares) (“</w:t>
      </w:r>
      <w:r>
        <w:rPr>
          <w:rFonts w:ascii="Arial" w:cs="Arial" w:eastAsia="Arial" w:hAnsi="Arial"/>
          <w:sz w:val="18"/>
          <w:szCs w:val="18"/>
          <w:b w:val="1"/>
          <w:bCs w:val="1"/>
          <w:color w:val="auto"/>
        </w:rPr>
        <w:t>Physical Settlement</w:t>
      </w:r>
      <w:r>
        <w:rPr>
          <w:rFonts w:ascii="Arial" w:cs="Arial" w:eastAsia="Arial" w:hAnsi="Arial"/>
          <w:sz w:val="18"/>
          <w:szCs w:val="18"/>
          <w:color w:val="auto"/>
        </w:rPr>
        <w:t>”) or a combination of Cash and shares of Common Stock (“</w:t>
      </w:r>
      <w:r>
        <w:rPr>
          <w:rFonts w:ascii="Arial" w:cs="Arial" w:eastAsia="Arial" w:hAnsi="Arial"/>
          <w:sz w:val="18"/>
          <w:szCs w:val="18"/>
          <w:b w:val="1"/>
          <w:bCs w:val="1"/>
          <w:color w:val="auto"/>
        </w:rPr>
        <w:t>Combination Settlement</w:t>
      </w:r>
      <w:r>
        <w:rPr>
          <w:rFonts w:ascii="Arial" w:cs="Arial" w:eastAsia="Arial" w:hAnsi="Arial"/>
          <w:sz w:val="18"/>
          <w:szCs w:val="18"/>
          <w:color w:val="auto"/>
        </w:rPr>
        <w:t>”). Each of Cash Settlement, Physical Settlement and Combination Settlement is a “</w:t>
      </w:r>
      <w:r>
        <w:rPr>
          <w:rFonts w:ascii="Arial" w:cs="Arial" w:eastAsia="Arial" w:hAnsi="Arial"/>
          <w:sz w:val="18"/>
          <w:szCs w:val="18"/>
          <w:b w:val="1"/>
          <w:bCs w:val="1"/>
          <w:color w:val="auto"/>
        </w:rPr>
        <w:t>Settlement Method</w:t>
      </w:r>
      <w:r>
        <w:rPr>
          <w:rFonts w:ascii="Arial" w:cs="Arial" w:eastAsia="Arial" w:hAnsi="Arial"/>
          <w:sz w:val="18"/>
          <w:szCs w:val="18"/>
          <w:color w:val="auto"/>
        </w:rPr>
        <w:t>.”</w:t>
      </w:r>
    </w:p>
    <w:p>
      <w:pPr>
        <w:spacing w:after="0" w:line="187" w:lineRule="exact"/>
        <w:rPr>
          <w:sz w:val="20"/>
          <w:szCs w:val="20"/>
          <w:color w:val="auto"/>
        </w:rPr>
      </w:pPr>
    </w:p>
    <w:p>
      <w:pPr>
        <w:ind w:right="20" w:firstLine="1305"/>
        <w:spacing w:after="0" w:line="312" w:lineRule="auto"/>
        <w:tabs>
          <w:tab w:leader="none" w:pos="195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same Settlement Method shall be used for all conversions occurring on the same Conversion Date. The Company shall not have any obligation to use the same Settlement Method with respect to conversions with Conversion Dates that occur on different Trading Days, except that the same Settlement Method shall be used for all conversions occurring on or after the 24th Scheduled Trading Day immediately preceding the Maturity Date.</w:t>
      </w:r>
    </w:p>
    <w:p>
      <w:pPr>
        <w:spacing w:after="0" w:line="142" w:lineRule="exact"/>
        <w:rPr>
          <w:rFonts w:ascii="Arial" w:cs="Arial" w:eastAsia="Arial" w:hAnsi="Arial"/>
          <w:sz w:val="16"/>
          <w:szCs w:val="16"/>
          <w:color w:val="auto"/>
        </w:rPr>
      </w:pPr>
    </w:p>
    <w:p>
      <w:pPr>
        <w:ind w:right="40" w:firstLine="1305"/>
        <w:spacing w:after="0" w:line="291" w:lineRule="auto"/>
        <w:tabs>
          <w:tab w:leader="none" w:pos="19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Company elects a Settlement Method in respect of a Conversion Date, the Company shall provide notice (the “</w:t>
      </w:r>
      <w:r>
        <w:rPr>
          <w:rFonts w:ascii="Arial" w:cs="Arial" w:eastAsia="Arial" w:hAnsi="Arial"/>
          <w:sz w:val="16"/>
          <w:szCs w:val="16"/>
          <w:b w:val="1"/>
          <w:bCs w:val="1"/>
          <w:color w:val="auto"/>
        </w:rPr>
        <w:t>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of such Settlement Method and the Specified Dollar Amount or Cash Percentage, as applicable, in respect of such Conversion Date by informing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the converting Holders, through the Trustee, and the Depositary no later than the Close of Business on the Trading Day immediately following the relevant Conversion Date (or, in the case of any conversions occurring on or after the 24th Scheduled Trading Day immediately preceding the Maturity Date, no later than the 24th Scheduled Trading Day immediately preceding the Maturity Date). If the Company elects Combination Settlement, but does not timely notify converting Holders of the Specified Dollar Amount per $1,000 Principal Amount at Maturity of Notes, such Specified Dollar Amount will be deemed to be $1,000. If the Company does not timely provide Settlement Notice, it will be deemed to have elected Combination Settlement in respect of the Conversion Obligation with a Specified Dollar Amount per $1,000 Principal Amount at Maturity of Notes equal to $1,000.</w:t>
      </w:r>
    </w:p>
    <w:p>
      <w:pPr>
        <w:spacing w:after="0" w:line="164" w:lineRule="exact"/>
        <w:rPr>
          <w:rFonts w:ascii="Arial" w:cs="Arial" w:eastAsia="Arial" w:hAnsi="Arial"/>
          <w:sz w:val="16"/>
          <w:szCs w:val="16"/>
          <w:color w:val="auto"/>
        </w:rPr>
      </w:pPr>
    </w:p>
    <w:p>
      <w:pPr>
        <w:ind w:firstLine="1305"/>
        <w:spacing w:after="0" w:line="264" w:lineRule="auto"/>
        <w:tabs>
          <w:tab w:leader="none" w:pos="19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Section 10.03(e), with respect to any conversion of Notes by means of a Combination Settlement (other than a Net Share Settlement), the Company may specify, rather than a Specified Dollar Amount, a percentage of the Daily Settlement Amount that will be settled in Cash (the “</w:t>
      </w:r>
      <w:r>
        <w:rPr>
          <w:rFonts w:ascii="Arial" w:cs="Arial" w:eastAsia="Arial" w:hAnsi="Arial"/>
          <w:sz w:val="18"/>
          <w:szCs w:val="18"/>
          <w:b w:val="1"/>
          <w:bCs w:val="1"/>
          <w:color w:val="auto"/>
        </w:rPr>
        <w:t>Cash Percentage</w:t>
      </w:r>
      <w:r>
        <w:rPr>
          <w:rFonts w:ascii="Arial" w:cs="Arial" w:eastAsia="Arial" w:hAnsi="Arial"/>
          <w:sz w:val="18"/>
          <w:szCs w:val="18"/>
          <w:color w:val="auto"/>
        </w:rPr>
        <w:t>”) by specifying such Cash Percentage in the Settlement Notice.</w:t>
      </w:r>
    </w:p>
    <w:p>
      <w:pPr>
        <w:spacing w:after="0" w:line="177" w:lineRule="exact"/>
        <w:rPr>
          <w:rFonts w:ascii="Arial" w:cs="Arial" w:eastAsia="Arial" w:hAnsi="Arial"/>
          <w:sz w:val="18"/>
          <w:szCs w:val="18"/>
          <w:color w:val="auto"/>
        </w:rPr>
      </w:pPr>
    </w:p>
    <w:p>
      <w:pPr>
        <w:ind w:right="20" w:firstLine="1305"/>
        <w:spacing w:after="0" w:line="277" w:lineRule="auto"/>
        <w:tabs>
          <w:tab w:leader="none" w:pos="19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any time on or prior to the 24th scheduled Trading Day prior to the Maturity Date, the Company may irrevocably elect (a “</w:t>
      </w:r>
      <w:r>
        <w:rPr>
          <w:rFonts w:ascii="Arial" w:cs="Arial" w:eastAsia="Arial" w:hAnsi="Arial"/>
          <w:sz w:val="17"/>
          <w:szCs w:val="17"/>
          <w:b w:val="1"/>
          <w:bCs w:val="1"/>
          <w:color w:val="auto"/>
        </w:rPr>
        <w:t>Net</w:t>
      </w:r>
      <w:r>
        <w:rPr>
          <w:rFonts w:ascii="Arial" w:cs="Arial" w:eastAsia="Arial" w:hAnsi="Arial"/>
          <w:sz w:val="17"/>
          <w:szCs w:val="17"/>
          <w:color w:val="auto"/>
        </w:rPr>
        <w:t xml:space="preserve"> </w:t>
      </w:r>
      <w:r>
        <w:rPr>
          <w:rFonts w:ascii="Arial" w:cs="Arial" w:eastAsia="Arial" w:hAnsi="Arial"/>
          <w:sz w:val="17"/>
          <w:szCs w:val="17"/>
          <w:b w:val="1"/>
          <w:bCs w:val="1"/>
          <w:color w:val="auto"/>
        </w:rPr>
        <w:t>Share Settlement Election</w:t>
      </w:r>
      <w:r>
        <w:rPr>
          <w:rFonts w:ascii="Arial" w:cs="Arial" w:eastAsia="Arial" w:hAnsi="Arial"/>
          <w:sz w:val="17"/>
          <w:szCs w:val="17"/>
          <w:color w:val="auto"/>
        </w:rPr>
        <w:t>”) to satisfy the Conversion Obligation with respect to any Notes to be converted after the date of such election by delivering Cash</w:t>
      </w:r>
      <w:r>
        <w:rPr>
          <w:rFonts w:ascii="Arial" w:cs="Arial" w:eastAsia="Arial" w:hAnsi="Arial"/>
          <w:sz w:val="17"/>
          <w:szCs w:val="17"/>
          <w:b w:val="1"/>
          <w:bCs w:val="1"/>
          <w:color w:val="auto"/>
        </w:rPr>
        <w:t xml:space="preserve"> </w:t>
      </w:r>
      <w:r>
        <w:rPr>
          <w:rFonts w:ascii="Arial" w:cs="Arial" w:eastAsia="Arial" w:hAnsi="Arial"/>
          <w:sz w:val="17"/>
          <w:szCs w:val="17"/>
          <w:color w:val="auto"/>
        </w:rPr>
        <w:t>up to the aggregate Principal Amount at Maturity of Notes to be converted, and shares of Common Stock, Cash or a combination thereof in respect of the remainder, if any, of the Conversion Obligation ( “</w:t>
      </w:r>
      <w:r>
        <w:rPr>
          <w:rFonts w:ascii="Arial" w:cs="Arial" w:eastAsia="Arial" w:hAnsi="Arial"/>
          <w:sz w:val="17"/>
          <w:szCs w:val="17"/>
          <w:b w:val="1"/>
          <w:bCs w:val="1"/>
          <w:color w:val="auto"/>
        </w:rPr>
        <w:t>Net Share Settlement</w:t>
      </w:r>
      <w:r>
        <w:rPr>
          <w:rFonts w:ascii="Arial" w:cs="Arial" w:eastAsia="Arial" w:hAnsi="Arial"/>
          <w:sz w:val="17"/>
          <w:szCs w:val="17"/>
          <w:color w:val="auto"/>
        </w:rPr>
        <w:t>”). A Net Share Settlement is one type of Combination Settlement. The Company may make a Net Share Settlement Election at its sole discretion without the consent of the 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Upon making a Net Share Settlement Election, the Company will promptly (i) use reasonable efforts to post such information on its website or otherwise publicly disclose such information and (ii) provide written notice to the Holders by mailing such notice to Holders at their address in the Register (in the case of a Certificated Note), or through the facilities of the Depositary (in the case of a Global Note).</w:t>
      </w:r>
    </w:p>
    <w:p>
      <w:pPr>
        <w:spacing w:after="0" w:line="181" w:lineRule="exact"/>
        <w:rPr>
          <w:sz w:val="20"/>
          <w:szCs w:val="20"/>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Conversion Consideration in respect of the conversion of any Notes will be computed as follows:</w:t>
      </w:r>
    </w:p>
    <w:p>
      <w:pPr>
        <w:spacing w:after="0" w:line="225" w:lineRule="exact"/>
        <w:rPr>
          <w:rFonts w:ascii="Arial" w:cs="Arial" w:eastAsia="Arial" w:hAnsi="Arial"/>
          <w:sz w:val="18"/>
          <w:szCs w:val="18"/>
          <w:color w:val="auto"/>
        </w:rPr>
      </w:pPr>
    </w:p>
    <w:p>
      <w:pPr>
        <w:ind w:right="340" w:firstLine="1953"/>
        <w:spacing w:after="0" w:line="277" w:lineRule="auto"/>
        <w:tabs>
          <w:tab w:leader="none" w:pos="2614"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the Company elects Physical Settlement, it will deliver to the converting Holder in respect of each $1,000 Principal Amount at Maturity of Notes being converted a number of shares of Common Stock equal to the Conversion Rate;</w:t>
      </w:r>
    </w:p>
    <w:p>
      <w:pPr>
        <w:sectPr>
          <w:pgSz w:w="11900" w:h="16838" w:orient="portrait"/>
          <w:cols w:equalWidth="0" w:num="1">
            <w:col w:w="11420"/>
          </w:cols>
          <w:pgMar w:left="240" w:top="125" w:right="239" w:bottom="0" w:gutter="0" w:footer="0" w:header="0"/>
        </w:sectPr>
      </w:pPr>
    </w:p>
    <w:bookmarkStart w:id="30" w:name="page31"/>
    <w:bookmarkEnd w:id="30"/>
    <w:p>
      <w:pPr>
        <w:spacing w:after="0" w:line="150" w:lineRule="exact"/>
        <w:rPr>
          <w:sz w:val="20"/>
          <w:szCs w:val="20"/>
          <w:color w:val="auto"/>
        </w:rPr>
      </w:pPr>
    </w:p>
    <w:p>
      <w:pPr>
        <w:ind w:firstLine="1953"/>
        <w:spacing w:after="0" w:line="264" w:lineRule="auto"/>
        <w:tabs>
          <w:tab w:leader="none" w:pos="26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Company elects Cash Settlement, it will pay to the converting Holder in respect of each $1,000 Principal Amount at Maturity of Notes being converted Cash in an amount equal to the sum of the Daily Conversion Values for each of the 20 consecutive Trading Days during the applicable Observation Period; and</w:t>
      </w:r>
    </w:p>
    <w:p>
      <w:pPr>
        <w:spacing w:after="0" w:line="181" w:lineRule="exact"/>
        <w:rPr>
          <w:rFonts w:ascii="Arial" w:cs="Arial" w:eastAsia="Arial" w:hAnsi="Arial"/>
          <w:sz w:val="18"/>
          <w:szCs w:val="18"/>
          <w:color w:val="auto"/>
        </w:rPr>
      </w:pPr>
    </w:p>
    <w:p>
      <w:pPr>
        <w:ind w:right="20" w:firstLine="1953"/>
        <w:spacing w:after="0" w:line="259" w:lineRule="auto"/>
        <w:tabs>
          <w:tab w:leader="none" w:pos="2633"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Combination Settlement (including Net Share Settlement), it will pay or deliver, as the case may be, to the converting Holder in respect of each $1,000 Principal Amount at Maturity of Notes being converted a combination of Cash and shares of Common Stock in an amount equal to the sum of the Daily Settlement Amounts for each of the 20 consecutive Trading Days during the applicable Observation Period.</w:t>
      </w:r>
    </w:p>
    <w:p>
      <w:pPr>
        <w:spacing w:after="0" w:line="186" w:lineRule="exact"/>
        <w:rPr>
          <w:rFonts w:ascii="Arial" w:cs="Arial" w:eastAsia="Arial" w:hAnsi="Arial"/>
          <w:sz w:val="18"/>
          <w:szCs w:val="18"/>
          <w:color w:val="auto"/>
        </w:rPr>
      </w:pPr>
    </w:p>
    <w:p>
      <w:pPr>
        <w:ind w:right="100" w:firstLine="1305"/>
        <w:spacing w:after="0" w:line="255" w:lineRule="auto"/>
        <w:tabs>
          <w:tab w:leader="none" w:pos="19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Daily Settlement Amounts and the Daily Conversion Values (if applicable) shall be determined by the Company promptly following the last day of the Observation Period. Promptly after such determination of the Daily Settlement Amounts or the Daily Conversion Values, as the case may be, and the amount of Cash deliverable, the Company shall notify the Trustee and the Conversion Agent (if other than the Trustee) of the Daily Settlement Amounts or the Daily Conversion Values, as the case may be, and the amount of Cash deliverable. In calculating the Daily Settlement Amounts, the Conversion Rate on any day shall be appropriately adjusted to take into account the occurrence on or before such Trading Day of any event that would require an adjustment to the Conversion Rate as set forth in Section 10.07. The Trustee and the Conversion Agent (if other than the Trustee) shall have no responsibility for any such determination.</w:t>
      </w:r>
    </w:p>
    <w:p>
      <w:pPr>
        <w:spacing w:after="0" w:line="189" w:lineRule="exact"/>
        <w:rPr>
          <w:sz w:val="20"/>
          <w:szCs w:val="20"/>
          <w:color w:val="auto"/>
        </w:rPr>
      </w:pPr>
    </w:p>
    <w:p>
      <w:pPr>
        <w:ind w:left="100" w:right="20" w:firstLine="360"/>
        <w:spacing w:after="0" w:line="297" w:lineRule="auto"/>
        <w:rPr>
          <w:sz w:val="20"/>
          <w:szCs w:val="20"/>
          <w:color w:val="auto"/>
        </w:rPr>
      </w:pPr>
      <w:r>
        <w:rPr>
          <w:rFonts w:ascii="Arial" w:cs="Arial" w:eastAsia="Arial" w:hAnsi="Arial"/>
          <w:sz w:val="16"/>
          <w:szCs w:val="16"/>
          <w:i w:val="1"/>
          <w:iCs w:val="1"/>
          <w:color w:val="auto"/>
        </w:rPr>
        <w:t>Section 10.04. Fractional Share</w:t>
      </w:r>
      <w:r>
        <w:rPr>
          <w:rFonts w:ascii="Arial" w:cs="Arial" w:eastAsia="Arial" w:hAnsi="Arial"/>
          <w:sz w:val="16"/>
          <w:szCs w:val="16"/>
          <w:color w:val="auto"/>
        </w:rPr>
        <w:t>. The Company will not issue a fractional share of Common Stock upon conversion of a Note. Instead,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pay Cash in lieu of fractional shares based on the Closing Price of Common Stock on the Trading Day prior to the applicable Conversion Date (if the Company delivers solely shares of Common Stock to satisfy the Conversion Obligation, other than Cash in lieu of fractional shares) or the Closing Price of the Common Stock on the last Trading Day of the relevant Observation Period (if the Company delivers Cash to satisfy a portion, but less than all, of the Conversion Obligation, other than solely Cash in lieu of any fractional shares, or if the Company has made a Net Share Settlement Election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10.05. Taxes on Conversion</w:t>
      </w:r>
      <w:r>
        <w:rPr>
          <w:rFonts w:ascii="Arial" w:cs="Arial" w:eastAsia="Arial" w:hAnsi="Arial"/>
          <w:sz w:val="18"/>
          <w:szCs w:val="18"/>
          <w:color w:val="auto"/>
        </w:rPr>
        <w:t>. If a Holder converts a Note, the Company shall pay any documentary, stamp or similar issue or transfer tax</w:t>
      </w:r>
      <w:r>
        <w:rPr>
          <w:rFonts w:ascii="Arial" w:cs="Arial" w:eastAsia="Arial" w:hAnsi="Arial"/>
          <w:sz w:val="18"/>
          <w:szCs w:val="18"/>
          <w:i w:val="1"/>
          <w:iCs w:val="1"/>
          <w:color w:val="auto"/>
        </w:rPr>
        <w:t xml:space="preserve"> </w:t>
      </w:r>
      <w:r>
        <w:rPr>
          <w:rFonts w:ascii="Arial" w:cs="Arial" w:eastAsia="Arial" w:hAnsi="Arial"/>
          <w:sz w:val="18"/>
          <w:szCs w:val="18"/>
          <w:color w:val="auto"/>
        </w:rPr>
        <w:t>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Section 10.06. Company to Provide Common Stock</w:t>
      </w:r>
      <w:r>
        <w:rPr>
          <w:rFonts w:ascii="Arial" w:cs="Arial" w:eastAsia="Arial" w:hAnsi="Arial"/>
          <w:sz w:val="18"/>
          <w:szCs w:val="18"/>
          <w:color w:val="auto"/>
        </w:rPr>
        <w:t>. The Company shall, from time to time as may be necessary, reserve out of its authorized but</w:t>
      </w:r>
      <w:r>
        <w:rPr>
          <w:rFonts w:ascii="Arial" w:cs="Arial" w:eastAsia="Arial" w:hAnsi="Arial"/>
          <w:sz w:val="18"/>
          <w:szCs w:val="18"/>
          <w:i w:val="1"/>
          <w:iCs w:val="1"/>
          <w:color w:val="auto"/>
        </w:rPr>
        <w:t xml:space="preserve"> </w:t>
      </w:r>
      <w:r>
        <w:rPr>
          <w:rFonts w:ascii="Arial" w:cs="Arial" w:eastAsia="Arial" w:hAnsi="Arial"/>
          <w:sz w:val="18"/>
          <w:szCs w:val="18"/>
          <w:color w:val="auto"/>
        </w:rPr>
        <w:t>unissued shares of Common Stock a sufficient number of shares of Common Stock to permit the delivery in respect of all outstanding Notes of the number of shares of Common Stock due upon conversion.</w:t>
      </w:r>
    </w:p>
    <w:p>
      <w:pPr>
        <w:spacing w:after="0" w:line="18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All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Section 10.07. Adjustment to Conversion Rate</w:t>
      </w:r>
      <w:r>
        <w:rPr>
          <w:rFonts w:ascii="Arial" w:cs="Arial" w:eastAsia="Arial" w:hAnsi="Arial"/>
          <w:sz w:val="18"/>
          <w:szCs w:val="18"/>
          <w:color w:val="auto"/>
        </w:rPr>
        <w:t>. The Conversion Rate shall be adjusted, at any time and from time to time while any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are outstanding, by the Company if any of the following events occur.</w:t>
      </w:r>
    </w:p>
    <w:p>
      <w:pPr>
        <w:spacing w:after="0" w:line="170" w:lineRule="exact"/>
        <w:rPr>
          <w:sz w:val="20"/>
          <w:szCs w:val="20"/>
          <w:color w:val="auto"/>
        </w:rPr>
      </w:pPr>
    </w:p>
    <w:p>
      <w:pPr>
        <w:ind w:left="660" w:firstLine="645"/>
        <w:spacing w:after="0" w:line="342" w:lineRule="auto"/>
        <w:tabs>
          <w:tab w:leader="none" w:pos="1954"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Company issues dividends or makes distributions on Common Stock payable in shares of Common Stock, or if the Company subdivides, combines or reclassifies shares of Common Stock, the Conversion Rate shall be adjusted based on the following formula:</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 w:type="dxa"/>
            <w:vAlign w:val="bottom"/>
            <w:vMerge w:val="restart"/>
          </w:tcPr>
          <w:p>
            <w:pPr>
              <w:ind w:left="32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700" w:type="dxa"/>
            <w:vAlign w:val="bottom"/>
            <w:vMerge w:val="restart"/>
          </w:tcPr>
          <w:p>
            <w:pPr>
              <w:jc w:val="right"/>
              <w:ind w:right="490"/>
              <w:spacing w:after="0"/>
              <w:rPr>
                <w:sz w:val="20"/>
                <w:szCs w:val="20"/>
                <w:color w:val="auto"/>
              </w:rPr>
            </w:pPr>
            <w:r>
              <w:rPr>
                <w:rFonts w:ascii="Arial" w:cs="Arial" w:eastAsia="Arial" w:hAnsi="Arial"/>
                <w:sz w:val="18"/>
                <w:szCs w:val="18"/>
                <w:color w:val="auto"/>
                <w:w w:val="94"/>
              </w:rPr>
              <w:t>×</w:t>
            </w: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8"/>
        </w:trPr>
        <w:tc>
          <w:tcPr>
            <w:tcW w:w="6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right="140" w:hanging="904"/>
        <w:spacing w:after="0" w:line="342" w:lineRule="auto"/>
        <w:tabs>
          <w:tab w:leader="none" w:pos="160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opening of business on the Ex-Date for such dividend or distribution, or immediately prior to the opening of business on the effective date for such subdivision, combination or reclassification, as applicable;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spacing w:after="0"/>
        <w:tabs>
          <w:tab w:leader="none" w:pos="160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 or effective date, as applicable;</w:t>
      </w:r>
    </w:p>
    <w:p>
      <w:pPr>
        <w:spacing w:after="0" w:line="225" w:lineRule="exact"/>
        <w:rPr>
          <w:sz w:val="20"/>
          <w:szCs w:val="20"/>
          <w:color w:val="auto"/>
        </w:rPr>
      </w:pPr>
    </w:p>
    <w:p>
      <w:pPr>
        <w:ind w:left="1620" w:right="420" w:hanging="904"/>
        <w:spacing w:after="0" w:line="277" w:lineRule="auto"/>
        <w:tabs>
          <w:tab w:leader="none" w:pos="160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prior to such dividend, distribution, subdivision, combination or reclassification; and</w:t>
      </w:r>
    </w:p>
    <w:p>
      <w:pPr>
        <w:spacing w:after="0" w:line="170" w:lineRule="exact"/>
        <w:rPr>
          <w:sz w:val="20"/>
          <w:szCs w:val="20"/>
          <w:color w:val="auto"/>
        </w:rPr>
      </w:pPr>
    </w:p>
    <w:p>
      <w:pPr>
        <w:ind w:left="1620" w:right="620" w:hanging="904"/>
        <w:spacing w:after="0" w:line="277" w:lineRule="auto"/>
        <w:tabs>
          <w:tab w:leader="none" w:pos="160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after giving effect to such dividend, distribution, subdivision, combination or reclassification.</w:t>
      </w:r>
    </w:p>
    <w:p>
      <w:pPr>
        <w:spacing w:after="0" w:line="170" w:lineRule="exact"/>
        <w:rPr>
          <w:sz w:val="20"/>
          <w:szCs w:val="20"/>
          <w:color w:val="auto"/>
        </w:rPr>
      </w:pPr>
    </w:p>
    <w:p>
      <w:pPr>
        <w:ind w:left="660" w:right="40" w:firstLine="648"/>
        <w:spacing w:after="0" w:line="342" w:lineRule="auto"/>
        <w:rPr>
          <w:sz w:val="20"/>
          <w:szCs w:val="20"/>
          <w:color w:val="auto"/>
        </w:rPr>
      </w:pPr>
      <w:r>
        <w:rPr>
          <w:rFonts w:ascii="Arial" w:cs="Arial" w:eastAsia="Arial" w:hAnsi="Arial"/>
          <w:sz w:val="16"/>
          <w:szCs w:val="16"/>
          <w:color w:val="auto"/>
        </w:rPr>
        <w:t>Any adjustment made under this Section 10.07(a) shall become effective immediately after the opening of business on the Ex-Date for such dividend or distribution, or immediately after the opening of business on the effective date for such subdivision, combination or reclassification, as</w:t>
      </w:r>
    </w:p>
    <w:p>
      <w:pPr>
        <w:sectPr>
          <w:pgSz w:w="11900" w:h="16989" w:orient="portrait"/>
          <w:cols w:equalWidth="0" w:num="1">
            <w:col w:w="11400"/>
          </w:cols>
          <w:pgMar w:left="240" w:top="125" w:right="259" w:bottom="0" w:gutter="0" w:footer="0" w:header="0"/>
        </w:sectPr>
      </w:pPr>
    </w:p>
    <w:bookmarkStart w:id="31" w:name="page32"/>
    <w:bookmarkEnd w:id="31"/>
    <w:p>
      <w:pPr>
        <w:ind w:left="660" w:right="80"/>
        <w:spacing w:after="0" w:line="257" w:lineRule="auto"/>
        <w:rPr>
          <w:sz w:val="20"/>
          <w:szCs w:val="20"/>
          <w:color w:val="auto"/>
        </w:rPr>
      </w:pPr>
      <w:r>
        <w:rPr>
          <w:rFonts w:ascii="Arial" w:cs="Arial" w:eastAsia="Arial" w:hAnsi="Arial"/>
          <w:sz w:val="18"/>
          <w:szCs w:val="18"/>
          <w:color w:val="auto"/>
        </w:rPr>
        <w:t>applicable. If any dividend or distribution of the type described in this Section 10.07(a) is declared but not so paid or made, or the outstanding shares of Common Stock are not subdivided, combined or reclassified, as the case may be, effective as of the date the Board of Directors or a committee thereof determines not to pay such dividend or distribution or to effect such subdivision, combination or reclassification, the Conversion Rate shall again be adjusted to the Conversion Rate that would then be in effect if such dividend or distribution or subdivision, combination or reclassification had not been declared.</w:t>
      </w:r>
    </w:p>
    <w:p>
      <w:pPr>
        <w:spacing w:after="0" w:line="188" w:lineRule="exact"/>
        <w:rPr>
          <w:sz w:val="20"/>
          <w:szCs w:val="20"/>
          <w:color w:val="auto"/>
        </w:rPr>
      </w:pPr>
    </w:p>
    <w:p>
      <w:pPr>
        <w:ind w:left="660" w:right="180" w:firstLine="645"/>
        <w:spacing w:after="0" w:line="276" w:lineRule="auto"/>
        <w:tabs>
          <w:tab w:leader="none" w:pos="1964"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If the Company distributes to all holders of shares of Common Stock rights, options or warrants (other than pursuant to a stockholder rights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rights plan provides for the issuance of such rights with respect to the Common Stock issued upon conversion of the Notes) to purchase shares of Common Stock for a period expiring within 60 days after the record date for such distribution at less than the average of the Closing Prices of Common Stock for the five consecutive Trading Days immediately preceding the public announcement of such distribution, the Conversion Rate shall be increased based on the following formula:</w:t>
      </w:r>
    </w:p>
    <w:p>
      <w:pPr>
        <w:spacing w:after="0" w:line="15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 X</w:t>
      </w:r>
    </w:p>
    <w:p>
      <w:pPr>
        <w:ind w:left="980"/>
        <w:spacing w:after="0" w:line="203" w:lineRule="auto"/>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 CR</w:t>
      </w:r>
      <w:r>
        <w:rPr>
          <w:rFonts w:ascii="Arial" w:cs="Arial" w:eastAsia="Arial" w:hAnsi="Arial"/>
          <w:sz w:val="11"/>
          <w:szCs w:val="11"/>
          <w:color w:val="auto"/>
        </w:rPr>
        <w:t>0</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-43180</wp:posOffset>
            </wp:positionV>
            <wp:extent cx="6775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272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 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ind w:left="660"/>
              <w:spacing w:after="0"/>
              <w:rPr>
                <w:sz w:val="20"/>
                <w:szCs w:val="20"/>
                <w:color w:val="auto"/>
              </w:rPr>
            </w:pPr>
            <w:r>
              <w:rPr>
                <w:rFonts w:ascii="Arial" w:cs="Arial" w:eastAsia="Arial" w:hAnsi="Arial"/>
                <w:sz w:val="18"/>
                <w:szCs w:val="18"/>
                <w:color w:val="auto"/>
              </w:rPr>
              <w:t>where,</w:t>
            </w:r>
          </w:p>
        </w:tc>
        <w:tc>
          <w:tcPr>
            <w:tcW w:w="10060" w:type="dxa"/>
            <w:vAlign w:val="bottom"/>
          </w:tcPr>
          <w:p>
            <w:pPr>
              <w:spacing w:after="0"/>
              <w:rPr>
                <w:sz w:val="20"/>
                <w:szCs w:val="20"/>
                <w:color w:val="auto"/>
              </w:rPr>
            </w:pPr>
          </w:p>
        </w:tc>
      </w:tr>
      <w:tr>
        <w:trPr>
          <w:trHeight w:val="432"/>
        </w:trPr>
        <w:tc>
          <w:tcPr>
            <w:tcW w:w="1400" w:type="dxa"/>
            <w:vAlign w:val="bottom"/>
          </w:tcPr>
          <w:p>
            <w:pPr>
              <w:ind w:left="72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10060" w:type="dxa"/>
            <w:vAlign w:val="bottom"/>
          </w:tcPr>
          <w:p>
            <w:pPr>
              <w:ind w:left="220"/>
              <w:spacing w:after="0"/>
              <w:rPr>
                <w:sz w:val="20"/>
                <w:szCs w:val="20"/>
                <w:color w:val="auto"/>
              </w:rPr>
            </w:pPr>
            <w:r>
              <w:rPr>
                <w:rFonts w:ascii="Arial" w:cs="Arial" w:eastAsia="Arial" w:hAnsi="Arial"/>
                <w:sz w:val="18"/>
                <w:szCs w:val="18"/>
                <w:color w:val="auto"/>
              </w:rPr>
              <w:t>the Conversion Rate in effect immediately prior to the opening of business on the Ex-Date for such distribution;</w:t>
            </w:r>
          </w:p>
        </w:tc>
      </w:tr>
      <w:tr>
        <w:trPr>
          <w:trHeight w:val="432"/>
        </w:trPr>
        <w:tc>
          <w:tcPr>
            <w:tcW w:w="1400" w:type="dxa"/>
            <w:vAlign w:val="bottom"/>
          </w:tcPr>
          <w:p>
            <w:pPr>
              <w:ind w:left="72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10060" w:type="dxa"/>
            <w:vAlign w:val="bottom"/>
          </w:tcPr>
          <w:p>
            <w:pPr>
              <w:ind w:left="220"/>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r>
      <w:tr>
        <w:trPr>
          <w:trHeight w:val="418"/>
        </w:trPr>
        <w:tc>
          <w:tcPr>
            <w:tcW w:w="1400" w:type="dxa"/>
            <w:vAlign w:val="bottom"/>
          </w:tcPr>
          <w:p>
            <w:pPr>
              <w:ind w:left="72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10060" w:type="dxa"/>
            <w:vAlign w:val="bottom"/>
          </w:tcPr>
          <w:p>
            <w:pPr>
              <w:ind w:left="220"/>
              <w:spacing w:after="0"/>
              <w:rPr>
                <w:sz w:val="20"/>
                <w:szCs w:val="20"/>
                <w:color w:val="auto"/>
              </w:rPr>
            </w:pPr>
            <w:r>
              <w:rPr>
                <w:rFonts w:ascii="Arial" w:cs="Arial" w:eastAsia="Arial" w:hAnsi="Arial"/>
                <w:sz w:val="18"/>
                <w:szCs w:val="18"/>
                <w:color w:val="auto"/>
                <w:w w:val="95"/>
              </w:rPr>
              <w:t>the number of shares of Common Stock outstanding at the Close of Business on the Business Day immediately preceding the Ex-</w:t>
            </w:r>
          </w:p>
        </w:tc>
      </w:tr>
      <w:tr>
        <w:trPr>
          <w:trHeight w:val="230"/>
        </w:trPr>
        <w:tc>
          <w:tcPr>
            <w:tcW w:w="1400" w:type="dxa"/>
            <w:vAlign w:val="bottom"/>
          </w:tcPr>
          <w:p>
            <w:pPr>
              <w:spacing w:after="0"/>
              <w:rPr>
                <w:sz w:val="20"/>
                <w:szCs w:val="20"/>
                <w:color w:val="auto"/>
              </w:rPr>
            </w:pPr>
          </w:p>
        </w:tc>
        <w:tc>
          <w:tcPr>
            <w:tcW w:w="10060" w:type="dxa"/>
            <w:vAlign w:val="bottom"/>
          </w:tcPr>
          <w:p>
            <w:pPr>
              <w:ind w:left="220"/>
              <w:spacing w:after="0"/>
              <w:rPr>
                <w:sz w:val="20"/>
                <w:szCs w:val="20"/>
                <w:color w:val="auto"/>
              </w:rPr>
            </w:pPr>
            <w:r>
              <w:rPr>
                <w:rFonts w:ascii="Arial" w:cs="Arial" w:eastAsia="Arial" w:hAnsi="Arial"/>
                <w:sz w:val="18"/>
                <w:szCs w:val="18"/>
                <w:color w:val="auto"/>
              </w:rPr>
              <w:t>Date for such distribution;</w:t>
            </w:r>
          </w:p>
        </w:tc>
      </w:tr>
      <w:tr>
        <w:trPr>
          <w:trHeight w:val="432"/>
        </w:trPr>
        <w:tc>
          <w:tcPr>
            <w:tcW w:w="1400" w:type="dxa"/>
            <w:vAlign w:val="bottom"/>
          </w:tcPr>
          <w:p>
            <w:pPr>
              <w:spacing w:after="0"/>
              <w:rPr>
                <w:sz w:val="24"/>
                <w:szCs w:val="24"/>
                <w:color w:val="auto"/>
              </w:rPr>
            </w:pPr>
          </w:p>
        </w:tc>
        <w:tc>
          <w:tcPr>
            <w:tcW w:w="10060" w:type="dxa"/>
            <w:vAlign w:val="bottom"/>
          </w:tcPr>
          <w:p>
            <w:pPr>
              <w:ind w:left="4220"/>
              <w:spacing w:after="0"/>
              <w:rPr>
                <w:sz w:val="20"/>
                <w:szCs w:val="20"/>
                <w:color w:val="auto"/>
              </w:rPr>
            </w:pPr>
            <w:r>
              <w:rPr>
                <w:rFonts w:ascii="Arial" w:cs="Arial" w:eastAsia="Arial" w:hAnsi="Arial"/>
                <w:sz w:val="18"/>
                <w:szCs w:val="18"/>
                <w:color w:val="auto"/>
              </w:rPr>
              <w:t>50</w:t>
            </w:r>
          </w:p>
        </w:tc>
      </w:tr>
      <w:tr>
        <w:trPr>
          <w:trHeight w:val="132"/>
        </w:trPr>
        <w:tc>
          <w:tcPr>
            <w:tcW w:w="1400" w:type="dxa"/>
            <w:vAlign w:val="bottom"/>
            <w:tcBorders>
              <w:bottom w:val="single" w:sz="8" w:color="010101"/>
            </w:tcBorders>
          </w:tcPr>
          <w:p>
            <w:pPr>
              <w:spacing w:after="0"/>
              <w:rPr>
                <w:sz w:val="11"/>
                <w:szCs w:val="11"/>
                <w:color w:val="auto"/>
              </w:rPr>
            </w:pPr>
          </w:p>
        </w:tc>
        <w:tc>
          <w:tcPr>
            <w:tcW w:w="10060" w:type="dxa"/>
            <w:vAlign w:val="bottom"/>
            <w:tcBorders>
              <w:bottom w:val="single" w:sz="8" w:color="010101"/>
            </w:tcBorders>
          </w:tcPr>
          <w:p>
            <w:pPr>
              <w:spacing w:after="0"/>
              <w:rPr>
                <w:sz w:val="11"/>
                <w:szCs w:val="11"/>
                <w:color w:val="auto"/>
              </w:rPr>
            </w:pPr>
          </w:p>
        </w:tc>
      </w:tr>
      <w:tr>
        <w:trPr>
          <w:trHeight w:val="780"/>
        </w:trPr>
        <w:tc>
          <w:tcPr>
            <w:tcW w:w="1400" w:type="dxa"/>
            <w:vAlign w:val="bottom"/>
          </w:tcPr>
          <w:p>
            <w:pPr>
              <w:ind w:left="860"/>
              <w:spacing w:after="0"/>
              <w:rPr>
                <w:sz w:val="20"/>
                <w:szCs w:val="20"/>
                <w:color w:val="auto"/>
              </w:rPr>
            </w:pPr>
            <w:r>
              <w:rPr>
                <w:rFonts w:ascii="Arial" w:cs="Arial" w:eastAsia="Arial" w:hAnsi="Arial"/>
                <w:sz w:val="18"/>
                <w:szCs w:val="18"/>
                <w:color w:val="auto"/>
              </w:rPr>
              <w:t>X =</w:t>
            </w:r>
          </w:p>
        </w:tc>
        <w:tc>
          <w:tcPr>
            <w:tcW w:w="10060" w:type="dxa"/>
            <w:vAlign w:val="bottom"/>
          </w:tcPr>
          <w:p>
            <w:pPr>
              <w:ind w:left="540"/>
              <w:spacing w:after="0"/>
              <w:rPr>
                <w:sz w:val="20"/>
                <w:szCs w:val="20"/>
                <w:color w:val="auto"/>
              </w:rPr>
            </w:pPr>
            <w:r>
              <w:rPr>
                <w:rFonts w:ascii="Arial" w:cs="Arial" w:eastAsia="Arial" w:hAnsi="Arial"/>
                <w:sz w:val="18"/>
                <w:szCs w:val="18"/>
                <w:color w:val="auto"/>
                <w:w w:val="93"/>
              </w:rPr>
              <w:t>the total number of additional shares of Common Stock so offered for purchase pursuant to such rights, options or warrants; and</w:t>
            </w:r>
          </w:p>
        </w:tc>
      </w:tr>
      <w:tr>
        <w:trPr>
          <w:trHeight w:val="418"/>
        </w:trPr>
        <w:tc>
          <w:tcPr>
            <w:tcW w:w="1400" w:type="dxa"/>
            <w:vAlign w:val="bottom"/>
          </w:tcPr>
          <w:p>
            <w:pPr>
              <w:ind w:left="860"/>
              <w:spacing w:after="0"/>
              <w:rPr>
                <w:sz w:val="20"/>
                <w:szCs w:val="20"/>
                <w:color w:val="auto"/>
              </w:rPr>
            </w:pPr>
            <w:r>
              <w:rPr>
                <w:rFonts w:ascii="Arial" w:cs="Arial" w:eastAsia="Arial" w:hAnsi="Arial"/>
                <w:sz w:val="18"/>
                <w:szCs w:val="18"/>
                <w:color w:val="auto"/>
              </w:rPr>
              <w:t>Y =</w:t>
            </w:r>
          </w:p>
        </w:tc>
        <w:tc>
          <w:tcPr>
            <w:tcW w:w="10060" w:type="dxa"/>
            <w:vAlign w:val="bottom"/>
          </w:tcPr>
          <w:p>
            <w:pPr>
              <w:ind w:left="540"/>
              <w:spacing w:after="0"/>
              <w:rPr>
                <w:sz w:val="20"/>
                <w:szCs w:val="20"/>
                <w:color w:val="auto"/>
              </w:rPr>
            </w:pPr>
            <w:r>
              <w:rPr>
                <w:rFonts w:ascii="Arial" w:cs="Arial" w:eastAsia="Arial" w:hAnsi="Arial"/>
                <w:sz w:val="18"/>
                <w:szCs w:val="18"/>
                <w:color w:val="auto"/>
                <w:w w:val="96"/>
              </w:rPr>
              <w:t>the number of shares of Common Stock that the aggregate offering price of the total number of shares of Common Stock so</w:t>
            </w:r>
          </w:p>
        </w:tc>
      </w:tr>
      <w:tr>
        <w:trPr>
          <w:trHeight w:val="216"/>
        </w:trPr>
        <w:tc>
          <w:tcPr>
            <w:tcW w:w="1400" w:type="dxa"/>
            <w:vAlign w:val="bottom"/>
          </w:tcPr>
          <w:p>
            <w:pPr>
              <w:spacing w:after="0"/>
              <w:rPr>
                <w:sz w:val="18"/>
                <w:szCs w:val="18"/>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offered would purchase at the Current Market Price of Common Stock on the first public announcement date for such</w:t>
            </w:r>
          </w:p>
        </w:tc>
      </w:tr>
      <w:tr>
        <w:trPr>
          <w:trHeight w:val="216"/>
        </w:trPr>
        <w:tc>
          <w:tcPr>
            <w:tcW w:w="1400" w:type="dxa"/>
            <w:vAlign w:val="bottom"/>
          </w:tcPr>
          <w:p>
            <w:pPr>
              <w:spacing w:after="0"/>
              <w:rPr>
                <w:sz w:val="18"/>
                <w:szCs w:val="18"/>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w w:val="95"/>
              </w:rPr>
              <w:t>distribution (determined by multiplying such total number of shares of Common Stock so offered by the exercise price of such</w:t>
            </w:r>
          </w:p>
        </w:tc>
      </w:tr>
      <w:tr>
        <w:trPr>
          <w:trHeight w:val="230"/>
        </w:trPr>
        <w:tc>
          <w:tcPr>
            <w:tcW w:w="1400" w:type="dxa"/>
            <w:vAlign w:val="bottom"/>
          </w:tcPr>
          <w:p>
            <w:pPr>
              <w:spacing w:after="0"/>
              <w:rPr>
                <w:sz w:val="20"/>
                <w:szCs w:val="20"/>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rights, options or warrants and dividing the product so obtained by such Current Market 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right="40" w:firstLine="648"/>
        <w:spacing w:after="0" w:line="269" w:lineRule="auto"/>
        <w:rPr>
          <w:sz w:val="20"/>
          <w:szCs w:val="20"/>
          <w:color w:val="auto"/>
        </w:rPr>
      </w:pPr>
      <w:r>
        <w:rPr>
          <w:rFonts w:ascii="Arial" w:cs="Arial" w:eastAsia="Arial" w:hAnsi="Arial"/>
          <w:sz w:val="17"/>
          <w:szCs w:val="17"/>
          <w:color w:val="auto"/>
        </w:rPr>
        <w:t>Any increase made under this Section 10.07(b) shall be made successively whenever any such rights, options or warrants are issued and shall become effective immediately after the opening of business on the Ex-Date for such distribution. However, 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that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Except in connection with any readjustment expressly provided for in this clause, in no event shall the Conversion Rate be decreased pursuant to this Section 10.07(b).</w:t>
      </w:r>
    </w:p>
    <w:p>
      <w:pPr>
        <w:spacing w:after="0" w:line="180" w:lineRule="exact"/>
        <w:rPr>
          <w:sz w:val="20"/>
          <w:szCs w:val="20"/>
          <w:color w:val="auto"/>
        </w:rPr>
      </w:pPr>
    </w:p>
    <w:p>
      <w:pPr>
        <w:ind w:left="660" w:right="320" w:firstLine="645"/>
        <w:spacing w:after="0" w:line="291" w:lineRule="auto"/>
        <w:tabs>
          <w:tab w:leader="none" w:pos="1967"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the Company distributes to all holders of shares of Common Stock, any of its Capital Stock, assets (including shares of any Subsidiary of the Company or business unit of the Company) or debt securities or certain rights to purchase securities of the Company (excluding</w:t>
      </w:r>
    </w:p>
    <w:p>
      <w:pPr>
        <w:ind w:left="660" w:right="40" w:hanging="4"/>
        <w:spacing w:after="0" w:line="253" w:lineRule="auto"/>
        <w:tabs>
          <w:tab w:leader="none" w:pos="8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dividends or distributions described in Section 10.07(a), (ii) any rights, options or warrants described in Section 10.07(b), (iii) any dividends or other distributions described in Section 10.07(d) and (iv) the initial distribution of rights issued pursuant to a stockholder rights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plan provides for the issuance of such rights with respect to the Common Stock issued upon conversion of the Notes) (such Capital Stock, assets, debt securities or rights to purchase securities of the Company hereinafter in this Section 10.07(c) called the “</w:t>
      </w:r>
      <w:r>
        <w:rPr>
          <w:rFonts w:ascii="Arial" w:cs="Arial" w:eastAsia="Arial" w:hAnsi="Arial"/>
          <w:sz w:val="18"/>
          <w:szCs w:val="18"/>
          <w:b w:val="1"/>
          <w:bCs w:val="1"/>
          <w:color w:val="auto"/>
        </w:rPr>
        <w:t>Distributed Assets</w:t>
      </w:r>
      <w:r>
        <w:rPr>
          <w:rFonts w:ascii="Arial" w:cs="Arial" w:eastAsia="Arial" w:hAnsi="Arial"/>
          <w:sz w:val="18"/>
          <w:szCs w:val="18"/>
          <w:color w:val="auto"/>
        </w:rPr>
        <w:t>”), the Conversion Rate shall be increased based on the following formula: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vMerge w:val="restart"/>
          </w:tcPr>
          <w:p>
            <w:pPr>
              <w:ind w:left="980"/>
              <w:spacing w:after="0"/>
              <w:rPr>
                <w:sz w:val="20"/>
                <w:szCs w:val="20"/>
                <w:color w:val="auto"/>
              </w:rPr>
            </w:pPr>
            <w:r>
              <w:rPr>
                <w:rFonts w:ascii="Arial" w:cs="Arial" w:eastAsia="Arial" w:hAnsi="Arial"/>
                <w:sz w:val="18"/>
                <w:szCs w:val="18"/>
                <w:color w:val="auto"/>
                <w:w w:val="94"/>
              </w:rPr>
              <w:t>CR</w:t>
            </w:r>
            <w:r>
              <w:rPr>
                <w:rFonts w:ascii="Arial" w:cs="Arial" w:eastAsia="Arial" w:hAnsi="Arial"/>
                <w:sz w:val="11"/>
                <w:szCs w:val="11"/>
                <w:color w:val="auto"/>
                <w:w w:val="94"/>
              </w:rPr>
              <w:t>1</w:t>
            </w:r>
            <w:r>
              <w:rPr>
                <w:rFonts w:ascii="Arial" w:cs="Arial" w:eastAsia="Arial" w:hAnsi="Arial"/>
                <w:sz w:val="18"/>
                <w:szCs w:val="18"/>
                <w:color w:val="auto"/>
                <w:w w:val="94"/>
              </w:rPr>
              <w:t xml:space="preserve"> = CR</w:t>
            </w:r>
            <w:r>
              <w:rPr>
                <w:rFonts w:ascii="Arial" w:cs="Arial" w:eastAsia="Arial" w:hAnsi="Arial"/>
                <w:sz w:val="11"/>
                <w:szCs w:val="11"/>
                <w:color w:val="auto"/>
                <w:w w:val="94"/>
              </w:rPr>
              <w:t>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4"/>
              </w:rPr>
              <w:t>×</w:t>
            </w:r>
          </w:p>
        </w:tc>
        <w:tc>
          <w:tcPr>
            <w:tcW w:w="36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p>
        </w:tc>
        <w:tc>
          <w:tcPr>
            <w:tcW w:w="7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80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160" w:type="dxa"/>
            <w:vAlign w:val="bottom"/>
            <w:gridSpan w:val="2"/>
            <w:vMerge w:val="restart"/>
          </w:tcPr>
          <w:p>
            <w:pPr>
              <w:jc w:val="center"/>
              <w:ind w:right="7520"/>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r>
              <w:rPr>
                <w:rFonts w:ascii="Arial" w:cs="Arial" w:eastAsia="Arial" w:hAnsi="Arial"/>
                <w:sz w:val="18"/>
                <w:szCs w:val="18"/>
                <w:color w:val="auto"/>
                <w:w w:val="95"/>
              </w:rPr>
              <w:t xml:space="preserve"> - FMV</w:t>
            </w:r>
          </w:p>
        </w:tc>
        <w:tc>
          <w:tcPr>
            <w:tcW w:w="0" w:type="dxa"/>
            <w:vAlign w:val="bottom"/>
          </w:tcPr>
          <w:p>
            <w:pPr>
              <w:spacing w:after="0"/>
              <w:rPr>
                <w:sz w:val="1"/>
                <w:szCs w:val="1"/>
                <w:color w:val="auto"/>
              </w:rPr>
            </w:pPr>
          </w:p>
        </w:tc>
      </w:tr>
      <w:tr>
        <w:trPr>
          <w:trHeight w:val="136"/>
        </w:trPr>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20" w:type="dxa"/>
            <w:vAlign w:val="bottom"/>
            <w:gridSpan w:val="3"/>
          </w:tcPr>
          <w:p>
            <w:pPr>
              <w:ind w:left="36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32"/>
        </w:trPr>
        <w:tc>
          <w:tcPr>
            <w:tcW w:w="18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75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800" w:type="dxa"/>
            <w:vAlign w:val="bottom"/>
          </w:tcPr>
          <w:p>
            <w:pPr>
              <w:ind w:left="660"/>
              <w:spacing w:after="0"/>
              <w:rPr>
                <w:sz w:val="20"/>
                <w:szCs w:val="20"/>
                <w:color w:val="auto"/>
              </w:rPr>
            </w:pPr>
            <w:r>
              <w:rPr>
                <w:rFonts w:ascii="Arial" w:cs="Arial" w:eastAsia="Arial" w:hAnsi="Arial"/>
                <w:sz w:val="18"/>
                <w:szCs w:val="18"/>
                <w:color w:val="auto"/>
              </w:rPr>
              <w:t>where,</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0" w:type="dxa"/>
            <w:vAlign w:val="bottom"/>
          </w:tcPr>
          <w:p>
            <w:pPr>
              <w:ind w:left="8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14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the Conversion Rate in effect immediately prior to the opening of business on the Ex-Date for such distribution;</w:t>
            </w:r>
          </w:p>
        </w:tc>
        <w:tc>
          <w:tcPr>
            <w:tcW w:w="0" w:type="dxa"/>
            <w:vAlign w:val="bottom"/>
          </w:tcPr>
          <w:p>
            <w:pPr>
              <w:spacing w:after="0"/>
              <w:rPr>
                <w:sz w:val="1"/>
                <w:szCs w:val="1"/>
                <w:color w:val="auto"/>
              </w:rPr>
            </w:pPr>
          </w:p>
        </w:tc>
      </w:tr>
      <w:tr>
        <w:trPr>
          <w:trHeight w:val="432"/>
        </w:trPr>
        <w:tc>
          <w:tcPr>
            <w:tcW w:w="1800" w:type="dxa"/>
            <w:vAlign w:val="bottom"/>
          </w:tcPr>
          <w:p>
            <w:pPr>
              <w:ind w:left="8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14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c>
          <w:tcPr>
            <w:tcW w:w="0" w:type="dxa"/>
            <w:vAlign w:val="bottom"/>
          </w:tcPr>
          <w:p>
            <w:pPr>
              <w:spacing w:after="0"/>
              <w:rPr>
                <w:sz w:val="1"/>
                <w:szCs w:val="1"/>
                <w:color w:val="auto"/>
              </w:rPr>
            </w:pPr>
          </w:p>
        </w:tc>
      </w:tr>
      <w:tr>
        <w:trPr>
          <w:trHeight w:val="432"/>
        </w:trPr>
        <w:tc>
          <w:tcPr>
            <w:tcW w:w="1800" w:type="dxa"/>
            <w:vAlign w:val="bottom"/>
          </w:tcPr>
          <w:p>
            <w:pPr>
              <w:ind w:left="86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14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4"/>
              </w:rPr>
              <w:t>the Current Market Price of Common Stock on the Business Day immediately preceding the Ex-Date for such distribution; and</w:t>
            </w:r>
          </w:p>
        </w:tc>
        <w:tc>
          <w:tcPr>
            <w:tcW w:w="0" w:type="dxa"/>
            <w:vAlign w:val="bottom"/>
          </w:tcPr>
          <w:p>
            <w:pPr>
              <w:spacing w:after="0"/>
              <w:rPr>
                <w:sz w:val="1"/>
                <w:szCs w:val="1"/>
                <w:color w:val="auto"/>
              </w:rPr>
            </w:pPr>
          </w:p>
        </w:tc>
      </w:tr>
      <w:tr>
        <w:trPr>
          <w:trHeight w:val="418"/>
        </w:trPr>
        <w:tc>
          <w:tcPr>
            <w:tcW w:w="1800" w:type="dxa"/>
            <w:vAlign w:val="bottom"/>
          </w:tcPr>
          <w:p>
            <w:pPr>
              <w:ind w:left="860"/>
              <w:spacing w:after="0"/>
              <w:rPr>
                <w:sz w:val="20"/>
                <w:szCs w:val="20"/>
                <w:color w:val="auto"/>
              </w:rPr>
            </w:pPr>
            <w:r>
              <w:rPr>
                <w:rFonts w:ascii="Arial" w:cs="Arial" w:eastAsia="Arial" w:hAnsi="Arial"/>
                <w:sz w:val="18"/>
                <w:szCs w:val="18"/>
                <w:color w:val="auto"/>
              </w:rPr>
              <w:t>FMV =</w:t>
            </w:r>
          </w:p>
        </w:tc>
        <w:tc>
          <w:tcPr>
            <w:tcW w:w="14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6"/>
              </w:rPr>
              <w:t>the fair market value, as determined by the Board of Directors, of the portion of Distributed Assets applicable to one share of</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-1759585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-1759585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76" w:gutter="0" w:footer="0" w:header="0"/>
        </w:sectPr>
      </w:pPr>
    </w:p>
    <w:bookmarkStart w:id="32" w:name="page33"/>
    <w:bookmarkEnd w:id="32"/>
    <w:p>
      <w:pPr>
        <w:ind w:left="660" w:right="60" w:firstLine="648"/>
        <w:spacing w:after="0" w:line="255" w:lineRule="auto"/>
        <w:rPr>
          <w:sz w:val="20"/>
          <w:szCs w:val="20"/>
          <w:color w:val="auto"/>
        </w:rPr>
      </w:pPr>
      <w:r>
        <w:rPr>
          <w:rFonts w:ascii="Arial" w:cs="Arial" w:eastAsia="Arial" w:hAnsi="Arial"/>
          <w:sz w:val="18"/>
          <w:szCs w:val="18"/>
          <w:color w:val="auto"/>
        </w:rPr>
        <w:t xml:space="preserve">Such increase shall become effective immediately after the opening of business on the Ex-Date for such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“FMV” (as defined in this Section 10.07(c)) is equal to or greater than “CMP</w:t>
      </w:r>
      <w:r>
        <w:rPr>
          <w:rFonts w:ascii="Arial" w:cs="Arial" w:eastAsia="Arial" w:hAnsi="Arial"/>
          <w:sz w:val="11"/>
          <w:szCs w:val="11"/>
          <w:color w:val="auto"/>
        </w:rPr>
        <w:t>0</w:t>
      </w:r>
      <w:r>
        <w:rPr>
          <w:rFonts w:ascii="Arial" w:cs="Arial" w:eastAsia="Arial" w:hAnsi="Arial"/>
          <w:sz w:val="18"/>
          <w:szCs w:val="18"/>
          <w:color w:val="auto"/>
        </w:rPr>
        <w:t>” (as defined in this Section 10.07(c)), in lieu of the foregoing increase, adequate provision shall be made so that each Holder shall receive on the date on which the Distributed Assets are distributed to holders of Common Stock, for each $1,000 Principal Amount at Maturity of Notes, the amount of Distributed Assets such Holder would have received had such holder owned a number of shares of Common Stock equal to the Conversion Rate on the record date for such distribution. In the event that such distribution is not so made, the Conversion Rate shall again be adjusted to be the Conversion Rate that would then be in effect if such distribution had not been declared.</w:t>
      </w:r>
    </w:p>
    <w:p>
      <w:pPr>
        <w:spacing w:after="0" w:line="189" w:lineRule="exact"/>
        <w:rPr>
          <w:sz w:val="20"/>
          <w:szCs w:val="20"/>
          <w:color w:val="auto"/>
        </w:rPr>
      </w:pPr>
    </w:p>
    <w:p>
      <w:pPr>
        <w:ind w:left="660" w:right="80" w:firstLine="648"/>
        <w:spacing w:after="0" w:line="257" w:lineRule="auto"/>
        <w:rPr>
          <w:sz w:val="20"/>
          <w:szCs w:val="20"/>
          <w:color w:val="auto"/>
        </w:rPr>
      </w:pPr>
      <w:r>
        <w:rPr>
          <w:rFonts w:ascii="Arial" w:cs="Arial" w:eastAsia="Arial" w:hAnsi="Arial"/>
          <w:sz w:val="18"/>
          <w:szCs w:val="18"/>
          <w:color w:val="auto"/>
        </w:rPr>
        <w:t>If the Board of Directors determines the fair market value of any distribution for purposes of this Section 10.07(c)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8"/>
          <w:szCs w:val="18"/>
          <w:b w:val="1"/>
          <w:bCs w:val="1"/>
          <w:color w:val="auto"/>
        </w:rPr>
        <w:t>Reference Period</w:t>
      </w:r>
      <w:r>
        <w:rPr>
          <w:rFonts w:ascii="Arial" w:cs="Arial" w:eastAsia="Arial" w:hAnsi="Arial"/>
          <w:sz w:val="18"/>
          <w:szCs w:val="18"/>
          <w:color w:val="auto"/>
        </w:rPr>
        <w:t>”) used in computing the Current Market Price for purposes of the definition of “CMP</w:t>
      </w:r>
      <w:r>
        <w:rPr>
          <w:rFonts w:ascii="Arial" w:cs="Arial" w:eastAsia="Arial" w:hAnsi="Arial"/>
          <w:sz w:val="11"/>
          <w:szCs w:val="11"/>
          <w:color w:val="auto"/>
        </w:rPr>
        <w:t>0</w:t>
      </w:r>
      <w:r>
        <w:rPr>
          <w:rFonts w:ascii="Arial" w:cs="Arial" w:eastAsia="Arial" w:hAnsi="Arial"/>
          <w:sz w:val="18"/>
          <w:szCs w:val="18"/>
          <w:color w:val="auto"/>
        </w:rPr>
        <w:t>” in this Section 10.07(c), unless the Board of Directors determines in good faith that determining the fair market value during the Reference Period would not be in the best interest of the Holders.</w:t>
      </w:r>
    </w:p>
    <w:p>
      <w:pPr>
        <w:spacing w:after="0" w:line="188" w:lineRule="exact"/>
        <w:rPr>
          <w:sz w:val="20"/>
          <w:szCs w:val="20"/>
          <w:color w:val="auto"/>
        </w:rPr>
      </w:pPr>
    </w:p>
    <w:p>
      <w:pPr>
        <w:ind w:left="660" w:right="80" w:firstLine="648"/>
        <w:spacing w:after="0" w:line="264" w:lineRule="auto"/>
        <w:rPr>
          <w:sz w:val="20"/>
          <w:szCs w:val="20"/>
          <w:color w:val="auto"/>
        </w:rPr>
      </w:pPr>
      <w:r>
        <w:rPr>
          <w:rFonts w:ascii="Arial" w:cs="Arial" w:eastAsia="Arial" w:hAnsi="Arial"/>
          <w:sz w:val="18"/>
          <w:szCs w:val="18"/>
          <w:color w:val="auto"/>
        </w:rPr>
        <w:t>Notwithstanding anything to the contrary in this Section 10.07(c), if the Company distributes Capital Stock of, or similar equity interests in, any Subsidiary of the Company or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1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FMV</w:t>
      </w:r>
      <w:r>
        <w:rPr>
          <w:rFonts w:ascii="Arial" w:cs="Arial" w:eastAsia="Arial" w:hAnsi="Arial"/>
          <w:sz w:val="11"/>
          <w:szCs w:val="11"/>
          <w:color w:val="auto"/>
        </w:rPr>
        <w:t>0</w:t>
      </w:r>
      <w:r>
        <w:rPr>
          <w:rFonts w:ascii="Arial" w:cs="Arial" w:eastAsia="Arial" w:hAnsi="Arial"/>
          <w:sz w:val="18"/>
          <w:szCs w:val="18"/>
          <w:color w:val="auto"/>
        </w:rPr>
        <w:t xml:space="preserve"> + MP</w:t>
      </w:r>
      <w:r>
        <w:rPr>
          <w:rFonts w:ascii="Arial" w:cs="Arial" w:eastAsia="Arial" w:hAnsi="Arial"/>
          <w:sz w:val="11"/>
          <w:szCs w:val="11"/>
          <w:color w:val="auto"/>
        </w:rPr>
        <w:t>0</w:t>
      </w:r>
    </w:p>
    <w:p>
      <w:pPr>
        <w:ind w:left="980"/>
        <w:spacing w:after="0" w:line="187" w:lineRule="auto"/>
        <w:rPr>
          <w:sz w:val="20"/>
          <w:szCs w:val="20"/>
          <w:color w:val="auto"/>
        </w:rPr>
      </w:pPr>
      <w:r>
        <w:rPr>
          <w:rFonts w:ascii="Arial" w:cs="Arial" w:eastAsia="Arial" w:hAnsi="Arial"/>
          <w:sz w:val="15"/>
          <w:szCs w:val="15"/>
          <w:color w:val="auto"/>
        </w:rPr>
        <w:t>CR</w:t>
      </w:r>
      <w:r>
        <w:rPr>
          <w:rFonts w:ascii="Arial" w:cs="Arial" w:eastAsia="Arial" w:hAnsi="Arial"/>
          <w:sz w:val="10"/>
          <w:szCs w:val="10"/>
          <w:color w:val="auto"/>
        </w:rPr>
        <w:t>1</w:t>
      </w:r>
      <w:r>
        <w:rPr>
          <w:rFonts w:ascii="Arial" w:cs="Arial" w:eastAsia="Arial" w:hAnsi="Arial"/>
          <w:sz w:val="15"/>
          <w:szCs w:val="15"/>
          <w:color w:val="auto"/>
        </w:rPr>
        <w:t xml:space="preserve"> = CR</w:t>
      </w:r>
      <w:r>
        <w:rPr>
          <w:rFonts w:ascii="Arial" w:cs="Arial" w:eastAsia="Arial" w:hAnsi="Arial"/>
          <w:sz w:val="10"/>
          <w:szCs w:val="10"/>
          <w:color w:val="auto"/>
        </w:rPr>
        <w:t>0</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-8890</wp:posOffset>
            </wp:positionV>
            <wp:extent cx="10375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tcPr>
          <w:p>
            <w:pPr>
              <w:ind w:left="3920"/>
              <w:spacing w:after="0"/>
              <w:rPr>
                <w:sz w:val="20"/>
                <w:szCs w:val="20"/>
                <w:color w:val="auto"/>
              </w:rPr>
            </w:pPr>
            <w:r>
              <w:rPr>
                <w:rFonts w:ascii="Arial" w:cs="Arial" w:eastAsia="Arial" w:hAnsi="Arial"/>
                <w:sz w:val="18"/>
                <w:szCs w:val="18"/>
                <w:color w:val="auto"/>
              </w:rPr>
              <w:t>52</w:t>
            </w:r>
          </w:p>
        </w:tc>
      </w:tr>
      <w:tr>
        <w:trPr>
          <w:trHeight w:val="132"/>
        </w:trPr>
        <w:tc>
          <w:tcPr>
            <w:tcW w:w="1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760" w:type="dxa"/>
            <w:vAlign w:val="bottom"/>
            <w:tcBorders>
              <w:bottom w:val="single" w:sz="8" w:color="010101"/>
            </w:tcBorders>
          </w:tcPr>
          <w:p>
            <w:pPr>
              <w:spacing w:after="0"/>
              <w:rPr>
                <w:sz w:val="11"/>
                <w:szCs w:val="11"/>
                <w:color w:val="auto"/>
              </w:rPr>
            </w:pPr>
          </w:p>
        </w:tc>
      </w:tr>
      <w:tr>
        <w:trPr>
          <w:trHeight w:val="766"/>
        </w:trPr>
        <w:tc>
          <w:tcPr>
            <w:tcW w:w="1180" w:type="dxa"/>
            <w:vAlign w:val="bottom"/>
          </w:tcPr>
          <w:p>
            <w:pPr>
              <w:ind w:left="86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0</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4"/>
              </w:rPr>
              <w:t>=</w:t>
            </w:r>
          </w:p>
        </w:tc>
        <w:tc>
          <w:tcPr>
            <w:tcW w:w="9760" w:type="dxa"/>
            <w:vAlign w:val="bottom"/>
          </w:tcPr>
          <w:p>
            <w:pPr>
              <w:ind w:left="240"/>
              <w:spacing w:after="0"/>
              <w:rPr>
                <w:sz w:val="20"/>
                <w:szCs w:val="20"/>
                <w:color w:val="auto"/>
              </w:rPr>
            </w:pPr>
            <w:r>
              <w:rPr>
                <w:rFonts w:ascii="Arial" w:cs="Arial" w:eastAsia="Arial" w:hAnsi="Arial"/>
                <w:sz w:val="18"/>
                <w:szCs w:val="18"/>
                <w:color w:val="auto"/>
                <w:w w:val="95"/>
              </w:rPr>
              <w:t>the Conversion Rate in effect immediately prior to the opening of business on the 15th Trading Day immediately following the</w:t>
            </w:r>
          </w:p>
        </w:tc>
      </w:tr>
      <w:tr>
        <w:trPr>
          <w:trHeight w:val="230"/>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Ex-Date for such Spin-Off;</w:t>
            </w:r>
          </w:p>
        </w:tc>
      </w:tr>
      <w:tr>
        <w:trPr>
          <w:trHeight w:val="432"/>
        </w:trPr>
        <w:tc>
          <w:tcPr>
            <w:tcW w:w="1180" w:type="dxa"/>
            <w:vAlign w:val="bottom"/>
          </w:tcPr>
          <w:p>
            <w:pPr>
              <w:ind w:left="86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4"/>
              </w:rPr>
              <w:t>=</w:t>
            </w:r>
          </w:p>
        </w:tc>
        <w:tc>
          <w:tcPr>
            <w:tcW w:w="9760" w:type="dxa"/>
            <w:vAlign w:val="bottom"/>
          </w:tcPr>
          <w:p>
            <w:pPr>
              <w:ind w:left="240"/>
              <w:spacing w:after="0"/>
              <w:rPr>
                <w:sz w:val="20"/>
                <w:szCs w:val="20"/>
                <w:color w:val="auto"/>
              </w:rPr>
            </w:pPr>
            <w:r>
              <w:rPr>
                <w:rFonts w:ascii="Arial" w:cs="Arial" w:eastAsia="Arial" w:hAnsi="Arial"/>
                <w:sz w:val="18"/>
                <w:szCs w:val="18"/>
                <w:color w:val="auto"/>
              </w:rPr>
              <w:t>the Conversion Rate in effect immediately after the opening of business on the Ex-Date for such Spin-Off;</w:t>
            </w:r>
          </w:p>
        </w:tc>
      </w:tr>
      <w:tr>
        <w:trPr>
          <w:trHeight w:val="418"/>
        </w:trPr>
        <w:tc>
          <w:tcPr>
            <w:tcW w:w="1700" w:type="dxa"/>
            <w:vAlign w:val="bottom"/>
            <w:gridSpan w:val="2"/>
          </w:tcPr>
          <w:p>
            <w:pPr>
              <w:ind w:left="860"/>
              <w:spacing w:after="0"/>
              <w:rPr>
                <w:sz w:val="20"/>
                <w:szCs w:val="20"/>
                <w:color w:val="auto"/>
              </w:rPr>
            </w:pPr>
            <w:r>
              <w:rPr>
                <w:rFonts w:ascii="Arial" w:cs="Arial" w:eastAsia="Arial" w:hAnsi="Arial"/>
                <w:sz w:val="18"/>
                <w:szCs w:val="18"/>
                <w:color w:val="auto"/>
              </w:rPr>
              <w:t>FMV</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760" w:type="dxa"/>
            <w:vAlign w:val="bottom"/>
          </w:tcPr>
          <w:p>
            <w:pPr>
              <w:ind w:left="240"/>
              <w:spacing w:after="0"/>
              <w:rPr>
                <w:sz w:val="20"/>
                <w:szCs w:val="20"/>
                <w:color w:val="auto"/>
              </w:rPr>
            </w:pPr>
            <w:r>
              <w:rPr>
                <w:rFonts w:ascii="Arial" w:cs="Arial" w:eastAsia="Arial" w:hAnsi="Arial"/>
                <w:sz w:val="18"/>
                <w:szCs w:val="18"/>
                <w:color w:val="auto"/>
              </w:rPr>
              <w:t>the average of the Closing Prices of the Capital Stock or similar equity interest distributed to holders of Common Stock</w:t>
            </w:r>
          </w:p>
        </w:tc>
      </w:tr>
      <w:tr>
        <w:trPr>
          <w:trHeight w:val="216"/>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w w:val="96"/>
              </w:rPr>
              <w:t>applicable to one share of Common Stock over the ten consecutive Trading Day period immediately following, and including,</w:t>
            </w:r>
          </w:p>
        </w:tc>
      </w:tr>
      <w:tr>
        <w:trPr>
          <w:trHeight w:val="230"/>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the fifth Trading Day after the Ex-Date for such Spin-Off; and</w:t>
            </w:r>
          </w:p>
        </w:tc>
      </w:tr>
      <w:tr>
        <w:trPr>
          <w:trHeight w:val="418"/>
        </w:trPr>
        <w:tc>
          <w:tcPr>
            <w:tcW w:w="1700" w:type="dxa"/>
            <w:vAlign w:val="bottom"/>
            <w:gridSpan w:val="2"/>
          </w:tcPr>
          <w:p>
            <w:pPr>
              <w:ind w:left="860"/>
              <w:spacing w:after="0"/>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760" w:type="dxa"/>
            <w:vAlign w:val="bottom"/>
          </w:tcPr>
          <w:p>
            <w:pPr>
              <w:ind w:left="240"/>
              <w:spacing w:after="0"/>
              <w:rPr>
                <w:sz w:val="20"/>
                <w:szCs w:val="20"/>
                <w:color w:val="auto"/>
              </w:rPr>
            </w:pPr>
            <w:r>
              <w:rPr>
                <w:rFonts w:ascii="Arial" w:cs="Arial" w:eastAsia="Arial" w:hAnsi="Arial"/>
                <w:sz w:val="18"/>
                <w:szCs w:val="18"/>
                <w:color w:val="auto"/>
                <w:w w:val="96"/>
              </w:rPr>
              <w:t>the average of the Closing Prices of Common Stock over the ten consecutive Trading Day period immediately following, and</w:t>
            </w:r>
          </w:p>
        </w:tc>
      </w:tr>
      <w:tr>
        <w:trPr>
          <w:trHeight w:val="230"/>
        </w:trPr>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including, the fifth Trading Day after the Ex-Date for such Spin-Off.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right="120" w:firstLine="648"/>
        <w:spacing w:after="0" w:line="264" w:lineRule="auto"/>
        <w:rPr>
          <w:sz w:val="20"/>
          <w:szCs w:val="20"/>
          <w:color w:val="auto"/>
        </w:rPr>
      </w:pPr>
      <w:r>
        <w:rPr>
          <w:rFonts w:ascii="Arial" w:cs="Arial" w:eastAsia="Arial" w:hAnsi="Arial"/>
          <w:sz w:val="18"/>
          <w:szCs w:val="18"/>
          <w:color w:val="auto"/>
        </w:rPr>
        <w:t>Any adjustment pursuant to the preceding paragraph shall be determined on the last Trading Day of such ten consecutive Trading Day period but shall be given effect immediately after the opening of business on the Ex-Date for the Spin-Off. In no event shall the Conversion Rate be decreased pursuant to this Section 10.07(c).</w:t>
      </w:r>
    </w:p>
    <w:p>
      <w:pPr>
        <w:spacing w:after="0" w:line="181" w:lineRule="exact"/>
        <w:rPr>
          <w:sz w:val="20"/>
          <w:szCs w:val="20"/>
          <w:color w:val="auto"/>
        </w:rPr>
      </w:pPr>
    </w:p>
    <w:p>
      <w:pPr>
        <w:ind w:left="660" w:right="520" w:firstLine="645"/>
        <w:spacing w:after="0" w:line="286" w:lineRule="auto"/>
        <w:tabs>
          <w:tab w:leader="none" w:pos="1964"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Company distributes dividends or makes other distributions paid entirely in Cash to all or substantially all holders of Common Stock, other than (i) distributions described in Section 10.07(e) or (ii) any dividend or distribution in connection with the Company’s liquidation, dissolution or winding up, the Conversion Rate shall be increased based on the following formula: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40" w:type="dxa"/>
            <w:vAlign w:val="bottom"/>
            <w:gridSpan w:val="2"/>
            <w:vMerge w:val="restart"/>
          </w:tcPr>
          <w:p>
            <w:pPr>
              <w:ind w:left="320"/>
              <w:spacing w:after="0"/>
              <w:rPr>
                <w:sz w:val="20"/>
                <w:szCs w:val="20"/>
                <w:color w:val="auto"/>
              </w:rPr>
            </w:pPr>
            <w:r>
              <w:rPr>
                <w:rFonts w:ascii="Arial" w:cs="Arial" w:eastAsia="Arial" w:hAnsi="Arial"/>
                <w:sz w:val="18"/>
                <w:szCs w:val="18"/>
                <w:color w:val="auto"/>
                <w:w w:val="94"/>
              </w:rPr>
              <w:t>CR</w:t>
            </w:r>
            <w:r>
              <w:rPr>
                <w:rFonts w:ascii="Arial" w:cs="Arial" w:eastAsia="Arial" w:hAnsi="Arial"/>
                <w:sz w:val="11"/>
                <w:szCs w:val="11"/>
                <w:color w:val="auto"/>
                <w:w w:val="94"/>
              </w:rPr>
              <w:t>1</w:t>
            </w:r>
            <w:r>
              <w:rPr>
                <w:rFonts w:ascii="Arial" w:cs="Arial" w:eastAsia="Arial" w:hAnsi="Arial"/>
                <w:sz w:val="18"/>
                <w:szCs w:val="18"/>
                <w:color w:val="auto"/>
                <w:w w:val="94"/>
              </w:rPr>
              <w:t xml:space="preserve"> = CR</w:t>
            </w:r>
            <w:r>
              <w:rPr>
                <w:rFonts w:ascii="Arial" w:cs="Arial" w:eastAsia="Arial" w:hAnsi="Arial"/>
                <w:sz w:val="11"/>
                <w:szCs w:val="11"/>
                <w:color w:val="auto"/>
                <w:w w:val="94"/>
              </w:rPr>
              <w:t>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4"/>
              </w:rPr>
              <w:t>×</w:t>
            </w:r>
          </w:p>
        </w:tc>
        <w:tc>
          <w:tcPr>
            <w:tcW w:w="36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14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580" w:type="dxa"/>
            <w:vAlign w:val="bottom"/>
            <w:gridSpan w:val="2"/>
            <w:vMerge w:val="restart"/>
          </w:tcPr>
          <w:p>
            <w:pPr>
              <w:jc w:val="center"/>
              <w:ind w:right="6940"/>
              <w:spacing w:after="0"/>
              <w:rPr>
                <w:sz w:val="20"/>
                <w:szCs w:val="20"/>
                <w:color w:val="auto"/>
              </w:rPr>
            </w:pPr>
            <w:r>
              <w:rPr>
                <w:rFonts w:ascii="Arial" w:cs="Arial" w:eastAsia="Arial" w:hAnsi="Arial"/>
                <w:sz w:val="18"/>
                <w:szCs w:val="18"/>
                <w:color w:val="auto"/>
                <w:w w:val="90"/>
              </w:rPr>
              <w:t>CMP</w:t>
            </w:r>
            <w:r>
              <w:rPr>
                <w:rFonts w:ascii="Arial" w:cs="Arial" w:eastAsia="Arial" w:hAnsi="Arial"/>
                <w:sz w:val="11"/>
                <w:szCs w:val="11"/>
                <w:color w:val="auto"/>
                <w:w w:val="90"/>
              </w:rPr>
              <w:t>0</w:t>
            </w:r>
            <w:r>
              <w:rPr>
                <w:rFonts w:ascii="Arial" w:cs="Arial" w:eastAsia="Arial" w:hAnsi="Arial"/>
                <w:sz w:val="18"/>
                <w:szCs w:val="18"/>
                <w:color w:val="auto"/>
                <w:w w:val="90"/>
              </w:rPr>
              <w:t xml:space="preserve"> - C</w:t>
            </w: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w w:val="92"/>
              </w:rPr>
              <w:t>where,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ind w:left="20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0</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4"/>
              </w:rPr>
              <w:t>=</w:t>
            </w:r>
          </w:p>
        </w:tc>
        <w:tc>
          <w:tcPr>
            <w:tcW w:w="14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w w:val="91"/>
              </w:rPr>
              <w:t>the Conversion Rate in effect immediately prior to the opening of business on the Ex-Date for such dividend or distribution;</w:t>
            </w:r>
          </w:p>
        </w:tc>
        <w:tc>
          <w:tcPr>
            <w:tcW w:w="0" w:type="dxa"/>
            <w:vAlign w:val="bottom"/>
          </w:tcPr>
          <w:p>
            <w:pPr>
              <w:spacing w:after="0"/>
              <w:rPr>
                <w:sz w:val="1"/>
                <w:szCs w:val="1"/>
                <w:color w:val="auto"/>
              </w:rPr>
            </w:pPr>
          </w:p>
        </w:tc>
      </w:tr>
      <w:tr>
        <w:trPr>
          <w:trHeight w:val="432"/>
        </w:trPr>
        <w:tc>
          <w:tcPr>
            <w:tcW w:w="520" w:type="dxa"/>
            <w:vAlign w:val="bottom"/>
          </w:tcPr>
          <w:p>
            <w:pPr>
              <w:ind w:left="20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4"/>
              </w:rPr>
              <w:t>=</w:t>
            </w:r>
          </w:p>
        </w:tc>
        <w:tc>
          <w:tcPr>
            <w:tcW w:w="14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rPr>
              <w:t>the Conversion Rate in effect immediately after the opening of business on such Ex-Date;</w:t>
            </w:r>
          </w:p>
        </w:tc>
        <w:tc>
          <w:tcPr>
            <w:tcW w:w="0" w:type="dxa"/>
            <w:vAlign w:val="bottom"/>
          </w:tcPr>
          <w:p>
            <w:pPr>
              <w:spacing w:after="0"/>
              <w:rPr>
                <w:sz w:val="1"/>
                <w:szCs w:val="1"/>
                <w:color w:val="auto"/>
              </w:rPr>
            </w:pPr>
          </w:p>
        </w:tc>
      </w:tr>
      <w:tr>
        <w:trPr>
          <w:trHeight w:val="418"/>
        </w:trPr>
        <w:tc>
          <w:tcPr>
            <w:tcW w:w="1140" w:type="dxa"/>
            <w:vAlign w:val="bottom"/>
            <w:gridSpan w:val="2"/>
          </w:tcPr>
          <w:p>
            <w:pPr>
              <w:ind w:left="20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14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w w:val="92"/>
              </w:rPr>
              <w:t>the Current Market Price of Common Stock on the Business Day immediately preceding the Ex-Date for such dividend 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rPr>
              <w:t>distribution; and</w:t>
            </w:r>
          </w:p>
        </w:tc>
        <w:tc>
          <w:tcPr>
            <w:tcW w:w="0" w:type="dxa"/>
            <w:vAlign w:val="bottom"/>
          </w:tcPr>
          <w:p>
            <w:pPr>
              <w:spacing w:after="0"/>
              <w:rPr>
                <w:sz w:val="1"/>
                <w:szCs w:val="1"/>
                <w:color w:val="auto"/>
              </w:rPr>
            </w:pPr>
          </w:p>
        </w:tc>
      </w:tr>
      <w:tr>
        <w:trPr>
          <w:trHeight w:val="432"/>
        </w:trPr>
        <w:tc>
          <w:tcPr>
            <w:tcW w:w="520" w:type="dxa"/>
            <w:vAlign w:val="bottom"/>
          </w:tcPr>
          <w:p>
            <w:pPr>
              <w:ind w:left="200"/>
              <w:spacing w:after="0"/>
              <w:rPr>
                <w:sz w:val="20"/>
                <w:szCs w:val="20"/>
                <w:color w:val="auto"/>
              </w:rPr>
            </w:pPr>
            <w:r>
              <w:rPr>
                <w:rFonts w:ascii="Arial" w:cs="Arial" w:eastAsia="Arial" w:hAnsi="Arial"/>
                <w:sz w:val="18"/>
                <w:szCs w:val="18"/>
                <w:color w:val="auto"/>
              </w:rPr>
              <w:t>C =</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rPr>
              <w:t>the amount in Cash per share of such dividend or distribution.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0" w:firstLine="648"/>
        <w:spacing w:after="0" w:line="312" w:lineRule="auto"/>
        <w:rPr>
          <w:sz w:val="20"/>
          <w:szCs w:val="20"/>
          <w:color w:val="auto"/>
        </w:rPr>
      </w:pPr>
      <w:r>
        <w:rPr>
          <w:rFonts w:ascii="Arial" w:cs="Arial" w:eastAsia="Arial" w:hAnsi="Arial"/>
          <w:sz w:val="16"/>
          <w:szCs w:val="16"/>
          <w:color w:val="auto"/>
        </w:rPr>
        <w:t xml:space="preserve">Such increase shall become effective immediately after the opening of business on the Ex-Date for such distribution or dividend;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 (as defined in this Section 10.07(d)) is equal to or greater than “CMP</w:t>
      </w:r>
      <w:r>
        <w:rPr>
          <w:rFonts w:ascii="Arial" w:cs="Arial" w:eastAsia="Arial" w:hAnsi="Arial"/>
          <w:sz w:val="10"/>
          <w:szCs w:val="10"/>
          <w:color w:val="auto"/>
        </w:rPr>
        <w:t>0</w:t>
      </w:r>
      <w:r>
        <w:rPr>
          <w:rFonts w:ascii="Arial" w:cs="Arial" w:eastAsia="Arial" w:hAnsi="Arial"/>
          <w:sz w:val="16"/>
          <w:szCs w:val="16"/>
          <w:color w:val="auto"/>
        </w:rPr>
        <w:t>” (as defined in this Section 10.07(d)), in lieu of the foregoing increase, adequate provision shall be made so that each Holder shall have the right to receive on the date on which the relevant Cash dividend or</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73" w:lineRule="auto"/>
        <w:rPr>
          <w:sz w:val="20"/>
          <w:szCs w:val="20"/>
          <w:color w:val="auto"/>
        </w:rPr>
      </w:pPr>
      <w:r>
        <w:rPr>
          <w:rFonts w:ascii="Arial" w:cs="Arial" w:eastAsia="Arial" w:hAnsi="Arial"/>
          <w:sz w:val="17"/>
          <w:szCs w:val="17"/>
          <w:color w:val="auto"/>
        </w:rPr>
        <w:t>distribution is distributed to holders of Common Stock, for each $1,000 Principal Amount at Maturity of Notes upon conversion, at the same time and upon the same terms as holders of shares of Common Stock, the amount of Cash such Holder would have received had such Holder owned a number of shares equal to the Conversion Rate on the record date for such dividend or distribution. In the event that such distribution or dividend is not so made, the Conversion Rate shall again be adjusted to be the Conversion Rate that would then be in effect if such dividend or distribution had not been declared. Except in connection with any readjustment expressly provided for in the immediately preceding sentence, in no event shall the Conversion Rate be decreased pursuant to this Section 10.07(d).</w:t>
      </w:r>
    </w:p>
    <w:p>
      <w:pPr>
        <w:sectPr>
          <w:pgSz w:w="11900" w:h="16838" w:orient="portrait"/>
          <w:cols w:equalWidth="0" w:num="1">
            <w:col w:w="11460"/>
          </w:cols>
          <w:pgMar w:left="240" w:top="125" w:right="199" w:bottom="0" w:gutter="0" w:footer="0" w:header="0"/>
        </w:sectPr>
      </w:pPr>
    </w:p>
    <w:bookmarkStart w:id="33" w:name="page34"/>
    <w:bookmarkEnd w:id="33"/>
    <w:p>
      <w:pPr>
        <w:spacing w:after="0" w:line="150" w:lineRule="exact"/>
        <w:rPr>
          <w:sz w:val="20"/>
          <w:szCs w:val="20"/>
          <w:color w:val="auto"/>
        </w:rPr>
      </w:pPr>
    </w:p>
    <w:p>
      <w:pPr>
        <w:ind w:left="660" w:right="140" w:firstLine="645"/>
        <w:spacing w:after="0" w:line="302" w:lineRule="auto"/>
        <w:tabs>
          <w:tab w:leader="none" w:pos="19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Company or any of its Subsidiaries distribute Cash or other consideration in respect of a tender offer or exchange offer for Common Stock, where such Cash and the value of any such other consideration per share of Common Stock validly tendered or exchanged exceeds the Closing Price of Common Stock on the Trading Day immediately following the last date (such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may be made pursuant to the tender or exchange offer, the Conversion Rate shall be increased based on the following formula: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98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r>
              <w:rPr>
                <w:rFonts w:ascii="Arial" w:cs="Arial" w:eastAsia="Arial" w:hAnsi="Arial"/>
                <w:sz w:val="18"/>
                <w:szCs w:val="18"/>
                <w:color w:val="auto"/>
                <w:w w:val="93"/>
              </w:rPr>
              <w:t xml:space="preserve"> = CR</w:t>
            </w:r>
            <w:r>
              <w:rPr>
                <w:rFonts w:ascii="Arial" w:cs="Arial" w:eastAsia="Arial" w:hAnsi="Arial"/>
                <w:sz w:val="11"/>
                <w:szCs w:val="11"/>
                <w:color w:val="auto"/>
                <w:w w:val="93"/>
              </w:rPr>
              <w:t>0</w:t>
            </w:r>
            <w:r>
              <w:rPr>
                <w:rFonts w:ascii="Arial" w:cs="Arial" w:eastAsia="Arial" w:hAnsi="Arial"/>
                <w:sz w:val="18"/>
                <w:szCs w:val="18"/>
                <w:color w:val="auto"/>
                <w:w w:val="93"/>
              </w:rPr>
              <w:t xml:space="preserve"> ×</w:t>
            </w:r>
          </w:p>
        </w:tc>
        <w:tc>
          <w:tcPr>
            <w:tcW w:w="360" w:type="dxa"/>
            <w:vAlign w:val="bottom"/>
          </w:tcPr>
          <w:p>
            <w:pPr>
              <w:spacing w:after="0"/>
              <w:rPr>
                <w:sz w:val="20"/>
                <w:szCs w:val="20"/>
                <w:color w:val="auto"/>
              </w:rPr>
            </w:pPr>
          </w:p>
        </w:tc>
        <w:tc>
          <w:tcPr>
            <w:tcW w:w="9160" w:type="dxa"/>
            <w:vAlign w:val="bottom"/>
            <w:gridSpan w:val="2"/>
          </w:tcPr>
          <w:p>
            <w:pPr>
              <w:jc w:val="center"/>
              <w:ind w:right="6980"/>
              <w:spacing w:after="0"/>
              <w:rPr>
                <w:sz w:val="20"/>
                <w:szCs w:val="20"/>
                <w:color w:val="auto"/>
              </w:rPr>
            </w:pPr>
            <w:r>
              <w:rPr>
                <w:rFonts w:ascii="Arial" w:cs="Arial" w:eastAsia="Arial" w:hAnsi="Arial"/>
                <w:sz w:val="18"/>
                <w:szCs w:val="18"/>
                <w:color w:val="auto"/>
                <w:w w:val="95"/>
              </w:rPr>
              <w:t>FMV + (OS</w:t>
            </w:r>
            <w:r>
              <w:rPr>
                <w:rFonts w:ascii="Arial" w:cs="Arial" w:eastAsia="Arial" w:hAnsi="Arial"/>
                <w:sz w:val="11"/>
                <w:szCs w:val="11"/>
                <w:color w:val="auto"/>
                <w:w w:val="95"/>
              </w:rPr>
              <w:t>1</w:t>
            </w:r>
            <w:r>
              <w:rPr>
                <w:rFonts w:ascii="Arial" w:cs="Arial" w:eastAsia="Arial" w:hAnsi="Arial"/>
                <w:sz w:val="18"/>
                <w:szCs w:val="18"/>
                <w:color w:val="auto"/>
                <w:w w:val="95"/>
              </w:rPr>
              <w:t xml:space="preserve"> x CP</w:t>
            </w:r>
            <w:r>
              <w:rPr>
                <w:rFonts w:ascii="Arial" w:cs="Arial" w:eastAsia="Arial" w:hAnsi="Arial"/>
                <w:sz w:val="11"/>
                <w:szCs w:val="11"/>
                <w:color w:val="auto"/>
                <w:w w:val="95"/>
              </w:rPr>
              <w:t>1</w:t>
            </w:r>
            <w:r>
              <w:rPr>
                <w:rFonts w:ascii="Arial" w:cs="Arial" w:eastAsia="Arial" w:hAnsi="Arial"/>
                <w:sz w:val="18"/>
                <w:szCs w:val="18"/>
                <w:color w:val="auto"/>
                <w:w w:val="95"/>
              </w:rPr>
              <w:t>)</w:t>
            </w:r>
          </w:p>
        </w:tc>
      </w:tr>
      <w:tr>
        <w:trPr>
          <w:trHeight w:val="224"/>
        </w:trPr>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OS</w:t>
            </w:r>
            <w:r>
              <w:rPr>
                <w:rFonts w:ascii="Arial" w:cs="Arial" w:eastAsia="Arial" w:hAnsi="Arial"/>
                <w:sz w:val="11"/>
                <w:szCs w:val="11"/>
                <w:color w:val="auto"/>
                <w:w w:val="89"/>
              </w:rPr>
              <w:t>0</w:t>
            </w:r>
            <w:r>
              <w:rPr>
                <w:rFonts w:ascii="Arial" w:cs="Arial" w:eastAsia="Arial" w:hAnsi="Arial"/>
                <w:sz w:val="18"/>
                <w:szCs w:val="18"/>
                <w:color w:val="auto"/>
                <w:w w:val="89"/>
              </w:rPr>
              <w:t xml:space="preserve"> x CP</w:t>
            </w:r>
            <w:r>
              <w:rPr>
                <w:rFonts w:ascii="Arial" w:cs="Arial" w:eastAsia="Arial" w:hAnsi="Arial"/>
                <w:sz w:val="11"/>
                <w:szCs w:val="11"/>
                <w:color w:val="auto"/>
                <w:w w:val="89"/>
              </w:rPr>
              <w:t>1</w:t>
            </w:r>
          </w:p>
        </w:tc>
        <w:tc>
          <w:tcPr>
            <w:tcW w:w="6980" w:type="dxa"/>
            <w:vAlign w:val="bottom"/>
          </w:tcPr>
          <w:p>
            <w:pPr>
              <w:spacing w:after="0"/>
              <w:rPr>
                <w:sz w:val="19"/>
                <w:szCs w:val="19"/>
                <w:color w:val="auto"/>
              </w:rPr>
            </w:pPr>
          </w:p>
        </w:tc>
      </w:tr>
      <w:tr>
        <w:trPr>
          <w:trHeight w:val="418"/>
        </w:trPr>
        <w:tc>
          <w:tcPr>
            <w:tcW w:w="1940" w:type="dxa"/>
            <w:vAlign w:val="bottom"/>
          </w:tcPr>
          <w:p>
            <w:pPr>
              <w:ind w:left="660"/>
              <w:spacing w:after="0"/>
              <w:rPr>
                <w:sz w:val="20"/>
                <w:szCs w:val="20"/>
                <w:color w:val="auto"/>
              </w:rPr>
            </w:pPr>
            <w:r>
              <w:rPr>
                <w:rFonts w:ascii="Arial" w:cs="Arial" w:eastAsia="Arial" w:hAnsi="Arial"/>
                <w:sz w:val="18"/>
                <w:szCs w:val="18"/>
                <w:color w:val="auto"/>
              </w:rPr>
              <w:t>where,</w:t>
            </w: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980" w:type="dxa"/>
            <w:vAlign w:val="bottom"/>
          </w:tcPr>
          <w:p>
            <w:pPr>
              <w:spacing w:after="0"/>
              <w:rPr>
                <w:sz w:val="24"/>
                <w:szCs w:val="24"/>
                <w:color w:val="auto"/>
              </w:rPr>
            </w:pPr>
          </w:p>
        </w:tc>
      </w:tr>
      <w:tr>
        <w:trPr>
          <w:trHeight w:val="418"/>
        </w:trPr>
        <w:tc>
          <w:tcPr>
            <w:tcW w:w="1940" w:type="dxa"/>
            <w:vAlign w:val="bottom"/>
          </w:tcPr>
          <w:p>
            <w:pPr>
              <w:ind w:left="8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520" w:type="dxa"/>
            <w:vAlign w:val="bottom"/>
            <w:gridSpan w:val="3"/>
          </w:tcPr>
          <w:p>
            <w:pPr>
              <w:spacing w:after="0"/>
              <w:rPr>
                <w:sz w:val="20"/>
                <w:szCs w:val="20"/>
                <w:color w:val="auto"/>
              </w:rPr>
            </w:pPr>
            <w:r>
              <w:rPr>
                <w:rFonts w:ascii="Arial" w:cs="Arial" w:eastAsia="Arial" w:hAnsi="Arial"/>
                <w:sz w:val="18"/>
                <w:szCs w:val="18"/>
                <w:color w:val="auto"/>
                <w:w w:val="98"/>
              </w:rPr>
              <w:t>the Conversion Rate in effect immediately prior to the opening of business on the Business Day immediately following the</w:t>
            </w:r>
          </w:p>
        </w:tc>
      </w:tr>
      <w:tr>
        <w:trPr>
          <w:trHeight w:val="230"/>
        </w:trPr>
        <w:tc>
          <w:tcPr>
            <w:tcW w:w="1940" w:type="dxa"/>
            <w:vAlign w:val="bottom"/>
          </w:tcPr>
          <w:p>
            <w:pPr>
              <w:spacing w:after="0"/>
              <w:rPr>
                <w:sz w:val="20"/>
                <w:szCs w:val="20"/>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Trading Day immediately following the Expiration Date;</w:t>
            </w:r>
          </w:p>
        </w:tc>
      </w:tr>
      <w:tr>
        <w:trPr>
          <w:trHeight w:val="418"/>
        </w:trPr>
        <w:tc>
          <w:tcPr>
            <w:tcW w:w="1940" w:type="dxa"/>
            <w:vAlign w:val="bottom"/>
          </w:tcPr>
          <w:p>
            <w:pPr>
              <w:ind w:left="860"/>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520" w:type="dxa"/>
            <w:vAlign w:val="bottom"/>
            <w:gridSpan w:val="3"/>
          </w:tcPr>
          <w:p>
            <w:pPr>
              <w:spacing w:after="0"/>
              <w:rPr>
                <w:sz w:val="20"/>
                <w:szCs w:val="20"/>
                <w:color w:val="auto"/>
              </w:rPr>
            </w:pPr>
            <w:r>
              <w:rPr>
                <w:rFonts w:ascii="Arial" w:cs="Arial" w:eastAsia="Arial" w:hAnsi="Arial"/>
                <w:sz w:val="18"/>
                <w:szCs w:val="18"/>
                <w:color w:val="auto"/>
                <w:w w:val="93"/>
              </w:rPr>
              <w:t>the Conversion Rate in effect immediately prior to the opening of business on the second Trading Day immediately following the</w:t>
            </w:r>
          </w:p>
        </w:tc>
      </w:tr>
      <w:tr>
        <w:trPr>
          <w:trHeight w:val="230"/>
        </w:trPr>
        <w:tc>
          <w:tcPr>
            <w:tcW w:w="1940" w:type="dxa"/>
            <w:vAlign w:val="bottom"/>
          </w:tcPr>
          <w:p>
            <w:pPr>
              <w:spacing w:after="0"/>
              <w:rPr>
                <w:sz w:val="20"/>
                <w:szCs w:val="20"/>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Expiration Date;</w:t>
            </w:r>
          </w:p>
        </w:tc>
      </w:tr>
      <w:tr>
        <w:trPr>
          <w:trHeight w:val="418"/>
        </w:trPr>
        <w:tc>
          <w:tcPr>
            <w:tcW w:w="1940" w:type="dxa"/>
            <w:vAlign w:val="bottom"/>
          </w:tcPr>
          <w:p>
            <w:pPr>
              <w:ind w:left="860"/>
              <w:spacing w:after="0"/>
              <w:rPr>
                <w:sz w:val="20"/>
                <w:szCs w:val="20"/>
                <w:color w:val="auto"/>
              </w:rPr>
            </w:pPr>
            <w:r>
              <w:rPr>
                <w:rFonts w:ascii="Arial" w:cs="Arial" w:eastAsia="Arial" w:hAnsi="Arial"/>
                <w:sz w:val="18"/>
                <w:szCs w:val="18"/>
                <w:color w:val="auto"/>
              </w:rPr>
              <w:t>FMV =</w:t>
            </w:r>
          </w:p>
        </w:tc>
        <w:tc>
          <w:tcPr>
            <w:tcW w:w="9520" w:type="dxa"/>
            <w:vAlign w:val="bottom"/>
            <w:gridSpan w:val="3"/>
          </w:tcPr>
          <w:p>
            <w:pPr>
              <w:spacing w:after="0"/>
              <w:rPr>
                <w:sz w:val="20"/>
                <w:szCs w:val="20"/>
                <w:color w:val="auto"/>
              </w:rPr>
            </w:pPr>
            <w:r>
              <w:rPr>
                <w:rFonts w:ascii="Arial" w:cs="Arial" w:eastAsia="Arial" w:hAnsi="Arial"/>
                <w:sz w:val="18"/>
                <w:szCs w:val="18"/>
                <w:color w:val="auto"/>
                <w:w w:val="93"/>
              </w:rPr>
              <w:t>the fair market value, as determined by the Board of Directors, of the aggregate consideration payable for all shares of Common</w:t>
            </w:r>
          </w:p>
        </w:tc>
      </w:tr>
      <w:tr>
        <w:trPr>
          <w:trHeight w:val="230"/>
        </w:trPr>
        <w:tc>
          <w:tcPr>
            <w:tcW w:w="1940" w:type="dxa"/>
            <w:vAlign w:val="bottom"/>
          </w:tcPr>
          <w:p>
            <w:pPr>
              <w:spacing w:after="0"/>
              <w:rPr>
                <w:sz w:val="20"/>
                <w:szCs w:val="20"/>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Stock that the Company purchases in such tender or exchange offer;</w:t>
            </w:r>
          </w:p>
        </w:tc>
      </w:tr>
      <w:tr>
        <w:trPr>
          <w:trHeight w:val="418"/>
        </w:trPr>
        <w:tc>
          <w:tcPr>
            <w:tcW w:w="1940" w:type="dxa"/>
            <w:vAlign w:val="bottom"/>
          </w:tcPr>
          <w:p>
            <w:pPr>
              <w:ind w:left="86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9520" w:type="dxa"/>
            <w:vAlign w:val="bottom"/>
            <w:gridSpan w:val="3"/>
          </w:tcPr>
          <w:p>
            <w:pPr>
              <w:spacing w:after="0"/>
              <w:rPr>
                <w:sz w:val="20"/>
                <w:szCs w:val="20"/>
                <w:color w:val="auto"/>
              </w:rPr>
            </w:pPr>
            <w:r>
              <w:rPr>
                <w:rFonts w:ascii="Arial" w:cs="Arial" w:eastAsia="Arial" w:hAnsi="Arial"/>
                <w:sz w:val="18"/>
                <w:szCs w:val="18"/>
                <w:color w:val="auto"/>
                <w:w w:val="93"/>
              </w:rPr>
              <w:t>the number of shares of Common Stock outstanding immediately prior to giving effect to the purchase of all shares accepted for</w:t>
            </w:r>
          </w:p>
        </w:tc>
      </w:tr>
      <w:tr>
        <w:trPr>
          <w:trHeight w:val="230"/>
        </w:trPr>
        <w:tc>
          <w:tcPr>
            <w:tcW w:w="1940" w:type="dxa"/>
            <w:vAlign w:val="bottom"/>
          </w:tcPr>
          <w:p>
            <w:pPr>
              <w:spacing w:after="0"/>
              <w:rPr>
                <w:sz w:val="20"/>
                <w:szCs w:val="20"/>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purchase or exchange in such tender offer or exchange offer;</w:t>
            </w:r>
          </w:p>
        </w:tc>
      </w:tr>
      <w:tr>
        <w:trPr>
          <w:trHeight w:val="418"/>
        </w:trPr>
        <w:tc>
          <w:tcPr>
            <w:tcW w:w="1940" w:type="dxa"/>
            <w:vAlign w:val="bottom"/>
          </w:tcPr>
          <w:p>
            <w:pPr>
              <w:ind w:left="86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520" w:type="dxa"/>
            <w:vAlign w:val="bottom"/>
            <w:gridSpan w:val="3"/>
          </w:tcPr>
          <w:p>
            <w:pPr>
              <w:spacing w:after="0"/>
              <w:rPr>
                <w:sz w:val="20"/>
                <w:szCs w:val="20"/>
                <w:color w:val="auto"/>
              </w:rPr>
            </w:pPr>
            <w:r>
              <w:rPr>
                <w:rFonts w:ascii="Arial" w:cs="Arial" w:eastAsia="Arial" w:hAnsi="Arial"/>
                <w:sz w:val="18"/>
                <w:szCs w:val="18"/>
                <w:color w:val="auto"/>
                <w:w w:val="95"/>
              </w:rPr>
              <w:t>the number of shares of Common Stock outstanding immediately after giving effect to the purchase of all shares accepted for</w:t>
            </w:r>
          </w:p>
        </w:tc>
      </w:tr>
      <w:tr>
        <w:trPr>
          <w:trHeight w:val="230"/>
        </w:trPr>
        <w:tc>
          <w:tcPr>
            <w:tcW w:w="1940" w:type="dxa"/>
            <w:vAlign w:val="bottom"/>
          </w:tcPr>
          <w:p>
            <w:pPr>
              <w:spacing w:after="0"/>
              <w:rPr>
                <w:sz w:val="20"/>
                <w:szCs w:val="20"/>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purchase or exchange in such tender offer or exchange offer; and</w:t>
            </w:r>
          </w:p>
        </w:tc>
      </w:tr>
      <w:tr>
        <w:trPr>
          <w:trHeight w:val="432"/>
        </w:trPr>
        <w:tc>
          <w:tcPr>
            <w:tcW w:w="1940" w:type="dxa"/>
            <w:vAlign w:val="bottom"/>
          </w:tcPr>
          <w:p>
            <w:pPr>
              <w:ind w:left="860"/>
              <w:spacing w:after="0"/>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1</w:t>
            </w:r>
            <w:r>
              <w:rPr>
                <w:rFonts w:ascii="Arial" w:cs="Arial" w:eastAsia="Arial" w:hAnsi="Arial"/>
                <w:sz w:val="18"/>
                <w:szCs w:val="18"/>
                <w:color w:val="auto"/>
              </w:rPr>
              <w:t xml:space="preserve"> =</w:t>
            </w:r>
          </w:p>
        </w:tc>
        <w:tc>
          <w:tcPr>
            <w:tcW w:w="9520" w:type="dxa"/>
            <w:vAlign w:val="bottom"/>
            <w:gridSpan w:val="3"/>
          </w:tcPr>
          <w:p>
            <w:pPr>
              <w:spacing w:after="0"/>
              <w:rPr>
                <w:sz w:val="20"/>
                <w:szCs w:val="20"/>
                <w:color w:val="auto"/>
              </w:rPr>
            </w:pPr>
            <w:r>
              <w:rPr>
                <w:rFonts w:ascii="Arial" w:cs="Arial" w:eastAsia="Arial" w:hAnsi="Arial"/>
                <w:sz w:val="18"/>
                <w:szCs w:val="18"/>
                <w:color w:val="auto"/>
              </w:rPr>
              <w:t>the Closing Price of Common Stock on the Trading Day immediately following the Expiration Date.</w:t>
            </w:r>
          </w:p>
        </w:tc>
      </w:tr>
      <w:tr>
        <w:trPr>
          <w:trHeight w:val="432"/>
        </w:trPr>
        <w:tc>
          <w:tcPr>
            <w:tcW w:w="1940" w:type="dxa"/>
            <w:vAlign w:val="bottom"/>
          </w:tcPr>
          <w:p>
            <w:pPr>
              <w:spacing w:after="0"/>
              <w:rPr>
                <w:sz w:val="24"/>
                <w:szCs w:val="24"/>
                <w:color w:val="auto"/>
              </w:rPr>
            </w:pPr>
          </w:p>
        </w:tc>
        <w:tc>
          <w:tcPr>
            <w:tcW w:w="9520" w:type="dxa"/>
            <w:vAlign w:val="bottom"/>
            <w:gridSpan w:val="3"/>
          </w:tcPr>
          <w:p>
            <w:pPr>
              <w:ind w:left="3680"/>
              <w:spacing w:after="0"/>
              <w:rPr>
                <w:sz w:val="20"/>
                <w:szCs w:val="20"/>
                <w:color w:val="auto"/>
              </w:rPr>
            </w:pPr>
            <w:r>
              <w:rPr>
                <w:rFonts w:ascii="Arial" w:cs="Arial" w:eastAsia="Arial" w:hAnsi="Arial"/>
                <w:sz w:val="18"/>
                <w:szCs w:val="18"/>
                <w:color w:val="auto"/>
              </w:rPr>
              <w:t>54</w:t>
            </w:r>
          </w:p>
        </w:tc>
      </w:tr>
      <w:tr>
        <w:trPr>
          <w:trHeight w:val="132"/>
        </w:trPr>
        <w:tc>
          <w:tcPr>
            <w:tcW w:w="19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69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An adjustment, if any, to the Conversion Rate pursuant to this Section 10.07(e) shall become effective immediately prior to the opening of business on the second Trading Day immediately following the Expiration Date. In the event that the Company or one of its Subsidiaries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that would then be in effect if such tender offer or exchange offer had not been made. Except as provided in the immediately preceding sentence, if the application of this Section 10.07(e) to any tender offer or exchange offer would result in a decrease in the Conversion Rate, no adjustment shall be made for such tender offer or exchange offer under this Section 10.07(e).</w:t>
      </w:r>
    </w:p>
    <w:p>
      <w:pPr>
        <w:spacing w:after="0" w:line="17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i w:val="1"/>
          <w:iCs w:val="1"/>
          <w:color w:val="auto"/>
        </w:rPr>
        <w:t>Section 10.08. Provisions Governing Adjustment to Conversion Rate</w:t>
      </w:r>
      <w:r>
        <w:rPr>
          <w:rFonts w:ascii="Arial" w:cs="Arial" w:eastAsia="Arial" w:hAnsi="Arial"/>
          <w:sz w:val="16"/>
          <w:szCs w:val="16"/>
          <w:color w:val="auto"/>
        </w:rPr>
        <w:t>. Rights, options or warrants distributed by the Company to all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Common Stock; (ii) are not exercisable; and (iii) are also issued in respect of future issuances of Common Stock, shall be deemed not to have been distributed for purposes of Section 10.07 (and no adjustment to the Conversion Rate under Section 10.07 will be required) until the occurrence of the earliest Trigger Event, whereupon such rights, options and warrants shall be deemed to have been distributed and an appropriate adjustment (if any is required) to the Conversion Rate shall be made under Section 10.07(c), and, if applicable, Section 10.20.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 options or warrants with such rights (and a termination or expiration of the existing rights, options or warrants without exercise by any of the holders thereof), except as set forth in Section 10.20. In addition, except as set forth in Section 10.20,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10.07 was made (including any adjustment contemplated in Section 10.20),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38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10.09.</w:t>
      </w:r>
      <w:r>
        <w:rPr>
          <w:sz w:val="20"/>
          <w:szCs w:val="20"/>
          <w:color w:val="auto"/>
        </w:rPr>
        <w:tab/>
      </w:r>
      <w:r>
        <w:rPr>
          <w:rFonts w:ascii="Arial" w:cs="Arial" w:eastAsia="Arial" w:hAnsi="Arial"/>
          <w:sz w:val="16"/>
          <w:szCs w:val="16"/>
          <w:i w:val="1"/>
          <w:iCs w:val="1"/>
          <w:color w:val="auto"/>
        </w:rPr>
        <w:t>Disposition Events</w:t>
      </w:r>
      <w:r>
        <w:rPr>
          <w:rFonts w:ascii="Arial" w:cs="Arial" w:eastAsia="Arial" w:hAnsi="Arial"/>
          <w:sz w:val="16"/>
          <w:szCs w:val="16"/>
          <w:color w:val="auto"/>
        </w:rPr>
        <w:t>. 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7" w:lineRule="auto"/>
        <w:tabs>
          <w:tab w:leader="none" w:pos="19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each case as a result of which Common Stock would be converted into, or exchanged for, or would constitute solely the right to receive, stock, other securities or other property or assets (including Cash or any combination thereof)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then, at the effective time of such</w:t>
      </w:r>
    </w:p>
    <w:p>
      <w:pPr>
        <w:sectPr>
          <w:pgSz w:w="11900" w:h="16989" w:orient="portrait"/>
          <w:cols w:equalWidth="0" w:num="1">
            <w:col w:w="11460"/>
          </w:cols>
          <w:pgMar w:left="240" w:top="341" w:right="199" w:bottom="0" w:gutter="0" w:footer="0" w:header="0"/>
        </w:sectPr>
      </w:pPr>
    </w:p>
    <w:bookmarkStart w:id="34" w:name="page35"/>
    <w:bookmarkEnd w:id="34"/>
    <w:p>
      <w:pPr>
        <w:ind w:right="20"/>
        <w:spacing w:after="0" w:line="287" w:lineRule="auto"/>
        <w:rPr>
          <w:sz w:val="20"/>
          <w:szCs w:val="20"/>
          <w:color w:val="auto"/>
        </w:rPr>
      </w:pPr>
      <w:r>
        <w:rPr>
          <w:rFonts w:ascii="Arial" w:cs="Arial" w:eastAsia="Arial" w:hAnsi="Arial"/>
          <w:sz w:val="16"/>
          <w:szCs w:val="16"/>
          <w:color w:val="auto"/>
        </w:rPr>
        <w:t xml:space="preserve">Merger Event, the Company, or such successor, purchaser or transferee Person, as the case may be, shall execute and deliver to the Trustee a supplemental indenture permitted under Section 9.02(b) to provide that, subject to the Company’s right to settle all or a portion of the Conversion Obligation with respect to the Notes in Cash and the Company’s right to make a Net Share Settlement Election as set forth under Section 10.03(e), the right to convert each $1,000 Principal Amount at Maturity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before such Merger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xml:space="preserve">) upon such Merger Event;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at and after the effective time of the Merger Event, (i) the amount otherwise payable in Cash upon conversion of the Notes as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under Section 10.03 above shall continue to be payable in Cash, (ii) the Company shall continue to have the right to determine the form of consideration to be paid or delivered, as the case may be, as set forth under Section 10.03, (iii) each share of Common Stock that would otherwise have been required to be delivered upon a conversion of the Notes as set forth under Section 10.03 shall instead be deliverable in the amount and type of Reference Property that a holder of one share of Common Stock would have been entitled to receive in such Merger Event (a “</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and (iv) the Daily VWAP shall be calculated based on the value of one unit of Reference Property.</w:t>
      </w:r>
    </w:p>
    <w:p>
      <w:pPr>
        <w:spacing w:after="0" w:line="16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the Merger Event causes the Common Stock to be converted into, or exchanged for, or constitute solely the right to receive more than a single type of consideration (determined based in part upon any form of stockholder election), then (x) the Reference Property into which the Notes will be convertible or used to calculate the Daily VWAP, as the case may be, shall be deemed to be the weighted average of the types and amounts of consideration received by the holders of Common Stock that affirmatively make such an election and (y) the unit of Reference Property for purposes of the immediately preceding paragraph shall refer to the consideration referred to in clause (x) attributable to one share of Common Stock. The Company shall notify Holders, the Trustee and the Conversion Agent (if other than the Trustee) of such weighted average as soon as practicable after such determination is made.</w:t>
      </w:r>
    </w:p>
    <w:p>
      <w:pPr>
        <w:spacing w:after="0" w:line="16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If, in the case of any Disposition Event, the Reference Property includes shares of stock or other securities and assets of a Person other than the successor or purchasing Person, as the case may be, in such reclassification, consolidation, merger, combination, sale or conveyance,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then such supplemental indenture shall also be executed by such other Person and shall contain such additional provisions to protect the interests of the Holders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event the Company shall execute a supplemental indenture pursuant to this Section 10.09,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deliver notice thereof to all Holders. The Company shall cause notice of the execution of such supplemental indenture to be delivered to each Holder, at its address appearing on the Register provided for in this Indenture, within 20 days after execution thereof. Failure to deliver such notice shall not affect the legality or validity of such supplemental indenture. The Company shall not become a party to any such Merger Event unless its terms are consistent with this Section 10.09.</w:t>
      </w:r>
    </w:p>
    <w:p>
      <w:pPr>
        <w:spacing w:after="0" w:line="18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Section 10.10. Adjustment to Conversion Rate Upon a Make-Whole Change in Control or Redemptions prior to November 20, 2018; Discretionary Adjustment</w:t>
      </w:r>
      <w:r>
        <w:rPr>
          <w:rFonts w:ascii="Arial" w:cs="Arial" w:eastAsia="Arial" w:hAnsi="Arial"/>
          <w:sz w:val="16"/>
          <w:szCs w:val="16"/>
          <w:color w:val="auto"/>
        </w:rPr>
        <w:t>. (a) If, after the date hereof, (1) a Change in Control (determined after giving effect to any exceptions or exclusions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(ii) of the definition thereof, a “</w:t>
      </w:r>
      <w:r>
        <w:rPr>
          <w:rFonts w:ascii="Arial" w:cs="Arial" w:eastAsia="Arial" w:hAnsi="Arial"/>
          <w:sz w:val="16"/>
          <w:szCs w:val="16"/>
          <w:b w:val="1"/>
          <w:bCs w:val="1"/>
          <w:color w:val="auto"/>
        </w:rPr>
        <w:t>Make-Whole Change in Control</w:t>
      </w:r>
      <w:r>
        <w:rPr>
          <w:rFonts w:ascii="Arial" w:cs="Arial" w:eastAsia="Arial" w:hAnsi="Arial"/>
          <w:sz w:val="16"/>
          <w:szCs w:val="16"/>
          <w:color w:val="auto"/>
        </w:rPr>
        <w:t>”) occurs or (2) prior to November 20, 2018, the Company calls any Notes for redemption pursuant to Section 11.01 hereof, and a Holder elects to convert its Notes in connection with such Make-Whole Change in Control or redemption, the Company will, under certain circumstances, increase the Applicable Conversion Rate for the Notes so surrendered for conversion by a number of additional shares of Common Stock (the “</w:t>
      </w:r>
      <w:r>
        <w:rPr>
          <w:rFonts w:ascii="Arial" w:cs="Arial" w:eastAsia="Arial" w:hAnsi="Arial"/>
          <w:sz w:val="16"/>
          <w:szCs w:val="16"/>
          <w:b w:val="1"/>
          <w:bCs w:val="1"/>
          <w:color w:val="auto"/>
        </w:rPr>
        <w:t>Make-Whole Shares</w:t>
      </w:r>
      <w:r>
        <w:rPr>
          <w:rFonts w:ascii="Arial" w:cs="Arial" w:eastAsia="Arial" w:hAnsi="Arial"/>
          <w:sz w:val="16"/>
          <w:szCs w:val="16"/>
          <w:color w:val="auto"/>
        </w:rPr>
        <w:t xml:space="preserve">”), as described in this Section 10.10. A conversion of Notes will be deemed for these purposes to be “in connection with” a Make-Whole Change in Control if the notice of conversion of the Notes is received by the Conversion Agent from, and including, the applicable Effective Date up to, and including, the Business Day immediately prior to the related Repurchase Date (or, in the case of an event that would have been a Change in Control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(ii) of the definition thereof, the 35th Trading Day immediately following the Effective Date of such Make-Whole Change in Control). A conversion of Notes will be deemed for these purposes to be “in connection with” a redemption pursuant to Section 11.01 if the notice of conversion of the Notes is received by the Conversion Agent from, and including, the date of delivery of the notice of redemption pursuant to Section 11.03 up to, and including, the applicable Redemption Date.</w:t>
      </w:r>
    </w:p>
    <w:p>
      <w:pPr>
        <w:spacing w:after="0" w:line="16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deliver to the Trustee and to all Holders at their addresses shown in the Register of the Registrar, and to beneficial owners as required by applicable law, written notice indicating that a Make-Whole Change in Control has occurred.</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Notwithstanding anything to the contrary in this Indenture or the Notes, in the event that a conversion may be deemed to be both “in connection with” a redemption pursuant to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11.01 and “in connection with” a Make-Whole Change in Control, such conversion will be deemed to be “in connection” with a Make-Whole Change in Control and not “in connection with” a redemption pursuant to Section 11.01.</w:t>
      </w:r>
    </w:p>
    <w:p>
      <w:pPr>
        <w:spacing w:after="0" w:line="170" w:lineRule="exact"/>
        <w:rPr>
          <w:sz w:val="20"/>
          <w:szCs w:val="20"/>
          <w:color w:val="auto"/>
        </w:rPr>
      </w:pPr>
    </w:p>
    <w:p>
      <w:pPr>
        <w:ind w:right="120" w:firstLine="1305"/>
        <w:spacing w:after="0" w:line="297" w:lineRule="auto"/>
        <w:tabs>
          <w:tab w:leader="none" w:pos="19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number of Make-Whole Shares will be determined by reference to the table below and is based on the Effective Date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or Redemption Date, the average of the Closing Prices per share of Common Stock over the five Trading-Day period ending on the Trading Day immediately preceding the Effective Date of such Make-Whole Change in Control or the Redemption Date, as applicable (the “</w:t>
      </w:r>
      <w:r>
        <w:rPr>
          <w:rFonts w:ascii="Arial" w:cs="Arial" w:eastAsia="Arial" w:hAnsi="Arial"/>
          <w:sz w:val="16"/>
          <w:szCs w:val="16"/>
          <w:b w:val="1"/>
          <w:bCs w:val="1"/>
          <w:color w:val="auto"/>
        </w:rPr>
        <w:t>Stock Price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0" w:firstLine="1305"/>
        <w:spacing w:after="0" w:line="312" w:lineRule="auto"/>
        <w:tabs>
          <w:tab w:leader="none" w:pos="19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Stock Prices set forth in the first row of the table below will be adjusted as of any date on which the Applicable Conversion Rate is adjusted. The adjusted Stock Prices will equal the Stock Prices immediately prior to such adjustment,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a fraction, the numerator of which is the Applicable Conversion Rate immediately prior to the adjustment giving rise to the Stock Price adjustment, and the denominator of which is the</w:t>
      </w:r>
    </w:p>
    <w:p>
      <w:pPr>
        <w:sectPr>
          <w:pgSz w:w="11900" w:h="16838" w:orient="portrait"/>
          <w:cols w:equalWidth="0" w:num="1">
            <w:col w:w="11420"/>
          </w:cols>
          <w:pgMar w:left="240" w:top="125" w:right="239" w:bottom="0" w:gutter="0" w:footer="0" w:header="0"/>
        </w:sectPr>
      </w:pPr>
    </w:p>
    <w:bookmarkStart w:id="35" w:name="page36"/>
    <w:bookmarkEnd w:id="35"/>
    <w:p>
      <w:pPr>
        <w:ind w:right="760"/>
        <w:spacing w:after="0" w:line="277" w:lineRule="auto"/>
        <w:rPr>
          <w:sz w:val="20"/>
          <w:szCs w:val="20"/>
          <w:color w:val="auto"/>
        </w:rPr>
      </w:pPr>
      <w:r>
        <w:rPr>
          <w:rFonts w:ascii="Arial" w:cs="Arial" w:eastAsia="Arial" w:hAnsi="Arial"/>
          <w:sz w:val="18"/>
          <w:szCs w:val="18"/>
          <w:color w:val="auto"/>
        </w:rPr>
        <w:t>Applicable Conversion Rate as so adjusted. In addition, the number of Make-Whole Shares will be subject to adjustment in the same manner as the Applicable Conversion Rate as set forth in Section 10.07.</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the Stock Price, Effective Date and number of Make-Whole Shares to be added to the Conversion Rate per $1,000 principal amount of the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$17.68</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$19.00</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$21.50</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$24.50</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$29.16</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$32.50</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$35.50</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$37.91</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$42.50</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$50.00</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$65.00</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$80.00</w:t>
            </w:r>
          </w:p>
        </w:tc>
        <w:tc>
          <w:tcPr>
            <w:tcW w:w="140" w:type="dxa"/>
            <w:vAlign w:val="bottom"/>
            <w:tcBorders>
              <w:bottom w:val="single" w:sz="8" w:color="CCEEFF"/>
            </w:tcBorders>
          </w:tcPr>
          <w:p>
            <w:pPr>
              <w:spacing w:after="0"/>
              <w:rPr>
                <w:sz w:val="14"/>
                <w:szCs w:val="14"/>
                <w:color w:val="auto"/>
              </w:rPr>
            </w:pPr>
          </w:p>
        </w:tc>
      </w:tr>
      <w:tr>
        <w:trPr>
          <w:trHeight w:val="210"/>
        </w:trPr>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11/12/13</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10.9681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6.3443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40" w:type="dxa"/>
            <w:vAlign w:val="bottom"/>
            <w:shd w:val="clear" w:color="auto" w:fill="CCEEFF"/>
          </w:tcPr>
          <w:p>
            <w:pPr>
              <w:spacing w:after="0"/>
              <w:rPr>
                <w:sz w:val="18"/>
                <w:szCs w:val="18"/>
                <w:color w:val="auto"/>
              </w:rPr>
            </w:pPr>
          </w:p>
        </w:tc>
      </w:tr>
      <w:tr>
        <w:trPr>
          <w:trHeight w:val="216"/>
        </w:trPr>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11/15/14</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11.3088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11.5400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8.9618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6.6821</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5.0713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4.3155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3.7959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3.1419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2.7747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3.8580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1.3149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0.9344</w:t>
            </w:r>
          </w:p>
        </w:tc>
      </w:tr>
      <w:tr>
        <w:trPr>
          <w:trHeight w:val="216"/>
        </w:trPr>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11/15/15</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11.6491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11.0095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7.8080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5.0184</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3.8087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3.2410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2.3596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2.8974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0.9875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0.7018</w:t>
            </w:r>
          </w:p>
        </w:tc>
      </w:tr>
      <w:tr>
        <w:trPr>
          <w:trHeight w:val="216"/>
        </w:trPr>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11/15/16</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11.9920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10.4776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6.6510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3.3502</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2.5426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2.1636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1.9031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1.5752</w:t>
            </w:r>
          </w:p>
        </w:tc>
        <w:tc>
          <w:tcPr>
            <w:tcW w:w="720" w:type="dxa"/>
            <w:vAlign w:val="bottom"/>
          </w:tcPr>
          <w:p>
            <w:pPr>
              <w:jc w:val="right"/>
              <w:spacing w:after="0"/>
              <w:rPr>
                <w:sz w:val="20"/>
                <w:szCs w:val="20"/>
                <w:color w:val="auto"/>
              </w:rPr>
            </w:pPr>
            <w:r>
              <w:rPr>
                <w:rFonts w:ascii="Arial" w:cs="Arial" w:eastAsia="Arial" w:hAnsi="Arial"/>
                <w:sz w:val="18"/>
                <w:szCs w:val="18"/>
                <w:color w:val="auto"/>
              </w:rPr>
              <w:t>1.3911</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1.9343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0.6592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0.4685</w:t>
            </w:r>
          </w:p>
        </w:tc>
      </w:tr>
      <w:tr>
        <w:trPr>
          <w:trHeight w:val="216"/>
        </w:trPr>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11/15/17</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12.3375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9.9471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5.4972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1.6865</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1.2799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1.0892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0.9580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0.7930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0.7003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0.9737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0.2358</w:t>
            </w:r>
          </w:p>
        </w:tc>
      </w:tr>
      <w:tr>
        <w:trPr>
          <w:trHeight w:val="234"/>
        </w:trPr>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11/20/18</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12.6855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9.4094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4.3276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0.0000</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0.0000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0.0000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0.0000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0.0000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0.0000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0.0000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0.0000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0.0000</w:t>
            </w:r>
          </w:p>
        </w:tc>
      </w:tr>
    </w:tbl>
    <w:p>
      <w:pPr>
        <w:spacing w:after="0" w:line="183" w:lineRule="exact"/>
        <w:rPr>
          <w:sz w:val="20"/>
          <w:szCs w:val="20"/>
          <w:color w:val="auto"/>
        </w:rPr>
      </w:pPr>
    </w:p>
    <w:p>
      <w:pPr>
        <w:ind w:right="40" w:firstLine="1305"/>
        <w:spacing w:after="0" w:line="293" w:lineRule="auto"/>
        <w:tabs>
          <w:tab w:leader="none" w:pos="19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 Dates in the table, as applicable, based on a 365-day year, (ii) if the Stock Price is in excess of $80.00 per share of Common Stock (subject to adjustment as set forth in Section 10.10(c)), no Make-Whole Shares will be issued upon conversion of the Notes; and (iii) if the Stock Price is less than $17.68 per share of Common Stock (subject to adjustment as set forth in Section 10.10(c)), no Make-Whole Shares will be issued upon conversion of the Notes.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59"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the extent permitted by applicable law and the listing rules of The NASDAQ Global Select Market, the Company may make such increases in the Conversion Rate, in addition to those required by Section 10.07,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86" w:lineRule="exact"/>
        <w:rPr>
          <w:rFonts w:ascii="Arial" w:cs="Arial" w:eastAsia="Arial" w:hAnsi="Arial"/>
          <w:sz w:val="18"/>
          <w:szCs w:val="18"/>
          <w:color w:val="auto"/>
        </w:rPr>
      </w:pPr>
    </w:p>
    <w:p>
      <w:pPr>
        <w:ind w:right="120" w:firstLine="1305"/>
        <w:spacing w:after="0" w:line="293" w:lineRule="auto"/>
        <w:tabs>
          <w:tab w:leader="none" w:pos="19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the extent permitted by applicable law and the listing rules of The NASDAQ Global Select Market, the Company from time to time may increase the Conversion Rate by any amount for any period of time if the period is at least twenty (20) Business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file with the Conversion Agent and provide written notice to the Holders of the Notes a notice of the increase at least fifteen (15) days prior to the date the increased Conversion Rate takes effect, and such notice shall state the increased Conversion Rate and the period during which it will be in effect.</w:t>
      </w:r>
    </w:p>
    <w:p>
      <w:pPr>
        <w:spacing w:after="0" w:line="164" w:lineRule="exact"/>
        <w:rPr>
          <w:rFonts w:ascii="Arial" w:cs="Arial" w:eastAsia="Arial" w:hAnsi="Arial"/>
          <w:sz w:val="16"/>
          <w:szCs w:val="16"/>
          <w:color w:val="auto"/>
        </w:rPr>
      </w:pPr>
    </w:p>
    <w:p>
      <w:pPr>
        <w:ind w:right="20" w:firstLine="1305"/>
        <w:spacing w:after="0" w:line="257" w:lineRule="auto"/>
        <w:tabs>
          <w:tab w:leader="none" w:pos="19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in this Article 10 to the contrary, in the event of any increase in the Conversion Rate that would result in the Notes becoming convertible into shares of Common Stock in excess of the share issuance limitations of the listing standards of The NASDAQ Global Select Market or the principal U.S. securities exchange on which the Common Stock is then listed, the Company shall, at its option, either obtain stockholder approval of such issuances or deliver Cash in lieu of any shares otherwise deliverable upon conversions in excess of such limitations (calculated based on the Daily VWAP on the last Trading Day of the applicable Observation Period).</w:t>
      </w:r>
    </w:p>
    <w:p>
      <w:pPr>
        <w:spacing w:after="0" w:line="188"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i w:val="1"/>
          <w:iCs w:val="1"/>
          <w:color w:val="auto"/>
        </w:rPr>
        <w:t>Section 10.11. When Adjustment May Be Deferred</w:t>
      </w:r>
      <w:r>
        <w:rPr>
          <w:rFonts w:ascii="Arial" w:cs="Arial" w:eastAsia="Arial" w:hAnsi="Arial"/>
          <w:sz w:val="17"/>
          <w:szCs w:val="17"/>
          <w:color w:val="auto"/>
        </w:rPr>
        <w:t>. No adjustment in the Conversion Rate need be made unless the adjustment would require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(but only with respect to such converted Note), upon required repurchases of the Notes pursuant to Section 3.01, and on the Scheduled Trading Day prior to the Maturity Date.</w:t>
      </w:r>
    </w:p>
    <w:p>
      <w:pPr>
        <w:spacing w:after="0" w:line="17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Section 10.12. When No Adjustment Required</w:t>
      </w:r>
      <w:r>
        <w:rPr>
          <w:rFonts w:ascii="Arial" w:cs="Arial" w:eastAsia="Arial" w:hAnsi="Arial"/>
          <w:sz w:val="17"/>
          <w:szCs w:val="17"/>
          <w:color w:val="auto"/>
        </w:rPr>
        <w:t>. (a) No adjustment need be made for a transaction referred to in Section 10.07 if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Holders, at such time, held a number of shares of Common Stock equal to the Applicable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at Maturity (expressed in thousands) of Notes held by such Holder, without having to convert their Notes.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305"/>
        <w:spacing w:after="0" w:line="277"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adjustment need be made for rights to purchase Common Stock pursuant to a Company plan for reinvestment of dividends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rFonts w:ascii="Arial" w:cs="Arial" w:eastAsia="Arial" w:hAnsi="Arial"/>
          <w:sz w:val="18"/>
          <w:szCs w:val="18"/>
          <w:color w:val="auto"/>
        </w:rPr>
      </w:pPr>
    </w:p>
    <w:p>
      <w:pPr>
        <w:ind w:right="140" w:firstLine="1305"/>
        <w:spacing w:after="0" w:line="277" w:lineRule="auto"/>
        <w:tabs>
          <w:tab w:leader="none" w:pos="19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solely into Cash, no adjustment need be made thereafter as to the Cash. Interest will not accrue on the Cash.</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Section 10.13. Notice of Adjustment</w:t>
      </w:r>
      <w:r>
        <w:rPr>
          <w:rFonts w:ascii="Arial" w:cs="Arial" w:eastAsia="Arial" w:hAnsi="Arial"/>
          <w:sz w:val="18"/>
          <w:szCs w:val="18"/>
          <w:color w:val="auto"/>
        </w:rPr>
        <w:t>. Whenever the Conversion Rate is adjusted, the Company shall promptly send to Holders a written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adjustment. The Company shall file with the Trustee and the Conversion Agent such notice and a certificate from the Company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ectPr>
          <w:pgSz w:w="11900" w:h="16838" w:orient="portrait"/>
          <w:cols w:equalWidth="0" w:num="1">
            <w:col w:w="11420"/>
          </w:cols>
          <w:pgMar w:left="240" w:top="125" w:right="239" w:bottom="0" w:gutter="0" w:footer="0" w:header="0"/>
        </w:sectPr>
      </w:pPr>
    </w:p>
    <w:bookmarkStart w:id="36" w:name="page37"/>
    <w:bookmarkEnd w:id="36"/>
    <w:p>
      <w:pPr>
        <w:spacing w:after="0" w:line="14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Section 10.14. Notice of Certain Transactions</w:t>
      </w:r>
      <w:r>
        <w:rPr>
          <w:rFonts w:ascii="Arial" w:cs="Arial" w:eastAsia="Arial" w:hAnsi="Arial"/>
          <w:sz w:val="16"/>
          <w:szCs w:val="16"/>
          <w:color w:val="auto"/>
        </w:rPr>
        <w:t>. If (a) the Company takes any action that would require an adjustment in the Conversion Rate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10.07 (unless no adjustment is to occur pursuant to Section 10.11 or Section 10.12), (b) the Company takes any action that would require a supplemental indenture pursuant to Section 10.09, (c) there is a liquidation or dissolution of the Company or (d) the Company makes any distribution described in Section 10.07(b), Section 10.07(c) or Section 10.07(d) that has a per share value equal to more than 15% of the Closing Price of shares of Common Stock on the Trading Day preceding the declaration date for such issuance, dividend or distribution, then the Company shall send to Holders and file with the Trustee and the Conversion Agent a written notice stating the proposed Ex-Date for a issuance, dividend or distribution or the proposed effective date of a subdivision, combination, reclassification, consolidation, merger, combination, sale or conveyance. The Company shall file and send the notice at least 15 days before such date. Failure to file or send the notice or any defect in it shall not affect the validity of the transaction.</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Section 10.15. Right of Holders to Convert</w:t>
      </w:r>
      <w:r>
        <w:rPr>
          <w:rFonts w:ascii="Arial" w:cs="Arial" w:eastAsia="Arial" w:hAnsi="Arial"/>
          <w:sz w:val="18"/>
          <w:szCs w:val="18"/>
          <w:color w:val="auto"/>
        </w:rPr>
        <w:t>. Notwithstanding any other provision in this Indenture, the Holder of any Note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its Note in accordance with this Article 10 and to bring an action for the enforcement of any such right to convert, and such rights shall not be impaired or affected without the consent of such Holder.</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Section 10.16. Company Determination Final</w:t>
      </w:r>
      <w:r>
        <w:rPr>
          <w:rFonts w:ascii="Arial" w:cs="Arial" w:eastAsia="Arial" w:hAnsi="Arial"/>
          <w:sz w:val="18"/>
          <w:szCs w:val="18"/>
          <w:color w:val="auto"/>
        </w:rPr>
        <w:t>. The Company shall be responsible for making all calculations called for hereunder and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Company shall make all these calculations using commercially reasonable means and, absent manifest error, the Company’s calculations will be final and binding on Holders. The Company shall provide a schedule of the Company’s calculations to the Trustee, and the Trustee is entitled to rely upon the accuracy of the Company’s calculations without independent verification.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Section 10.17. Trustee’s Adjustment Disclaimer</w:t>
      </w:r>
      <w:r>
        <w:rPr>
          <w:rFonts w:ascii="Arial" w:cs="Arial" w:eastAsia="Arial" w:hAnsi="Arial"/>
          <w:sz w:val="17"/>
          <w:szCs w:val="17"/>
          <w:color w:val="auto"/>
        </w:rPr>
        <w:t>. The Trustee has no duty to determine when an adjustment under this Article 10 should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 or value of any securities or assets issued upon conversion of Notes. The Trustee shall not be responsible for the Company’s failure to comply with this Article 10. Each Conversion Agent shall have the same protection under this Section 10.17 as the Trustee.</w:t>
      </w:r>
    </w:p>
    <w:p>
      <w:pPr>
        <w:spacing w:after="0" w:line="173" w:lineRule="exact"/>
        <w:rPr>
          <w:sz w:val="20"/>
          <w:szCs w:val="20"/>
          <w:color w:val="auto"/>
        </w:rPr>
      </w:pPr>
    </w:p>
    <w:p>
      <w:pPr>
        <w:jc w:val="center"/>
        <w:ind w:right="20"/>
        <w:spacing w:after="0"/>
        <w:tabs>
          <w:tab w:leader="none" w:pos="220" w:val="left"/>
        </w:tabs>
        <w:rPr>
          <w:sz w:val="20"/>
          <w:szCs w:val="20"/>
          <w:color w:val="auto"/>
        </w:rPr>
      </w:pPr>
      <w:r>
        <w:rPr>
          <w:rFonts w:ascii="Arial" w:cs="Arial" w:eastAsia="Arial" w:hAnsi="Arial"/>
          <w:sz w:val="18"/>
          <w:szCs w:val="18"/>
          <w:i w:val="1"/>
          <w:iCs w:val="1"/>
          <w:color w:val="auto"/>
        </w:rPr>
        <w:t>Section 10.18.</w:t>
      </w:r>
      <w:r>
        <w:rPr>
          <w:sz w:val="20"/>
          <w:szCs w:val="20"/>
          <w:color w:val="auto"/>
        </w:rPr>
        <w:tab/>
      </w:r>
      <w:r>
        <w:rPr>
          <w:rFonts w:ascii="Arial" w:cs="Arial" w:eastAsia="Arial" w:hAnsi="Arial"/>
          <w:sz w:val="16"/>
          <w:szCs w:val="16"/>
          <w:i w:val="1"/>
          <w:iCs w:val="1"/>
          <w:color w:val="auto"/>
        </w:rPr>
        <w:t>Simultaneous Adjustments</w:t>
      </w:r>
      <w:r>
        <w:rPr>
          <w:rFonts w:ascii="Arial" w:cs="Arial" w:eastAsia="Arial" w:hAnsi="Arial"/>
          <w:sz w:val="16"/>
          <w:szCs w:val="16"/>
          <w:color w:val="auto"/>
        </w:rPr>
        <w:t>. For purposes of Section 10.07(a), 10.07(b) and 10.07(c), any dividend or distribution to which</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10.07(c)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10.07(c) with respect to such dividend or distribution shall then be made) immediately followed by (2) a dividend or distribution of such shares of Common Stock or such rights (and any further Conversion Rate adjustment required by Section 10.07(a) and 10.07(b)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10.07(a).</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Section 10.19. Successive Adjustments</w:t>
      </w:r>
      <w:r>
        <w:rPr>
          <w:rFonts w:ascii="Arial" w:cs="Arial" w:eastAsia="Arial" w:hAnsi="Arial"/>
          <w:sz w:val="18"/>
          <w:szCs w:val="18"/>
          <w:color w:val="auto"/>
        </w:rPr>
        <w:t>. After an adjustment to the Conversion Rate under this Article 10, any subsequent event requiring an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under this Article 10 shall cause an adjustment to the Conversion Rate as so adjusted.</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i w:val="1"/>
          <w:iCs w:val="1"/>
          <w:color w:val="auto"/>
        </w:rPr>
        <w:t>Section 10.20. Rights Issued in Respect of Common Stock Issued Upon Conversion</w:t>
      </w:r>
      <w:r>
        <w:rPr>
          <w:rFonts w:ascii="Arial" w:cs="Arial" w:eastAsia="Arial" w:hAnsi="Arial"/>
          <w:sz w:val="17"/>
          <w:szCs w:val="17"/>
          <w:color w:val="auto"/>
        </w:rPr>
        <w:t>. Each share of Common Stock issued upon conversion of</w:t>
      </w:r>
      <w:r>
        <w:rPr>
          <w:rFonts w:ascii="Arial" w:cs="Arial" w:eastAsia="Arial" w:hAnsi="Arial"/>
          <w:sz w:val="17"/>
          <w:szCs w:val="17"/>
          <w:i w:val="1"/>
          <w:iCs w:val="1"/>
          <w:color w:val="auto"/>
        </w:rPr>
        <w:t xml:space="preserve"> </w:t>
      </w:r>
      <w:r>
        <w:rPr>
          <w:rFonts w:ascii="Arial" w:cs="Arial" w:eastAsia="Arial" w:hAnsi="Arial"/>
          <w:sz w:val="17"/>
          <w:szCs w:val="17"/>
          <w:color w:val="auto"/>
        </w:rPr>
        <w:t>Notes pursuant to this Article 10 shall be entitled to receive the appropriate number of rights (“</w:t>
      </w:r>
      <w:r>
        <w:rPr>
          <w:rFonts w:ascii="Arial" w:cs="Arial" w:eastAsia="Arial" w:hAnsi="Arial"/>
          <w:sz w:val="17"/>
          <w:szCs w:val="17"/>
          <w:b w:val="1"/>
          <w:bCs w:val="1"/>
          <w:color w:val="auto"/>
        </w:rPr>
        <w:t>Rights</w:t>
      </w:r>
      <w:r>
        <w:rPr>
          <w:rFonts w:ascii="Arial" w:cs="Arial" w:eastAsia="Arial" w:hAnsi="Arial"/>
          <w:sz w:val="17"/>
          <w:szCs w:val="17"/>
          <w:color w:val="auto"/>
        </w:rPr>
        <w:t>”), if any, and the certificates representing Common Stock issued upon such conversion shall bear such legends, if any, in each case as may be provided by the terms of any rights plan (i.e., a poison pill) adopted by the Company, as the same may be amended from time to time, is in effect, (in each case, a “</w:t>
      </w:r>
      <w:r>
        <w:rPr>
          <w:rFonts w:ascii="Arial" w:cs="Arial" w:eastAsia="Arial" w:hAnsi="Arial"/>
          <w:sz w:val="17"/>
          <w:szCs w:val="17"/>
          <w:b w:val="1"/>
          <w:bCs w:val="1"/>
          <w:color w:val="auto"/>
        </w:rPr>
        <w:t>Shareholders Rights Plan</w:t>
      </w:r>
      <w:r>
        <w:rPr>
          <w:rFonts w:ascii="Arial" w:cs="Arial" w:eastAsia="Arial" w:hAnsi="Arial"/>
          <w:sz w:val="17"/>
          <w:szCs w:val="17"/>
          <w:color w:val="auto"/>
        </w:rPr>
        <w:t>”). Upon conversion of the Notes a Holder will receive, in addition to any Common Stock received in connection with such conversion, the Rights under the Shareholders Rights Plan, unless prior to any conversion, the Rights 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10.07(c), and further adjusted in the event of certain events affecting such Rights following any separation from the Common Stock and subject to readjustment in the event of the expiration, termination or redemption of such Rights. Any distribution of Rights pursuant to the Shareholders Rights Plan that would allow a Holder to receive upon conversion, in addition to shares of Common Stock, the Rights described therein (unless such Rights have separated from Common Stock) shall not constitute a distribution of Rights that would entitle the Holder to an adjustment to the Conversion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Section 10.21. Withholding Taxes for Adjustments in Conversion Rate</w:t>
      </w:r>
      <w:r>
        <w:rPr>
          <w:rFonts w:ascii="Arial" w:cs="Arial" w:eastAsia="Arial" w:hAnsi="Arial"/>
          <w:sz w:val="18"/>
          <w:szCs w:val="18"/>
          <w:color w:val="auto"/>
        </w:rPr>
        <w:t>. The Company may, at its option, set-off withholding taxes due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Notes against delivery of Common Stock upon conversion of the Notes. In the case of any such set-off against Common Stock delivered upon conversion of the Notes, such Common Stock shall be valued based on the Closing Price of the Common Stock on the Trading Day immediately following the Conversion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11.01.</w:t>
      </w:r>
      <w:r>
        <w:rPr>
          <w:sz w:val="20"/>
          <w:szCs w:val="20"/>
          <w:color w:val="auto"/>
        </w:rPr>
        <w:tab/>
      </w:r>
      <w:r>
        <w:rPr>
          <w:rFonts w:ascii="Arial" w:cs="Arial" w:eastAsia="Arial" w:hAnsi="Arial"/>
          <w:sz w:val="16"/>
          <w:szCs w:val="16"/>
          <w:i w:val="1"/>
          <w:iCs w:val="1"/>
          <w:color w:val="auto"/>
        </w:rPr>
        <w:t>Right to Redeem; Notices to Trustee</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57" w:lineRule="auto"/>
        <w:tabs>
          <w:tab w:leader="none" w:pos="19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Prior to November 20, 2018, the Notes may be redeemed for Cash in whole or in part at the option of the Company if the Volume Weighted Average Price of the Company’s Common Stock has been greater than or equal to 130% of the then current Conversion Price then in effect for at least 20 Trading Days during any 30 consecutive Trading Day period ending within five Trading Days prior to the date on which the Company provides notice of redemption. On or after November 20, 2018 the Notes may be redeemed for Cash in whole or in part at the option of the Company without regard to the price of the Company’s Common Stock.</w:t>
      </w:r>
    </w:p>
    <w:p>
      <w:pPr>
        <w:spacing w:after="0" w:line="184"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color w:val="auto"/>
        </w:rPr>
        <w:t>The redemption price at which the Notes are redeemable (the “</w:t>
      </w:r>
      <w:r>
        <w:rPr>
          <w:rFonts w:ascii="Arial" w:cs="Arial" w:eastAsia="Arial" w:hAnsi="Arial"/>
          <w:sz w:val="16"/>
          <w:szCs w:val="16"/>
          <w:b w:val="1"/>
          <w:bCs w:val="1"/>
          <w:color w:val="auto"/>
        </w:rPr>
        <w:t>Redemption Price</w:t>
      </w:r>
      <w:r>
        <w:rPr>
          <w:rFonts w:ascii="Arial" w:cs="Arial" w:eastAsia="Arial" w:hAnsi="Arial"/>
          <w:sz w:val="16"/>
          <w:szCs w:val="16"/>
          <w:color w:val="auto"/>
        </w:rPr>
        <w:t>”) pursuant to Section 11.01(a) shall be equal to (i) in the case of Notes redeemed prior to November 20, 2018, (1) the Principal Amount at Maturity of the Notes to be redeemed, plus (2) accrued and unpaid interest, (including</w:t>
      </w:r>
    </w:p>
    <w:p>
      <w:pPr>
        <w:sectPr>
          <w:pgSz w:w="11900" w:h="16979" w:orient="portrait"/>
          <w:cols w:equalWidth="0" w:num="1">
            <w:col w:w="11420"/>
          </w:cols>
          <w:pgMar w:left="240" w:top="125" w:right="239" w:bottom="0" w:gutter="0" w:footer="0" w:header="0"/>
        </w:sectPr>
      </w:pPr>
    </w:p>
    <w:bookmarkStart w:id="37" w:name="page38"/>
    <w:bookmarkEnd w:id="37"/>
    <w:p>
      <w:pPr>
        <w:spacing w:after="0" w:line="1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Additional Interest), if any, to, but excluding, the Redemption Date, or (ii) in the case of Notes redeemed on or after November 20, 2018, (1) the Accreted Principal Amount of the Notes to be redeemed, plus (2) accrued and unpaid interest (including Additional Interest), if any, to, but excluding,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pacing w:after="0" w:line="158" w:lineRule="exact"/>
        <w:rPr>
          <w:sz w:val="20"/>
          <w:szCs w:val="20"/>
          <w:color w:val="auto"/>
        </w:rPr>
      </w:pPr>
    </w:p>
    <w:p>
      <w:pPr>
        <w:ind w:right="120" w:firstLine="1305"/>
        <w:spacing w:after="0" w:line="259" w:lineRule="auto"/>
        <w:tabs>
          <w:tab w:leader="none" w:pos="19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may not redeem any Notes unless all accrued and unpaid interest (including any Additional Interest) thereon has been or is simultaneously paid for all semi-annual periods or portions thereof terminating prior to the Redemption Date. In addition, the Company shall not redeem any Notes or deliver to any Holder a notice of redemption pursuant to Section 11.03 at any time when there exists any accrued and unpaid Defaulted Interest.</w:t>
      </w:r>
    </w:p>
    <w:p>
      <w:pPr>
        <w:spacing w:after="0" w:line="186" w:lineRule="exact"/>
        <w:rPr>
          <w:rFonts w:ascii="Arial" w:cs="Arial" w:eastAsia="Arial" w:hAnsi="Arial"/>
          <w:sz w:val="18"/>
          <w:szCs w:val="18"/>
          <w:color w:val="auto"/>
        </w:rPr>
      </w:pPr>
    </w:p>
    <w:p>
      <w:pPr>
        <w:ind w:right="60" w:firstLine="1305"/>
        <w:spacing w:after="0" w:line="259" w:lineRule="auto"/>
        <w:tabs>
          <w:tab w:leader="none" w:pos="19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any redemption prior to November 20, 2018, the Company shall issue Make-Whole Shares pursuant to Section 10.10 of this Indenture to Holders with respect to the Notes called for redemption pursuant to Section 11.01 that are converted in connection with such redemption into Common Stock pursuant to the terms of the Indenture after the date of the notice of redemption sent pursuant to Section 11.03 of this Indenture and prior to such Redemption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Section 11.02. Selection of Notes to be Redeemed</w:t>
      </w:r>
      <w:r>
        <w:rPr>
          <w:rFonts w:ascii="Arial" w:cs="Arial" w:eastAsia="Arial" w:hAnsi="Arial"/>
          <w:sz w:val="16"/>
          <w:szCs w:val="16"/>
          <w:color w:val="auto"/>
        </w:rPr>
        <w:t>. If less than all the Notes are to be redeemed, the Trustee shall select the Notes to be redeemed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or by lot or by any other method the Trustee considers fair and appropriate (so long as such method is not prohibited by the rules of The NASDAQ Global Select Market or any other stock exchange on which the Notes are then listed, as applicable). The Trustee shall make the selection within seven days from its receipt of the notice from the Company delivered pursuant to Section 11.03 from outstanding Notes not previously called for redemption.</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Notes and portions of them the Trustee selects shall be in Principal Amount at Maturity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If any Note selected for partial redemption is converted in part before the Redemption Date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11.03. Notice of Redemption</w:t>
      </w:r>
      <w:r>
        <w:rPr>
          <w:rFonts w:ascii="Arial" w:cs="Arial" w:eastAsia="Arial" w:hAnsi="Arial"/>
          <w:sz w:val="18"/>
          <w:szCs w:val="18"/>
          <w:color w:val="auto"/>
        </w:rPr>
        <w:t>. At least 30 days but not more than 60 days before a Redemption Date, the Company shall deliver a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redemption to the Trustee, the Paying Agent and each Holder of Notes to be redeemed;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deliver any such notice to any Holder at any time when there exists any accrued and unpaid Defaulted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25" w:lineRule="exact"/>
        <w:rPr>
          <w:sz w:val="20"/>
          <w:szCs w:val="20"/>
          <w:color w:val="auto"/>
        </w:rPr>
      </w:pPr>
    </w:p>
    <w:p>
      <w:pPr>
        <w:ind w:left="2620" w:hanging="667"/>
        <w:spacing w:after="0"/>
        <w:tabs>
          <w:tab w:leader="none" w:pos="2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right="660" w:firstLine="1953"/>
        <w:spacing w:after="0" w:line="277" w:lineRule="auto"/>
        <w:tabs>
          <w:tab w:leader="none" w:pos="2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Section 3.01.</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Section 11.04. Effect of Notice of Redemption</w:t>
      </w:r>
      <w:r>
        <w:rPr>
          <w:rFonts w:ascii="Arial" w:cs="Arial" w:eastAsia="Arial" w:hAnsi="Arial"/>
          <w:sz w:val="18"/>
          <w:szCs w:val="18"/>
          <w:color w:val="auto"/>
        </w:rPr>
        <w:t>. Once notice of redemption is given, Notes called for redemption become due and payable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Section 11.05. Deposit of Redemption Price</w:t>
      </w:r>
      <w:r>
        <w:rPr>
          <w:rFonts w:ascii="Arial" w:cs="Arial" w:eastAsia="Arial" w:hAnsi="Arial"/>
          <w:sz w:val="16"/>
          <w:szCs w:val="16"/>
          <w:color w:val="auto"/>
        </w:rPr>
        <w:t>. Prior to 12:00 p.m., New York City time, on or prior to the Redemption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Section 11.06. Notes Redeemed in Part</w:t>
      </w:r>
      <w:r>
        <w:rPr>
          <w:rFonts w:ascii="Arial" w:cs="Arial" w:eastAsia="Arial" w:hAnsi="Arial"/>
          <w:sz w:val="16"/>
          <w:szCs w:val="16"/>
          <w:color w:val="auto"/>
        </w:rPr>
        <w:t>. Any Note which is to be redeemed only in part shall be surrendered at the office of the Paying Agent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if the Company or the Trustee so requires, due endorsement by, or a written instrument of transfer in form satisfactory to the Company and the Trustee</w:t>
      </w:r>
    </w:p>
    <w:p>
      <w:pPr>
        <w:sectPr>
          <w:pgSz w:w="11900" w:h="16975" w:orient="portrait"/>
          <w:cols w:equalWidth="0" w:num="1">
            <w:col w:w="11400"/>
          </w:cols>
          <w:pgMar w:left="240" w:top="125" w:right="259" w:bottom="0" w:gutter="0" w:footer="0" w:header="0"/>
        </w:sectPr>
      </w:pPr>
    </w:p>
    <w:bookmarkStart w:id="38" w:name="page39"/>
    <w:bookmarkEnd w:id="38"/>
    <w:p>
      <w:pPr>
        <w:spacing w:after="0" w:line="10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duly executed by, the Holder thereof or such Holder’s attorney duly authorized in writing) and the Company shall execute and the Trustee shall authenticate and deliver to the Holder of such Note, without service charge, a new Note or Notes, of any authorized denomination as requested by such Holder in aggregate Principal Amount at Maturity equal to, and in exchange for, the portion of the Principal Amount at Maturity of the Note so surrendered that is not redeemed;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(i) issue, register the transfer of or exchange any Notes during a period beginning immediately prior to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OF INTEREST</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i w:val="1"/>
          <w:iCs w:val="1"/>
          <w:color w:val="auto"/>
        </w:rPr>
        <w:t>Section 12.01. Interest Payments</w:t>
      </w:r>
      <w:r>
        <w:rPr>
          <w:rFonts w:ascii="Arial" w:cs="Arial" w:eastAsia="Arial" w:hAnsi="Arial"/>
          <w:sz w:val="18"/>
          <w:szCs w:val="18"/>
          <w:color w:val="auto"/>
        </w:rPr>
        <w:t>. Interest (including any Additional Interest) on any Note that is payable, and is punctually paid or duly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pacing w:after="0" w:line="15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Section 12.02. Defaulted Interest</w:t>
      </w:r>
      <w:r>
        <w:rPr>
          <w:rFonts w:ascii="Arial" w:cs="Arial" w:eastAsia="Arial" w:hAnsi="Arial"/>
          <w:sz w:val="17"/>
          <w:szCs w:val="17"/>
          <w:color w:val="auto"/>
        </w:rPr>
        <w:t>. Any interest (including any Additional Interest) on any Note that is payable, but is not punctually paid or duly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within 30 days following any applicable payment date (herein called “</w:t>
      </w:r>
      <w:r>
        <w:rPr>
          <w:rFonts w:ascii="Arial" w:cs="Arial" w:eastAsia="Arial" w:hAnsi="Arial"/>
          <w:sz w:val="17"/>
          <w:szCs w:val="17"/>
          <w:b w:val="1"/>
          <w:bCs w:val="1"/>
          <w:color w:val="auto"/>
        </w:rPr>
        <w:t>Defaulted Interest</w:t>
      </w:r>
      <w:r>
        <w:rPr>
          <w:rFonts w:ascii="Arial" w:cs="Arial" w:eastAsia="Arial" w:hAnsi="Arial"/>
          <w:sz w:val="17"/>
          <w:szCs w:val="17"/>
          <w:color w:val="auto"/>
        </w:rPr>
        <w:t>,” which term shall include any accrued and unpaid interest (including any Additional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73" w:lineRule="exact"/>
        <w:rPr>
          <w:sz w:val="20"/>
          <w:szCs w:val="20"/>
          <w:color w:val="auto"/>
        </w:rPr>
      </w:pPr>
    </w:p>
    <w:p>
      <w:pPr>
        <w:ind w:firstLine="1305"/>
        <w:spacing w:after="0" w:line="286" w:lineRule="auto"/>
        <w:tabs>
          <w:tab w:leader="none" w:pos="194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(or such shorter period as is acceptable to the Trustee) after the receipt by the Trustee of the notice of the proposed payment (the “</w:t>
      </w:r>
      <w:r>
        <w:rPr>
          <w:rFonts w:ascii="Arial" w:cs="Arial" w:eastAsia="Arial" w:hAnsi="Arial"/>
          <w:sz w:val="16"/>
          <w:szCs w:val="16"/>
          <w:b w:val="1"/>
          <w:bCs w:val="1"/>
          <w:color w:val="auto"/>
        </w:rPr>
        <w:t>Special Record Date</w:t>
      </w:r>
      <w:r>
        <w:rPr>
          <w:rFonts w:ascii="Arial" w:cs="Arial" w:eastAsia="Arial" w:hAnsi="Arial"/>
          <w:sz w:val="16"/>
          <w:szCs w:val="16"/>
          <w:color w:val="auto"/>
        </w:rPr>
        <w: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its address as it appears on the list of Holders maintained pursuant to Section 2.05 not less than 25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71" w:lineRule="exact"/>
        <w:rPr>
          <w:rFonts w:ascii="Arial" w:cs="Arial" w:eastAsia="Arial" w:hAnsi="Arial"/>
          <w:sz w:val="16"/>
          <w:szCs w:val="16"/>
          <w:color w:val="auto"/>
        </w:rPr>
      </w:pPr>
    </w:p>
    <w:p>
      <w:pPr>
        <w:ind w:right="60" w:firstLine="1305"/>
        <w:spacing w:after="0" w:line="312" w:lineRule="auto"/>
        <w:tabs>
          <w:tab w:leader="none" w:pos="19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Section 12.03. Interest Rights Preserved</w:t>
      </w:r>
      <w:r>
        <w:rPr>
          <w:rFonts w:ascii="Arial" w:cs="Arial" w:eastAsia="Arial" w:hAnsi="Arial"/>
          <w:sz w:val="18"/>
          <w:szCs w:val="18"/>
          <w:color w:val="auto"/>
        </w:rPr>
        <w:t>. Subject to the foregoing provisions of this Article 12 and Section 2.06, each Note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upon registration of transfer of or in exchange for or in lieu of any other Note shall carry the rights to interest accrued and unpaid, including any Additional Interest, and to accrue, which were carried by such other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Section 13.01. </w:t>
      </w:r>
      <w:r>
        <w:rPr>
          <w:rFonts w:ascii="Arial" w:cs="Arial" w:eastAsia="Arial" w:hAnsi="Arial"/>
          <w:sz w:val="18"/>
          <w:szCs w:val="18"/>
          <w:color w:val="auto"/>
        </w:rPr>
        <w:t>Trust Indenture Act of 1939. This Indenture incorporates specified provisions of the Trust Indenture Act and certain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Indenture are subject to specified qualifications included in the Trust Indenture Act, but except as so specifically incorporated or qualified, this Indenture shall not otherwise be governed by the Trust Indenture Act.</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Section 13.02. Holder Communications; Holder Actions</w:t>
      </w:r>
      <w:r>
        <w:rPr>
          <w:rFonts w:ascii="Arial" w:cs="Arial" w:eastAsia="Arial" w:hAnsi="Arial"/>
          <w:sz w:val="18"/>
          <w:szCs w:val="18"/>
          <w:color w:val="auto"/>
        </w:rPr>
        <w:t>. (a) The rights of Holders to communicate with other Holders with respect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pacing w:after="0" w:line="187" w:lineRule="exact"/>
        <w:rPr>
          <w:sz w:val="20"/>
          <w:szCs w:val="20"/>
          <w:color w:val="auto"/>
        </w:rPr>
      </w:pPr>
    </w:p>
    <w:p>
      <w:pPr>
        <w:ind w:firstLine="1305"/>
        <w:spacing w:after="0" w:line="302" w:lineRule="auto"/>
        <w:tabs>
          <w:tab w:leader="none" w:pos="19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(i) Any request, demand, authorization, direction, notice, consent to amendment, supplement or waiver or other action provided by this Indenture to be given or taken by a Holder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w:t>
      </w:r>
    </w:p>
    <w:p>
      <w:pPr>
        <w:sectPr>
          <w:pgSz w:w="11900" w:h="16945" w:orient="portrait"/>
          <w:cols w:equalWidth="0" w:num="1">
            <w:col w:w="11400"/>
          </w:cols>
          <w:pgMar w:left="240" w:top="125" w:right="259" w:bottom="0" w:gutter="0" w:footer="0" w:header="0"/>
        </w:sectPr>
      </w:pPr>
    </w:p>
    <w:bookmarkStart w:id="39" w:name="page40"/>
    <w:bookmarkEnd w:id="39"/>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188" w:lineRule="exact"/>
        <w:rPr>
          <w:sz w:val="20"/>
          <w:szCs w:val="20"/>
          <w:color w:val="auto"/>
        </w:rPr>
      </w:pPr>
    </w:p>
    <w:p>
      <w:pPr>
        <w:ind w:left="2640" w:hanging="687"/>
        <w:spacing w:after="0"/>
        <w:tabs>
          <w:tab w:leader="none" w:pos="2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Trustee may make reasonable rules for action by or at a meeting of Holders, which will be binding on all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11" w:lineRule="exact"/>
        <w:rPr>
          <w:sz w:val="20"/>
          <w:szCs w:val="20"/>
          <w:color w:val="auto"/>
        </w:rPr>
      </w:pPr>
    </w:p>
    <w:p>
      <w:pPr>
        <w:jc w:val="both"/>
        <w:ind w:right="220" w:firstLine="1305"/>
        <w:spacing w:after="0" w:line="312" w:lineRule="auto"/>
        <w:tabs>
          <w:tab w:leader="none" w:pos="19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5" w:lineRule="auto"/>
        <w:tabs>
          <w:tab w:leader="none" w:pos="19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pacing w:after="0" w:line="19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13.03.</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(a) Any notice or communication to the Company will be deemed given if in writing (i) when delivered in person or</w:t>
      </w:r>
    </w:p>
    <w:p>
      <w:pPr>
        <w:spacing w:after="0" w:line="23" w:lineRule="exact"/>
        <w:rPr>
          <w:sz w:val="20"/>
          <w:szCs w:val="20"/>
          <w:color w:val="auto"/>
        </w:rPr>
      </w:pPr>
    </w:p>
    <w:p>
      <w:pPr>
        <w:ind w:right="480" w:firstLine="8"/>
        <w:spacing w:after="0" w:line="261" w:lineRule="auto"/>
        <w:tabs>
          <w:tab w:leader="none" w:pos="2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five days after mailing when mailed by first class mail, or (iii) when sent by facsimile transmission, with transmission confirmed. Any notice to the Trustee will be effective only upon receipt. In each case the notice or communication should be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Trustee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2043 Indenture)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213.615.6043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213.615.6197</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7" w:lineRule="auto"/>
        <w:tabs>
          <w:tab w:leader="none" w:pos="19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as otherwise expressly provided with respect to published notices, any notice or communication to a Holder will be deemed given when sent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sent to the Trustee at the same time. Any defect in sending a notice or communication to any particular Holder will not affect its sufficiency with respect to other Holders.</w:t>
      </w:r>
    </w:p>
    <w:p>
      <w:pPr>
        <w:spacing w:after="0" w:line="188" w:lineRule="exact"/>
        <w:rPr>
          <w:rFonts w:ascii="Arial" w:cs="Arial" w:eastAsia="Arial" w:hAnsi="Arial"/>
          <w:sz w:val="18"/>
          <w:szCs w:val="18"/>
          <w:color w:val="auto"/>
        </w:rPr>
      </w:pPr>
    </w:p>
    <w:p>
      <w:pPr>
        <w:ind w:right="120" w:firstLine="1305"/>
        <w:spacing w:after="0" w:line="264" w:lineRule="auto"/>
        <w:tabs>
          <w:tab w:leader="none" w:pos="19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13.04. Communication by Holders with Other Holders</w:t>
      </w:r>
      <w:r>
        <w:rPr>
          <w:rFonts w:ascii="Arial" w:cs="Arial" w:eastAsia="Arial" w:hAnsi="Arial"/>
          <w:sz w:val="18"/>
          <w:szCs w:val="18"/>
          <w:color w:val="auto"/>
        </w:rPr>
        <w:t>. Holders may communicate pursuant to Section 312(b) of the Trust Indenture 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Holders with respect to their rights under this Indenture or the Notes. The Company, the Trustee, the Registrar, the Paying Agent, the Conversion Agent and anyone else shall have the protection of Section 312(c) of the Trust Indenture Act.</w:t>
      </w:r>
    </w:p>
    <w:p>
      <w:pPr>
        <w:sectPr>
          <w:pgSz w:w="11900" w:h="16918" w:orient="portrait"/>
          <w:cols w:equalWidth="0" w:num="1">
            <w:col w:w="11400"/>
          </w:cols>
          <w:pgMar w:left="240" w:top="125" w:right="259" w:bottom="0" w:gutter="0" w:footer="0" w:header="0"/>
        </w:sectPr>
      </w:pPr>
    </w:p>
    <w:bookmarkStart w:id="40" w:name="page41"/>
    <w:bookmarkEnd w:id="40"/>
    <w:p>
      <w:pPr>
        <w:ind w:right="200" w:firstLine="648"/>
        <w:spacing w:after="0" w:line="277" w:lineRule="auto"/>
        <w:rPr>
          <w:sz w:val="20"/>
          <w:szCs w:val="20"/>
          <w:color w:val="auto"/>
        </w:rPr>
      </w:pPr>
      <w:r>
        <w:rPr>
          <w:rFonts w:ascii="Arial" w:cs="Arial" w:eastAsia="Arial" w:hAnsi="Arial"/>
          <w:sz w:val="18"/>
          <w:szCs w:val="18"/>
          <w:i w:val="1"/>
          <w:iCs w:val="1"/>
          <w:color w:val="auto"/>
        </w:rPr>
        <w:t>Section 13.05. Certificate and Opinion as to Conditions Precedent</w:t>
      </w:r>
      <w:r>
        <w:rPr>
          <w:rFonts w:ascii="Arial" w:cs="Arial" w:eastAsia="Arial" w:hAnsi="Arial"/>
          <w:sz w:val="18"/>
          <w:szCs w:val="18"/>
          <w:color w:val="auto"/>
        </w:rPr>
        <w:t>. Upon any request or application by the Company to the Trustee to take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under this Indenture, the Company shall furnish to the Trustee:</w:t>
      </w:r>
    </w:p>
    <w:p>
      <w:pPr>
        <w:spacing w:after="0" w:line="170" w:lineRule="exact"/>
        <w:rPr>
          <w:sz w:val="20"/>
          <w:szCs w:val="20"/>
          <w:color w:val="auto"/>
        </w:rPr>
      </w:pPr>
    </w:p>
    <w:p>
      <w:pPr>
        <w:ind w:right="380" w:firstLine="1953"/>
        <w:spacing w:after="0" w:line="277" w:lineRule="auto"/>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Notes.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13.06. Statements Required in Certificate or Opinion</w:t>
      </w:r>
      <w:r>
        <w:rPr>
          <w:rFonts w:ascii="Arial" w:cs="Arial" w:eastAsia="Arial" w:hAnsi="Arial"/>
          <w:sz w:val="18"/>
          <w:szCs w:val="18"/>
          <w:color w:val="auto"/>
        </w:rPr>
        <w:t>. Each certificate or opinion with respect to compliance with a condition or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in this Indenture must include:</w:t>
      </w:r>
    </w:p>
    <w:p>
      <w:pPr>
        <w:spacing w:after="0" w:line="170" w:lineRule="exact"/>
        <w:rPr>
          <w:sz w:val="20"/>
          <w:szCs w:val="20"/>
          <w:color w:val="auto"/>
        </w:rPr>
      </w:pPr>
    </w:p>
    <w:p>
      <w:pPr>
        <w:ind w:left="2600" w:hanging="647"/>
        <w:spacing w:after="0"/>
        <w:tabs>
          <w:tab w:leader="none" w:pos="2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statement that each person signing the certificate or opinion has read the covenant or condition and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420" w:firstLine="1953"/>
        <w:spacing w:after="0" w:line="277" w:lineRule="auto"/>
        <w:tabs>
          <w:tab w:leader="none" w:pos="2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pacing w:after="0" w:line="170" w:lineRule="exact"/>
        <w:rPr>
          <w:rFonts w:ascii="Arial" w:cs="Arial" w:eastAsia="Arial" w:hAnsi="Arial"/>
          <w:sz w:val="18"/>
          <w:szCs w:val="18"/>
          <w:color w:val="auto"/>
        </w:rPr>
      </w:pPr>
    </w:p>
    <w:p>
      <w:pPr>
        <w:ind w:right="640" w:firstLine="1953"/>
        <w:spacing w:after="0" w:line="342" w:lineRule="auto"/>
        <w:tabs>
          <w:tab w:leader="none" w:pos="2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953"/>
        <w:spacing w:after="0" w:line="308" w:lineRule="auto"/>
        <w:tabs>
          <w:tab w:leader="none" w:pos="2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 Opinion of Counsel may rely on an Officers’ Certificate or certificates of public officials with respect to matters of fact.</w:t>
      </w:r>
    </w:p>
    <w:p>
      <w:pPr>
        <w:spacing w:after="0" w:line="143"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i w:val="1"/>
          <w:iCs w:val="1"/>
          <w:color w:val="auto"/>
        </w:rPr>
        <w:t>Section 13.07. Legal Holiday</w:t>
      </w:r>
      <w:r>
        <w:rPr>
          <w:rFonts w:ascii="Arial" w:cs="Arial" w:eastAsia="Arial" w:hAnsi="Arial"/>
          <w:sz w:val="18"/>
          <w:szCs w:val="18"/>
          <w:color w:val="auto"/>
        </w:rPr>
        <w:t>. A “</w:t>
      </w:r>
      <w:r>
        <w:rPr>
          <w:rFonts w:ascii="Arial" w:cs="Arial" w:eastAsia="Arial" w:hAnsi="Arial"/>
          <w:sz w:val="18"/>
          <w:szCs w:val="18"/>
          <w:b w:val="1"/>
          <w:bCs w:val="1"/>
          <w:color w:val="auto"/>
        </w:rPr>
        <w:t>Legal Holiday</w:t>
      </w:r>
      <w:r>
        <w:rPr>
          <w:rFonts w:ascii="Arial" w:cs="Arial" w:eastAsia="Arial" w:hAnsi="Arial"/>
          <w:sz w:val="18"/>
          <w:szCs w:val="18"/>
          <w:color w:val="auto"/>
        </w:rPr>
        <w:t>” is any day other than a Business Day. If any specified date (including a date for giving notice)</w:t>
      </w:r>
      <w:r>
        <w:rPr>
          <w:rFonts w:ascii="Arial" w:cs="Arial" w:eastAsia="Arial" w:hAnsi="Arial"/>
          <w:sz w:val="18"/>
          <w:szCs w:val="18"/>
          <w:i w:val="1"/>
          <w:iCs w:val="1"/>
          <w:color w:val="auto"/>
        </w:rPr>
        <w:t xml:space="preserve"> </w:t>
      </w:r>
      <w:r>
        <w:rPr>
          <w:rFonts w:ascii="Arial" w:cs="Arial" w:eastAsia="Arial" w:hAnsi="Arial"/>
          <w:sz w:val="18"/>
          <w:szCs w:val="18"/>
          <w:color w:val="auto"/>
        </w:rPr>
        <w:t>is a Legal Holiday, the action shall be taken on the next succeeding day that is not a Legal Holiday, with the same force and effect as if made on the Interest Payment Date or Redemption Date, at the Maturity Date or the last date of conversion, as the case may be.</w:t>
      </w:r>
    </w:p>
    <w:p>
      <w:pPr>
        <w:spacing w:after="0" w:line="18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Section 13.08. Rules by Trustee, Paying Agent, Conversion Agent and Registrar</w:t>
      </w:r>
      <w:r>
        <w:rPr>
          <w:rFonts w:ascii="Arial" w:cs="Arial" w:eastAsia="Arial" w:hAnsi="Arial"/>
          <w:sz w:val="18"/>
          <w:szCs w:val="18"/>
          <w:color w:val="auto"/>
        </w:rPr>
        <w:t>. The Trustee may make reasonable rules for action by or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Holders. The Registrar, Conversion Agent and the Paying Agent may make reasonable rules for their functions.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Section 13.09. Governing Law</w:t>
      </w:r>
      <w:r>
        <w:rPr>
          <w:rFonts w:ascii="Arial" w:cs="Arial" w:eastAsia="Arial" w:hAnsi="Arial"/>
          <w:sz w:val="18"/>
          <w:szCs w:val="18"/>
          <w:color w:val="auto"/>
        </w:rPr>
        <w:t>. THIS INDENTURE AND EACH NOTE SHALL BE DEEMED TO BE A CONTRACT MADE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NEW YORK, AND FOR ALL PURPOSES SHALL BE CONSTRUED IN ACCORDANCE WITH THE LAWS OF THE STATE OF NEW YORK.</w:t>
      </w:r>
    </w:p>
    <w:p>
      <w:pPr>
        <w:spacing w:after="0" w:line="18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Section 13.10. No Adverse Interpretation of Other Agreements</w:t>
      </w:r>
      <w:r>
        <w:rPr>
          <w:rFonts w:ascii="Arial" w:cs="Arial" w:eastAsia="Arial" w:hAnsi="Arial"/>
          <w:sz w:val="16"/>
          <w:szCs w:val="16"/>
          <w:color w:val="auto"/>
        </w:rPr>
        <w:t>. This Indenture may not be used to interpret another indenture or loan or debt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of the Company or any Subsidiary of the Company, and no such indenture or loan or debt agreement may be used to interpret this Indenture.</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13.11. Successors</w:t>
      </w:r>
      <w:r>
        <w:rPr>
          <w:rFonts w:ascii="Arial" w:cs="Arial" w:eastAsia="Arial" w:hAnsi="Arial"/>
          <w:sz w:val="18"/>
          <w:szCs w:val="18"/>
          <w:color w:val="auto"/>
        </w:rPr>
        <w:t>. All agreements of the Company in this Indenture and the Notes will bind its successors. All agreements of the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Indenture will bind its successor.</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Section 13.12. Counterparts</w:t>
      </w:r>
      <w:r>
        <w:rPr>
          <w:rFonts w:ascii="Arial" w:cs="Arial" w:eastAsia="Arial" w:hAnsi="Arial"/>
          <w:sz w:val="18"/>
          <w:szCs w:val="18"/>
          <w:color w:val="auto"/>
        </w:rPr>
        <w:t>. The parties may sign any number of copies of this Indenture. Each signed copy shall be an original, but all of them</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represent the same agreement.</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Section 13.13. Severability</w:t>
      </w:r>
      <w:r>
        <w:rPr>
          <w:rFonts w:ascii="Arial" w:cs="Arial" w:eastAsia="Arial" w:hAnsi="Arial"/>
          <w:sz w:val="18"/>
          <w:szCs w:val="18"/>
          <w:color w:val="auto"/>
        </w:rPr>
        <w:t>. In case any provision in this Indenture or in the Notes is invalid, illegal or unenforceable, the validity, legality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the remaining provisions will not in any way be affected or impaired thereby.</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Section 13.14. Table of Contents and Headings</w:t>
      </w:r>
      <w:r>
        <w:rPr>
          <w:rFonts w:ascii="Arial" w:cs="Arial" w:eastAsia="Arial" w:hAnsi="Arial"/>
          <w:sz w:val="18"/>
          <w:szCs w:val="18"/>
          <w:color w:val="auto"/>
        </w:rPr>
        <w:t>. The Table of Contents, Cross-Reference Table and headings of the Articles and Sections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have been inserted for convenience of reference only, are not to be considered a part of this Indenture and in no way modify or restrict any of the terms and provisions of this Indenture.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Section 13.15. No Liability of Directors, Officers, Employees, Incorporators, Members and Stockholders</w:t>
      </w:r>
      <w:r>
        <w:rPr>
          <w:rFonts w:ascii="Arial" w:cs="Arial" w:eastAsia="Arial" w:hAnsi="Arial"/>
          <w:sz w:val="18"/>
          <w:szCs w:val="18"/>
          <w:color w:val="auto"/>
        </w:rPr>
        <w:t>. No director, officer,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incorporator, member or stockholder of the Company, as such, will have any liability for any obligations of the Company under the Notes or this Indenture or for any claim based on, in respect of, or by reason of, such obligations. Each Holder by accepting a Note waives and releases all such liability. The waiver and release are part of the consideration for issuance of the Notes.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 as Issuer</w:t>
      </w:r>
    </w:p>
    <w:p>
      <w:pPr>
        <w:sectPr>
          <w:pgSz w:w="11900" w:h="16838" w:orient="portrait"/>
          <w:cols w:equalWidth="0" w:num="1">
            <w:col w:w="11380"/>
          </w:cols>
          <w:pgMar w:left="240" w:top="341" w:right="279" w:bottom="0" w:gutter="0" w:footer="0" w:header="0"/>
        </w:sectPr>
      </w:pPr>
    </w:p>
    <w:bookmarkStart w:id="41" w:name="page42"/>
    <w:bookmarkEnd w:id="41"/>
    <w:p>
      <w:pPr>
        <w:ind w:left="5720"/>
        <w:spacing w:after="0"/>
        <w:tabs>
          <w:tab w:leader="none" w:pos="6160" w:val="left"/>
        </w:tabs>
        <w:rPr>
          <w:sz w:val="20"/>
          <w:szCs w:val="20"/>
          <w:color w:val="auto"/>
        </w:rPr>
      </w:pPr>
      <w:r>
        <w:rPr>
          <w:rFonts w:ascii="Arial" w:cs="Arial" w:eastAsia="Arial" w:hAnsi="Arial"/>
          <w:sz w:val="18"/>
          <w:szCs w:val="18"/>
          <w:color w:val="auto"/>
        </w:rPr>
        <w:t>By:</w:t>
        <w:tab/>
        <w:t>/s/ Ronald C. Foster</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Vice President of Finance and Chief Financial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Paula Oswald</w:t>
      </w:r>
    </w:p>
    <w:p>
      <w:pPr>
        <w:spacing w:after="0" w:line="23" w:lineRule="exact"/>
        <w:rPr>
          <w:sz w:val="20"/>
          <w:szCs w:val="20"/>
          <w:color w:val="auto"/>
        </w:rPr>
      </w:pPr>
    </w:p>
    <w:p>
      <w:pPr>
        <w:ind w:left="6180"/>
        <w:spacing w:after="0"/>
        <w:tabs>
          <w:tab w:leader="none" w:pos="6880" w:val="left"/>
        </w:tabs>
        <w:rPr>
          <w:sz w:val="20"/>
          <w:szCs w:val="20"/>
          <w:color w:val="auto"/>
        </w:rPr>
      </w:pPr>
      <w:r>
        <w:rPr>
          <w:rFonts w:ascii="Arial" w:cs="Arial" w:eastAsia="Arial" w:hAnsi="Arial"/>
          <w:sz w:val="18"/>
          <w:szCs w:val="18"/>
          <w:color w:val="auto"/>
        </w:rPr>
        <w:t>Name:</w:t>
        <w:tab/>
        <w:t>Paula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DTC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TRANSFER RESTRICTED NOTE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OID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Convertible Senior Note due 2043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 ]</w:t>
      </w:r>
    </w:p>
    <w:p>
      <w:pPr>
        <w:spacing w:after="0" w:line="225"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CUSIP: 595112 AY9</w:t>
      </w:r>
    </w:p>
    <w:p>
      <w:pPr>
        <w:spacing w:after="0" w:line="225"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ISIN: US595112AY95</w:t>
      </w:r>
    </w:p>
    <w:p>
      <w:pPr>
        <w:spacing w:after="0" w:line="22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under the Indenture hereinafter referred to), for value received, promises to pay to Cede &amp; Co. or its registered assigns, the Principal Amount at Maturity (as defined in the Indenture) of</w:t>
      </w:r>
    </w:p>
    <w:p>
      <w:pPr>
        <w:spacing w:after="0" w:line="1" w:lineRule="exact"/>
        <w:rPr>
          <w:sz w:val="20"/>
          <w:szCs w:val="20"/>
          <w:color w:val="auto"/>
        </w:rPr>
      </w:pPr>
    </w:p>
    <w:p>
      <w:pPr>
        <w:ind w:right="120" w:firstLine="8"/>
        <w:spacing w:after="0" w:line="261" w:lineRule="auto"/>
        <w:tabs>
          <w:tab w:leader="none" w:pos="10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Dollars ($[ ]) [(which Principal Amount at Maturity may from time to time be increased or decreased to such other principal amounts by adjustments made by the Trustee as set forth on Schedule I hereto)]* on November 15, 2043.</w:t>
      </w:r>
    </w:p>
    <w:p>
      <w:pPr>
        <w:spacing w:after="0" w:line="184" w:lineRule="exact"/>
        <w:rPr>
          <w:sz w:val="20"/>
          <w:szCs w:val="20"/>
          <w:color w:val="auto"/>
        </w:rPr>
      </w:pPr>
    </w:p>
    <w:p>
      <w:pPr>
        <w:ind w:left="660"/>
        <w:spacing w:after="0"/>
        <w:tabs>
          <w:tab w:leader="none" w:pos="2560" w:val="left"/>
          <w:tab w:leader="none" w:pos="3820" w:val="left"/>
        </w:tabs>
        <w:rPr>
          <w:sz w:val="20"/>
          <w:szCs w:val="20"/>
          <w:color w:val="auto"/>
        </w:rPr>
      </w:pPr>
      <w:r>
        <w:rPr>
          <w:rFonts w:ascii="Arial" w:cs="Arial" w:eastAsia="Arial" w:hAnsi="Arial"/>
          <w:sz w:val="18"/>
          <w:szCs w:val="18"/>
          <w:color w:val="auto"/>
        </w:rPr>
        <w:t>Issue Price: [</w:t>
      </w:r>
      <w:r>
        <w:rPr>
          <w:sz w:val="20"/>
          <w:szCs w:val="20"/>
          <w:color w:val="auto"/>
        </w:rPr>
        <w:tab/>
      </w:r>
      <w:r>
        <w:rPr>
          <w:rFonts w:ascii="Arial" w:cs="Arial" w:eastAsia="Arial" w:hAnsi="Arial"/>
          <w:sz w:val="18"/>
          <w:szCs w:val="18"/>
          <w:color w:val="auto"/>
        </w:rPr>
        <w:t>] Dollars ($[</w:t>
      </w:r>
      <w:r>
        <w:rPr>
          <w:sz w:val="20"/>
          <w:szCs w:val="20"/>
          <w:color w:val="auto"/>
        </w:rPr>
        <w:tab/>
      </w:r>
      <w:r>
        <w:rPr>
          <w:rFonts w:ascii="Arial" w:cs="Arial" w:eastAsia="Arial" w:hAnsi="Arial"/>
          <w:sz w:val="16"/>
          <w:szCs w:val="16"/>
          <w:color w:val="auto"/>
        </w:rPr>
        <w:t>]), representing $800 for each $1,000 Principal Amount at Maturity</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Accreted Principal Amount: The principal amount per $1,000 Principal Amount at Maturity as determined by the Company in accordance with Exhibit E to the Indenture</w:t>
      </w:r>
    </w:p>
    <w:p>
      <w:pPr>
        <w:spacing w:after="0" w:line="170" w:lineRule="exact"/>
        <w:rPr>
          <w:sz w:val="20"/>
          <w:szCs w:val="20"/>
          <w:color w:val="auto"/>
        </w:rPr>
      </w:pPr>
    </w:p>
    <w:p>
      <w:pPr>
        <w:ind w:left="660"/>
        <w:spacing w:after="0"/>
        <w:tabs>
          <w:tab w:leader="none" w:pos="3340" w:val="left"/>
        </w:tabs>
        <w:rPr>
          <w:sz w:val="20"/>
          <w:szCs w:val="20"/>
          <w:color w:val="auto"/>
        </w:rPr>
      </w:pPr>
      <w:r>
        <w:rPr>
          <w:rFonts w:ascii="Arial" w:cs="Arial" w:eastAsia="Arial" w:hAnsi="Arial"/>
          <w:sz w:val="18"/>
          <w:szCs w:val="18"/>
          <w:color w:val="auto"/>
        </w:rPr>
        <w:t>Principal Amount at Maturity: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Interest Rate per $1,000 Principal Amount at Maturity: 3.00%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15 and November 15, commencing May 15,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Regular Record Dates: May 1 and November 1.</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Trustee’s Certificate of Authentication)</w:t>
      </w:r>
    </w:p>
    <w:p>
      <w:pPr>
        <w:sectPr>
          <w:pgSz w:w="11900" w:h="16838" w:orient="portrait"/>
          <w:cols w:equalWidth="0" w:num="1">
            <w:col w:w="11420"/>
          </w:cols>
          <w:pgMar w:left="240" w:top="341" w:right="239" w:bottom="0" w:gutter="0" w:footer="0" w:header="0"/>
        </w:sectPr>
      </w:pPr>
    </w:p>
    <w:bookmarkStart w:id="42" w:name="page43"/>
    <w:bookmarkEnd w:id="42"/>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3.00% Convertible Senior Notes due 2043 described in the Indenture referred to in this Note.</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3.00% Convertible Senior Note due 2043</w:t>
      </w:r>
    </w:p>
    <w:p>
      <w:pPr>
        <w:spacing w:after="0" w:line="225"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Principal and Interest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promises to pay the Principal Amount at Maturity of this Note on November 15, 2043.</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The Company promises to pay interest on the Principal Amount at Maturity of this Note on each Interest Payment Date, as set forth on the face of this Note, at the rate of 3.00% per annum.</w:t>
      </w:r>
    </w:p>
    <w:p>
      <w:pPr>
        <w:spacing w:after="0" w:line="17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Interest will be payable semiannually in arrears (to the holders of record of the Notes at the Close of Business on the Regular Record Date immediately preceding the Interest Payment Date) on each Interest Payment Date, commencing May 15, 2014.</w:t>
      </w:r>
    </w:p>
    <w:p>
      <w:pPr>
        <w:spacing w:after="0" w:line="170"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Interest on this Note will accrue from the most recent date to which interest has been paid or provided for on this Note or the Note surrendered in exchange for this Note or, if no interest has been paid, from November 12, 2013, through the day before each Interest Payment Date. Interest will be computed in the basis of a 360-day year of twelve 30-day months. Interest will cease to accrue on this Note upon its maturity, conversion, redemption or repurchase by the Company, including repurchase by the Company at the option of a holder upon a Change in Control or Termination of Trading.</w:t>
      </w:r>
    </w:p>
    <w:p>
      <w:pPr>
        <w:spacing w:after="0" w:line="154"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If the Company elects or is required to pay Additional Interest pursuant to Section 6.15 of the Indenture referred to below, the Company will pay any such Additional Interest on the date or dates described in such Indenture.</w:t>
      </w:r>
    </w:p>
    <w:p>
      <w:pPr>
        <w:spacing w:after="0" w:line="170"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The Company will pay interest on overdue principal, premium, if any, and, to the extent lawful, interest at a rate per annum that is 1% in excess of 3.00%. Defaulted Interest shall be paid to the Persons that are Holders on a Special Record Date, which will established as set forth in the Indenture.</w:t>
      </w:r>
    </w:p>
    <w:p>
      <w:pPr>
        <w:spacing w:after="0" w:line="181"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jc w:val="both"/>
        <w:ind w:right="120" w:firstLine="1297"/>
        <w:spacing w:after="0" w:line="312" w:lineRule="auto"/>
        <w:rPr>
          <w:sz w:val="20"/>
          <w:szCs w:val="20"/>
          <w:color w:val="auto"/>
        </w:rPr>
      </w:pPr>
      <w:r>
        <w:rPr>
          <w:rFonts w:ascii="Arial" w:cs="Arial" w:eastAsia="Arial" w:hAnsi="Arial"/>
          <w:sz w:val="16"/>
          <w:szCs w:val="16"/>
          <w:color w:val="auto"/>
        </w:rPr>
        <w:t>Subject to the terms and conditions of the Indenture, the Company shall pay interest (including any Additional Interest) on this Note to the person who is the Holder of this Note at the Close of Business on the Regular Record Date next preceding the related Interest Payment Date. The Company will pay any Cash amounts in money of the United States that at the time of payment is legal tender for payment of public and private debts.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r>
        <w:rPr>
          <w:rFonts w:ascii="Arial" w:cs="Arial" w:eastAsia="Arial" w:hAnsi="Arial"/>
          <w:sz w:val="18"/>
          <w:szCs w:val="18"/>
          <w:color w:val="auto"/>
        </w:rPr>
        <w:t>.</w:t>
      </w:r>
    </w:p>
    <w:p>
      <w:pPr>
        <w:spacing w:after="0" w:line="225" w:lineRule="exact"/>
        <w:rPr>
          <w:sz w:val="20"/>
          <w:szCs w:val="20"/>
          <w:color w:val="auto"/>
        </w:rPr>
      </w:pPr>
    </w:p>
    <w:p>
      <w:pPr>
        <w:jc w:val="both"/>
        <w:ind w:right="60" w:firstLine="1297"/>
        <w:spacing w:after="0" w:line="259" w:lineRule="auto"/>
        <w:rPr>
          <w:sz w:val="20"/>
          <w:szCs w:val="20"/>
          <w:color w:val="auto"/>
        </w:rPr>
      </w:pPr>
      <w:r>
        <w:rPr>
          <w:rFonts w:ascii="Arial" w:cs="Arial" w:eastAsia="Arial" w:hAnsi="Arial"/>
          <w:sz w:val="18"/>
          <w:szCs w:val="18"/>
          <w:color w:val="auto"/>
        </w:rPr>
        <w:t>Initially, the Trustee will act as Paying Agent, Conversion Agent and Registrar. The Company may appoint and change any Paying Agent, Conversion Agent, Registrar or co-registrar without notice, other than notice to the Trustee. The Company or any of its Subsidiaries or any of their Affiliates may act as Paying Agent, Conversion Agent, Registrar or co-registrar. The Company may maintain deposit accounts and conduct other banking transactions with the Trustee in the normal course of business.</w:t>
      </w:r>
    </w:p>
    <w:p>
      <w:pPr>
        <w:spacing w:after="0" w:line="187" w:lineRule="exact"/>
        <w:rPr>
          <w:sz w:val="20"/>
          <w:szCs w:val="20"/>
          <w:color w:val="auto"/>
        </w:rPr>
      </w:pPr>
    </w:p>
    <w:p>
      <w:pPr>
        <w:ind w:left="980" w:hanging="324"/>
        <w:spacing w:after="0"/>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21" w:lineRule="exact"/>
        <w:rPr>
          <w:sz w:val="20"/>
          <w:szCs w:val="20"/>
          <w:color w:val="auto"/>
        </w:rPr>
      </w:pPr>
    </w:p>
    <w:p>
      <w:pPr>
        <w:ind w:right="200" w:firstLine="1297"/>
        <w:spacing w:after="0" w:line="274" w:lineRule="auto"/>
        <w:rPr>
          <w:sz w:val="20"/>
          <w:szCs w:val="20"/>
          <w:color w:val="auto"/>
        </w:rPr>
      </w:pPr>
      <w:r>
        <w:rPr>
          <w:rFonts w:ascii="Arial" w:cs="Arial" w:eastAsia="Arial" w:hAnsi="Arial"/>
          <w:sz w:val="17"/>
          <w:szCs w:val="17"/>
          <w:color w:val="auto"/>
        </w:rPr>
        <w:t>This is one of the Notes issued under an Indenture dated as of November 12, 2013 (as amended from time to time,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U.S.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78" w:lineRule="exact"/>
        <w:rPr>
          <w:sz w:val="20"/>
          <w:szCs w:val="20"/>
          <w:color w:val="auto"/>
        </w:rPr>
      </w:pPr>
    </w:p>
    <w:p>
      <w:pPr>
        <w:ind w:left="980" w:hanging="324"/>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w:t>
      </w:r>
      <w:r>
        <w:rPr>
          <w:rFonts w:ascii="Arial" w:cs="Arial" w:eastAsia="Arial" w:hAnsi="Arial"/>
          <w:sz w:val="18"/>
          <w:szCs w:val="18"/>
          <w:color w:val="auto"/>
        </w:rPr>
        <w:t>.</w:t>
      </w:r>
    </w:p>
    <w:p>
      <w:pPr>
        <w:spacing w:after="0" w:line="225"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On November 15, 2028 and upon the occurrence of a Change in Control or Termination of Trading, a Holder has the right, at such Holder’s option, to require the Company to repurchase all of such Holder’s Notes or any portion thereof (in principal amounts of $1,000 or integral multiples thereof) on the Repurchase Date at a price equal to the Repurchase Price.</w:t>
      </w:r>
    </w:p>
    <w:p>
      <w:pPr>
        <w:spacing w:after="0" w:line="181" w:lineRule="exact"/>
        <w:rPr>
          <w:sz w:val="20"/>
          <w:szCs w:val="20"/>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No sinking fund is provided for the Notes. The Notes are redeemable as a whole, or from time to time in part, at any time, at the option of the Company if the Closing Price of the Company’s Common Stock has been greater than or equal to 130% of the then current Conversion Price then in effect for at least 20 Trading Days during any 30 consecutive Trading Day period ending within five Trading Days prior to the date on which the Company provides</w:t>
      </w:r>
    </w:p>
    <w:p>
      <w:pPr>
        <w:sectPr>
          <w:pgSz w:w="11900" w:h="16966" w:orient="portrait"/>
          <w:cols w:equalWidth="0" w:num="1">
            <w:col w:w="11400"/>
          </w:cols>
          <w:pgMar w:left="240" w:top="125" w:right="259" w:bottom="0" w:gutter="0" w:footer="0" w:header="0"/>
        </w:sectPr>
      </w:pPr>
    </w:p>
    <w:bookmarkStart w:id="43" w:name="page44"/>
    <w:bookmarkEnd w:id="43"/>
    <w:p>
      <w:pPr>
        <w:spacing w:after="0" w:line="255" w:lineRule="auto"/>
        <w:rPr>
          <w:sz w:val="20"/>
          <w:szCs w:val="20"/>
          <w:color w:val="auto"/>
        </w:rPr>
      </w:pPr>
      <w:r>
        <w:rPr>
          <w:rFonts w:ascii="Arial" w:cs="Arial" w:eastAsia="Arial" w:hAnsi="Arial"/>
          <w:sz w:val="18"/>
          <w:szCs w:val="18"/>
          <w:color w:val="auto"/>
        </w:rPr>
        <w:t>notice of redemption. On or after November 20, 2018, the Notes are redeemable as a whole, or from time to time in part, at the option of the Company without regard to price of the Company’s Common Stock. The redemption price (the “</w:t>
      </w:r>
      <w:r>
        <w:rPr>
          <w:rFonts w:ascii="Arial" w:cs="Arial" w:eastAsia="Arial" w:hAnsi="Arial"/>
          <w:sz w:val="18"/>
          <w:szCs w:val="18"/>
          <w:b w:val="1"/>
          <w:bCs w:val="1"/>
          <w:color w:val="auto"/>
        </w:rPr>
        <w:t>Redemption Price</w:t>
      </w:r>
      <w:r>
        <w:rPr>
          <w:rFonts w:ascii="Arial" w:cs="Arial" w:eastAsia="Arial" w:hAnsi="Arial"/>
          <w:sz w:val="18"/>
          <w:szCs w:val="18"/>
          <w:color w:val="auto"/>
        </w:rPr>
        <w:t>”) for any such redemption is equal to (i) in the case of Notes redeemed prior to November 20, 2018, (1) the Principal Amount at Maturity of the Notes to be redeemed, plus (2) accrued and unpaid interest, (including Additional Interest), if any, to, but excluding, the Redemption Date, or (ii) in the case of Notes redeemed on or after November 20, 2018, (1) the Accreted Principal Amount of the Notes to be redeemed, plus (2) accrued and unpaid interest (including Additional Interest), if any, to, but excluding, the Redemption 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this Note or portion thereof that is $1,000 Principal Amount at Maturity or an integral multiple thereof, into the consideration specified in the Indenture, as adjusted from time to time as provided in the Indenture.</w:t>
      </w:r>
    </w:p>
    <w:p>
      <w:pPr>
        <w:spacing w:after="0" w:line="187"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Subject to certain exceptions, if an Event of Default, other than a Bankruptcy Default, occurs and is continuing under the Indenture, the Trustee or the Holders of at least 25% in aggregate of the outstanding principal amount of the Notes, by written notice to the Company (and to the Trustee if the notice is given by the Holders), may, and the Trustee at the request of such Holders may, declare the Accreted Principal Amount of and accrued interest (including any Additional Interest) on the Notes to be immediately due and payable. Upon a declaration of acceleration, such Accreted Principal Amount and interest (including any Additional Interest) will become immediately due and payable. If a Bankruptcy Default occurs, the Accreted Principal Amount of and accrued interest (including any Additional Interest) on the Notes then outstanding will become immediately due and payable automatically without any declaration or other act on the part of the Trustee or any Holder.</w:t>
      </w:r>
    </w:p>
    <w:p>
      <w:pPr>
        <w:spacing w:after="0" w:line="178" w:lineRule="exact"/>
        <w:rPr>
          <w:sz w:val="20"/>
          <w:szCs w:val="20"/>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 Trustee may amend or supplement the Indenture or this Note to, among other things, cure any ambiguity, omission, defect or inconsistency in the Indenture or this Note that does not adversely affect the rights of any Holder of the Notes.</w:t>
      </w:r>
    </w:p>
    <w:p>
      <w:pPr>
        <w:spacing w:after="0" w:line="187" w:lineRule="exact"/>
        <w:rPr>
          <w:sz w:val="20"/>
          <w:szCs w:val="20"/>
          <w:color w:val="auto"/>
        </w:rPr>
      </w:pPr>
    </w:p>
    <w:p>
      <w:pPr>
        <w:ind w:left="980" w:hanging="324"/>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Notes are in registered form without coupons in denominations of $1,000 Principal Amount at Maturity and integral multiples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 A Holder may register the transfer or exchange of Notes in accordance with the Indenture. The Trustee may require a Holder to furnish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endorsements and transfer documents and to pay any taxes and fees as set forth in the Indenture. Pursuant to the Indenture, there are certain periods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the Trustee will not be required to issue, register the transfer of or exchange any Note or certain portions of a Note.</w:t>
      </w:r>
    </w:p>
    <w:p>
      <w:pPr>
        <w:spacing w:after="0" w:line="211" w:lineRule="exact"/>
        <w:rPr>
          <w:sz w:val="20"/>
          <w:szCs w:val="20"/>
          <w:color w:val="auto"/>
        </w:rPr>
      </w:pPr>
    </w:p>
    <w:p>
      <w:pPr>
        <w:ind w:left="960" w:hanging="304"/>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Subject to applicable abandoned property law, the Trustee and each Paying Agent shall pay or deliver, as the case may be, to the Company upon request any money, Common Stock or other consideration held by them for the payment of the Accreted Principal Amount of (including the relevant Repurchase Price or Redemption Price) and interest (including any Additional Interest) on, or the Common Stock due in connection with any conversion of, this Note that remains unclaimed for two years after a right to such money, Common Stock or other consideration has matured.</w:t>
      </w:r>
    </w:p>
    <w:p>
      <w:pPr>
        <w:spacing w:after="0" w:line="154" w:lineRule="exact"/>
        <w:rPr>
          <w:sz w:val="20"/>
          <w:szCs w:val="20"/>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66" w:lineRule="exact"/>
        <w:rPr>
          <w:sz w:val="20"/>
          <w:szCs w:val="20"/>
          <w:color w:val="auto"/>
        </w:rPr>
      </w:pPr>
    </w:p>
    <w:p>
      <w:pPr>
        <w:ind w:left="980" w:hanging="324"/>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Note shall not be valid until an authorized officer of the Trustee signs manually the Trustee’s Certificate of Authentication on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side of this Note.</w:t>
      </w:r>
    </w:p>
    <w:p>
      <w:pPr>
        <w:spacing w:after="0" w:line="211" w:lineRule="exact"/>
        <w:rPr>
          <w:sz w:val="20"/>
          <w:szCs w:val="20"/>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44" w:name="page45"/>
    <w:bookmarkEnd w:id="44"/>
    <w:p>
      <w:pPr>
        <w:ind w:right="140" w:firstLine="1297"/>
        <w:spacing w:after="0" w:line="308" w:lineRule="auto"/>
        <w:rPr>
          <w:sz w:val="20"/>
          <w:szCs w:val="20"/>
          <w:color w:val="auto"/>
        </w:rPr>
      </w:pPr>
      <w:r>
        <w:rPr>
          <w:rFonts w:ascii="Arial" w:cs="Arial" w:eastAsia="Arial" w:hAnsi="Arial"/>
          <w:sz w:val="17"/>
          <w:szCs w:val="17"/>
          <w:color w:val="auto"/>
        </w:rPr>
        <w:t>THE INDENTURE AND THE NOTE SHALL BE DEEMED TO BE A CONTRACT MADE UNDER THE LAWS OF THE STATE OF NEW YORK, AND FOR ALL PURPOSES SHALL BE CONSTRUED IN ACCORDANCE WITH THE LAWS OF THE STATE OF NEW YORK.</w:t>
      </w:r>
    </w:p>
    <w:p>
      <w:pPr>
        <w:spacing w:after="0" w:line="147" w:lineRule="exact"/>
        <w:rPr>
          <w:sz w:val="20"/>
          <w:szCs w:val="20"/>
          <w:color w:val="auto"/>
        </w:rPr>
      </w:pPr>
    </w:p>
    <w:p>
      <w:pPr>
        <w:ind w:left="980" w:hanging="324"/>
        <w:spacing w:after="0"/>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36188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32"/>
        <w:spacing w:after="0" w:line="264" w:lineRule="auto"/>
        <w:tabs>
          <w:tab w:leader="none" w:pos="6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Paula Oswald (Micron 2043 Indenture)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(213) 615-6197</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this Note, check the box: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convert only part of this Note, state the principal amount to be converted (must be $1,000 Principal Amount at Maturity or an integral multiple of</w:t>
      </w:r>
    </w:p>
    <w:p>
      <w:pPr>
        <w:spacing w:after="0" w:line="46"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$1,000 Principal Amount at Maturity):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the Cash paid to another person or the stock certificate, if any, made out in another person’s name, fill in the form below:</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(Insert assignee’s soc. sec. or tax I.D. no.)</w:t>
      </w:r>
    </w:p>
    <w:p>
      <w:pPr>
        <w:sectPr>
          <w:pgSz w:w="11900" w:h="16838" w:orient="portrait"/>
          <w:cols w:equalWidth="0" w:num="1">
            <w:col w:w="11360"/>
          </w:cols>
          <w:pgMar w:left="240" w:top="125" w:right="299" w:bottom="167" w:gutter="0" w:footer="0" w:header="0"/>
        </w:sectPr>
      </w:pPr>
    </w:p>
    <w:bookmarkStart w:id="45" w:name="page46"/>
    <w:bookmarkEnd w:id="45"/>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1826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firstLine="332"/>
        <w:spacing w:after="0" w:line="264" w:lineRule="auto"/>
        <w:tabs>
          <w:tab w:leader="none" w:pos="68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tcPr>
          <w:p>
            <w:pPr>
              <w:ind w:left="2000"/>
              <w:spacing w:after="0"/>
              <w:rPr>
                <w:sz w:val="20"/>
                <w:szCs w:val="20"/>
                <w:color w:val="auto"/>
              </w:rPr>
            </w:pPr>
            <w:r>
              <w:rPr>
                <w:rFonts w:ascii="Arial" w:cs="Arial" w:eastAsia="Arial" w:hAnsi="Arial"/>
                <w:sz w:val="18"/>
                <w:szCs w:val="18"/>
                <w:b w:val="1"/>
                <w:bCs w:val="1"/>
                <w:color w:val="auto"/>
                <w:w w:val="90"/>
              </w:rPr>
              <w:t>Schedule I*</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No. [</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5040" w:type="dxa"/>
            <w:vAlign w:val="bottom"/>
            <w:gridSpan w:val="6"/>
          </w:tcPr>
          <w:p>
            <w:pPr>
              <w:ind w:left="140"/>
              <w:spacing w:after="0"/>
              <w:rPr>
                <w:sz w:val="20"/>
                <w:szCs w:val="20"/>
                <w:color w:val="auto"/>
              </w:rPr>
            </w:pPr>
            <w:r>
              <w:rPr>
                <w:rFonts w:ascii="Arial" w:cs="Arial" w:eastAsia="Arial" w:hAnsi="Arial"/>
                <w:sz w:val="18"/>
                <w:szCs w:val="18"/>
                <w:color w:val="auto"/>
                <w:w w:val="97"/>
              </w:rPr>
              <w:t>The initial Principal Amount at Maturity of this Global Note is $[</w:t>
            </w:r>
          </w:p>
        </w:tc>
        <w:tc>
          <w:tcPr>
            <w:tcW w:w="2740" w:type="dxa"/>
            <w:vAlign w:val="bottom"/>
          </w:tcPr>
          <w:p>
            <w:pPr>
              <w:jc w:val="right"/>
              <w:ind w:right="1764"/>
              <w:spacing w:after="0"/>
              <w:rPr>
                <w:sz w:val="20"/>
                <w:szCs w:val="20"/>
                <w:color w:val="auto"/>
              </w:rPr>
            </w:pPr>
            <w:r>
              <w:rPr>
                <w:rFonts w:ascii="Arial" w:cs="Arial" w:eastAsia="Arial" w:hAnsi="Arial"/>
                <w:sz w:val="18"/>
                <w:szCs w:val="18"/>
                <w:color w:val="auto"/>
              </w:rPr>
              <w:t>],000,000.</w:t>
            </w: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5"/>
              </w:rPr>
              <w:t>Principal Amount at</w:t>
            </w:r>
          </w:p>
        </w:tc>
        <w:tc>
          <w:tcPr>
            <w:tcW w:w="2960" w:type="dxa"/>
            <w:vAlign w:val="bottom"/>
            <w:gridSpan w:val="2"/>
          </w:tcPr>
          <w:p>
            <w:pPr>
              <w:ind w:left="420"/>
              <w:spacing w:after="0"/>
              <w:rPr>
                <w:sz w:val="20"/>
                <w:szCs w:val="20"/>
                <w:color w:val="auto"/>
              </w:rPr>
            </w:pPr>
            <w:r>
              <w:rPr>
                <w:rFonts w:ascii="Arial" w:cs="Arial" w:eastAsia="Arial" w:hAnsi="Arial"/>
                <w:sz w:val="14"/>
                <w:szCs w:val="14"/>
                <w:b w:val="1"/>
                <w:bCs w:val="1"/>
                <w:color w:val="auto"/>
              </w:rPr>
              <w:t>Notation Explaining</w:t>
            </w:r>
          </w:p>
        </w:tc>
        <w:tc>
          <w:tcPr>
            <w:tcW w:w="2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Authorized Signature of</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0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96"/>
              </w:rPr>
              <w:t>Maturity of this Global</w:t>
            </w:r>
          </w:p>
        </w:tc>
        <w:tc>
          <w:tcPr>
            <w:tcW w:w="296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Change in Principal</w:t>
            </w:r>
          </w:p>
        </w:tc>
        <w:tc>
          <w:tcPr>
            <w:tcW w:w="2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9"/>
              </w:rPr>
              <w:t>Note</w:t>
            </w:r>
          </w:p>
        </w:tc>
        <w:tc>
          <w:tcPr>
            <w:tcW w:w="2960" w:type="dxa"/>
            <w:vAlign w:val="bottom"/>
            <w:gridSpan w:val="2"/>
          </w:tcPr>
          <w:p>
            <w:pPr>
              <w:ind w:left="420"/>
              <w:spacing w:after="0"/>
              <w:rPr>
                <w:sz w:val="20"/>
                <w:szCs w:val="20"/>
                <w:color w:val="auto"/>
              </w:rPr>
            </w:pPr>
            <w:r>
              <w:rPr>
                <w:rFonts w:ascii="Arial" w:cs="Arial" w:eastAsia="Arial" w:hAnsi="Arial"/>
                <w:sz w:val="14"/>
                <w:szCs w:val="14"/>
                <w:b w:val="1"/>
                <w:bCs w:val="1"/>
                <w:color w:val="auto"/>
              </w:rPr>
              <w:t>Amount at Maturity</w:t>
            </w: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210"/>
        </w:trPr>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hanging="368"/>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DTC LEGEND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RESTRICTED NOTE LEGEND</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SALE OF THIS SECURITY HAS NOT BEEN REGISTERED UNDER THE UNITED STATES SECURITIES ACT OF 1933, AS AMENDED (THE “SECURITIES ACT”), AND ACCORDINGLY, THIS SECURITY MAY NOT BE OFFERED OR SOLD EXCEPT AS SET FORTH IN THE FOLLOWING SENTENCE. BY ITS ACQUISITION HEREOF, THE HOLDER AGREES (1) THAT IT WILL NOT WITHIN THE LATER OF (X) ONE YEAR AFTER</w:t>
      </w:r>
    </w:p>
    <w:p>
      <w:pPr>
        <w:sectPr>
          <w:pgSz w:w="11900" w:h="16920" w:orient="portrait"/>
          <w:cols w:equalWidth="0" w:num="1">
            <w:col w:w="11420"/>
          </w:cols>
          <w:pgMar w:left="240" w:top="125" w:right="239" w:bottom="0" w:gutter="0" w:footer="0" w:header="0"/>
        </w:sectPr>
      </w:pPr>
    </w:p>
    <w:bookmarkStart w:id="46" w:name="page47"/>
    <w:bookmarkEnd w:id="46"/>
    <w:p>
      <w:pPr>
        <w:ind w:right="120"/>
        <w:spacing w:after="0" w:line="271" w:lineRule="auto"/>
        <w:rPr>
          <w:sz w:val="20"/>
          <w:szCs w:val="20"/>
          <w:color w:val="auto"/>
        </w:rPr>
      </w:pPr>
      <w:r>
        <w:rPr>
          <w:rFonts w:ascii="Arial" w:cs="Arial" w:eastAsia="Arial" w:hAnsi="Arial"/>
          <w:sz w:val="17"/>
          <w:szCs w:val="17"/>
          <w:color w:val="auto"/>
        </w:rPr>
        <w:t>THE LATEST ISSUE DATE OF THIS SECURITY AND (Y) THREE MONTHS AFTER IT CEASES TO BE AN AFFILIATE (WITHIN THE MEANING OF RULE 144 UNDER THE SECURITIES ACT) OF THE ISSUER, OFFER, RESELL, PLEDGE OR OTHERWISE TRANSFER THE SECURITY EVIDENCED HEREBY OR THE COMMON STOCK ISSUABLE UPON CONVERSION OF SUCH SECURITY, EXCEPT (A) TO THE ISSUER;</w:t>
      </w:r>
    </w:p>
    <w:p>
      <w:pPr>
        <w:ind w:firstLine="8"/>
        <w:spacing w:after="0" w:line="265" w:lineRule="auto"/>
        <w:tabs>
          <w:tab w:leader="none" w:pos="28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UNDER A REGISTRATION STATEMENT THAT HAS BEEN DECLARED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WITHIN THE LATER OF (X) SIX MONTHS (OR, IF THE ISSUER HAS NOT SATISFIED THE CURRENT PUBLIC INFORMATION REQUIREMENTS OF RULE 144, ONE YEAR) AFTER THE LAST DATE OF ORIGINAL ISSUANCE OF NOTES (INCLUDING THROUGH THE EXERCISE OF THE OPTION TO PURCHASE ADDITIONAL NOTES) AND</w:t>
      </w:r>
    </w:p>
    <w:p>
      <w:pPr>
        <w:spacing w:after="0" w:line="1" w:lineRule="exact"/>
        <w:rPr>
          <w:rFonts w:ascii="Arial" w:cs="Arial" w:eastAsia="Arial" w:hAnsi="Arial"/>
          <w:sz w:val="17"/>
          <w:szCs w:val="17"/>
          <w:color w:val="auto"/>
        </w:rPr>
      </w:pPr>
    </w:p>
    <w:p>
      <w:pPr>
        <w:ind w:right="360" w:firstLine="8"/>
        <w:spacing w:after="0" w:line="273" w:lineRule="auto"/>
        <w:tabs>
          <w:tab w:leader="none" w:pos="29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THREE MONTHS AFTER IT CEASES TO BE AN AFFILIATE (WITHIN THE MEANING OF RULE 144 UNDER THE SECURITIES ACT) OF THE ISSUER, FURNISH TO THE TRUSTEE AND THE ISSUER SUCH CERTIFICATIONS, LEGAL OPINIONS OR OTHER INFORMATION AS MAY BE REQUIRED PURSUANT TO THE INDENTURE TO CONFIRM THAT SUCH TRANSFER IS BEING MADE PURSUANT TO AN EXEMPTION FROM, OR IN A TRANSACTION NOT SUBJECT TO, THE REGISTRATION REQUIREMENTS OF THE SECURITIES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TO BE DELIVERED UPON EXCHANGE OR REGISTRATION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TRANSFER OF TRANSFER RESTRICTED NOTES</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3.00% Convertible Senior Notes due 2043 (the “</w:t>
      </w:r>
      <w:r>
        <w:rPr>
          <w:rFonts w:ascii="Arial" w:cs="Arial" w:eastAsia="Arial" w:hAnsi="Arial"/>
          <w:sz w:val="16"/>
          <w:szCs w:val="16"/>
          <w:b w:val="1"/>
          <w:bCs w:val="1"/>
          <w:color w:val="auto"/>
        </w:rPr>
        <w:t>Notes</w:t>
      </w:r>
      <w:r>
        <w:rPr>
          <w:rFonts w:ascii="Arial" w:cs="Arial" w:eastAsia="Arial" w:hAnsi="Arial"/>
          <w:sz w:val="16"/>
          <w:szCs w:val="16"/>
          <w:color w:val="auto"/>
        </w:rPr>
        <w:t>”) of Micron Technology, Inc.</w:t>
      </w:r>
    </w:p>
    <w:p>
      <w:pPr>
        <w:spacing w:after="0" w:line="204" w:lineRule="exact"/>
        <w:rPr>
          <w:sz w:val="20"/>
          <w:szCs w:val="20"/>
          <w:color w:val="auto"/>
        </w:rPr>
      </w:pPr>
    </w:p>
    <w:p>
      <w:pPr>
        <w:sectPr>
          <w:pgSz w:w="11900" w:h="16838" w:orient="portrait"/>
          <w:cols w:equalWidth="0" w:num="2">
            <w:col w:w="260" w:space="380"/>
            <w:col w:w="10780"/>
          </w:cols>
          <w:pgMar w:left="240" w:top="125"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relates to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at Maturity of Notes owned in (check applicable box)</w:t>
      </w:r>
    </w:p>
    <w:p>
      <w:pPr>
        <w:spacing w:after="0" w:line="200" w:lineRule="exact"/>
        <w:rPr>
          <w:sz w:val="20"/>
          <w:szCs w:val="20"/>
          <w:color w:val="auto"/>
        </w:rPr>
      </w:pPr>
    </w:p>
    <w:p>
      <w:pPr>
        <w:sectPr>
          <w:pgSz w:w="11900" w:h="16838" w:orient="portrait"/>
          <w:cols w:equalWidth="0" w:num="2">
            <w:col w:w="3800" w:space="720"/>
            <w:col w:w="6900"/>
          </w:cols>
          <w:pgMar w:left="240" w:top="125" w:right="239" w:bottom="0" w:gutter="0" w:footer="0" w:header="0"/>
          <w:type w:val="continuous"/>
        </w:sectPr>
      </w:pPr>
    </w:p>
    <w:p>
      <w:pPr>
        <w:spacing w:after="0" w:line="4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o  book-entry 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  definitive form by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Transferor</w:t>
      </w:r>
      <w:r>
        <w:rPr>
          <w:rFonts w:ascii="Arial" w:cs="Arial" w:eastAsia="Arial" w:hAnsi="Arial"/>
          <w:sz w:val="17"/>
          <w:szCs w:val="17"/>
          <w:color w:val="auto"/>
        </w:rPr>
        <w:t>”).</w:t>
      </w:r>
    </w:p>
    <w:p>
      <w:pPr>
        <w:spacing w:after="0" w:line="204" w:lineRule="exact"/>
        <w:rPr>
          <w:sz w:val="20"/>
          <w:szCs w:val="20"/>
          <w:color w:val="auto"/>
        </w:rPr>
      </w:pPr>
    </w:p>
    <w:p>
      <w:pPr>
        <w:sectPr>
          <w:pgSz w:w="11900" w:h="16838" w:orient="portrait"/>
          <w:cols w:equalWidth="0" w:num="3">
            <w:col w:w="2260" w:space="180"/>
            <w:col w:w="4140" w:space="720"/>
            <w:col w:w="4120"/>
          </w:cols>
          <w:pgMar w:left="240" w:top="125" w:right="239" w:bottom="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Transferor has requested a Registrar or the Trustee to exchange or register the transfer of such Notes.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connection with such request and in respect of each such Note, the Transferor does hereby certify that the Transferor is familiar with transfer restrictions relating to the Notes as provided in Section 2.13 of the Indenture dated as of November 12, 2013 between Micron Technology, Inc. and U.S. Bank National Association, as trustee (the “</w:t>
      </w:r>
      <w:r>
        <w:rPr>
          <w:rFonts w:ascii="Arial" w:cs="Arial" w:eastAsia="Arial" w:hAnsi="Arial"/>
          <w:sz w:val="18"/>
          <w:szCs w:val="18"/>
          <w:b w:val="1"/>
          <w:bCs w:val="1"/>
          <w:color w:val="auto"/>
        </w:rPr>
        <w:t>Indenture</w:t>
      </w:r>
      <w:r>
        <w:rPr>
          <w:rFonts w:ascii="Arial" w:cs="Arial" w:eastAsia="Arial" w:hAnsi="Arial"/>
          <w:sz w:val="18"/>
          <w:szCs w:val="18"/>
          <w:color w:val="auto"/>
        </w:rPr>
        <w:t>”), and the transfer of such Note is being made pursuant to an effective registration statement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(check applicable box) or the transfer or exchange, as the case may be, of such Note does not require registration under the Securities Act because (check applicable box):</w:t>
      </w:r>
    </w:p>
    <w:p>
      <w:pPr>
        <w:spacing w:after="0" w:line="188" w:lineRule="exact"/>
        <w:rPr>
          <w:sz w:val="20"/>
          <w:szCs w:val="20"/>
          <w:color w:val="auto"/>
        </w:rPr>
      </w:pPr>
    </w:p>
    <w:p>
      <w:pPr>
        <w:ind w:left="1240" w:hanging="584"/>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Such Note is being transferred pursuant to an effective registration statement under the Securities Act.</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Such Note is being acquired for the Transferor’s own account, without transfer.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Such Note is being transferred to the Company or a Subsidiary (as defined in the Indenture) of the Company.</w:t>
      </w:r>
    </w:p>
    <w:p>
      <w:pPr>
        <w:spacing w:after="0" w:line="225" w:lineRule="exact"/>
        <w:rPr>
          <w:rFonts w:ascii="Arial" w:cs="Arial" w:eastAsia="Arial" w:hAnsi="Arial"/>
          <w:sz w:val="18"/>
          <w:szCs w:val="18"/>
          <w:color w:val="auto"/>
        </w:rPr>
      </w:pPr>
    </w:p>
    <w:p>
      <w:pPr>
        <w:ind w:left="1300" w:right="100" w:hanging="644"/>
        <w:spacing w:after="0" w:line="259" w:lineRule="auto"/>
        <w:tabs>
          <w:tab w:leader="none" w:pos="12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Such Note is being transferred to a person the Transferor reasonably believes is a “qualified institutional buyer” (as defined in Rule 144A or any successor provision thereto (“</w:t>
      </w:r>
      <w:r>
        <w:rPr>
          <w:rFonts w:ascii="Arial" w:cs="Arial" w:eastAsia="Arial" w:hAnsi="Arial"/>
          <w:sz w:val="18"/>
          <w:szCs w:val="18"/>
          <w:b w:val="1"/>
          <w:bCs w:val="1"/>
          <w:color w:val="auto"/>
        </w:rPr>
        <w:t>Rule 144A</w:t>
      </w:r>
      <w:r>
        <w:rPr>
          <w:rFonts w:ascii="Arial" w:cs="Arial" w:eastAsia="Arial" w:hAnsi="Arial"/>
          <w:sz w:val="18"/>
          <w:szCs w:val="18"/>
          <w:color w:val="auto"/>
        </w:rPr>
        <w:t>”) under the Securities Act) that is purchasing for its own account or for the account of a “qualified institutional buyer”, in each case to whom notice has been given that the transfer is being made in reliance on such Rule 144A, and in each case in reliance on Rule 144A.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hanging="644"/>
        <w:spacing w:after="0" w:line="277" w:lineRule="auto"/>
        <w:tabs>
          <w:tab w:leader="none" w:pos="12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under the Securities Act in accordance with Rule 144 (or any successor thereto) (“</w:t>
      </w:r>
      <w:r>
        <w:rPr>
          <w:rFonts w:ascii="Arial" w:cs="Arial" w:eastAsia="Arial" w:hAnsi="Arial"/>
          <w:sz w:val="18"/>
          <w:szCs w:val="18"/>
          <w:b w:val="1"/>
          <w:bCs w:val="1"/>
          <w:color w:val="auto"/>
        </w:rPr>
        <w:t>Rule 144</w:t>
      </w:r>
      <w:r>
        <w:rPr>
          <w:rFonts w:ascii="Arial" w:cs="Arial" w:eastAsia="Arial" w:hAnsi="Arial"/>
          <w:sz w:val="18"/>
          <w:szCs w:val="18"/>
          <w:color w:val="auto"/>
        </w:rPr>
        <w:t>”) under the Securities Act.</w:t>
      </w:r>
    </w:p>
    <w:p>
      <w:pPr>
        <w:spacing w:after="0" w:line="170" w:lineRule="exact"/>
        <w:rPr>
          <w:rFonts w:ascii="Arial" w:cs="Arial" w:eastAsia="Arial" w:hAnsi="Arial"/>
          <w:sz w:val="18"/>
          <w:szCs w:val="18"/>
          <w:color w:val="auto"/>
        </w:rPr>
      </w:pPr>
    </w:p>
    <w:p>
      <w:pPr>
        <w:ind w:left="1300" w:right="220" w:hanging="644"/>
        <w:spacing w:after="0" w:line="264" w:lineRule="auto"/>
        <w:tabs>
          <w:tab w:leader="none" w:pos="12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of the Securities Act (other than an exemption referred to above) and as a result of which such Note will, upon such transfer, cease to be a “restricted security” within the meaning of Rule 144 under the Securities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-130810</wp:posOffset>
            </wp:positionV>
            <wp:extent cx="68605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following table sets forth the Accreted Principal Amount per $1,000 Principal Amount at Maturity of Notes, expressed as a percentage of the Principal Amount at Maturity of the Notes, as of the specified dates during the period from the Closing Date through the Maturity Date. The Accreted Principal Amount at any given time shall be determined by the Company. The Trustee, Registrar and Paying Agent shall have no duty to ascertain or verify the Accreted Principal Amount.</w:t>
      </w:r>
    </w:p>
    <w:p>
      <w:pPr>
        <w:sectPr>
          <w:pgSz w:w="11900" w:h="16838" w:orient="portrait"/>
          <w:cols w:equalWidth="0" w:num="1">
            <w:col w:w="11420"/>
          </w:cols>
          <w:pgMar w:left="240" w:top="125" w:right="239"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00" w:type="dxa"/>
            <w:vAlign w:val="bottom"/>
            <w:vMerge w:val="restart"/>
          </w:tcPr>
          <w:p>
            <w:pPr>
              <w:spacing w:after="0"/>
              <w:rPr>
                <w:sz w:val="14"/>
                <w:szCs w:val="14"/>
                <w:color w:val="auto"/>
              </w:rPr>
            </w:pPr>
          </w:p>
        </w:tc>
        <w:tc>
          <w:tcPr>
            <w:tcW w:w="17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Date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Accreted Price</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As % of Par</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0"/>
              <w:spacing w:after="0" w:line="142" w:lineRule="exact"/>
              <w:rPr>
                <w:sz w:val="20"/>
                <w:szCs w:val="20"/>
                <w:color w:val="auto"/>
              </w:rPr>
            </w:pPr>
            <w:r>
              <w:rPr>
                <w:rFonts w:ascii="Arial" w:cs="Arial" w:eastAsia="Arial" w:hAnsi="Arial"/>
                <w:sz w:val="14"/>
                <w:szCs w:val="14"/>
                <w:b w:val="1"/>
                <w:bCs w:val="1"/>
                <w:color w:val="auto"/>
              </w:rPr>
              <w:t>Dollars</w:t>
            </w:r>
          </w:p>
        </w:tc>
        <w:tc>
          <w:tcPr>
            <w:tcW w:w="120" w:type="dxa"/>
            <w:vAlign w:val="bottom"/>
            <w:tcBorders>
              <w:bottom w:val="single" w:sz="8" w:color="CCEEFF"/>
            </w:tcBorders>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November 12, 2013</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May 15, 2014</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80.30%</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803.03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November 15, 2014</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80.60%</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806.02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May 15, 2015</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80.90%</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809.02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November 15, 2015</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81.20%</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May 15, 2016</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81.51%</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815.06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November 15, 2016</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81.81%</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818.10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May 15, 2017</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82.11%</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821.15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November 15, 2017</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824.20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May 15, 2018</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82.73%</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827.27</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November 15, 2018</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83.04%</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830.36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5.0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b w:val="1"/>
                <w:bCs w:val="1"/>
                <w:color w:val="auto"/>
              </w:rPr>
              <w:t>November 20, 2018</w:t>
            </w:r>
          </w:p>
        </w:tc>
        <w:tc>
          <w:tcPr>
            <w:tcW w:w="3140" w:type="dxa"/>
            <w:vAlign w:val="bottom"/>
            <w:gridSpan w:val="6"/>
          </w:tcPr>
          <w:p>
            <w:pPr>
              <w:jc w:val="right"/>
              <w:ind w:right="225"/>
              <w:spacing w:after="0"/>
              <w:rPr>
                <w:sz w:val="20"/>
                <w:szCs w:val="20"/>
                <w:color w:val="auto"/>
              </w:rPr>
            </w:pPr>
            <w:r>
              <w:rPr>
                <w:rFonts w:ascii="Arial" w:cs="Arial" w:eastAsia="Arial" w:hAnsi="Arial"/>
                <w:sz w:val="18"/>
                <w:szCs w:val="18"/>
                <w:b w:val="1"/>
                <w:bCs w:val="1"/>
                <w:color w:val="auto"/>
              </w:rPr>
              <w:t>83.04%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830.44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2019</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83.34%</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833.45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2019</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83.66%</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836.55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2020</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83.97%</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839.67</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2020</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84.28%</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842.80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2021</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84.59%</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845.94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2021</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84.91%</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849.09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2022</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85.23%</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9.0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2022</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85.54%</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855.42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2023</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85.86%</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858.61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2023</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86.18%</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861.81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2024</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86.50%</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865.02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11.0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2024</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86.82%</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868.24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2025</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87.15%</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871.48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2025</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87.47%</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874.72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2026</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87.80%</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877.98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13.0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2026</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88.13%</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881.25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2027</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88.45%</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884.53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14.0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2027</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88.78%</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887.83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2028</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89.11%</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891.14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15.0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b w:val="1"/>
                <w:bCs w:val="1"/>
                <w:color w:val="auto"/>
              </w:rPr>
              <w:t>November 15, 2028</w:t>
            </w:r>
          </w:p>
        </w:tc>
        <w:tc>
          <w:tcPr>
            <w:tcW w:w="3140" w:type="dxa"/>
            <w:vAlign w:val="bottom"/>
            <w:gridSpan w:val="6"/>
          </w:tcPr>
          <w:p>
            <w:pPr>
              <w:jc w:val="right"/>
              <w:ind w:right="225"/>
              <w:spacing w:after="0"/>
              <w:rPr>
                <w:sz w:val="20"/>
                <w:szCs w:val="20"/>
                <w:color w:val="auto"/>
              </w:rPr>
            </w:pPr>
            <w:r>
              <w:rPr>
                <w:rFonts w:ascii="Arial" w:cs="Arial" w:eastAsia="Arial" w:hAnsi="Arial"/>
                <w:sz w:val="18"/>
                <w:szCs w:val="18"/>
                <w:b w:val="1"/>
                <w:bCs w:val="1"/>
                <w:color w:val="auto"/>
              </w:rPr>
              <w:t>89.45%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894.45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2029</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89.78%</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897.79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16.0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2029</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90.11%</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901.13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2030</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90.45%</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904.49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17.0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2030</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90.79%</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907.86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2031</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91.12%</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911.24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18.0</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2031</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91.46%</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914.63</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gridSpan w:val="4"/>
          </w:tcPr>
          <w:p>
            <w:pPr>
              <w:spacing w:after="0"/>
              <w:rPr>
                <w:sz w:val="11"/>
                <w:szCs w:val="11"/>
                <w:color w:val="auto"/>
              </w:rPr>
            </w:pPr>
          </w:p>
        </w:tc>
        <w:tc>
          <w:tcPr>
            <w:tcW w:w="440" w:type="dxa"/>
            <w:vAlign w:val="bottom"/>
            <w:tcBorders>
              <w:bottom w:val="single" w:sz="8" w:color="010101"/>
            </w:tcBorders>
            <w:gridSpan w:val="2"/>
          </w:tcPr>
          <w:p>
            <w:pPr>
              <w:spacing w:after="0"/>
              <w:rPr>
                <w:sz w:val="11"/>
                <w:szCs w:val="11"/>
                <w:color w:val="auto"/>
              </w:rPr>
            </w:pPr>
          </w:p>
        </w:tc>
        <w:tc>
          <w:tcPr>
            <w:tcW w:w="1100" w:type="dxa"/>
            <w:vAlign w:val="bottom"/>
            <w:tcBorders>
              <w:bottom w:val="single" w:sz="8" w:color="010101"/>
            </w:tcBorders>
            <w:gridSpan w:val="2"/>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00" w:type="dxa"/>
            <w:vAlign w:val="bottom"/>
            <w:gridSpan w:val="4"/>
          </w:tcPr>
          <w:p>
            <w:pPr>
              <w:spacing w:after="0"/>
              <w:rPr>
                <w:sz w:val="24"/>
                <w:szCs w:val="24"/>
                <w:color w:val="auto"/>
              </w:rPr>
            </w:pPr>
          </w:p>
        </w:tc>
        <w:tc>
          <w:tcPr>
            <w:tcW w:w="44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2032</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91.80%</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918.04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19.0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2032</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92.15%</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921.46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2033</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92.49%</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924.89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2033</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92.83%</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928.34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2034</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93.18%</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931.79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21.0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2034</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93.53%</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935.27</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2035</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93.87%</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938.75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22.0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2035</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94.22%</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942.25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2036</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94.58%</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945.76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23.0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2036</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94.93%</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949.28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2037</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95.28%</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952.82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24.0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2037</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95.64%</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956.36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2038</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95.99%</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959.93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25.0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2038</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96.35%</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963.50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2039</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96.71%</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26.0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2039</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97.07%</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970.69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2040</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97.43%</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974.31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27.0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2040</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97.79%</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977.94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2041</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98.16%</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981.58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28.0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2041</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98.52%</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985.24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2042</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98.89%</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988.91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29.0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November 15, 2042</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99.26%</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992.59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29.5</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May 15, 2043</w:t>
            </w:r>
          </w:p>
        </w:tc>
        <w:tc>
          <w:tcPr>
            <w:tcW w:w="2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99.63%</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996.29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30.0</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b w:val="1"/>
                <w:bCs w:val="1"/>
                <w:color w:val="auto"/>
              </w:rPr>
              <w:t>November 15, 2043</w:t>
            </w:r>
          </w:p>
        </w:tc>
        <w:tc>
          <w:tcPr>
            <w:tcW w:w="3140" w:type="dxa"/>
            <w:vAlign w:val="bottom"/>
            <w:gridSpan w:val="6"/>
          </w:tcPr>
          <w:p>
            <w:pPr>
              <w:jc w:val="right"/>
              <w:ind w:right="225"/>
              <w:spacing w:after="0"/>
              <w:rPr>
                <w:sz w:val="20"/>
                <w:szCs w:val="20"/>
                <w:color w:val="auto"/>
              </w:rPr>
            </w:pPr>
            <w:r>
              <w:rPr>
                <w:rFonts w:ascii="Arial" w:cs="Arial" w:eastAsia="Arial" w:hAnsi="Arial"/>
                <w:sz w:val="18"/>
                <w:szCs w:val="18"/>
                <w:b w:val="1"/>
                <w:bCs w:val="1"/>
                <w:color w:val="auto"/>
              </w:rPr>
              <w:t>100.00% $</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1000.00</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-3691890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-3691890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any date where the Accreted Principal Amount must be determined for purposes of the Indenture is between two consecutive dates set forth above, the Accreted Principal Amount will be determined by a straight-line interpolation between the Accreted Principal Amount set forth for such two dates, based on a 365-day year.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OID LEGEND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NOTE IS BEING ISSUED WITH ORIGINAL ISSUE DISCOUNT FOR UNITED STATES FEDERAL INCOME TAX PURPOSES. FOR INFORMATION REGARDING THE ISSUE PRICE, THE TOTAL AMOUNT OF ORIGINAL ISSUE DISCOUNT, THE ISSUE DATE, AND THE YIELD TO MATURITY OF THIS SECURITY, PLEASE CONTACT THE CHIEF FINANCIAL OFFICER OF MICRON TECHNOLOGY, INC. AT 8000 SOUTH FEDERAL WAY, BOISE, IDAHO 83716, (FACSIMILE: 208-368-4435).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lowerLetter"/>
      <w:start w:val="2"/>
    </w:lvl>
  </w:abstractNum>
  <w:abstractNum w:abstractNumId="4">
    <w:nsid w:val="5FF87E05"/>
    <w:multiLevelType w:val="hybridMultilevel"/>
    <w:lvl w:ilvl="0">
      <w:lvlJc w:val="left"/>
      <w:lvlText w:val="(%1)"/>
      <w:numFmt w:val="lowerLetter"/>
      <w:start w:val="1"/>
    </w:lvl>
  </w:abstractNum>
  <w:abstractNum w:abstractNumId="5">
    <w:nsid w:val="2F305DEF"/>
    <w:multiLevelType w:val="hybridMultilevel"/>
    <w:lvl w:ilvl="0">
      <w:lvlJc w:val="left"/>
      <w:lvlText w:val="(%1)"/>
      <w:numFmt w:val="lowerLetter"/>
      <w:start w:val="4"/>
    </w:lvl>
  </w:abstractNum>
  <w:abstractNum w:abstractNumId="6">
    <w:nsid w:val="25A70BF7"/>
    <w:multiLevelType w:val="hybridMultilevel"/>
    <w:lvl w:ilvl="0">
      <w:lvlJc w:val="left"/>
      <w:lvlText w:val="(%1)"/>
      <w:numFmt w:val="lowerLetter"/>
      <w:start w:val="5"/>
    </w:lvl>
  </w:abstractNum>
  <w:abstractNum w:abstractNumId="7">
    <w:nsid w:val="1DBABF00"/>
    <w:multiLevelType w:val="hybridMultilevel"/>
    <w:lvl w:ilvl="0">
      <w:lvlJc w:val="left"/>
      <w:lvlText w:val="(%1)"/>
      <w:numFmt w:val="lowerLetter"/>
      <w:start w:val="2"/>
    </w:lvl>
  </w:abstractNum>
  <w:abstractNum w:abstractNumId="8">
    <w:nsid w:val="4AD084E9"/>
    <w:multiLevelType w:val="hybridMultilevel"/>
    <w:lvl w:ilvl="0">
      <w:lvlJc w:val="left"/>
      <w:lvlText w:val="(%1)"/>
      <w:numFmt w:val="lowerRoman"/>
      <w:start w:val="1"/>
    </w:lvl>
  </w:abstractNum>
  <w:abstractNum w:abstractNumId="9">
    <w:nsid w:val="1F48EAA1"/>
    <w:multiLevelType w:val="hybridMultilevel"/>
    <w:lvl w:ilvl="0">
      <w:lvlJc w:val="left"/>
      <w:lvlText w:val="(%1)"/>
      <w:numFmt w:val="lowerLetter"/>
      <w:start w:val="3"/>
    </w:lvl>
  </w:abstractNum>
  <w:abstractNum w:abstractNumId="10">
    <w:nsid w:val="1381823A"/>
    <w:multiLevelType w:val="hybridMultilevel"/>
    <w:lvl w:ilvl="0">
      <w:lvlJc w:val="left"/>
      <w:lvlText w:val="(%1)"/>
      <w:numFmt w:val="lowerLetter"/>
      <w:start w:val="2"/>
    </w:lvl>
    <w:lvl w:ilvl="1">
      <w:lvlJc w:val="left"/>
      <w:lvlText w:val="(%2)"/>
      <w:numFmt w:val="lowerRoman"/>
      <w:start w:val="1"/>
    </w:lvl>
  </w:abstractNum>
  <w:abstractNum w:abstractNumId="11">
    <w:nsid w:val="5DB70AE5"/>
    <w:multiLevelType w:val="hybridMultilevel"/>
    <w:lvl w:ilvl="0">
      <w:lvlJc w:val="left"/>
      <w:lvlText w:val="(%1)"/>
      <w:numFmt w:val="lowerRoman"/>
      <w:start w:val="3"/>
    </w:lvl>
  </w:abstractNum>
  <w:abstractNum w:abstractNumId="12">
    <w:nsid w:val="100F8FCA"/>
    <w:multiLevelType w:val="hybridMultilevel"/>
    <w:lvl w:ilvl="0">
      <w:lvlJc w:val="left"/>
      <w:lvlText w:val="(%1)"/>
      <w:numFmt w:val="lowerLetter"/>
      <w:start w:val="4"/>
    </w:lvl>
  </w:abstractNum>
  <w:abstractNum w:abstractNumId="13">
    <w:nsid w:val="6590700B"/>
    <w:multiLevelType w:val="hybridMultilevel"/>
    <w:lvl w:ilvl="0">
      <w:lvlJc w:val="left"/>
      <w:lvlText w:val="(%1)"/>
      <w:numFmt w:val="lowerLetter"/>
      <w:start w:val="5"/>
    </w:lvl>
  </w:abstractNum>
  <w:abstractNum w:abstractNumId="14">
    <w:nsid w:val="15014ACB"/>
    <w:multiLevelType w:val="hybridMultilevel"/>
    <w:lvl w:ilvl="0">
      <w:lvlJc w:val="left"/>
      <w:lvlText w:val="(%1)"/>
      <w:numFmt w:val="lowerLetter"/>
      <w:start w:val="6"/>
    </w:lvl>
    <w:lvl w:ilvl="1">
      <w:lvlJc w:val="left"/>
      <w:lvlText w:val="(%2)"/>
      <w:numFmt w:val="lowerRoman"/>
      <w:start w:val="1"/>
    </w:lvl>
  </w:abstractNum>
  <w:abstractNum w:abstractNumId="15">
    <w:nsid w:val="5F5E7FD0"/>
    <w:multiLevelType w:val="hybridMultilevel"/>
    <w:lvl w:ilvl="0">
      <w:lvlJc w:val="left"/>
      <w:lvlText w:val="(%1)"/>
      <w:numFmt w:val="lowerRoman"/>
      <w:start w:val="3"/>
    </w:lvl>
  </w:abstractNum>
  <w:abstractNum w:abstractNumId="16">
    <w:nsid w:val="98A3148"/>
    <w:multiLevelType w:val="hybridMultilevel"/>
    <w:lvl w:ilvl="0">
      <w:lvlJc w:val="left"/>
      <w:lvlText w:val="(%1)"/>
      <w:numFmt w:val="decimal"/>
      <w:start w:val="1"/>
    </w:lvl>
  </w:abstractNum>
  <w:abstractNum w:abstractNumId="17">
    <w:nsid w:val="799D0247"/>
    <w:multiLevelType w:val="hybridMultilevel"/>
    <w:lvl w:ilvl="0">
      <w:lvlJc w:val="left"/>
      <w:lvlText w:val="(%1)"/>
      <w:numFmt w:val="lowerRoman"/>
      <w:start w:val="1"/>
    </w:lvl>
  </w:abstractNum>
  <w:abstractNum w:abstractNumId="18">
    <w:nsid w:val="6B94764"/>
    <w:multiLevelType w:val="hybridMultilevel"/>
    <w:lvl w:ilvl="0">
      <w:lvlJc w:val="left"/>
      <w:lvlText w:val="(%1)"/>
      <w:numFmt w:val="lowerRoman"/>
      <w:start w:val="2"/>
    </w:lvl>
  </w:abstractNum>
  <w:abstractNum w:abstractNumId="19">
    <w:nsid w:val="42C296BD"/>
    <w:multiLevelType w:val="hybridMultilevel"/>
    <w:lvl w:ilvl="0">
      <w:lvlJc w:val="left"/>
      <w:lvlText w:val="(%1)"/>
      <w:numFmt w:val="upperLetter"/>
      <w:start w:val="1"/>
    </w:lvl>
  </w:abstractNum>
  <w:abstractNum w:abstractNumId="20">
    <w:nsid w:val="168E121F"/>
    <w:multiLevelType w:val="hybridMultilevel"/>
    <w:lvl w:ilvl="0">
      <w:lvlJc w:val="left"/>
      <w:lvlText w:val="(%1)"/>
      <w:numFmt w:val="upperLetter"/>
      <w:start w:val="2"/>
    </w:lvl>
  </w:abstractNum>
  <w:abstractNum w:abstractNumId="21">
    <w:nsid w:val="1EBA5D23"/>
    <w:multiLevelType w:val="hybridMultilevel"/>
    <w:lvl w:ilvl="0">
      <w:lvlJc w:val="left"/>
      <w:lvlText w:val="(%1)"/>
      <w:numFmt w:val="lowerLetter"/>
      <w:start w:val="2"/>
    </w:lvl>
    <w:lvl w:ilvl="1">
      <w:lvlJc w:val="left"/>
      <w:lvlText w:val="(%2)"/>
      <w:numFmt w:val="lowerLetter"/>
      <w:start w:val="9"/>
    </w:lvl>
  </w:abstractNum>
  <w:abstractNum w:abstractNumId="22">
    <w:nsid w:val="661E3F1E"/>
    <w:multiLevelType w:val="hybridMultilevel"/>
    <w:lvl w:ilvl="0">
      <w:lvlJc w:val="left"/>
      <w:lvlText w:val="%1"/>
      <w:numFmt w:val="lowerLetter"/>
      <w:start w:val="1"/>
    </w:lvl>
    <w:lvl w:ilvl="1">
      <w:lvlJc w:val="left"/>
      <w:lvlText w:val="(%2)"/>
      <w:numFmt w:val="lowerRoman"/>
      <w:start w:val="2"/>
    </w:lvl>
  </w:abstractNum>
  <w:abstractNum w:abstractNumId="23">
    <w:nsid w:val="5DC79EA8"/>
    <w:multiLevelType w:val="hybridMultilevel"/>
    <w:lvl w:ilvl="0">
      <w:lvlJc w:val="left"/>
      <w:lvlText w:val="(%1)"/>
      <w:numFmt w:val="lowerLetter"/>
      <w:start w:val="3"/>
    </w:lvl>
    <w:lvl w:ilvl="1">
      <w:lvlJc w:val="left"/>
      <w:lvlText w:val="(%2)"/>
      <w:numFmt w:val="lowerRoman"/>
      <w:start w:val="1"/>
    </w:lvl>
  </w:abstractNum>
  <w:abstractNum w:abstractNumId="24">
    <w:nsid w:val="540A471C"/>
    <w:multiLevelType w:val="hybridMultilevel"/>
    <w:lvl w:ilvl="0">
      <w:lvlJc w:val="left"/>
      <w:lvlText w:val="(%1)"/>
      <w:numFmt w:val="lowerLetter"/>
      <w:start w:val="1"/>
    </w:lvl>
  </w:abstractNum>
  <w:abstractNum w:abstractNumId="25">
    <w:nsid w:val="7BD3EE7B"/>
    <w:multiLevelType w:val="hybridMultilevel"/>
    <w:lvl w:ilvl="0">
      <w:lvlJc w:val="left"/>
      <w:lvlText w:val="(%1)"/>
      <w:numFmt w:val="lowerLetter"/>
      <w:start w:val="3"/>
    </w:lvl>
    <w:lvl w:ilvl="1">
      <w:lvlJc w:val="left"/>
      <w:lvlText w:val="(%2)"/>
      <w:numFmt w:val="lowerRoman"/>
      <w:start w:val="1"/>
    </w:lvl>
  </w:abstractNum>
  <w:abstractNum w:abstractNumId="26">
    <w:nsid w:val="51D9C564"/>
    <w:multiLevelType w:val="hybridMultilevel"/>
    <w:lvl w:ilvl="0">
      <w:lvlJc w:val="left"/>
      <w:lvlText w:val="%1"/>
      <w:numFmt w:val="lowerLetter"/>
      <w:start w:val="1"/>
    </w:lvl>
    <w:lvl w:ilvl="1">
      <w:lvlJc w:val="left"/>
      <w:lvlText w:val="(%2)"/>
      <w:numFmt w:val="lowerLetter"/>
      <w:start w:val="61"/>
    </w:lvl>
  </w:abstractNum>
  <w:abstractNum w:abstractNumId="27">
    <w:nsid w:val="613EFDC5"/>
    <w:multiLevelType w:val="hybridMultilevel"/>
    <w:lvl w:ilvl="0">
      <w:lvlJc w:val="left"/>
      <w:lvlText w:val="(%1)"/>
      <w:numFmt w:val="lowerLetter"/>
      <w:start w:val="4"/>
    </w:lvl>
    <w:lvl w:ilvl="1">
      <w:lvlJc w:val="left"/>
      <w:lvlText w:val="%2"/>
      <w:numFmt w:val="lowerLetter"/>
      <w:start w:val="1"/>
    </w:lvl>
  </w:abstractNum>
  <w:abstractNum w:abstractNumId="28">
    <w:nsid w:val="BF72B14"/>
    <w:multiLevelType w:val="hybridMultilevel"/>
    <w:lvl w:ilvl="0">
      <w:lvlJc w:val="left"/>
      <w:lvlText w:val="(%1)"/>
      <w:numFmt w:val="lowerLetter"/>
      <w:start w:val="2"/>
    </w:lvl>
  </w:abstractNum>
  <w:abstractNum w:abstractNumId="29">
    <w:nsid w:val="11447B73"/>
    <w:multiLevelType w:val="hybridMultilevel"/>
    <w:lvl w:ilvl="0">
      <w:lvlJc w:val="left"/>
      <w:lvlText w:val="(%1)"/>
      <w:numFmt w:val="lowerRoman"/>
      <w:start w:val="1"/>
    </w:lvl>
  </w:abstractNum>
  <w:abstractNum w:abstractNumId="30">
    <w:nsid w:val="42963E5A"/>
    <w:multiLevelType w:val="hybridMultilevel"/>
    <w:lvl w:ilvl="0">
      <w:lvlJc w:val="left"/>
      <w:lvlText w:val="(%1)"/>
      <w:numFmt w:val="lowerLetter"/>
      <w:start w:val="1"/>
    </w:lvl>
  </w:abstractNum>
  <w:abstractNum w:abstractNumId="31">
    <w:nsid w:val="A0382C5"/>
    <w:multiLevelType w:val="hybridMultilevel"/>
    <w:lvl w:ilvl="0">
      <w:lvlJc w:val="left"/>
      <w:lvlText w:val="(%1)"/>
      <w:numFmt w:val="lowerLetter"/>
      <w:start w:val="2"/>
    </w:lvl>
  </w:abstractNum>
  <w:abstractNum w:abstractNumId="32">
    <w:nsid w:val="8F2B15E"/>
    <w:multiLevelType w:val="hybridMultilevel"/>
    <w:lvl w:ilvl="0">
      <w:lvlJc w:val="left"/>
      <w:lvlText w:val="(%1)"/>
      <w:numFmt w:val="lowerLetter"/>
      <w:start w:val="2"/>
    </w:lvl>
  </w:abstractNum>
  <w:abstractNum w:abstractNumId="33">
    <w:nsid w:val="1A32234B"/>
    <w:multiLevelType w:val="hybridMultilevel"/>
    <w:lvl w:ilvl="0">
      <w:lvlJc w:val="left"/>
      <w:lvlText w:val="(%1)"/>
      <w:numFmt w:val="lowerLetter"/>
      <w:start w:val="3"/>
    </w:lvl>
  </w:abstractNum>
  <w:abstractNum w:abstractNumId="34">
    <w:nsid w:val="3B0FD379"/>
    <w:multiLevelType w:val="hybridMultilevel"/>
    <w:lvl w:ilvl="0">
      <w:lvlJc w:val="left"/>
      <w:lvlText w:val="(%1)"/>
      <w:numFmt w:val="lowerLetter"/>
      <w:start w:val="1"/>
    </w:lvl>
  </w:abstractNum>
  <w:abstractNum w:abstractNumId="35">
    <w:nsid w:val="68EB2F63"/>
    <w:multiLevelType w:val="hybridMultilevel"/>
    <w:lvl w:ilvl="0">
      <w:lvlJc w:val="left"/>
      <w:lvlText w:val="(%1)"/>
      <w:numFmt w:val="lowerRoman"/>
      <w:start w:val="1"/>
    </w:lvl>
  </w:abstractNum>
  <w:abstractNum w:abstractNumId="36">
    <w:nsid w:val="4962813B"/>
    <w:multiLevelType w:val="hybridMultilevel"/>
    <w:lvl w:ilvl="0">
      <w:lvlJc w:val="left"/>
      <w:lvlText w:val="(%1)"/>
      <w:numFmt w:val="lowerLetter"/>
      <w:start w:val="2"/>
    </w:lvl>
  </w:abstractNum>
  <w:abstractNum w:abstractNumId="37">
    <w:nsid w:val="60B6DF70"/>
    <w:multiLevelType w:val="hybridMultilevel"/>
    <w:lvl w:ilvl="0">
      <w:lvlJc w:val="left"/>
      <w:lvlText w:val="(%1)"/>
      <w:numFmt w:val="lowerLetter"/>
      <w:start w:val="1"/>
    </w:lvl>
  </w:abstractNum>
  <w:abstractNum w:abstractNumId="38">
    <w:nsid w:val="6A5EE64"/>
    <w:multiLevelType w:val="hybridMultilevel"/>
    <w:lvl w:ilvl="0">
      <w:lvlJc w:val="left"/>
      <w:lvlText w:val="(%1)"/>
      <w:numFmt w:val="decimal"/>
      <w:start w:val="2"/>
    </w:lvl>
    <w:lvl w:ilvl="1">
      <w:lvlJc w:val="left"/>
      <w:lvlText w:val="(%2)"/>
      <w:numFmt w:val="lowerLetter"/>
      <w:start w:val="7"/>
    </w:lvl>
  </w:abstractNum>
  <w:abstractNum w:abstractNumId="39">
    <w:nsid w:val="14330624"/>
    <w:multiLevelType w:val="hybridMultilevel"/>
    <w:lvl w:ilvl="0">
      <w:lvlJc w:val="left"/>
      <w:lvlText w:val="(%1)"/>
      <w:numFmt w:val="lowerRoman"/>
      <w:start w:val="1"/>
    </w:lvl>
  </w:abstractNum>
  <w:abstractNum w:abstractNumId="40">
    <w:nsid w:val="7FFFCA11"/>
    <w:multiLevelType w:val="hybridMultilevel"/>
    <w:lvl w:ilvl="0">
      <w:lvlJc w:val="left"/>
      <w:lvlText w:val="(%1)"/>
      <w:numFmt w:val="lowerRoman"/>
      <w:start w:val="1"/>
    </w:lvl>
  </w:abstractNum>
  <w:abstractNum w:abstractNumId="41">
    <w:nsid w:val="1A27709E"/>
    <w:multiLevelType w:val="hybridMultilevel"/>
    <w:lvl w:ilvl="0">
      <w:lvlJc w:val="left"/>
      <w:lvlText w:val="(%1)"/>
      <w:numFmt w:val="lowerRoman"/>
      <w:start w:val="5"/>
    </w:lvl>
  </w:abstractNum>
  <w:abstractNum w:abstractNumId="42">
    <w:nsid w:val="71EA1109"/>
    <w:multiLevelType w:val="hybridMultilevel"/>
    <w:lvl w:ilvl="0">
      <w:lvlJc w:val="left"/>
      <w:lvlText w:val="(%1)"/>
      <w:numFmt w:val="lowerLetter"/>
      <w:start w:val="23"/>
    </w:lvl>
  </w:abstractNum>
  <w:abstractNum w:abstractNumId="43">
    <w:nsid w:val="100F59DC"/>
    <w:multiLevelType w:val="hybridMultilevel"/>
    <w:lvl w:ilvl="0">
      <w:lvlJc w:val="left"/>
      <w:lvlText w:val="(%1)"/>
      <w:numFmt w:val="lowerLetter"/>
      <w:start w:val="2"/>
    </w:lvl>
  </w:abstractNum>
  <w:abstractNum w:abstractNumId="44">
    <w:nsid w:val="7FB7E0AA"/>
    <w:multiLevelType w:val="hybridMultilevel"/>
    <w:lvl w:ilvl="0">
      <w:lvlJc w:val="left"/>
      <w:lvlText w:val="(%1)"/>
      <w:numFmt w:val="lowerLetter"/>
      <w:start w:val="2"/>
    </w:lvl>
  </w:abstractNum>
  <w:abstractNum w:abstractNumId="45">
    <w:nsid w:val="6EB5BD4"/>
    <w:multiLevelType w:val="hybridMultilevel"/>
    <w:lvl w:ilvl="0">
      <w:lvlJc w:val="left"/>
      <w:lvlText w:val="(%1)"/>
      <w:numFmt w:val="lowerLetter"/>
      <w:start w:val="1"/>
    </w:lvl>
  </w:abstractNum>
  <w:abstractNum w:abstractNumId="46">
    <w:nsid w:val="6F6DD9AC"/>
    <w:multiLevelType w:val="hybridMultilevel"/>
    <w:lvl w:ilvl="0">
      <w:lvlJc w:val="left"/>
      <w:lvlText w:val="(%1)"/>
      <w:numFmt w:val="lowerLetter"/>
      <w:start w:val="5"/>
    </w:lvl>
  </w:abstractNum>
  <w:abstractNum w:abstractNumId="47">
    <w:nsid w:val="94211F2"/>
    <w:multiLevelType w:val="hybridMultilevel"/>
    <w:lvl w:ilvl="0">
      <w:lvlJc w:val="left"/>
      <w:lvlText w:val="(%1)"/>
      <w:numFmt w:val="lowerLetter"/>
      <w:start w:val="23"/>
    </w:lvl>
  </w:abstractNum>
  <w:abstractNum w:abstractNumId="48">
    <w:nsid w:val="885E1B"/>
    <w:multiLevelType w:val="hybridMultilevel"/>
    <w:lvl w:ilvl="0">
      <w:lvlJc w:val="left"/>
      <w:lvlText w:val="(%1)"/>
      <w:numFmt w:val="lowerLetter"/>
      <w:start w:val="2"/>
    </w:lvl>
  </w:abstractNum>
  <w:abstractNum w:abstractNumId="49">
    <w:nsid w:val="76272110"/>
    <w:multiLevelType w:val="hybridMultilevel"/>
    <w:lvl w:ilvl="0">
      <w:lvlJc w:val="left"/>
      <w:lvlText w:val="(%1)"/>
      <w:numFmt w:val="lowerRoman"/>
      <w:start w:val="2"/>
    </w:lvl>
  </w:abstractNum>
  <w:abstractNum w:abstractNumId="50">
    <w:nsid w:val="4C04A8AF"/>
    <w:multiLevelType w:val="hybridMultilevel"/>
    <w:lvl w:ilvl="0">
      <w:lvlJc w:val="left"/>
      <w:lvlText w:val="(%1)"/>
      <w:numFmt w:val="lowerRoman"/>
      <w:start w:val="4"/>
    </w:lvl>
  </w:abstractNum>
  <w:abstractNum w:abstractNumId="51">
    <w:nsid w:val="1716703B"/>
    <w:multiLevelType w:val="hybridMultilevel"/>
    <w:lvl w:ilvl="0">
      <w:lvlJc w:val="left"/>
      <w:lvlText w:val="%1"/>
      <w:numFmt w:val="lowerLetter"/>
      <w:start w:val="1"/>
    </w:lvl>
    <w:lvl w:ilvl="1">
      <w:lvlJc w:val="left"/>
      <w:lvlText w:val="(%2)"/>
      <w:numFmt w:val="lowerLetter"/>
      <w:start w:val="2"/>
    </w:lvl>
  </w:abstractNum>
  <w:abstractNum w:abstractNumId="52">
    <w:nsid w:val="14E17E33"/>
    <w:multiLevelType w:val="hybridMultilevel"/>
    <w:lvl w:ilvl="0">
      <w:lvlJc w:val="left"/>
      <w:lvlText w:val="(%1)"/>
      <w:numFmt w:val="lowerLetter"/>
      <w:start w:val="9"/>
    </w:lvl>
    <w:lvl w:ilvl="1">
      <w:lvlJc w:val="left"/>
      <w:lvlText w:val="(%2)"/>
      <w:numFmt w:val="lowerLetter"/>
      <w:start w:val="4"/>
    </w:lvl>
  </w:abstractNum>
  <w:abstractNum w:abstractNumId="53">
    <w:nsid w:val="3222E7CD"/>
    <w:multiLevelType w:val="hybridMultilevel"/>
    <w:lvl w:ilvl="0">
      <w:lvlJc w:val="left"/>
      <w:lvlText w:val="(%1)"/>
      <w:numFmt w:val="lowerLetter"/>
      <w:start w:val="2"/>
    </w:lvl>
    <w:lvl w:ilvl="1">
      <w:lvlJc w:val="left"/>
      <w:lvlText w:val="(%2)"/>
      <w:numFmt w:val="lowerRoman"/>
      <w:start w:val="1"/>
    </w:lvl>
  </w:abstractNum>
  <w:abstractNum w:abstractNumId="54">
    <w:nsid w:val="74DE0EE3"/>
    <w:multiLevelType w:val="hybridMultilevel"/>
    <w:lvl w:ilvl="0">
      <w:lvlJc w:val="left"/>
      <w:lvlText w:val="(%1)"/>
      <w:numFmt w:val="lowerLetter"/>
      <w:start w:val="1"/>
    </w:lvl>
  </w:abstractNum>
  <w:abstractNum w:abstractNumId="55">
    <w:nsid w:val="68EBC550"/>
    <w:multiLevelType w:val="hybridMultilevel"/>
    <w:lvl w:ilvl="0">
      <w:lvlJc w:val="left"/>
      <w:lvlText w:val="(%1)"/>
      <w:numFmt w:val="lowerLetter"/>
      <w:start w:val="2"/>
    </w:lvl>
  </w:abstractNum>
  <w:abstractNum w:abstractNumId="56">
    <w:nsid w:val="2DF6D648"/>
    <w:multiLevelType w:val="hybridMultilevel"/>
    <w:lvl w:ilvl="0">
      <w:lvlJc w:val="left"/>
      <w:lvlText w:val="(%1)"/>
      <w:numFmt w:val="lowerLetter"/>
      <w:start w:val="2"/>
    </w:lvl>
    <w:lvl w:ilvl="1">
      <w:lvlJc w:val="left"/>
      <w:lvlText w:val="(%2)"/>
      <w:numFmt w:val="lowerLetter"/>
      <w:start w:val="9"/>
    </w:lvl>
  </w:abstractNum>
  <w:abstractNum w:abstractNumId="57">
    <w:nsid w:val="46B7D447"/>
    <w:multiLevelType w:val="hybridMultilevel"/>
    <w:lvl w:ilvl="0">
      <w:lvlJc w:val="left"/>
      <w:lvlText w:val="%1"/>
      <w:numFmt w:val="lowerLetter"/>
      <w:start w:val="1"/>
    </w:lvl>
    <w:lvl w:ilvl="1">
      <w:lvlJc w:val="left"/>
      <w:lvlText w:val="(%2)"/>
      <w:numFmt w:val="lowerRoman"/>
      <w:start w:val="2"/>
    </w:lvl>
  </w:abstractNum>
  <w:abstractNum w:abstractNumId="58">
    <w:nsid w:val="4A2AC315"/>
    <w:multiLevelType w:val="hybridMultilevel"/>
    <w:lvl w:ilvl="0">
      <w:lvlJc w:val="left"/>
      <w:lvlText w:val="(%1)"/>
      <w:numFmt w:val="lowerLetter"/>
      <w:start w:val="3"/>
    </w:lvl>
    <w:lvl w:ilvl="1">
      <w:lvlJc w:val="left"/>
      <w:lvlText w:val="%2"/>
      <w:numFmt w:val="lowerRoman"/>
      <w:start w:val="1"/>
    </w:lvl>
  </w:abstractNum>
  <w:abstractNum w:abstractNumId="59">
    <w:nsid w:val="39EE015C"/>
    <w:multiLevelType w:val="hybridMultilevel"/>
    <w:lvl w:ilvl="0">
      <w:lvlJc w:val="left"/>
      <w:lvlText w:val="(%1)"/>
      <w:numFmt w:val="lowerLetter"/>
      <w:start w:val="2"/>
    </w:lvl>
  </w:abstractNum>
  <w:abstractNum w:abstractNumId="60">
    <w:nsid w:val="57FC4FBB"/>
    <w:multiLevelType w:val="hybridMultilevel"/>
    <w:lvl w:ilvl="0">
      <w:lvlJc w:val="left"/>
      <w:lvlText w:val="(%1)"/>
      <w:numFmt w:val="lowerLetter"/>
      <w:start w:val="2"/>
    </w:lvl>
    <w:lvl w:ilvl="1">
      <w:lvlJc w:val="left"/>
      <w:lvlText w:val="(%2)"/>
      <w:numFmt w:val="lowerRoman"/>
      <w:start w:val="1"/>
    </w:lvl>
  </w:abstractNum>
  <w:abstractNum w:abstractNumId="61">
    <w:nsid w:val="CC1016F"/>
    <w:multiLevelType w:val="hybridMultilevel"/>
    <w:lvl w:ilvl="0">
      <w:lvlJc w:val="left"/>
      <w:lvlText w:val="(%1)"/>
      <w:numFmt w:val="lowerRoman"/>
      <w:start w:val="3"/>
    </w:lvl>
  </w:abstractNum>
  <w:abstractNum w:abstractNumId="62">
    <w:nsid w:val="43F18422"/>
    <w:multiLevelType w:val="hybridMultilevel"/>
    <w:lvl w:ilvl="0">
      <w:lvlJc w:val="left"/>
      <w:lvlText w:val="(%1)"/>
      <w:numFmt w:val="lowerRoman"/>
      <w:start w:val="9"/>
    </w:lvl>
  </w:abstractNum>
  <w:abstractNum w:abstractNumId="63">
    <w:nsid w:val="60EF0119"/>
    <w:multiLevelType w:val="hybridMultilevel"/>
    <w:lvl w:ilvl="0">
      <w:lvlJc w:val="left"/>
      <w:lvlText w:val="(%1)"/>
      <w:numFmt w:val="lowerLetter"/>
      <w:start w:val="3"/>
    </w:lvl>
  </w:abstractNum>
  <w:abstractNum w:abstractNumId="64">
    <w:nsid w:val="26F324BA"/>
    <w:multiLevelType w:val="hybridMultilevel"/>
    <w:lvl w:ilvl="0">
      <w:lvlJc w:val="left"/>
      <w:lvlText w:val="(%1)"/>
      <w:numFmt w:val="lowerLetter"/>
      <w:start w:val="4"/>
    </w:lvl>
  </w:abstractNum>
  <w:abstractNum w:abstractNumId="65">
    <w:nsid w:val="7F01579B"/>
    <w:multiLevelType w:val="hybridMultilevel"/>
    <w:lvl w:ilvl="0">
      <w:lvlJc w:val="left"/>
      <w:lvlText w:val="(%1)"/>
      <w:numFmt w:val="lowerLetter"/>
      <w:start w:val="7"/>
    </w:lvl>
  </w:abstractNum>
  <w:abstractNum w:abstractNumId="66">
    <w:nsid w:val="49DA307D"/>
    <w:multiLevelType w:val="hybridMultilevel"/>
    <w:lvl w:ilvl="0">
      <w:lvlJc w:val="left"/>
      <w:lvlText w:val="(%1)"/>
      <w:numFmt w:val="decimal"/>
      <w:start w:val="1"/>
    </w:lvl>
    <w:lvl w:ilvl="1">
      <w:lvlJc w:val="left"/>
      <w:lvlText w:val="(%2)"/>
      <w:numFmt w:val="lowerLetter"/>
      <w:start w:val="2"/>
    </w:lvl>
  </w:abstractNum>
  <w:abstractNum w:abstractNumId="67">
    <w:nsid w:val="7055A5F5"/>
    <w:multiLevelType w:val="hybridMultilevel"/>
    <w:lvl w:ilvl="0">
      <w:lvlJc w:val="left"/>
      <w:lvlText w:val="(%1)"/>
      <w:numFmt w:val="lowerLetter"/>
      <w:start w:val="4"/>
    </w:lvl>
  </w:abstractNum>
  <w:abstractNum w:abstractNumId="68">
    <w:nsid w:val="5FB8370B"/>
    <w:multiLevelType w:val="hybridMultilevel"/>
    <w:lvl w:ilvl="0">
      <w:lvlJc w:val="left"/>
      <w:lvlText w:val="(%1)"/>
      <w:numFmt w:val="lowerLetter"/>
      <w:start w:val="8"/>
    </w:lvl>
  </w:abstractNum>
  <w:abstractNum w:abstractNumId="69">
    <w:nsid w:val="50801EE1"/>
    <w:multiLevelType w:val="hybridMultilevel"/>
    <w:lvl w:ilvl="0">
      <w:lvlJc w:val="left"/>
      <w:lvlText w:val="(%1)"/>
      <w:numFmt w:val="lowerLetter"/>
      <w:start w:val="2"/>
    </w:lvl>
  </w:abstractNum>
  <w:abstractNum w:abstractNumId="70">
    <w:nsid w:val="488AC1A"/>
    <w:multiLevelType w:val="hybridMultilevel"/>
    <w:lvl w:ilvl="0">
      <w:lvlJc w:val="left"/>
      <w:lvlText w:val="(%1)"/>
      <w:numFmt w:val="lowerLetter"/>
      <w:start w:val="6"/>
    </w:lvl>
    <w:lvl w:ilvl="1">
      <w:lvlJc w:val="left"/>
      <w:lvlText w:val="(%2)"/>
      <w:numFmt w:val="lowerLetter"/>
      <w:start w:val="9"/>
    </w:lvl>
  </w:abstractNum>
  <w:abstractNum w:abstractNumId="71">
    <w:nsid w:val="5FB8011C"/>
    <w:multiLevelType w:val="hybridMultilevel"/>
    <w:lvl w:ilvl="0">
      <w:lvlJc w:val="left"/>
      <w:lvlText w:val="%1"/>
      <w:numFmt w:val="lowerLetter"/>
      <w:start w:val="1"/>
    </w:lvl>
    <w:lvl w:ilvl="1">
      <w:lvlJc w:val="left"/>
      <w:lvlText w:val="(%2)"/>
      <w:numFmt w:val="lowerRoman"/>
      <w:start w:val="2"/>
    </w:lvl>
  </w:abstractNum>
  <w:abstractNum w:abstractNumId="72">
    <w:nsid w:val="6AA78F7F"/>
    <w:multiLevelType w:val="hybridMultilevel"/>
    <w:lvl w:ilvl="0">
      <w:lvlJc w:val="left"/>
      <w:lvlText w:val="(%1)"/>
      <w:numFmt w:val="lowerLetter"/>
      <w:start w:val="7"/>
    </w:lvl>
    <w:lvl w:ilvl="1">
      <w:lvlJc w:val="left"/>
      <w:lvlText w:val="%2"/>
      <w:numFmt w:val="lowerRoman"/>
      <w:start w:val="1"/>
    </w:lvl>
  </w:abstractNum>
  <w:abstractNum w:abstractNumId="73">
    <w:nsid w:val="7672BD23"/>
    <w:multiLevelType w:val="hybridMultilevel"/>
    <w:lvl w:ilvl="0">
      <w:lvlJc w:val="left"/>
      <w:lvlText w:val="(%1)"/>
      <w:numFmt w:val="lowerLetter"/>
      <w:start w:val="1"/>
    </w:lvl>
  </w:abstractNum>
  <w:abstractNum w:abstractNumId="74">
    <w:nsid w:val="6FC75AF8"/>
    <w:multiLevelType w:val="hybridMultilevel"/>
    <w:lvl w:ilvl="0">
      <w:lvlJc w:val="left"/>
      <w:lvlText w:val="(%1)"/>
      <w:numFmt w:val="lowerLetter"/>
      <w:start w:val="2"/>
    </w:lvl>
  </w:abstractNum>
  <w:abstractNum w:abstractNumId="75">
    <w:nsid w:val="6A5F7029"/>
    <w:multiLevelType w:val="hybridMultilevel"/>
    <w:lvl w:ilvl="0">
      <w:lvlJc w:val="left"/>
      <w:lvlText w:val="%1"/>
      <w:numFmt w:val="lowerLetter"/>
      <w:start w:val="1"/>
    </w:lvl>
    <w:lvl w:ilvl="1">
      <w:lvlJc w:val="left"/>
      <w:lvlText w:val="(%2)"/>
      <w:numFmt w:val="lowerLetter"/>
      <w:start w:val="3"/>
    </w:lvl>
  </w:abstractNum>
  <w:abstractNum w:abstractNumId="76">
    <w:nsid w:val="7D5E18F8"/>
    <w:multiLevelType w:val="hybridMultilevel"/>
    <w:lvl w:ilvl="0">
      <w:lvlJc w:val="left"/>
      <w:lvlText w:val="(%1)"/>
      <w:numFmt w:val="lowerLetter"/>
      <w:start w:val="9"/>
    </w:lvl>
    <w:lvl w:ilvl="1">
      <w:lvlJc w:val="left"/>
      <w:lvlText w:val="%2"/>
      <w:numFmt w:val="lowerLetter"/>
      <w:start w:val="1"/>
    </w:lvl>
  </w:abstractNum>
  <w:abstractNum w:abstractNumId="77">
    <w:nsid w:val="5F3534A4"/>
    <w:multiLevelType w:val="hybridMultilevel"/>
    <w:lvl w:ilvl="0">
      <w:lvlJc w:val="left"/>
      <w:lvlText w:val="(%1)"/>
      <w:numFmt w:val="lowerLetter"/>
      <w:start w:val="4"/>
    </w:lvl>
  </w:abstractNum>
  <w:abstractNum w:abstractNumId="78">
    <w:nsid w:val="73A1821B"/>
    <w:multiLevelType w:val="hybridMultilevel"/>
    <w:lvl w:ilvl="0">
      <w:lvlJc w:val="left"/>
      <w:lvlText w:val="(%1)"/>
      <w:numFmt w:val="lowerLetter"/>
      <w:start w:val="5"/>
    </w:lvl>
  </w:abstractNum>
  <w:abstractNum w:abstractNumId="79">
    <w:nsid w:val="7DE67713"/>
    <w:multiLevelType w:val="hybridMultilevel"/>
    <w:lvl w:ilvl="0">
      <w:lvlJc w:val="left"/>
      <w:lvlText w:val="(%1)"/>
      <w:numFmt w:val="lowerLetter"/>
      <w:start w:val="1"/>
    </w:lvl>
  </w:abstractNum>
  <w:abstractNum w:abstractNumId="80">
    <w:nsid w:val="555C55B5"/>
    <w:multiLevelType w:val="hybridMultilevel"/>
    <w:lvl w:ilvl="0">
      <w:lvlJc w:val="left"/>
      <w:lvlText w:val="(%1)"/>
      <w:numFmt w:val="lowerLetter"/>
      <w:start w:val="2"/>
    </w:lvl>
  </w:abstractNum>
  <w:abstractNum w:abstractNumId="81">
    <w:nsid w:val="3FA62ACA"/>
    <w:multiLevelType w:val="hybridMultilevel"/>
    <w:lvl w:ilvl="0">
      <w:lvlJc w:val="left"/>
      <w:lvlText w:val="(%1)"/>
      <w:numFmt w:val="lowerLetter"/>
      <w:start w:val="4"/>
    </w:lvl>
  </w:abstractNum>
  <w:abstractNum w:abstractNumId="82">
    <w:nsid w:val="14FCE74E"/>
    <w:multiLevelType w:val="hybridMultilevel"/>
    <w:lvl w:ilvl="0">
      <w:lvlJc w:val="left"/>
      <w:lvlText w:val="(%1)"/>
      <w:numFmt w:val="lowerLetter"/>
      <w:start w:val="5"/>
    </w:lvl>
  </w:abstractNum>
  <w:abstractNum w:abstractNumId="83">
    <w:nsid w:val="6A3DD3E8"/>
    <w:multiLevelType w:val="hybridMultilevel"/>
    <w:lvl w:ilvl="0">
      <w:lvlJc w:val="left"/>
      <w:lvlText w:val="(%1)"/>
      <w:numFmt w:val="lowerLetter"/>
      <w:start w:val="2"/>
    </w:lvl>
  </w:abstractNum>
  <w:abstractNum w:abstractNumId="84">
    <w:nsid w:val="71C91298"/>
    <w:multiLevelType w:val="hybridMultilevel"/>
    <w:lvl w:ilvl="0">
      <w:lvlJc w:val="left"/>
      <w:lvlText w:val="(%1)"/>
      <w:numFmt w:val="lowerLetter"/>
      <w:start w:val="1"/>
    </w:lvl>
  </w:abstractNum>
  <w:abstractNum w:abstractNumId="85">
    <w:nsid w:val="9DAF632"/>
    <w:multiLevelType w:val="hybridMultilevel"/>
    <w:lvl w:ilvl="0">
      <w:lvlJc w:val="left"/>
      <w:lvlText w:val="(%1)"/>
      <w:numFmt w:val="lowerLetter"/>
      <w:start w:val="2"/>
    </w:lvl>
  </w:abstractNum>
  <w:abstractNum w:abstractNumId="86">
    <w:nsid w:val="53299938"/>
    <w:multiLevelType w:val="hybridMultilevel"/>
    <w:lvl w:ilvl="0">
      <w:lvlJc w:val="left"/>
      <w:lvlText w:val="(%1)"/>
      <w:numFmt w:val="lowerRoman"/>
      <w:start w:val="1"/>
    </w:lvl>
  </w:abstractNum>
  <w:abstractNum w:abstractNumId="87">
    <w:nsid w:val="1FBFE8E0"/>
    <w:multiLevelType w:val="hybridMultilevel"/>
    <w:lvl w:ilvl="0">
      <w:lvlJc w:val="left"/>
      <w:lvlText w:val="(%1)"/>
      <w:numFmt w:val="lowerLetter"/>
      <w:start w:val="1"/>
    </w:lvl>
  </w:abstractNum>
  <w:abstractNum w:abstractNumId="88">
    <w:nsid w:val="5092CA79"/>
    <w:multiLevelType w:val="hybridMultilevel"/>
    <w:lvl w:ilvl="0">
      <w:lvlJc w:val="left"/>
      <w:lvlText w:val="(%1)"/>
      <w:numFmt w:val="lowerLetter"/>
      <w:start w:val="2"/>
    </w:lvl>
  </w:abstractNum>
  <w:abstractNum w:abstractNumId="89">
    <w:nsid w:val="1D545C4D"/>
    <w:multiLevelType w:val="hybridMultilevel"/>
    <w:lvl w:ilvl="0">
      <w:lvlJc w:val="left"/>
      <w:lvlText w:val="(%1)"/>
      <w:numFmt w:val="lowerRoman"/>
      <w:start w:val="2"/>
    </w:lvl>
  </w:abstractNum>
  <w:abstractNum w:abstractNumId="90">
    <w:nsid w:val="59ADEA3D"/>
    <w:multiLevelType w:val="hybridMultilevel"/>
    <w:lvl w:ilvl="0">
      <w:lvlJc w:val="left"/>
      <w:lvlText w:val="(%1)"/>
      <w:numFmt w:val="lowerLetter"/>
      <w:start w:val="3"/>
    </w:lvl>
  </w:abstractNum>
  <w:abstractNum w:abstractNumId="91">
    <w:nsid w:val="288F1A34"/>
    <w:multiLevelType w:val="hybridMultilevel"/>
    <w:lvl w:ilvl="0">
      <w:lvlJc w:val="left"/>
      <w:lvlText w:val="(%1)"/>
      <w:numFmt w:val="lowerLetter"/>
      <w:start w:val="4"/>
    </w:lvl>
  </w:abstractNum>
  <w:abstractNum w:abstractNumId="92">
    <w:nsid w:val="2A155DBC"/>
    <w:multiLevelType w:val="hybridMultilevel"/>
    <w:lvl w:ilvl="0">
      <w:lvlJc w:val="left"/>
      <w:lvlText w:val="(%1)"/>
      <w:numFmt w:val="lowerRoman"/>
      <w:start w:val="2"/>
    </w:lvl>
  </w:abstractNum>
  <w:abstractNum w:abstractNumId="93">
    <w:nsid w:val="1D9F6E5F"/>
    <w:multiLevelType w:val="hybridMultilevel"/>
    <w:lvl w:ilvl="0">
      <w:lvlJc w:val="left"/>
      <w:lvlText w:val="(%1)"/>
      <w:numFmt w:val="lowerLetter"/>
      <w:start w:val="2"/>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decimal"/>
      <w:start w:val="2"/>
    </w:lvl>
  </w:abstractNum>
  <w:abstractNum w:abstractNumId="97">
    <w:nsid w:val="53584BCB"/>
    <w:multiLevelType w:val="hybridMultilevel"/>
    <w:lvl w:ilvl="0">
      <w:lvlJc w:val="left"/>
      <w:lvlText w:val="(%1)"/>
      <w:numFmt w:val="decimal"/>
      <w:start w:val="4"/>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1."/>
      <w:numFmt w:val="decimal"/>
      <w:start w:val="2"/>
    </w:lvl>
  </w:abstractNum>
  <w:abstractNum w:abstractNumId="102">
    <w:nsid w:val="5C10FE21"/>
    <w:multiLevelType w:val="hybridMultilevel"/>
    <w:lvl w:ilvl="0">
      <w:lvlJc w:val="left"/>
      <w:lvlText w:val="%1."/>
      <w:numFmt w:val="decimal"/>
      <w:start w:val="3"/>
    </w:lvl>
  </w:abstractNum>
  <w:abstractNum w:abstractNumId="103">
    <w:nsid w:val="E7FFA2B"/>
    <w:multiLevelType w:val="hybridMultilevel"/>
    <w:lvl w:ilvl="0">
      <w:lvlJc w:val="left"/>
      <w:lvlText w:val="%1."/>
      <w:numFmt w:val="decimal"/>
      <w:start w:val="4"/>
    </w:lvl>
  </w:abstractNum>
  <w:abstractNum w:abstractNumId="104">
    <w:nsid w:val="3C5991AA"/>
    <w:multiLevelType w:val="hybridMultilevel"/>
    <w:lvl w:ilvl="0">
      <w:lvlJc w:val="left"/>
      <w:lvlText w:val="%1."/>
      <w:numFmt w:val="decimal"/>
      <w:start w:val="5"/>
    </w:lvl>
  </w:abstractNum>
  <w:abstractNum w:abstractNumId="105">
    <w:nsid w:val="4BD8591A"/>
    <w:multiLevelType w:val="hybridMultilevel"/>
    <w:lvl w:ilvl="0">
      <w:lvlJc w:val="left"/>
      <w:lvlText w:val="%1."/>
      <w:numFmt w:val="decimal"/>
      <w:start w:val="6"/>
    </w:lvl>
  </w:abstractNum>
  <w:abstractNum w:abstractNumId="106">
    <w:nsid w:val="78DF6A55"/>
    <w:multiLevelType w:val="hybridMultilevel"/>
    <w:lvl w:ilvl="0">
      <w:lvlJc w:val="left"/>
      <w:lvlText w:val="%1."/>
      <w:numFmt w:val="decimal"/>
      <w:start w:val="7"/>
    </w:lvl>
  </w:abstractNum>
  <w:abstractNum w:abstractNumId="107">
    <w:nsid w:val="39B7AAA2"/>
    <w:multiLevelType w:val="hybridMultilevel"/>
    <w:lvl w:ilvl="0">
      <w:lvlJc w:val="left"/>
      <w:lvlText w:val="%1."/>
      <w:numFmt w:val="decimal"/>
      <w:start w:val="8"/>
    </w:lvl>
  </w:abstractNum>
  <w:abstractNum w:abstractNumId="108">
    <w:nsid w:val="2B0D8DBE"/>
    <w:multiLevelType w:val="hybridMultilevel"/>
    <w:lvl w:ilvl="0">
      <w:lvlJc w:val="left"/>
      <w:lvlText w:val="%1."/>
      <w:numFmt w:val="decimal"/>
      <w:start w:val="9"/>
    </w:lvl>
  </w:abstractNum>
  <w:abstractNum w:abstractNumId="109">
    <w:nsid w:val="6C80EC70"/>
    <w:multiLevelType w:val="hybridMultilevel"/>
    <w:lvl w:ilvl="0">
      <w:lvlJc w:val="left"/>
      <w:lvlText w:val="%1."/>
      <w:numFmt w:val="decimal"/>
      <w:start w:val="10"/>
    </w:lvl>
  </w:abstractNum>
  <w:abstractNum w:abstractNumId="110">
    <w:nsid w:val="379E21B5"/>
    <w:multiLevelType w:val="hybridMultilevel"/>
    <w:lvl w:ilvl="0">
      <w:lvlJc w:val="left"/>
      <w:lvlText w:val="%1."/>
      <w:numFmt w:val="decimal"/>
      <w:start w:val="11"/>
    </w:lvl>
  </w:abstractNum>
  <w:abstractNum w:abstractNumId="111">
    <w:nsid w:val="69E373"/>
    <w:multiLevelType w:val="hybridMultilevel"/>
    <w:lvl w:ilvl="0">
      <w:lvlJc w:val="left"/>
      <w:lvlText w:val="%1."/>
      <w:numFmt w:val="decimal"/>
      <w:start w:val="12"/>
    </w:lvl>
  </w:abstractNum>
  <w:abstractNum w:abstractNumId="112">
    <w:nsid w:val="2C27173B"/>
    <w:multiLevelType w:val="hybridMultilevel"/>
    <w:lvl w:ilvl="0">
      <w:lvlJc w:val="left"/>
      <w:lvlText w:val="%1."/>
      <w:numFmt w:val="decimal"/>
      <w:start w:val="13"/>
    </w:lvl>
  </w:abstractNum>
  <w:abstractNum w:abstractNumId="113">
    <w:nsid w:val="4C9B0904"/>
    <w:multiLevelType w:val="hybridMultilevel"/>
    <w:lvl w:ilvl="0">
      <w:lvlJc w:val="left"/>
      <w:lvlText w:val="%1."/>
      <w:numFmt w:val="decimal"/>
      <w:start w:val="14"/>
    </w:lvl>
  </w:abstractNum>
  <w:abstractNum w:abstractNumId="114">
    <w:nsid w:val="6AA7B75C"/>
    <w:multiLevelType w:val="hybridMultilevel"/>
    <w:lvl w:ilvl="0">
      <w:lvlJc w:val="left"/>
      <w:lvlText w:val="%1."/>
      <w:numFmt w:val="decimal"/>
      <w:start w:val="15"/>
    </w:lvl>
  </w:abstractNum>
  <w:abstractNum w:abstractNumId="115">
    <w:nsid w:val="1DF029D3"/>
    <w:multiLevelType w:val="hybridMultilevel"/>
    <w:lvl w:ilvl="0">
      <w:lvlJc w:val="left"/>
      <w:lvlText w:val="%1."/>
      <w:numFmt w:val="decimal"/>
      <w:start w:val="16"/>
    </w:lvl>
  </w:abstractNum>
  <w:abstractNum w:abstractNumId="116">
    <w:nsid w:val="5675FF36"/>
    <w:multiLevelType w:val="hybridMultilevel"/>
    <w:lvl w:ilvl="0">
      <w:lvlJc w:val="left"/>
      <w:lvlText w:val="%1."/>
      <w:numFmt w:val="decimal"/>
      <w:start w:val="17"/>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
      <w:numFmt w:val="bullet"/>
      <w:start w:val="1"/>
    </w:lvl>
  </w:abstractNum>
  <w:abstractNum w:abstractNumId="119">
    <w:nsid w:val="2708C9AF"/>
    <w:multiLevelType w:val="hybridMultilevel"/>
    <w:lvl w:ilvl="0">
      <w:lvlJc w:val="left"/>
      <w:lvlText w:val="*"/>
      <w:numFmt w:val="bullet"/>
      <w:start w:val="1"/>
    </w:lvl>
  </w:abstractNum>
  <w:abstractNum w:abstractNumId="120">
    <w:nsid w:val="5B25ACE2"/>
    <w:multiLevelType w:val="hybridMultilevel"/>
    <w:lvl w:ilvl="0">
      <w:lvlJc w:val="left"/>
      <w:lvlText w:val="(%1)"/>
      <w:numFmt w:val="upperLetter"/>
      <w:start w:val="2"/>
    </w:lvl>
  </w:abstractNum>
  <w:abstractNum w:abstractNumId="121">
    <w:nsid w:val="175DFCF0"/>
    <w:multiLevelType w:val="hybridMultilevel"/>
    <w:lvl w:ilvl="0">
      <w:lvlJc w:val="left"/>
      <w:lvlText w:val="(%1)"/>
      <w:numFmt w:val="upperLetter"/>
      <w:start w:val="25"/>
    </w:lvl>
  </w:abstractNum>
  <w:abstractNum w:abstractNumId="122">
    <w:nsid w:val="4F97E3E4"/>
    <w:multiLevelType w:val="hybridMultilevel"/>
    <w:lvl w:ilvl="0">
      <w:lvlJc w:val="left"/>
      <w:lvlText w:val="o"/>
      <w:numFmt w:val="bullet"/>
      <w:start w:val="1"/>
    </w:lvl>
  </w:abstractNum>
  <w:abstractNum w:abstractNumId="123">
    <w:nsid w:val="53B0A9E"/>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2019-12-05T20:08:01Z</dcterms:created>
  <dcterms:modified xsi:type="dcterms:W3CDTF">2019-12-05T20:08:01Z</dcterms:modified>
</cp:coreProperties>
</file>