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June 27, 2005</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MICRON TECHNOLOGY,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585" w:right="259" w:bottom="0" w:gutter="0" w:footer="0" w:header="0"/>
        </w:sect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80"/>
        <w:spacing w:after="0"/>
        <w:rPr>
          <w:sz w:val="20"/>
          <w:szCs w:val="20"/>
          <w:color w:val="auto"/>
        </w:rPr>
      </w:pPr>
      <w:r>
        <w:rPr>
          <w:rFonts w:ascii="Arial" w:cs="Arial" w:eastAsia="Arial" w:hAnsi="Arial"/>
          <w:sz w:val="18"/>
          <w:szCs w:val="18"/>
          <w:b w:val="1"/>
          <w:bCs w:val="1"/>
          <w:color w:val="auto"/>
        </w:rPr>
        <w:t>1-10658</w:t>
      </w:r>
    </w:p>
    <w:p>
      <w:pPr>
        <w:spacing w:after="0" w:line="27" w:lineRule="exact"/>
        <w:rPr>
          <w:sz w:val="24"/>
          <w:szCs w:val="24"/>
          <w:color w:val="auto"/>
        </w:rPr>
      </w:pPr>
    </w:p>
    <w:p>
      <w:pPr>
        <w:jc w:val="center"/>
        <w:ind w:right="6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75-1618004</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4040" w:space="720"/>
            <w:col w:w="2660" w:space="720"/>
            <w:col w:w="3260"/>
          </w:cols>
          <w:pgMar w:left="240" w:top="585" w:right="259" w:bottom="0" w:gutter="0" w:footer="0" w:header="0"/>
          <w:type w:val="continuous"/>
        </w:sectPr>
      </w:pP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8000 South Federal Way</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Boise, Idaho 83716-9632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(208) 368-4000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00"/>
          </w:cols>
          <w:pgMar w:left="240" w:top="585" w:right="259" w:bottom="0" w:gutter="0" w:footer="0" w:header="0"/>
          <w:type w:val="continuous"/>
        </w:sectPr>
      </w:pPr>
    </w:p>
    <w:p>
      <w:pPr>
        <w:spacing w:after="0" w:line="234"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450215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4"/>
          <w:szCs w:val="24"/>
          <w:color w:val="auto"/>
        </w:rPr>
      </w:pPr>
    </w:p>
    <w:p>
      <w:pPr>
        <w:ind w:right="220" w:firstLine="972"/>
        <w:spacing w:after="0" w:line="288" w:lineRule="auto"/>
        <w:rPr>
          <w:sz w:val="20"/>
          <w:szCs w:val="20"/>
          <w:color w:val="auto"/>
        </w:rPr>
      </w:pPr>
      <w:r>
        <w:rPr>
          <w:rFonts w:ascii="Arial" w:cs="Arial" w:eastAsia="Arial" w:hAnsi="Arial"/>
          <w:sz w:val="16"/>
          <w:szCs w:val="16"/>
          <w:color w:val="auto"/>
        </w:rPr>
        <w:t>In June 1997, the Board of Directors approved a program whereby non-employee directors are granted (i) an initial option to purchase 10,000 shares upon the later of the date of their appointment to the Board of Directors, and (ii) June 30, 1997, the date on which the resolutions approving the program were passed by the Board of Directors. In connection with Ms. Mercedes Johnson’s appointment to the Company’s Board of Directors (see Item</w:t>
      </w:r>
    </w:p>
    <w:p>
      <w:pPr>
        <w:spacing w:after="0" w:line="261" w:lineRule="auto"/>
        <w:rPr>
          <w:sz w:val="20"/>
          <w:szCs w:val="20"/>
          <w:color w:val="auto"/>
        </w:rPr>
      </w:pPr>
      <w:r>
        <w:rPr>
          <w:rFonts w:ascii="Arial" w:cs="Arial" w:eastAsia="Arial" w:hAnsi="Arial"/>
          <w:sz w:val="18"/>
          <w:szCs w:val="18"/>
          <w:color w:val="auto"/>
        </w:rPr>
        <w:t>5.02 below), Ms. Johnson was granted a fully vested option for 10,000 shares with an exercise price of $10.58 pursuant to the standard Material Option Terms on the Form of Agreement previously filed with the Commission.</w:t>
      </w:r>
    </w:p>
    <w:p>
      <w:pPr>
        <w:spacing w:after="0" w:line="180" w:lineRule="exact"/>
        <w:rPr>
          <w:sz w:val="24"/>
          <w:szCs w:val="24"/>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6"/>
          <w:szCs w:val="16"/>
          <w:b w:val="1"/>
          <w:bCs w:val="1"/>
          <w:color w:val="auto"/>
        </w:rPr>
        <w:t>Departure of Directors or Principal Officers; Election of Directors; Appointment of Principal Officers</w:t>
      </w:r>
    </w:p>
    <w:p>
      <w:pPr>
        <w:spacing w:after="0" w:line="229" w:lineRule="exact"/>
        <w:rPr>
          <w:sz w:val="24"/>
          <w:szCs w:val="24"/>
          <w:color w:val="auto"/>
        </w:rPr>
      </w:pPr>
    </w:p>
    <w:p>
      <w:pPr>
        <w:ind w:firstLine="972"/>
        <w:spacing w:after="0" w:line="286" w:lineRule="auto"/>
        <w:rPr>
          <w:sz w:val="20"/>
          <w:szCs w:val="20"/>
          <w:color w:val="auto"/>
        </w:rPr>
      </w:pPr>
      <w:r>
        <w:rPr>
          <w:rFonts w:ascii="Arial" w:cs="Arial" w:eastAsia="Arial" w:hAnsi="Arial"/>
          <w:sz w:val="17"/>
          <w:szCs w:val="17"/>
          <w:color w:val="auto"/>
        </w:rPr>
        <w:t>Effective June 27, 2005, the Company’s Board of Directors appointed Mercedes Johnson as a member of the Board of Directors. Ms. Johnson is expected to be appointed to the Audit Committee of the Board of Directors, effective July 18, 2005. The full text of the press release issued in connection with the appointment of Ms. Johnson to the Board of Directors is attached as Exhibit 99.1 to this Current Report on Form 8-K.</w:t>
      </w:r>
    </w:p>
    <w:p>
      <w:pPr>
        <w:spacing w:after="0" w:line="166" w:lineRule="exact"/>
        <w:rPr>
          <w:sz w:val="24"/>
          <w:szCs w:val="24"/>
          <w:color w:val="auto"/>
        </w:rPr>
      </w:pPr>
    </w:p>
    <w:p>
      <w:pPr>
        <w:ind w:right="60" w:firstLine="972"/>
        <w:spacing w:after="0" w:line="264" w:lineRule="auto"/>
        <w:rPr>
          <w:sz w:val="20"/>
          <w:szCs w:val="20"/>
          <w:color w:val="auto"/>
        </w:rPr>
      </w:pPr>
      <w:r>
        <w:rPr>
          <w:rFonts w:ascii="Arial" w:cs="Arial" w:eastAsia="Arial" w:hAnsi="Arial"/>
          <w:sz w:val="18"/>
          <w:szCs w:val="18"/>
          <w:color w:val="auto"/>
        </w:rPr>
        <w:t>The Company paid $71.3 million for fiscal 2004 and $58.7 million (to date) for fiscal 2005 to Lam Research Corporation for semiconductor manufacturing equipment and related services. Ms. Johnson, whose employment with Lam Research Corporation ended in January of 2005, is the former Sr. Vice President, Finance and Chief Financial Officer of Lam Research Corporation.</w:t>
      </w:r>
    </w:p>
    <w:p>
      <w:pPr>
        <w:spacing w:after="0" w:line="177" w:lineRule="exact"/>
        <w:rPr>
          <w:sz w:val="24"/>
          <w:szCs w:val="24"/>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or Bylaws; Change in Financial Year</w:t>
      </w:r>
    </w:p>
    <w:p>
      <w:pPr>
        <w:spacing w:after="0" w:line="229" w:lineRule="exact"/>
        <w:rPr>
          <w:sz w:val="24"/>
          <w:szCs w:val="24"/>
          <w:color w:val="auto"/>
        </w:rPr>
      </w:pPr>
    </w:p>
    <w:p>
      <w:pPr>
        <w:ind w:right="40" w:firstLine="972"/>
        <w:spacing w:after="0" w:line="264" w:lineRule="auto"/>
        <w:rPr>
          <w:sz w:val="20"/>
          <w:szCs w:val="20"/>
          <w:color w:val="auto"/>
        </w:rPr>
      </w:pPr>
      <w:r>
        <w:rPr>
          <w:rFonts w:ascii="Arial" w:cs="Arial" w:eastAsia="Arial" w:hAnsi="Arial"/>
          <w:sz w:val="18"/>
          <w:szCs w:val="18"/>
          <w:color w:val="auto"/>
        </w:rPr>
        <w:t>Effective June 27, 2005, the Company’s Board of Directors amended the Bylaws of the Company to increase the authorized number of directors from seven to eight in order to effectuate the appointment of Ms. Johnson to the Company’s Board of Directors. See Item 5.02 above and Exhibit 3.8 to this Current Report on Form 8-K.</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ectPr>
          <w:pgSz w:w="11900" w:h="16838" w:orient="portrait"/>
          <w:cols w:equalWidth="0" w:num="1">
            <w:col w:w="11400"/>
          </w:cols>
          <w:pgMar w:left="240" w:top="585" w:right="2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w w:val="95"/>
              </w:rPr>
              <w:t>(c)</w:t>
            </w:r>
          </w:p>
        </w:tc>
        <w:tc>
          <w:tcPr>
            <w:tcW w:w="20" w:type="dxa"/>
            <w:vAlign w:val="bottom"/>
          </w:tcPr>
          <w:p>
            <w:pPr>
              <w:spacing w:after="0"/>
              <w:rPr>
                <w:sz w:val="20"/>
                <w:szCs w:val="20"/>
                <w:color w:val="auto"/>
              </w:rPr>
            </w:pPr>
          </w:p>
        </w:tc>
        <w:tc>
          <w:tcPr>
            <w:tcW w:w="3000" w:type="dxa"/>
            <w:vAlign w:val="bottom"/>
            <w:gridSpan w:val="3"/>
          </w:tcPr>
          <w:p>
            <w:pPr>
              <w:ind w:left="60"/>
              <w:spacing w:after="0"/>
              <w:rPr>
                <w:sz w:val="20"/>
                <w:szCs w:val="20"/>
                <w:color w:val="auto"/>
              </w:rPr>
            </w:pPr>
            <w:r>
              <w:rPr>
                <w:rFonts w:ascii="Arial" w:cs="Arial" w:eastAsia="Arial" w:hAnsi="Arial"/>
                <w:sz w:val="18"/>
                <w:szCs w:val="18"/>
                <w:color w:val="auto"/>
              </w:rPr>
              <w:t>Exhibits.</w:t>
            </w:r>
          </w:p>
        </w:tc>
        <w:tc>
          <w:tcPr>
            <w:tcW w:w="310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940" w:type="dxa"/>
            <w:vAlign w:val="bottom"/>
          </w:tcPr>
          <w:p>
            <w:pPr>
              <w:spacing w:after="0"/>
              <w:rPr>
                <w:sz w:val="24"/>
                <w:szCs w:val="24"/>
                <w:color w:val="auto"/>
              </w:rPr>
            </w:pPr>
          </w:p>
        </w:tc>
        <w:tc>
          <w:tcPr>
            <w:tcW w:w="3280" w:type="dxa"/>
            <w:vAlign w:val="bottom"/>
            <w:gridSpan w:val="5"/>
          </w:tcPr>
          <w:p>
            <w:pPr>
              <w:ind w:left="40"/>
              <w:spacing w:after="0"/>
              <w:rPr>
                <w:sz w:val="20"/>
                <w:szCs w:val="20"/>
                <w:color w:val="auto"/>
              </w:rPr>
            </w:pPr>
            <w:r>
              <w:rPr>
                <w:rFonts w:ascii="Arial" w:cs="Arial" w:eastAsia="Arial" w:hAnsi="Arial"/>
                <w:sz w:val="18"/>
                <w:szCs w:val="18"/>
                <w:color w:val="auto"/>
              </w:rPr>
              <w:t>The following exhibits are filed herewith:</w:t>
            </w:r>
          </w:p>
        </w:tc>
        <w:tc>
          <w:tcPr>
            <w:tcW w:w="31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5"/>
        </w:trPr>
        <w:tc>
          <w:tcPr>
            <w:tcW w:w="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ind w:left="1740"/>
              <w:spacing w:after="0"/>
              <w:rPr>
                <w:sz w:val="20"/>
                <w:szCs w:val="20"/>
                <w:color w:val="auto"/>
              </w:rPr>
            </w:pPr>
            <w:r>
              <w:rPr>
                <w:rFonts w:ascii="Arial" w:cs="Arial" w:eastAsia="Arial" w:hAnsi="Arial"/>
                <w:sz w:val="14"/>
                <w:szCs w:val="14"/>
                <w:b w:val="1"/>
                <w:bCs w:val="1"/>
                <w:color w:val="auto"/>
              </w:rPr>
              <w:t>Description</w:t>
            </w:r>
          </w:p>
        </w:tc>
        <w:tc>
          <w:tcPr>
            <w:tcW w:w="3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411"/>
        </w:trPr>
        <w:tc>
          <w:tcPr>
            <w:tcW w:w="940" w:type="dxa"/>
            <w:vAlign w:val="bottom"/>
          </w:tcPr>
          <w:p>
            <w:pPr>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24"/>
                <w:szCs w:val="24"/>
                <w:color w:val="auto"/>
              </w:rPr>
            </w:pPr>
          </w:p>
        </w:tc>
        <w:tc>
          <w:tcPr>
            <w:tcW w:w="3020" w:type="dxa"/>
            <w:vAlign w:val="bottom"/>
            <w:gridSpan w:val="4"/>
          </w:tcPr>
          <w:p>
            <w:pPr>
              <w:ind w:left="20"/>
              <w:spacing w:after="0"/>
              <w:rPr>
                <w:sz w:val="20"/>
                <w:szCs w:val="20"/>
                <w:color w:val="auto"/>
              </w:rPr>
            </w:pPr>
            <w:r>
              <w:rPr>
                <w:rFonts w:ascii="Arial" w:cs="Arial" w:eastAsia="Arial" w:hAnsi="Arial"/>
                <w:sz w:val="18"/>
                <w:szCs w:val="18"/>
                <w:color w:val="auto"/>
              </w:rPr>
              <w:t>Twenty-Fifth Amendment to Bylaws</w:t>
            </w:r>
          </w:p>
        </w:tc>
        <w:tc>
          <w:tcPr>
            <w:tcW w:w="31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99.1</w:t>
            </w:r>
          </w:p>
        </w:tc>
        <w:tc>
          <w:tcPr>
            <w:tcW w:w="260" w:type="dxa"/>
            <w:vAlign w:val="bottom"/>
          </w:tcPr>
          <w:p>
            <w:pPr>
              <w:spacing w:after="0"/>
              <w:rPr>
                <w:sz w:val="20"/>
                <w:szCs w:val="20"/>
                <w:color w:val="auto"/>
              </w:rPr>
            </w:pPr>
          </w:p>
        </w:tc>
        <w:tc>
          <w:tcPr>
            <w:tcW w:w="3020" w:type="dxa"/>
            <w:vAlign w:val="bottom"/>
            <w:gridSpan w:val="4"/>
          </w:tcPr>
          <w:p>
            <w:pPr>
              <w:ind w:left="20"/>
              <w:spacing w:after="0"/>
              <w:rPr>
                <w:sz w:val="20"/>
                <w:szCs w:val="20"/>
                <w:color w:val="auto"/>
              </w:rPr>
            </w:pPr>
            <w:r>
              <w:rPr>
                <w:rFonts w:ascii="Arial" w:cs="Arial" w:eastAsia="Arial" w:hAnsi="Arial"/>
                <w:sz w:val="18"/>
                <w:szCs w:val="18"/>
                <w:color w:val="auto"/>
                <w:w w:val="93"/>
              </w:rPr>
              <w:t>Press Release issued on June 28, 2005</w:t>
            </w:r>
          </w:p>
        </w:tc>
        <w:tc>
          <w:tcPr>
            <w:tcW w:w="310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100" w:type="dxa"/>
            <w:vAlign w:val="bottom"/>
          </w:tcPr>
          <w:p>
            <w:pPr>
              <w:jc w:val="center"/>
              <w:ind w:right="33"/>
              <w:spacing w:after="0"/>
              <w:rPr>
                <w:sz w:val="20"/>
                <w:szCs w:val="20"/>
                <w:color w:val="auto"/>
              </w:rPr>
            </w:pPr>
            <w:r>
              <w:rPr>
                <w:rFonts w:ascii="Arial" w:cs="Arial" w:eastAsia="Arial" w:hAnsi="Arial"/>
                <w:sz w:val="18"/>
                <w:szCs w:val="18"/>
                <w:color w:val="auto"/>
                <w:w w:val="99"/>
              </w:rPr>
              <w:t>3</w:t>
            </w:r>
          </w:p>
        </w:tc>
        <w:tc>
          <w:tcPr>
            <w:tcW w:w="3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5"/>
        </w:trPr>
        <w:tc>
          <w:tcPr>
            <w:tcW w:w="9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660" w:type="dxa"/>
            <w:vAlign w:val="bottom"/>
            <w:tcBorders>
              <w:bottom w:val="single" w:sz="8" w:color="808080"/>
            </w:tcBorders>
          </w:tcPr>
          <w:p>
            <w:pPr>
              <w:spacing w:after="0"/>
              <w:rPr>
                <w:sz w:val="9"/>
                <w:szCs w:val="9"/>
                <w:color w:val="auto"/>
              </w:rPr>
            </w:pPr>
          </w:p>
        </w:tc>
        <w:tc>
          <w:tcPr>
            <w:tcW w:w="3100" w:type="dxa"/>
            <w:vAlign w:val="bottom"/>
            <w:tcBorders>
              <w:bottom w:val="single" w:sz="8" w:color="808080"/>
            </w:tcBorders>
          </w:tcPr>
          <w:p>
            <w:pPr>
              <w:spacing w:after="0"/>
              <w:rPr>
                <w:sz w:val="9"/>
                <w:szCs w:val="9"/>
                <w:color w:val="auto"/>
              </w:rPr>
            </w:pPr>
          </w:p>
        </w:tc>
        <w:tc>
          <w:tcPr>
            <w:tcW w:w="33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r>
        <w:trPr>
          <w:trHeight w:val="753"/>
        </w:trPr>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100" w:type="dxa"/>
            <w:vAlign w:val="bottom"/>
          </w:tcPr>
          <w:p>
            <w:pPr>
              <w:jc w:val="center"/>
              <w:ind w:right="33"/>
              <w:spacing w:after="0"/>
              <w:rPr>
                <w:sz w:val="20"/>
                <w:szCs w:val="20"/>
                <w:color w:val="auto"/>
              </w:rPr>
            </w:pPr>
            <w:r>
              <w:rPr>
                <w:rFonts w:ascii="Arial" w:cs="Arial" w:eastAsia="Arial" w:hAnsi="Arial"/>
                <w:sz w:val="18"/>
                <w:szCs w:val="18"/>
                <w:b w:val="1"/>
                <w:bCs w:val="1"/>
                <w:color w:val="auto"/>
                <w:w w:val="99"/>
              </w:rPr>
              <w:t>SIGNATURE</w:t>
            </w:r>
          </w:p>
        </w:tc>
        <w:tc>
          <w:tcPr>
            <w:tcW w:w="3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8"/>
        </w:trPr>
        <w:tc>
          <w:tcPr>
            <w:tcW w:w="11420" w:type="dxa"/>
            <w:vAlign w:val="bottom"/>
            <w:gridSpan w:val="9"/>
          </w:tcPr>
          <w:p>
            <w:pPr>
              <w:ind w:left="660"/>
              <w:spacing w:after="0"/>
              <w:rPr>
                <w:sz w:val="20"/>
                <w:szCs w:val="20"/>
                <w:color w:val="auto"/>
              </w:rPr>
            </w:pPr>
            <w:r>
              <w:rPr>
                <w:rFonts w:ascii="Arial" w:cs="Arial" w:eastAsia="Arial" w:hAnsi="Arial"/>
                <w:sz w:val="18"/>
                <w:szCs w:val="18"/>
                <w:color w:val="auto"/>
                <w:w w:val="93"/>
              </w:rPr>
              <w:t>Pursuant to the requirements of the Securities Exchange Act of 1934, the Registrant has duly caused this report to be signed on its behalf by the</w:t>
            </w:r>
          </w:p>
        </w:tc>
        <w:tc>
          <w:tcPr>
            <w:tcW w:w="20" w:type="dxa"/>
            <w:vAlign w:val="bottom"/>
          </w:tcPr>
          <w:p>
            <w:pPr>
              <w:spacing w:after="0"/>
              <w:rPr>
                <w:sz w:val="24"/>
                <w:szCs w:val="24"/>
                <w:color w:val="auto"/>
              </w:rPr>
            </w:pPr>
          </w:p>
        </w:tc>
      </w:tr>
      <w:tr>
        <w:trPr>
          <w:trHeight w:val="230"/>
        </w:trPr>
        <w:tc>
          <w:tcPr>
            <w:tcW w:w="4220" w:type="dxa"/>
            <w:vAlign w:val="bottom"/>
            <w:gridSpan w:val="6"/>
          </w:tcPr>
          <w:p>
            <w:pPr>
              <w:spacing w:after="0"/>
              <w:rPr>
                <w:sz w:val="20"/>
                <w:szCs w:val="20"/>
                <w:color w:val="auto"/>
              </w:rPr>
            </w:pPr>
            <w:r>
              <w:rPr>
                <w:rFonts w:ascii="Arial" w:cs="Arial" w:eastAsia="Arial" w:hAnsi="Arial"/>
                <w:sz w:val="18"/>
                <w:szCs w:val="18"/>
                <w:color w:val="auto"/>
              </w:rPr>
              <w:t>undersigned hereunto duly authorized.</w:t>
            </w:r>
          </w:p>
        </w:tc>
        <w:tc>
          <w:tcPr>
            <w:tcW w:w="310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48"/>
        </w:trPr>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7200" w:type="dxa"/>
            <w:vAlign w:val="bottom"/>
            <w:gridSpan w:val="3"/>
          </w:tcPr>
          <w:p>
            <w:pPr>
              <w:ind w:left="2340"/>
              <w:spacing w:after="0"/>
              <w:rPr>
                <w:sz w:val="20"/>
                <w:szCs w:val="20"/>
                <w:color w:val="auto"/>
              </w:rPr>
            </w:pPr>
            <w:r>
              <w:rPr>
                <w:rFonts w:ascii="Arial" w:cs="Arial" w:eastAsia="Arial" w:hAnsi="Arial"/>
                <w:sz w:val="18"/>
                <w:szCs w:val="18"/>
                <w:b w:val="1"/>
                <w:bCs w:val="1"/>
                <w:color w:val="auto"/>
              </w:rPr>
              <w:t>MICRON TECHNOLOGY, INC.</w:t>
            </w:r>
          </w:p>
        </w:tc>
        <w:tc>
          <w:tcPr>
            <w:tcW w:w="20" w:type="dxa"/>
            <w:vAlign w:val="bottom"/>
          </w:tcPr>
          <w:p>
            <w:pPr>
              <w:spacing w:after="0"/>
              <w:rPr>
                <w:sz w:val="24"/>
                <w:szCs w:val="24"/>
                <w:color w:val="auto"/>
              </w:rPr>
            </w:pPr>
          </w:p>
        </w:tc>
      </w:tr>
      <w:tr>
        <w:trPr>
          <w:trHeight w:val="648"/>
        </w:trPr>
        <w:tc>
          <w:tcPr>
            <w:tcW w:w="4220" w:type="dxa"/>
            <w:vAlign w:val="bottom"/>
            <w:gridSpan w:val="6"/>
          </w:tcPr>
          <w:p>
            <w:pPr>
              <w:spacing w:after="0"/>
              <w:rPr>
                <w:sz w:val="20"/>
                <w:szCs w:val="20"/>
                <w:color w:val="auto"/>
              </w:rPr>
            </w:pPr>
            <w:r>
              <w:rPr>
                <w:rFonts w:ascii="Arial" w:cs="Arial" w:eastAsia="Arial" w:hAnsi="Arial"/>
                <w:sz w:val="18"/>
                <w:szCs w:val="18"/>
                <w:color w:val="auto"/>
              </w:rPr>
              <w:t>Date: July 1, 2005</w:t>
            </w:r>
          </w:p>
        </w:tc>
        <w:tc>
          <w:tcPr>
            <w:tcW w:w="3100" w:type="dxa"/>
            <w:vAlign w:val="bottom"/>
          </w:tcPr>
          <w:p>
            <w:pPr>
              <w:ind w:left="2340"/>
              <w:spacing w:after="0"/>
              <w:rPr>
                <w:sz w:val="20"/>
                <w:szCs w:val="20"/>
                <w:color w:val="auto"/>
              </w:rPr>
            </w:pPr>
            <w:r>
              <w:rPr>
                <w:rFonts w:ascii="Arial" w:cs="Arial" w:eastAsia="Arial" w:hAnsi="Arial"/>
                <w:sz w:val="18"/>
                <w:szCs w:val="18"/>
                <w:color w:val="auto"/>
              </w:rPr>
              <w:t>By:</w:t>
            </w:r>
          </w:p>
        </w:tc>
        <w:tc>
          <w:tcPr>
            <w:tcW w:w="4100" w:type="dxa"/>
            <w:vAlign w:val="bottom"/>
            <w:gridSpan w:val="2"/>
          </w:tcPr>
          <w:p>
            <w:pPr>
              <w:spacing w:after="0"/>
              <w:rPr>
                <w:sz w:val="20"/>
                <w:szCs w:val="20"/>
                <w:color w:val="auto"/>
              </w:rPr>
            </w:pPr>
            <w:r>
              <w:rPr>
                <w:rFonts w:ascii="Arial" w:cs="Arial" w:eastAsia="Arial" w:hAnsi="Arial"/>
                <w:sz w:val="18"/>
                <w:szCs w:val="18"/>
                <w:color w:val="auto"/>
              </w:rPr>
              <w:t>/s/ W. G. Stover, Jr.</w:t>
            </w:r>
          </w:p>
        </w:tc>
        <w:tc>
          <w:tcPr>
            <w:tcW w:w="20" w:type="dxa"/>
            <w:vAlign w:val="bottom"/>
          </w:tcPr>
          <w:p>
            <w:pPr>
              <w:spacing w:after="0"/>
              <w:rPr>
                <w:sz w:val="24"/>
                <w:szCs w:val="24"/>
                <w:color w:val="auto"/>
              </w:rPr>
            </w:pPr>
          </w:p>
        </w:tc>
      </w:tr>
      <w:tr>
        <w:trPr>
          <w:trHeight w:val="195"/>
        </w:trPr>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3100" w:type="dxa"/>
            <w:vAlign w:val="bottom"/>
          </w:tcPr>
          <w:p>
            <w:pPr>
              <w:ind w:left="2340"/>
              <w:spacing w:after="0" w:line="195" w:lineRule="exact"/>
              <w:rPr>
                <w:sz w:val="20"/>
                <w:szCs w:val="20"/>
                <w:color w:val="auto"/>
              </w:rPr>
            </w:pPr>
            <w:r>
              <w:rPr>
                <w:rFonts w:ascii="Arial" w:cs="Arial" w:eastAsia="Arial" w:hAnsi="Arial"/>
                <w:sz w:val="18"/>
                <w:szCs w:val="18"/>
                <w:color w:val="auto"/>
              </w:rPr>
              <w:t>Name:</w:t>
            </w:r>
          </w:p>
        </w:tc>
        <w:tc>
          <w:tcPr>
            <w:tcW w:w="33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 G. Stover, Jr.</w:t>
            </w: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100" w:type="dxa"/>
            <w:vAlign w:val="bottom"/>
          </w:tcPr>
          <w:p>
            <w:pPr>
              <w:ind w:left="2340"/>
              <w:spacing w:after="0"/>
              <w:rPr>
                <w:sz w:val="20"/>
                <w:szCs w:val="20"/>
                <w:color w:val="auto"/>
              </w:rPr>
            </w:pPr>
            <w:r>
              <w:rPr>
                <w:rFonts w:ascii="Arial" w:cs="Arial" w:eastAsia="Arial" w:hAnsi="Arial"/>
                <w:sz w:val="18"/>
                <w:szCs w:val="18"/>
                <w:color w:val="auto"/>
              </w:rPr>
              <w:t>Title:</w:t>
            </w:r>
          </w:p>
        </w:tc>
        <w:tc>
          <w:tcPr>
            <w:tcW w:w="4100" w:type="dxa"/>
            <w:vAlign w:val="bottom"/>
            <w:gridSpan w:val="2"/>
          </w:tcPr>
          <w:p>
            <w:pPr>
              <w:spacing w:after="0"/>
              <w:rPr>
                <w:sz w:val="20"/>
                <w:szCs w:val="20"/>
                <w:color w:val="auto"/>
              </w:rPr>
            </w:pPr>
            <w:r>
              <w:rPr>
                <w:rFonts w:ascii="Arial" w:cs="Arial" w:eastAsia="Arial" w:hAnsi="Arial"/>
                <w:sz w:val="18"/>
                <w:szCs w:val="18"/>
                <w:color w:val="auto"/>
              </w:rPr>
              <w:t>Vice President of Finance and</w:t>
            </w:r>
          </w:p>
        </w:tc>
        <w:tc>
          <w:tcPr>
            <w:tcW w:w="20" w:type="dxa"/>
            <w:vAlign w:val="bottom"/>
          </w:tcPr>
          <w:p>
            <w:pPr>
              <w:spacing w:after="0"/>
              <w:rPr>
                <w:sz w:val="18"/>
                <w:szCs w:val="18"/>
                <w:color w:val="auto"/>
              </w:rPr>
            </w:pPr>
          </w:p>
        </w:tc>
      </w:tr>
      <w:tr>
        <w:trPr>
          <w:trHeight w:val="230"/>
        </w:trPr>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20" w:type="dxa"/>
            <w:vAlign w:val="bottom"/>
          </w:tcPr>
          <w:p>
            <w:pPr>
              <w:spacing w:after="0"/>
              <w:rPr>
                <w:sz w:val="20"/>
                <w:szCs w:val="20"/>
                <w:color w:val="auto"/>
              </w:rPr>
            </w:pPr>
          </w:p>
        </w:tc>
      </w:tr>
      <w:tr>
        <w:trPr>
          <w:trHeight w:val="432"/>
        </w:trPr>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100" w:type="dxa"/>
            <w:vAlign w:val="bottom"/>
          </w:tcPr>
          <w:p>
            <w:pPr>
              <w:jc w:val="center"/>
              <w:ind w:right="33"/>
              <w:spacing w:after="0"/>
              <w:rPr>
                <w:sz w:val="20"/>
                <w:szCs w:val="20"/>
                <w:color w:val="auto"/>
              </w:rPr>
            </w:pPr>
            <w:r>
              <w:rPr>
                <w:rFonts w:ascii="Arial" w:cs="Arial" w:eastAsia="Arial" w:hAnsi="Arial"/>
                <w:sz w:val="18"/>
                <w:szCs w:val="18"/>
                <w:color w:val="auto"/>
                <w:w w:val="99"/>
              </w:rPr>
              <w:t>4</w:t>
            </w:r>
          </w:p>
        </w:tc>
        <w:tc>
          <w:tcPr>
            <w:tcW w:w="3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5"/>
        </w:trPr>
        <w:tc>
          <w:tcPr>
            <w:tcW w:w="9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660" w:type="dxa"/>
            <w:vAlign w:val="bottom"/>
            <w:tcBorders>
              <w:bottom w:val="single" w:sz="8" w:color="808080"/>
            </w:tcBorders>
          </w:tcPr>
          <w:p>
            <w:pPr>
              <w:spacing w:after="0"/>
              <w:rPr>
                <w:sz w:val="9"/>
                <w:szCs w:val="9"/>
                <w:color w:val="auto"/>
              </w:rPr>
            </w:pPr>
          </w:p>
        </w:tc>
        <w:tc>
          <w:tcPr>
            <w:tcW w:w="3100" w:type="dxa"/>
            <w:vAlign w:val="bottom"/>
            <w:tcBorders>
              <w:bottom w:val="single" w:sz="8" w:color="808080"/>
            </w:tcBorders>
          </w:tcPr>
          <w:p>
            <w:pPr>
              <w:spacing w:after="0"/>
              <w:rPr>
                <w:sz w:val="9"/>
                <w:szCs w:val="9"/>
                <w:color w:val="auto"/>
              </w:rPr>
            </w:pPr>
          </w:p>
        </w:tc>
        <w:tc>
          <w:tcPr>
            <w:tcW w:w="33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r>
        <w:trPr>
          <w:trHeight w:val="748"/>
        </w:trPr>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100" w:type="dxa"/>
            <w:vAlign w:val="bottom"/>
          </w:tcPr>
          <w:p>
            <w:pPr>
              <w:jc w:val="center"/>
              <w:ind w:right="33"/>
              <w:spacing w:after="0"/>
              <w:rPr>
                <w:sz w:val="20"/>
                <w:szCs w:val="20"/>
                <w:color w:val="auto"/>
              </w:rPr>
            </w:pPr>
            <w:r>
              <w:rPr>
                <w:rFonts w:ascii="Arial" w:cs="Arial" w:eastAsia="Arial" w:hAnsi="Arial"/>
                <w:sz w:val="18"/>
                <w:szCs w:val="18"/>
                <w:b w:val="1"/>
                <w:bCs w:val="1"/>
                <w:color w:val="auto"/>
              </w:rPr>
              <w:t>INDEX TO EXHIBITS FILED WITH</w:t>
            </w:r>
          </w:p>
        </w:tc>
        <w:tc>
          <w:tcPr>
            <w:tcW w:w="3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60" w:type="dxa"/>
            <w:vAlign w:val="bottom"/>
            <w:gridSpan w:val="4"/>
          </w:tcPr>
          <w:p>
            <w:pPr>
              <w:jc w:val="center"/>
              <w:ind w:right="1540"/>
              <w:spacing w:after="0"/>
              <w:rPr>
                <w:sz w:val="20"/>
                <w:szCs w:val="20"/>
                <w:color w:val="auto"/>
              </w:rPr>
            </w:pPr>
            <w:r>
              <w:rPr>
                <w:rFonts w:ascii="Arial" w:cs="Arial" w:eastAsia="Arial" w:hAnsi="Arial"/>
                <w:sz w:val="18"/>
                <w:szCs w:val="18"/>
                <w:b w:val="1"/>
                <w:bCs w:val="1"/>
                <w:color w:val="auto"/>
                <w:w w:val="98"/>
              </w:rPr>
              <w:t>THE CURRENT REPORT ON FORM 8-K DATED JULY 1, 2005</w:t>
            </w:r>
          </w:p>
        </w:tc>
        <w:tc>
          <w:tcPr>
            <w:tcW w:w="20" w:type="dxa"/>
            <w:vAlign w:val="bottom"/>
          </w:tcPr>
          <w:p>
            <w:pPr>
              <w:spacing w:after="0"/>
              <w:rPr>
                <w:sz w:val="20"/>
                <w:szCs w:val="20"/>
                <w:color w:val="auto"/>
              </w:rPr>
            </w:pPr>
          </w:p>
        </w:tc>
      </w:tr>
      <w:tr>
        <w:trPr>
          <w:trHeight w:val="365"/>
        </w:trPr>
        <w:tc>
          <w:tcPr>
            <w:tcW w:w="12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Exhibit</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ind w:left="1920"/>
              <w:spacing w:after="0"/>
              <w:rPr>
                <w:sz w:val="20"/>
                <w:szCs w:val="20"/>
                <w:color w:val="auto"/>
              </w:rPr>
            </w:pPr>
            <w:r>
              <w:rPr>
                <w:rFonts w:ascii="Arial" w:cs="Arial" w:eastAsia="Arial" w:hAnsi="Arial"/>
                <w:sz w:val="14"/>
                <w:szCs w:val="14"/>
                <w:b w:val="1"/>
                <w:bCs w:val="1"/>
                <w:color w:val="auto"/>
              </w:rPr>
              <w:t>Description</w:t>
            </w:r>
          </w:p>
        </w:tc>
        <w:tc>
          <w:tcPr>
            <w:tcW w:w="3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411"/>
        </w:trPr>
        <w:tc>
          <w:tcPr>
            <w:tcW w:w="940" w:type="dxa"/>
            <w:vAlign w:val="bottom"/>
          </w:tcPr>
          <w:p>
            <w:pPr>
              <w:jc w:val="right"/>
              <w:ind w:right="74"/>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60" w:type="dxa"/>
            <w:vAlign w:val="bottom"/>
          </w:tcPr>
          <w:p>
            <w:pPr>
              <w:spacing w:after="0"/>
              <w:rPr>
                <w:sz w:val="20"/>
                <w:szCs w:val="20"/>
                <w:color w:val="auto"/>
              </w:rPr>
            </w:pPr>
            <w:r>
              <w:rPr>
                <w:rFonts w:ascii="Arial" w:cs="Arial" w:eastAsia="Arial" w:hAnsi="Arial"/>
                <w:sz w:val="18"/>
                <w:szCs w:val="18"/>
                <w:color w:val="auto"/>
                <w:w w:val="93"/>
              </w:rPr>
              <w:t>Twenty-Fifth Amendment to Bylaws</w:t>
            </w:r>
          </w:p>
        </w:tc>
        <w:tc>
          <w:tcPr>
            <w:tcW w:w="31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940" w:type="dxa"/>
            <w:vAlign w:val="bottom"/>
          </w:tcPr>
          <w:p>
            <w:pPr>
              <w:jc w:val="right"/>
              <w:ind w:right="34"/>
              <w:spacing w:after="0"/>
              <w:rPr>
                <w:sz w:val="20"/>
                <w:szCs w:val="20"/>
                <w:color w:val="auto"/>
              </w:rPr>
            </w:pPr>
            <w:r>
              <w:rPr>
                <w:rFonts w:ascii="Arial" w:cs="Arial" w:eastAsia="Arial" w:hAnsi="Arial"/>
                <w:sz w:val="18"/>
                <w:szCs w:val="18"/>
                <w:color w:val="auto"/>
              </w:rPr>
              <w:t>99.1</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Press Release issued on June 28, 2005</w:t>
            </w:r>
          </w:p>
        </w:tc>
        <w:tc>
          <w:tcPr>
            <w:tcW w:w="3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100" w:type="dxa"/>
            <w:vAlign w:val="bottom"/>
          </w:tcPr>
          <w:p>
            <w:pPr>
              <w:jc w:val="center"/>
              <w:ind w:right="33"/>
              <w:spacing w:after="0"/>
              <w:rPr>
                <w:sz w:val="20"/>
                <w:szCs w:val="20"/>
                <w:color w:val="auto"/>
              </w:rPr>
            </w:pPr>
            <w:r>
              <w:rPr>
                <w:rFonts w:ascii="Arial" w:cs="Arial" w:eastAsia="Arial" w:hAnsi="Arial"/>
                <w:sz w:val="18"/>
                <w:szCs w:val="18"/>
                <w:color w:val="auto"/>
                <w:w w:val="99"/>
              </w:rPr>
              <w:t>5</w:t>
            </w:r>
          </w:p>
        </w:tc>
        <w:tc>
          <w:tcPr>
            <w:tcW w:w="3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1"/>
        </w:trPr>
        <w:tc>
          <w:tcPr>
            <w:tcW w:w="94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660" w:type="dxa"/>
            <w:vAlign w:val="bottom"/>
            <w:tcBorders>
              <w:bottom w:val="single" w:sz="8" w:color="808080"/>
            </w:tcBorders>
          </w:tcPr>
          <w:p>
            <w:pPr>
              <w:spacing w:after="0"/>
              <w:rPr>
                <w:sz w:val="7"/>
                <w:szCs w:val="7"/>
                <w:color w:val="auto"/>
              </w:rPr>
            </w:pPr>
          </w:p>
        </w:tc>
        <w:tc>
          <w:tcPr>
            <w:tcW w:w="3100" w:type="dxa"/>
            <w:vAlign w:val="bottom"/>
            <w:tcBorders>
              <w:bottom w:val="single" w:sz="8" w:color="808080"/>
            </w:tcBorders>
          </w:tcPr>
          <w:p>
            <w:pPr>
              <w:spacing w:after="0"/>
              <w:rPr>
                <w:sz w:val="7"/>
                <w:szCs w:val="7"/>
                <w:color w:val="auto"/>
              </w:rPr>
            </w:pPr>
          </w:p>
        </w:tc>
        <w:tc>
          <w:tcPr>
            <w:tcW w:w="3340" w:type="dxa"/>
            <w:vAlign w:val="bottom"/>
            <w:tcBorders>
              <w:bottom w:val="single" w:sz="8" w:color="808080"/>
            </w:tcBorders>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-4122420</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-4122420</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-1635125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-1635125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2" w:name="page3"/>
    <w:bookmarkEnd w:id="2"/>
    <w:p>
      <w:pPr>
        <w:jc w:val="right"/>
        <w:ind w:right="20"/>
        <w:spacing w:after="0"/>
        <w:rPr>
          <w:sz w:val="20"/>
          <w:szCs w:val="20"/>
          <w:color w:val="auto"/>
        </w:rPr>
      </w:pPr>
      <w:r>
        <w:rPr>
          <w:rFonts w:ascii="Arial" w:cs="Arial" w:eastAsia="Arial" w:hAnsi="Arial"/>
          <w:sz w:val="18"/>
          <w:szCs w:val="18"/>
          <w:b w:val="1"/>
          <w:bCs w:val="1"/>
          <w:color w:val="auto"/>
        </w:rPr>
        <w:t>EXHIBIT 3.8</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CERTIFICATE OF TWENTY-FIFTH AMENDMENT</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TO THE BYLAWS OF</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MICRON TECHNOLOGY, INC.</w:t>
      </w:r>
    </w:p>
    <w:p>
      <w:pPr>
        <w:spacing w:after="0" w:line="211"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I, Jan R. Reimer, Assistant Corporate Secretary of Micron Technology, Inc., a Delaware corporation (the “Company”), hereby certify that the following resolution was adopted by the Board of Directors effective as of June 27, 2005:</w:t>
      </w:r>
    </w:p>
    <w:p>
      <w:pPr>
        <w:spacing w:after="0" w:line="166" w:lineRule="exact"/>
        <w:rPr>
          <w:sz w:val="20"/>
          <w:szCs w:val="20"/>
          <w:color w:val="auto"/>
        </w:rPr>
      </w:pPr>
    </w:p>
    <w:p>
      <w:pPr>
        <w:ind w:left="660" w:right="740" w:firstLine="324"/>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Company’s Governance and Compensation Committee of the Board has nominated, approved and recommended that</w:t>
      </w:r>
      <w:r>
        <w:rPr>
          <w:rFonts w:ascii="Arial" w:cs="Arial" w:eastAsia="Arial" w:hAnsi="Arial"/>
          <w:sz w:val="18"/>
          <w:szCs w:val="18"/>
          <w:b w:val="1"/>
          <w:bCs w:val="1"/>
          <w:color w:val="auto"/>
        </w:rPr>
        <w:t xml:space="preserve"> </w:t>
      </w:r>
      <w:r>
        <w:rPr>
          <w:rFonts w:ascii="Arial" w:cs="Arial" w:eastAsia="Arial" w:hAnsi="Arial"/>
          <w:sz w:val="18"/>
          <w:szCs w:val="18"/>
          <w:color w:val="auto"/>
        </w:rPr>
        <w:t>Ms. Mercedes Johnson sit as a member of the Company’s Board of Directors; and</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is in agreement with the recommendation of the Governance and Compensation Committee;</w:t>
      </w:r>
    </w:p>
    <w:p>
      <w:pPr>
        <w:spacing w:after="0" w:line="225" w:lineRule="exact"/>
        <w:rPr>
          <w:sz w:val="20"/>
          <w:szCs w:val="20"/>
          <w:color w:val="auto"/>
        </w:rPr>
      </w:pPr>
    </w:p>
    <w:p>
      <w:pPr>
        <w:ind w:left="660" w:right="280" w:firstLine="324"/>
        <w:spacing w:after="0" w:line="282" w:lineRule="auto"/>
        <w:rPr>
          <w:sz w:val="20"/>
          <w:szCs w:val="20"/>
          <w:color w:val="auto"/>
        </w:rPr>
      </w:pPr>
      <w:r>
        <w:rPr>
          <w:rFonts w:ascii="Arial" w:cs="Arial" w:eastAsia="Arial" w:hAnsi="Arial"/>
          <w:sz w:val="18"/>
          <w:szCs w:val="18"/>
          <w:b w:val="1"/>
          <w:bCs w:val="1"/>
          <w:color w:val="auto"/>
        </w:rPr>
        <w:t>NOW THEREFORE, BE IT RESOLVED</w:t>
      </w:r>
      <w:r>
        <w:rPr>
          <w:rFonts w:ascii="Arial" w:cs="Arial" w:eastAsia="Arial" w:hAnsi="Arial"/>
          <w:sz w:val="18"/>
          <w:szCs w:val="18"/>
          <w:color w:val="auto"/>
        </w:rPr>
        <w:t>, that the first sentence of Article III, Section I of the Bylaws of this Company be deleted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be substituted therefore:</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“SECTION I. The authorized number of directors of the corporation shall be eight.”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I hereunto set my hand and affix the corporate seal of said Company effective as of the 27th day of June, 2005.</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20" w:type="dxa"/>
            <w:vAlign w:val="bottom"/>
            <w:vMerge w:val="restart"/>
          </w:tcPr>
          <w:p>
            <w:pPr>
              <w:ind w:left="660"/>
              <w:spacing w:after="0"/>
              <w:rPr>
                <w:sz w:val="20"/>
                <w:szCs w:val="20"/>
                <w:color w:val="auto"/>
              </w:rPr>
            </w:pPr>
            <w:r>
              <w:rPr>
                <w:rFonts w:ascii="Arial" w:cs="Arial" w:eastAsia="Arial" w:hAnsi="Arial"/>
                <w:sz w:val="18"/>
                <w:szCs w:val="18"/>
                <w:color w:val="auto"/>
              </w:rPr>
              <w:t>(SEAL)</w:t>
            </w:r>
          </w:p>
        </w:tc>
        <w:tc>
          <w:tcPr>
            <w:tcW w:w="7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Jan Reimer</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20" w:type="dxa"/>
            <w:vAlign w:val="bottom"/>
            <w:vMerge w:val="continue"/>
          </w:tcPr>
          <w:p>
            <w:pPr>
              <w:spacing w:after="0"/>
              <w:rPr>
                <w:sz w:val="19"/>
                <w:szCs w:val="19"/>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Assistant Corporate Secretary</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7"/>
        </w:trPr>
        <w:tc>
          <w:tcPr>
            <w:tcW w:w="4020" w:type="dxa"/>
            <w:vAlign w:val="bottom"/>
            <w:tcBorders>
              <w:bottom w:val="single" w:sz="8" w:color="808080"/>
            </w:tcBorders>
          </w:tcPr>
          <w:p>
            <w:pPr>
              <w:spacing w:after="0"/>
              <w:rPr>
                <w:sz w:val="24"/>
                <w:szCs w:val="24"/>
                <w:color w:val="auto"/>
              </w:rPr>
            </w:pPr>
          </w:p>
        </w:tc>
        <w:tc>
          <w:tcPr>
            <w:tcW w:w="74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40" w:type="dxa"/>
            <w:vAlign w:val="bottom"/>
            <w:gridSpan w:val="2"/>
          </w:tcPr>
          <w:p>
            <w:pPr>
              <w:spacing w:after="0"/>
              <w:rPr>
                <w:sz w:val="20"/>
                <w:szCs w:val="20"/>
                <w:color w:val="auto"/>
              </w:rPr>
            </w:pPr>
            <w:r>
              <w:rPr>
                <w:rFonts w:ascii="Arial" w:cs="Arial" w:eastAsia="Arial" w:hAnsi="Arial"/>
                <w:sz w:val="18"/>
                <w:szCs w:val="18"/>
                <w:b w:val="1"/>
                <w:bCs w:val="1"/>
                <w:color w:val="auto"/>
              </w:rPr>
              <w:t>FOR IMMEDIATE RELEASE</w:t>
            </w:r>
          </w:p>
        </w:tc>
        <w:tc>
          <w:tcPr>
            <w:tcW w:w="1980" w:type="dxa"/>
            <w:vAlign w:val="bottom"/>
          </w:tcPr>
          <w:p>
            <w:pPr>
              <w:spacing w:after="0"/>
              <w:rPr>
                <w:sz w:val="20"/>
                <w:szCs w:val="20"/>
                <w:color w:val="auto"/>
              </w:rPr>
            </w:pP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Contacts:</w:t>
            </w:r>
          </w:p>
        </w:tc>
        <w:tc>
          <w:tcPr>
            <w:tcW w:w="2140" w:type="dxa"/>
            <w:vAlign w:val="bottom"/>
          </w:tcPr>
          <w:p>
            <w:pPr>
              <w:ind w:left="200"/>
              <w:spacing w:after="0"/>
              <w:rPr>
                <w:sz w:val="20"/>
                <w:szCs w:val="20"/>
                <w:color w:val="auto"/>
              </w:rPr>
            </w:pPr>
            <w:r>
              <w:rPr>
                <w:rFonts w:ascii="Arial" w:cs="Arial" w:eastAsia="Arial" w:hAnsi="Arial"/>
                <w:sz w:val="18"/>
                <w:szCs w:val="18"/>
                <w:color w:val="auto"/>
              </w:rPr>
              <w:t>Kipp A. Bedard</w:t>
            </w:r>
          </w:p>
        </w:tc>
        <w:tc>
          <w:tcPr>
            <w:tcW w:w="1980" w:type="dxa"/>
            <w:vAlign w:val="bottom"/>
          </w:tcPr>
          <w:p>
            <w:pPr>
              <w:ind w:left="340"/>
              <w:spacing w:after="0"/>
              <w:rPr>
                <w:sz w:val="20"/>
                <w:szCs w:val="20"/>
                <w:color w:val="auto"/>
              </w:rPr>
            </w:pPr>
            <w:r>
              <w:rPr>
                <w:rFonts w:ascii="Arial" w:cs="Arial" w:eastAsia="Arial" w:hAnsi="Arial"/>
                <w:sz w:val="18"/>
                <w:szCs w:val="18"/>
                <w:color w:val="auto"/>
              </w:rPr>
              <w:t>Trudy Sullivan</w:t>
            </w:r>
          </w:p>
        </w:tc>
      </w:tr>
      <w:tr>
        <w:trPr>
          <w:trHeight w:val="216"/>
        </w:trPr>
        <w:tc>
          <w:tcPr>
            <w:tcW w:w="900" w:type="dxa"/>
            <w:vAlign w:val="bottom"/>
          </w:tcPr>
          <w:p>
            <w:pPr>
              <w:spacing w:after="0"/>
              <w:rPr>
                <w:sz w:val="18"/>
                <w:szCs w:val="18"/>
                <w:color w:val="auto"/>
              </w:rPr>
            </w:pPr>
          </w:p>
        </w:tc>
        <w:tc>
          <w:tcPr>
            <w:tcW w:w="2140" w:type="dxa"/>
            <w:vAlign w:val="bottom"/>
          </w:tcPr>
          <w:p>
            <w:pPr>
              <w:ind w:left="200"/>
              <w:spacing w:after="0"/>
              <w:rPr>
                <w:sz w:val="20"/>
                <w:szCs w:val="20"/>
                <w:color w:val="auto"/>
              </w:rPr>
            </w:pPr>
            <w:r>
              <w:rPr>
                <w:rFonts w:ascii="Arial" w:cs="Arial" w:eastAsia="Arial" w:hAnsi="Arial"/>
                <w:sz w:val="18"/>
                <w:szCs w:val="18"/>
                <w:color w:val="auto"/>
              </w:rPr>
              <w:t>Investor Relations</w:t>
            </w:r>
          </w:p>
        </w:tc>
        <w:tc>
          <w:tcPr>
            <w:tcW w:w="1980" w:type="dxa"/>
            <w:vAlign w:val="bottom"/>
          </w:tcPr>
          <w:p>
            <w:pPr>
              <w:ind w:left="340"/>
              <w:spacing w:after="0"/>
              <w:rPr>
                <w:sz w:val="20"/>
                <w:szCs w:val="20"/>
                <w:color w:val="auto"/>
              </w:rPr>
            </w:pPr>
            <w:r>
              <w:rPr>
                <w:rFonts w:ascii="Arial" w:cs="Arial" w:eastAsia="Arial" w:hAnsi="Arial"/>
                <w:sz w:val="18"/>
                <w:szCs w:val="18"/>
                <w:color w:val="auto"/>
              </w:rPr>
              <w:t>Media Relations</w:t>
            </w:r>
          </w:p>
        </w:tc>
      </w:tr>
      <w:tr>
        <w:trPr>
          <w:trHeight w:val="216"/>
        </w:trPr>
        <w:tc>
          <w:tcPr>
            <w:tcW w:w="900" w:type="dxa"/>
            <w:vAlign w:val="bottom"/>
          </w:tcPr>
          <w:p>
            <w:pPr>
              <w:spacing w:after="0"/>
              <w:rPr>
                <w:sz w:val="18"/>
                <w:szCs w:val="18"/>
                <w:color w:val="auto"/>
              </w:rPr>
            </w:pPr>
          </w:p>
        </w:tc>
        <w:tc>
          <w:tcPr>
            <w:tcW w:w="2140" w:type="dxa"/>
            <w:vAlign w:val="bottom"/>
          </w:tcPr>
          <w:p>
            <w:pPr>
              <w:ind w:left="200"/>
              <w:spacing w:after="0"/>
              <w:rPr>
                <w:sz w:val="20"/>
                <w:szCs w:val="20"/>
                <w:color w:val="auto"/>
              </w:rPr>
            </w:pPr>
            <w:r>
              <w:rPr>
                <w:rFonts w:ascii="Arial" w:cs="Arial" w:eastAsia="Arial" w:hAnsi="Arial"/>
                <w:sz w:val="18"/>
                <w:szCs w:val="18"/>
                <w:color w:val="auto"/>
              </w:rPr>
              <w:t>kbedard@micron.com</w:t>
            </w:r>
          </w:p>
        </w:tc>
        <w:tc>
          <w:tcPr>
            <w:tcW w:w="1980" w:type="dxa"/>
            <w:vAlign w:val="bottom"/>
          </w:tcPr>
          <w:p>
            <w:pPr>
              <w:ind w:left="340"/>
              <w:spacing w:after="0"/>
              <w:rPr>
                <w:sz w:val="20"/>
                <w:szCs w:val="20"/>
                <w:color w:val="auto"/>
              </w:rPr>
            </w:pPr>
            <w:r>
              <w:rPr>
                <w:rFonts w:ascii="Arial" w:cs="Arial" w:eastAsia="Arial" w:hAnsi="Arial"/>
                <w:sz w:val="18"/>
                <w:szCs w:val="18"/>
                <w:color w:val="auto"/>
                <w:w w:val="91"/>
              </w:rPr>
              <w:t>tsullivan@micron.com</w:t>
            </w:r>
          </w:p>
        </w:tc>
      </w:tr>
      <w:tr>
        <w:trPr>
          <w:trHeight w:val="230"/>
        </w:trPr>
        <w:tc>
          <w:tcPr>
            <w:tcW w:w="900" w:type="dxa"/>
            <w:vAlign w:val="bottom"/>
          </w:tcPr>
          <w:p>
            <w:pPr>
              <w:spacing w:after="0"/>
              <w:rPr>
                <w:sz w:val="20"/>
                <w:szCs w:val="20"/>
                <w:color w:val="auto"/>
              </w:rPr>
            </w:pPr>
          </w:p>
        </w:tc>
        <w:tc>
          <w:tcPr>
            <w:tcW w:w="2140" w:type="dxa"/>
            <w:vAlign w:val="bottom"/>
          </w:tcPr>
          <w:p>
            <w:pPr>
              <w:ind w:left="200"/>
              <w:spacing w:after="0"/>
              <w:rPr>
                <w:sz w:val="20"/>
                <w:szCs w:val="20"/>
                <w:color w:val="auto"/>
              </w:rPr>
            </w:pPr>
            <w:r>
              <w:rPr>
                <w:rFonts w:ascii="Arial" w:cs="Arial" w:eastAsia="Arial" w:hAnsi="Arial"/>
                <w:sz w:val="18"/>
                <w:szCs w:val="18"/>
                <w:color w:val="auto"/>
              </w:rPr>
              <w:t>(208) 368-4400</w:t>
            </w:r>
          </w:p>
        </w:tc>
        <w:tc>
          <w:tcPr>
            <w:tcW w:w="1980" w:type="dxa"/>
            <w:vAlign w:val="bottom"/>
          </w:tcPr>
          <w:p>
            <w:pPr>
              <w:ind w:left="340"/>
              <w:spacing w:after="0"/>
              <w:rPr>
                <w:sz w:val="20"/>
                <w:szCs w:val="20"/>
                <w:color w:val="auto"/>
              </w:rPr>
            </w:pPr>
            <w:r>
              <w:rPr>
                <w:rFonts w:ascii="Arial" w:cs="Arial" w:eastAsia="Arial" w:hAnsi="Arial"/>
                <w:sz w:val="18"/>
                <w:szCs w:val="18"/>
                <w:color w:val="auto"/>
              </w:rPr>
              <w:t>(208) 368-4400</w:t>
            </w:r>
          </w:p>
        </w:tc>
      </w:tr>
    </w:tbl>
    <w:p>
      <w:pPr>
        <w:spacing w:after="0" w:line="20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Web site URL http://www.micron.com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MICRON TECHNOLOGY, INC., ANNOUNCES APPOINTMENT OF NEW DIRECTOR</w:t>
      </w:r>
    </w:p>
    <w:p>
      <w:pPr>
        <w:spacing w:after="0" w:line="225" w:lineRule="exact"/>
        <w:rPr>
          <w:sz w:val="20"/>
          <w:szCs w:val="20"/>
          <w:color w:val="auto"/>
        </w:rPr>
      </w:pPr>
    </w:p>
    <w:p>
      <w:pPr>
        <w:ind w:right="140" w:firstLine="360"/>
        <w:spacing w:after="0" w:line="273" w:lineRule="auto"/>
        <w:rPr>
          <w:sz w:val="20"/>
          <w:szCs w:val="20"/>
          <w:color w:val="auto"/>
        </w:rPr>
      </w:pPr>
      <w:r>
        <w:rPr>
          <w:rFonts w:ascii="Arial" w:cs="Arial" w:eastAsia="Arial" w:hAnsi="Arial"/>
          <w:sz w:val="17"/>
          <w:szCs w:val="17"/>
          <w:color w:val="auto"/>
        </w:rPr>
        <w:t>Boise, Idaho, June 28, 2005 – Micron Technology, Inc., (NYSE: MU) today announced the appointment of Mercedes Johnson to its board of directors. Ms. Johnson, most recently worked with Lam Research Corporation, serving for seven years as its senior vice president, finance, and chief financial officer. Prior to joining Lam Research, Ms. Johnson spent 10 years with Applied Materials, Inc., where she served in various senior financial management positions, including vice president and worldwide operations controller. In addition, Ms. Johnson has held managerial and controller positions at Nanometrics, Inc., NCR Corporation, and Hewlett-Packard Company. Ms. Johnson holds a degree in accounting from the University of Buenos Aires and currently serves on the board of directors for Storage Technology Corporation (StorageTek®).</w:t>
      </w:r>
    </w:p>
    <w:p>
      <w:pPr>
        <w:spacing w:after="0" w:line="178" w:lineRule="exact"/>
        <w:rPr>
          <w:sz w:val="20"/>
          <w:szCs w:val="20"/>
          <w:color w:val="auto"/>
        </w:rPr>
      </w:pPr>
    </w:p>
    <w:p>
      <w:pPr>
        <w:ind w:right="100" w:firstLine="360"/>
        <w:spacing w:after="0" w:line="264" w:lineRule="auto"/>
        <w:rPr>
          <w:sz w:val="20"/>
          <w:szCs w:val="20"/>
          <w:color w:val="auto"/>
        </w:rPr>
      </w:pPr>
      <w:r>
        <w:rPr>
          <w:rFonts w:ascii="Arial" w:cs="Arial" w:eastAsia="Arial" w:hAnsi="Arial"/>
          <w:sz w:val="18"/>
          <w:szCs w:val="18"/>
          <w:color w:val="auto"/>
        </w:rPr>
        <w:t>Steve Appleton, Micron’s chairman of the board, chief executive officer and president, commented, “We are extremely pleased to welcome Mercedes to Micron’s board of directors. She has an excellent financial background and nearly two decades of experience in the semiconductor industry. She will be an immediate, valuable and contributing member of the board of directors.”</w:t>
      </w:r>
    </w:p>
    <w:p>
      <w:pPr>
        <w:spacing w:after="0" w:line="18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Micron Technology, Inc., is one of the world’s leading providers of advanced semiconductor solutions. Through its worldwide operations, Micron manufactures and markets DRAMs, NAND Flash memory, CMOS image sensors, other semiconductor components, and memory modules for use in leading-edge computing, consumer, networking and mobile products. Micron’s common stock is traded on the New York Stock Exchange (NYSE) under the MU symbol. To learn more about Micron Technology, Inc., visit its web site at www.micron.com.</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Micron and the Micron orbit logo are trademarks of Micron Technology, Inc. All other trademarks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2019-12-13T13:16:57Z</dcterms:created>
  <dcterms:modified xsi:type="dcterms:W3CDTF">2019-12-13T13:16:57Z</dcterms:modified>
</cp:coreProperties>
</file>