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20, 2024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March 20, 2024, Micron Technology, Inc. (the "Company", "we" or "our") announced the financial results for our second quarter of fiscal 2024 ended February 29, 2024. The full text of the Company's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BD03F7"/>
              </w:rPr>
              <w:t>Press Release issued on March 20, 2024</w:t>
            </w:r>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BD03F7"/>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20" w:type="dxa"/>
            <w:vAlign w:val="bottom"/>
          </w:tcPr>
          <w:p>
            <w:pPr>
              <w:spacing w:after="0"/>
              <w:rPr>
                <w:sz w:val="21"/>
                <w:szCs w:val="21"/>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720" w:type="dxa"/>
            <w:vAlign w:val="bottom"/>
          </w:tcPr>
          <w:p>
            <w:pPr>
              <w:spacing w:after="0"/>
              <w:rPr>
                <w:sz w:val="20"/>
                <w:szCs w:val="20"/>
                <w:color w:val="auto"/>
              </w:rPr>
            </w:pPr>
            <w:r>
              <w:rPr>
                <w:rFonts w:ascii="Arial" w:cs="Arial" w:eastAsia="Arial" w:hAnsi="Arial"/>
                <w:sz w:val="18"/>
                <w:szCs w:val="18"/>
                <w:color w:val="auto"/>
              </w:rPr>
              <w:t>Date:   March 20, 2024</w:t>
            </w:r>
          </w:p>
        </w:tc>
        <w:tc>
          <w:tcPr>
            <w:tcW w:w="2640" w:type="dxa"/>
            <w:vAlign w:val="bottom"/>
          </w:tcPr>
          <w:p>
            <w:pPr>
              <w:ind w:left="17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720" w:type="dxa"/>
            <w:vAlign w:val="bottom"/>
          </w:tcPr>
          <w:p>
            <w:pPr>
              <w:spacing w:after="0"/>
              <w:rPr>
                <w:sz w:val="18"/>
                <w:szCs w:val="18"/>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720" w:type="dxa"/>
            <w:vAlign w:val="bottom"/>
          </w:tcPr>
          <w:p>
            <w:pPr>
              <w:spacing w:after="0"/>
              <w:rPr>
                <w:sz w:val="20"/>
                <w:szCs w:val="20"/>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29"/>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2000" w:type="dxa"/>
            <w:vAlign w:val="bottom"/>
            <w:gridSpan w:val="2"/>
          </w:tcPr>
          <w:p>
            <w:pPr>
              <w:spacing w:after="0" w:line="195" w:lineRule="exact"/>
              <w:rPr>
                <w:sz w:val="20"/>
                <w:szCs w:val="20"/>
                <w:color w:val="auto"/>
              </w:rPr>
            </w:pPr>
            <w:r>
              <w:rPr>
                <w:rFonts w:ascii="Arial" w:cs="Arial" w:eastAsia="Arial" w:hAnsi="Arial"/>
                <w:sz w:val="18"/>
                <w:szCs w:val="18"/>
                <w:color w:val="BD03F7"/>
              </w:rPr>
              <w:t>epompen@micron.com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86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OF FISCAL 2024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AI demand and tight supply accelerate return to profitability</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20, 2024 – Micron Technology, Inc. (Nasdaq: MU) today announced results for its second quarter of fiscal 2024,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February 29, 2024.</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Q2 2024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$5.82 billion versus $4.73 billion for the prior quarter and $3.69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$793 million, or $0.71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$476 million, or $0.42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$1.22 billion versus $1.40 billion for the prior quarter and $343 million for the same period last year</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“Micron delivered fiscal Q2 results with revenue, gross margin and EPS well above the high-end of our guidance range — a testament to our team’s excellent execution on pricing, products and operations,” said Sanjay Mehrotra, President and CEO of Micron Technology. “Our preeminent product portfolio positions us well to deliver a strong fiscal second half of 2024. We believe Micron is one of the biggest beneficiaries in the semiconductor industry of the multi-year opportunity enabled by AI.”</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FQ2-24</w:t>
            </w: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FQ1-24</w:t>
            </w:r>
          </w:p>
        </w:tc>
        <w:tc>
          <w:tcPr>
            <w:tcW w:w="20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FQ2-23</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FQ2-24</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FQ1-24</w:t>
            </w: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FQ2-23</w:t>
            </w:r>
          </w:p>
        </w:tc>
      </w:tr>
      <w:tr>
        <w:trPr>
          <w:trHeight w:val="34"/>
        </w:trPr>
        <w:tc>
          <w:tcPr>
            <w:tcW w:w="41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5,824</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4,726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    5,824</w:t>
            </w:r>
          </w:p>
        </w:tc>
        <w:tc>
          <w:tcPr>
            <w:tcW w:w="12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    4,726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3,693</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1,079</w:t>
            </w:r>
          </w:p>
        </w:tc>
        <w:tc>
          <w:tcPr>
            <w:tcW w:w="2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1,163</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(1,161)</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18.5 %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(0.7 %)</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(32.7 %)</w:t>
            </w:r>
          </w:p>
        </w:tc>
        <w:tc>
          <w:tcPr>
            <w:tcW w:w="10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20.0 %</w:t>
            </w: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0.8 %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(31.4 %)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1,093</w:t>
            </w:r>
          </w:p>
        </w:tc>
        <w:tc>
          <w:tcPr>
            <w:tcW w:w="20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959</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916</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112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204</w:t>
            </w: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(2,077)</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(23.9 %)</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(62.4 %)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3.5 %</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(20.2 %)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(56.2 %)</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793</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476</w:t>
            </w: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(1,048)</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(2,081)</w:t>
            </w: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0.42</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(1.91)</w:t>
            </w:r>
          </w:p>
        </w:tc>
      </w:tr>
    </w:tbl>
    <w:p>
      <w:pPr>
        <w:spacing w:after="0" w:line="29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$1.25 billion for the second quarter of 2024,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negative $ 29 million. Micron ended the second quarter of 2024 with cash, marketable investments, and restricted cash of $9.72 billion. On March 20, 2024, Micron’s Board of Directors declared a quarterly dividend of $0.115 per share, payable in cash on April 16, 2024, to shareholders of record as of the close of business on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4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4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third quarter of 2024:</w:t>
            </w:r>
          </w:p>
        </w:tc>
        <w:tc>
          <w:tcPr>
            <w:tcW w:w="25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FQ3-24</w:t>
            </w:r>
          </w:p>
        </w:tc>
        <w:tc>
          <w:tcPr>
            <w:tcW w:w="2580" w:type="dxa"/>
            <w:vAlign w:val="bottom"/>
            <w:tcBorders>
              <w:bottom w:val="single" w:sz="8" w:color="auto"/>
            </w:tcBorders>
          </w:tcPr>
          <w:p>
            <w:pPr>
              <w:jc w:val="right"/>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5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$6.60 billion ± $200 million</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80" w:type="dxa"/>
            <w:vAlign w:val="bottom"/>
          </w:tcPr>
          <w:p>
            <w:pPr>
              <w:jc w:val="right"/>
              <w:spacing w:after="0"/>
              <w:rPr>
                <w:sz w:val="20"/>
                <w:szCs w:val="20"/>
                <w:color w:val="auto"/>
              </w:rPr>
            </w:pPr>
            <w:r>
              <w:rPr>
                <w:rFonts w:ascii="Arial" w:cs="Arial" w:eastAsia="Arial" w:hAnsi="Arial"/>
                <w:sz w:val="18"/>
                <w:szCs w:val="18"/>
                <w:color w:val="auto"/>
              </w:rPr>
              <w:t>25.5% ± 1.5%</w:t>
            </w:r>
          </w:p>
        </w:tc>
        <w:tc>
          <w:tcPr>
            <w:tcW w:w="2240" w:type="dxa"/>
            <w:vAlign w:val="bottom"/>
          </w:tcPr>
          <w:p>
            <w:pPr>
              <w:jc w:val="right"/>
              <w:spacing w:after="0"/>
              <w:rPr>
                <w:sz w:val="20"/>
                <w:szCs w:val="20"/>
                <w:color w:val="auto"/>
              </w:rPr>
            </w:pPr>
            <w:r>
              <w:rPr>
                <w:rFonts w:ascii="Arial" w:cs="Arial" w:eastAsia="Arial" w:hAnsi="Arial"/>
                <w:sz w:val="18"/>
                <w:szCs w:val="18"/>
                <w:color w:val="auto"/>
              </w:rPr>
              <w:t>26.5% ± 1.5%</w:t>
            </w:r>
          </w:p>
        </w:tc>
      </w:tr>
      <w:tr>
        <w:trPr>
          <w:trHeight w:val="229"/>
        </w:trPr>
        <w:tc>
          <w:tcPr>
            <w:tcW w:w="6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5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$990 million ± $15 million</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80" w:type="dxa"/>
            <w:vAlign w:val="bottom"/>
          </w:tcPr>
          <w:p>
            <w:pPr>
              <w:jc w:val="right"/>
              <w:spacing w:after="0"/>
              <w:rPr>
                <w:sz w:val="20"/>
                <w:szCs w:val="20"/>
                <w:color w:val="auto"/>
              </w:rPr>
            </w:pPr>
            <w:r>
              <w:rPr>
                <w:rFonts w:ascii="Arial" w:cs="Arial" w:eastAsia="Arial" w:hAnsi="Arial"/>
                <w:sz w:val="18"/>
                <w:szCs w:val="18"/>
                <w:color w:val="auto"/>
              </w:rPr>
              <w:t>$0.17 ± $0.07</w:t>
            </w:r>
          </w:p>
        </w:tc>
        <w:tc>
          <w:tcPr>
            <w:tcW w:w="2240" w:type="dxa"/>
            <w:vAlign w:val="bottom"/>
          </w:tcPr>
          <w:p>
            <w:pPr>
              <w:jc w:val="right"/>
              <w:spacing w:after="0"/>
              <w:rPr>
                <w:sz w:val="20"/>
                <w:szCs w:val="20"/>
                <w:color w:val="auto"/>
              </w:rPr>
            </w:pPr>
            <w:r>
              <w:rPr>
                <w:rFonts w:ascii="Arial" w:cs="Arial" w:eastAsia="Arial" w:hAnsi="Arial"/>
                <w:sz w:val="18"/>
                <w:szCs w:val="18"/>
                <w:color w:val="auto"/>
              </w:rPr>
              <w:t>$0.45 ± $0.07</w:t>
            </w:r>
          </w:p>
        </w:tc>
      </w:tr>
    </w:tbl>
    <w:p>
      <w:pPr>
        <w:spacing w:after="0" w:line="3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Micron will host a conference call on Wednesday, March 20, 2024 at 2:30 p.m. Mountain Time to discuss its second quarter financial results and provide forward-looking guidance for its third quarter. A live webcast of the call will be available online at </w:t>
      </w:r>
      <w:r>
        <w:rPr>
          <w:rFonts w:ascii="Arial" w:cs="Arial" w:eastAsia="Arial" w:hAnsi="Arial"/>
          <w:sz w:val="17"/>
          <w:szCs w:val="17"/>
          <w:u w:val="single" w:color="auto"/>
          <w:color w:val="BD03F7"/>
        </w:rPr>
        <w:t>investors.micron.com</w:t>
      </w:r>
      <w:r>
        <w:rPr>
          <w:rFonts w:ascii="Arial" w:cs="Arial" w:eastAsia="Arial" w:hAnsi="Arial"/>
          <w:sz w:val="17"/>
          <w:szCs w:val="17"/>
          <w:color w:val="auto"/>
        </w:rPr>
        <w:t>. A webcast replay will be available for one year after the call. For Investor Relations and other company updates, follow us on X @MicronTech.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2024 Micron Technology, Inc. All rights reserved. Micron, the Micron logo, and all other Micron trademarks are the property of Micron Technology, Inc. All other trademarks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technology trends and developments, market demand, and our financial and operating results, including our guidance for the third quarter of 2024.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3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c>
          <w:tcPr>
            <w:tcW w:w="22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February 29,</w:t>
            </w:r>
          </w:p>
        </w:tc>
        <w:tc>
          <w:tcPr>
            <w:tcW w:w="13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November 30,</w:t>
            </w:r>
          </w:p>
        </w:tc>
        <w:tc>
          <w:tcPr>
            <w:tcW w:w="220" w:type="dxa"/>
            <w:vAlign w:val="bottom"/>
          </w:tcPr>
          <w:p>
            <w:pPr>
              <w:spacing w:after="0"/>
              <w:rPr>
                <w:sz w:val="14"/>
                <w:szCs w:val="14"/>
                <w:color w:val="auto"/>
              </w:rPr>
            </w:pPr>
          </w:p>
        </w:tc>
        <w:tc>
          <w:tcPr>
            <w:tcW w:w="110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rPr>
              <w:t>March 2,</w:t>
            </w:r>
          </w:p>
        </w:tc>
        <w:tc>
          <w:tcPr>
            <w:tcW w:w="140" w:type="dxa"/>
            <w:vAlign w:val="bottom"/>
          </w:tcPr>
          <w:p>
            <w:pPr>
              <w:spacing w:after="0"/>
              <w:rPr>
                <w:sz w:val="14"/>
                <w:szCs w:val="14"/>
                <w:color w:val="auto"/>
              </w:rPr>
            </w:pPr>
          </w:p>
        </w:tc>
        <w:tc>
          <w:tcPr>
            <w:tcW w:w="120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8"/>
              </w:rPr>
              <w:t>February 29,</w:t>
            </w:r>
          </w:p>
        </w:tc>
        <w:tc>
          <w:tcPr>
            <w:tcW w:w="220" w:type="dxa"/>
            <w:vAlign w:val="bottom"/>
          </w:tcPr>
          <w:p>
            <w:pPr>
              <w:spacing w:after="0"/>
              <w:rPr>
                <w:sz w:val="14"/>
                <w:szCs w:val="14"/>
                <w:color w:val="auto"/>
              </w:rPr>
            </w:pPr>
          </w:p>
        </w:tc>
        <w:tc>
          <w:tcPr>
            <w:tcW w:w="112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March 2,</w:t>
            </w:r>
          </w:p>
        </w:tc>
      </w:tr>
      <w:tr>
        <w:trPr>
          <w:trHeight w:val="243"/>
        </w:trPr>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5,824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3,693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10,550</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7,778</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1,637</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(2,512)</w:t>
            </w: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(2,447)</w:t>
            </w:r>
          </w:p>
        </w:tc>
      </w:tr>
      <w:tr>
        <w:trPr>
          <w:trHeight w:val="256"/>
        </w:trPr>
        <w:tc>
          <w:tcPr>
            <w:tcW w:w="45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57"/>
        </w:trPr>
        <w:tc>
          <w:tcPr>
            <w:tcW w:w="45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r>
      <w:tr>
        <w:trPr>
          <w:trHeight w:val="239"/>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29,</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30,</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8,075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8,443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8,276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23,435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21,058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37,587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37,677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65,718</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4,680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3,946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5,962</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13,378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956</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11,564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39,997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65,718</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29,</w:t>
            </w:r>
          </w:p>
        </w:tc>
        <w:tc>
          <w:tcPr>
            <w:tcW w:w="240" w:type="dxa"/>
            <w:vAlign w:val="bottom"/>
          </w:tcPr>
          <w:p>
            <w:pPr>
              <w:spacing w:after="0"/>
              <w:rPr>
                <w:sz w:val="17"/>
                <w:szCs w:val="17"/>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Provision to write-down inventories to net realizable value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D1D2D4"/>
          </w:tcPr>
          <w:p>
            <w:pPr>
              <w:spacing w:after="0"/>
              <w:rPr>
                <w:sz w:val="21"/>
                <w:szCs w:val="21"/>
                <w:color w:val="auto"/>
              </w:rPr>
            </w:pPr>
          </w:p>
        </w:tc>
        <w:tc>
          <w:tcPr>
            <w:tcW w:w="1300" w:type="dxa"/>
            <w:vAlign w:val="bottom"/>
            <w:shd w:val="clear" w:color="auto" w:fill="D1D2D4"/>
          </w:tcPr>
          <w:p>
            <w:pPr>
              <w:spacing w:after="0"/>
              <w:rPr>
                <w:sz w:val="21"/>
                <w:szCs w:val="21"/>
                <w:color w:val="auto"/>
              </w:rPr>
            </w:pPr>
          </w:p>
        </w:tc>
        <w:tc>
          <w:tcPr>
            <w:tcW w:w="240" w:type="dxa"/>
            <w:vAlign w:val="bottom"/>
            <w:shd w:val="clear" w:color="auto" w:fill="D1D2D4"/>
          </w:tcPr>
          <w:p>
            <w:pPr>
              <w:spacing w:after="0"/>
              <w:rPr>
                <w:sz w:val="21"/>
                <w:szCs w:val="21"/>
                <w:color w:val="auto"/>
              </w:rPr>
            </w:pPr>
          </w:p>
        </w:tc>
        <w:tc>
          <w:tcPr>
            <w:tcW w:w="120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(3,180)</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(1,101)</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8,101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2023, we recorded charges of $1.83 billion to cost of goods sold to write down the carrying value of work in process and finished goods inventories to their estimated net realizable value (“NRV”).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1st Qtr.</w:t>
            </w: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rPr>
              <w:t>February 29,</w:t>
            </w:r>
          </w:p>
        </w:tc>
        <w:tc>
          <w:tcPr>
            <w:tcW w:w="134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November 30,</w:t>
            </w:r>
          </w:p>
        </w:tc>
        <w:tc>
          <w:tcPr>
            <w:tcW w:w="240" w:type="dxa"/>
            <w:vAlign w:val="bottom"/>
          </w:tcPr>
          <w:p>
            <w:pPr>
              <w:spacing w:after="0"/>
              <w:rPr>
                <w:sz w:val="14"/>
                <w:szCs w:val="14"/>
                <w:color w:val="auto"/>
              </w:rPr>
            </w:pPr>
          </w:p>
        </w:tc>
        <w:tc>
          <w:tcPr>
            <w:tcW w:w="110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rPr>
              <w:t>March 2,</w:t>
            </w:r>
          </w:p>
        </w:tc>
        <w:tc>
          <w:tcPr>
            <w:tcW w:w="140" w:type="dxa"/>
            <w:vAlign w:val="bottom"/>
          </w:tcPr>
          <w:p>
            <w:pPr>
              <w:spacing w:after="0"/>
              <w:rPr>
                <w:sz w:val="14"/>
                <w:szCs w:val="14"/>
                <w:color w:val="auto"/>
              </w:rPr>
            </w:pPr>
          </w:p>
        </w:tc>
        <w:tc>
          <w:tcPr>
            <w:tcW w:w="1180" w:type="dxa"/>
            <w:vAlign w:val="bottom"/>
          </w:tcPr>
          <w:p>
            <w:pPr>
              <w:jc w:val="right"/>
              <w:ind w:right="10"/>
              <w:spacing w:after="0" w:line="169" w:lineRule="exact"/>
              <w:rPr>
                <w:sz w:val="20"/>
                <w:szCs w:val="20"/>
                <w:color w:val="auto"/>
              </w:rPr>
            </w:pPr>
            <w:r>
              <w:rPr>
                <w:rFonts w:ascii="Arial" w:cs="Arial" w:eastAsia="Arial" w:hAnsi="Arial"/>
                <w:sz w:val="18"/>
                <w:szCs w:val="18"/>
                <w:b w:val="1"/>
                <w:bCs w:val="1"/>
                <w:color w:val="auto"/>
                <w:w w:val="98"/>
              </w:rPr>
              <w:t>February 29,</w:t>
            </w:r>
          </w:p>
        </w:tc>
        <w:tc>
          <w:tcPr>
            <w:tcW w:w="240" w:type="dxa"/>
            <w:vAlign w:val="bottom"/>
          </w:tcPr>
          <w:p>
            <w:pPr>
              <w:spacing w:after="0"/>
              <w:rPr>
                <w:sz w:val="14"/>
                <w:szCs w:val="14"/>
                <w:color w:val="auto"/>
              </w:rPr>
            </w:pPr>
          </w:p>
        </w:tc>
        <w:tc>
          <w:tcPr>
            <w:tcW w:w="112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March 2,</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 $</w:t>
            </w:r>
          </w:p>
        </w:tc>
        <w:tc>
          <w:tcPr>
            <w:tcW w:w="132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Lower costs from sale of inventory written down in prior</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987</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periods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987</w:t>
            </w:r>
          </w:p>
        </w:tc>
        <w:tc>
          <w:tcPr>
            <w:tcW w:w="2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first quarter of 2024, we recorded tax expense based on actual first quarter results, as small changes in our projected pre-tax income cause significant changes in the estimated annual effective tax rate. With our improved fiscal 2024 outlook, we can now estimate a more reliable annual effective tax rate and have reverted to a global annual effective tax rate method. The second fiscal quarter tax benefit arises from applying this estimated annual effective tax rate to our year-to-date results.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20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r>
      <w:tr>
        <w:trPr>
          <w:trHeight w:val="181"/>
        </w:trPr>
        <w:tc>
          <w:tcPr>
            <w:tcW w:w="7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8"/>
              </w:rPr>
              <w:t>February 29,</w:t>
            </w: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c>
          <w:tcPr>
            <w:tcW w:w="200" w:type="dxa"/>
            <w:vAlign w:val="bottom"/>
          </w:tcPr>
          <w:p>
            <w:pPr>
              <w:spacing w:after="0"/>
              <w:rPr>
                <w:sz w:val="15"/>
                <w:szCs w:val="15"/>
                <w:color w:val="auto"/>
              </w:rPr>
            </w:pPr>
          </w:p>
        </w:tc>
        <w:tc>
          <w:tcPr>
            <w:tcW w:w="110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rPr>
              <w:t>March 2,</w:t>
            </w:r>
          </w:p>
        </w:tc>
      </w:tr>
      <w:tr>
        <w:trPr>
          <w:trHeight w:val="243"/>
        </w:trPr>
        <w:tc>
          <w:tcPr>
            <w:tcW w:w="7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r>
      <w:tr>
        <w:trPr>
          <w:trHeight w:val="34"/>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72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890" w:right="33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GAAP operating expenses</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Stock-based compensation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Restructure and asset impairments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Patent cross-license agreement gain</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-4620895</wp:posOffset>
            </wp:positionH>
            <wp:positionV relativeFrom="paragraph">
              <wp:posOffset>-770890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-479425</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-187960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40"/>
          </w:cols>
          <w:pgMar w:left="320" w:top="890" w:right="339" w:bottom="144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GAAP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Restructure and asset impairments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Patent cross-license agreement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Stock-based compensation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Restructure and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Patent cross-license agreement gain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Estimated tax effects of above and other tax adjustments</w:t>
      </w:r>
      <w:r>
        <w:rPr>
          <w:rFonts w:ascii="Arial" w:cs="Arial" w:eastAsia="Arial" w:hAnsi="Arial"/>
          <w:sz w:val="23"/>
          <w:szCs w:val="23"/>
          <w:color w:val="auto"/>
          <w:vertAlign w:val="superscript"/>
        </w:rPr>
        <w:t>(1)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41" w:lineRule="exact"/>
        <w:rPr>
          <w:sz w:val="20"/>
          <w:szCs w:val="20"/>
          <w:color w:val="auto"/>
        </w:rPr>
      </w:pPr>
    </w:p>
    <w:p>
      <w:pPr>
        <w:ind w:left="160" w:right="1180" w:hanging="121"/>
        <w:spacing w:after="0" w:line="289" w:lineRule="auto"/>
        <w:rPr>
          <w:sz w:val="20"/>
          <w:szCs w:val="20"/>
          <w:color w:val="auto"/>
        </w:rPr>
      </w:pPr>
      <w:r>
        <w:rPr>
          <w:rFonts w:ascii="Arial" w:cs="Arial" w:eastAsia="Arial" w:hAnsi="Arial"/>
          <w:sz w:val="18"/>
          <w:szCs w:val="18"/>
          <w:b w:val="1"/>
          <w:bCs w:val="1"/>
          <w:color w:val="auto"/>
        </w:rPr>
        <w:t xml:space="preserve">GAAP weighted-average common shares outstanding - Diluted </w:t>
      </w:r>
      <w:r>
        <w:rPr>
          <w:rFonts w:ascii="Arial" w:cs="Arial" w:eastAsia="Arial" w:hAnsi="Arial"/>
          <w:sz w:val="18"/>
          <w:szCs w:val="18"/>
          <w:color w:val="auto"/>
        </w:rPr>
        <w:t>Adjustment for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-167005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b w:val="1"/>
          <w:bCs w:val="1"/>
          <w:color w:val="auto"/>
        </w:rPr>
        <w:t>Non-GAAP weighted-average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71151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GAAP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Effects of the above adjustments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diluted earnings (loss) per share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(2,303)</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80" w:space="720"/>
            <w:col w:w="3940"/>
          </w:cols>
          <w:pgMar w:left="320" w:top="890" w:right="339" w:bottom="1440" w:gutter="0" w:footer="0" w:header="0"/>
          <w:type w:val="continuous"/>
        </w:sectPr>
      </w:pPr>
    </w:p>
    <w:p>
      <w:pPr>
        <w:spacing w:after="0" w:line="119" w:lineRule="exact"/>
        <w:rPr>
          <w:sz w:val="20"/>
          <w:szCs w:val="20"/>
          <w:color w:val="auto"/>
        </w:rPr>
      </w:pPr>
    </w:p>
    <w:p>
      <w:pPr>
        <w:ind w:left="340" w:right="140" w:hanging="332"/>
        <w:spacing w:after="0"/>
        <w:tabs>
          <w:tab w:leader="none" w:pos="33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As described in the Income Tax note above, the second fiscal quarter tax benefit arises from applying our estimated annual effective tax rate to our year-to-date results. A portion of this benefit is included in our non-GAAP net income, with a larger benefit in our GAAP net income. The divergence between the GAAP and non-GAAP amounts of this tax benefit relates to the difference in our GAAP and non-GAAP estimated annual effective tax rates, which are computed separately.</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type w:val="continuous"/>
        </w:sectPr>
      </w:pPr>
    </w:p>
    <w:bookmarkStart w:id="10" w:name="page11"/>
    <w:bookmarkEnd w:id="10"/>
    <w:tbl>
      <w:tblPr>
        <w:tblLayout w:type="fixed"/>
        <w:tblInd w:w="20" w:type="dxa"/>
        <w:tblCellMar>
          <w:top w:w="0" w:type="dxa"/>
          <w:left w:w="0" w:type="dxa"/>
          <w:bottom w:w="0" w:type="dxa"/>
          <w:right w:w="0" w:type="dxa"/>
        </w:tblCellMar>
      </w:tblPr>
      <w:tr>
        <w:trPr>
          <w:trHeight w:val="247"/>
        </w:trPr>
        <w:tc>
          <w:tcPr>
            <w:tcW w:w="8820" w:type="dxa"/>
            <w:vAlign w:val="bottom"/>
            <w:gridSpan w:val="4"/>
          </w:tcPr>
          <w:p>
            <w:pPr>
              <w:ind w:left="288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82"/>
        </w:trPr>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20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r>
      <w:tr>
        <w:trPr>
          <w:trHeight w:val="181"/>
        </w:trPr>
        <w:tc>
          <w:tcPr>
            <w:tcW w:w="7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February 29,</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c>
          <w:tcPr>
            <w:tcW w:w="200" w:type="dxa"/>
            <w:vAlign w:val="bottom"/>
          </w:tcPr>
          <w:p>
            <w:pPr>
              <w:spacing w:after="0"/>
              <w:rPr>
                <w:sz w:val="15"/>
                <w:szCs w:val="15"/>
                <w:color w:val="auto"/>
              </w:rPr>
            </w:pPr>
          </w:p>
        </w:tc>
        <w:tc>
          <w:tcPr>
            <w:tcW w:w="110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rPr>
              <w:t>March 2,</w:t>
            </w:r>
          </w:p>
        </w:tc>
      </w:tr>
      <w:tr>
        <w:trPr>
          <w:trHeight w:val="243"/>
        </w:trPr>
        <w:tc>
          <w:tcPr>
            <w:tcW w:w="7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r>
      <w:tr>
        <w:trPr>
          <w:trHeight w:val="34"/>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1,219</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1,401</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w:t>
            </w:r>
          </w:p>
        </w:tc>
      </w:tr>
      <w:tr>
        <w:trPr>
          <w:trHeight w:val="256"/>
        </w:trPr>
        <w:tc>
          <w:tcPr>
            <w:tcW w:w="7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(2,205)</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1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(1,248)</w:t>
            </w:r>
          </w:p>
        </w:tc>
        <w:tc>
          <w:tcPr>
            <w:tcW w:w="2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(2,155)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r>
      <w:tr>
        <w:trPr>
          <w:trHeight w:val="21"/>
        </w:trPr>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50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1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3200" w:type="dxa"/>
            <w:vAlign w:val="bottom"/>
          </w:tcPr>
          <w:p>
            <w:pPr>
              <w:spacing w:after="0"/>
              <w:rPr>
                <w:sz w:val="20"/>
                <w:szCs w:val="20"/>
                <w:color w:val="auto"/>
              </w:rPr>
            </w:pPr>
            <w:r>
              <w:rPr>
                <w:rFonts w:ascii="Arial" w:cs="Arial" w:eastAsia="Arial" w:hAnsi="Arial"/>
                <w:sz w:val="18"/>
                <w:szCs w:val="18"/>
                <w:b w:val="1"/>
                <w:bCs w:val="1"/>
                <w:color w:val="auto"/>
              </w:rPr>
              <w:t>FQ3-24</w:t>
            </w:r>
          </w:p>
        </w:tc>
        <w:tc>
          <w:tcPr>
            <w:tcW w:w="3200" w:type="dxa"/>
            <w:vAlign w:val="bottom"/>
            <w:gridSpan w:val="2"/>
          </w:tcPr>
          <w:p>
            <w:pPr>
              <w:ind w:left="134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20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3200" w:type="dxa"/>
            <w:vAlign w:val="bottom"/>
            <w:shd w:val="clear" w:color="auto" w:fill="DBDBDB"/>
          </w:tcPr>
          <w:p>
            <w:pPr>
              <w:spacing w:after="0"/>
              <w:rPr>
                <w:sz w:val="20"/>
                <w:szCs w:val="20"/>
                <w:color w:val="auto"/>
              </w:rPr>
            </w:pPr>
            <w:r>
              <w:rPr>
                <w:rFonts w:ascii="Arial" w:cs="Arial" w:eastAsia="Arial" w:hAnsi="Arial"/>
                <w:sz w:val="18"/>
                <w:szCs w:val="18"/>
                <w:color w:val="auto"/>
              </w:rPr>
              <w:t>Revenue</w:t>
            </w:r>
          </w:p>
        </w:tc>
        <w:tc>
          <w:tcPr>
            <w:tcW w:w="320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$6.60 billion ± $200 million</w:t>
            </w:r>
          </w:p>
        </w:tc>
        <w:tc>
          <w:tcPr>
            <w:tcW w:w="2380" w:type="dxa"/>
            <w:vAlign w:val="bottom"/>
            <w:gridSpan w:val="2"/>
            <w:shd w:val="clear" w:color="auto" w:fill="DBDBDB"/>
          </w:tcPr>
          <w:p>
            <w:pPr>
              <w:jc w:val="center"/>
              <w:ind w:right="16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$6.60 billion ± $200 million</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3080" w:type="dxa"/>
            <w:vAlign w:val="bottom"/>
          </w:tcPr>
          <w:p>
            <w:pPr>
              <w:jc w:val="right"/>
              <w:spacing w:after="0"/>
              <w:rPr>
                <w:sz w:val="20"/>
                <w:szCs w:val="20"/>
                <w:color w:val="auto"/>
              </w:rPr>
            </w:pPr>
            <w:r>
              <w:rPr>
                <w:rFonts w:ascii="Arial" w:cs="Arial" w:eastAsia="Arial" w:hAnsi="Arial"/>
                <w:sz w:val="18"/>
                <w:szCs w:val="18"/>
                <w:color w:val="auto"/>
              </w:rPr>
              <w:t>25.5% ± 1.5%</w:t>
            </w:r>
          </w:p>
        </w:tc>
        <w:tc>
          <w:tcPr>
            <w:tcW w:w="120" w:type="dxa"/>
            <w:vAlign w:val="bottom"/>
          </w:tcPr>
          <w:p>
            <w:pPr>
              <w:spacing w:after="0"/>
              <w:rPr>
                <w:sz w:val="19"/>
                <w:szCs w:val="19"/>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 A</w:t>
            </w:r>
          </w:p>
        </w:tc>
        <w:tc>
          <w:tcPr>
            <w:tcW w:w="2240" w:type="dxa"/>
            <w:vAlign w:val="bottom"/>
          </w:tcPr>
          <w:p>
            <w:pPr>
              <w:jc w:val="right"/>
              <w:spacing w:after="0"/>
              <w:rPr>
                <w:sz w:val="20"/>
                <w:szCs w:val="20"/>
                <w:color w:val="auto"/>
              </w:rPr>
            </w:pPr>
            <w:r>
              <w:rPr>
                <w:rFonts w:ascii="Arial" w:cs="Arial" w:eastAsia="Arial" w:hAnsi="Arial"/>
                <w:sz w:val="18"/>
                <w:szCs w:val="18"/>
                <w:color w:val="auto"/>
              </w:rPr>
              <w:t>26.5% ± 1.5%</w:t>
            </w:r>
          </w:p>
        </w:tc>
      </w:tr>
      <w:tr>
        <w:trPr>
          <w:trHeight w:val="230"/>
        </w:trPr>
        <w:tc>
          <w:tcPr>
            <w:tcW w:w="3200" w:type="dxa"/>
            <w:vAlign w:val="bottom"/>
            <w:shd w:val="clear" w:color="auto" w:fill="DBDBDB"/>
          </w:tcPr>
          <w:p>
            <w:pPr>
              <w:spacing w:after="0"/>
              <w:rPr>
                <w:sz w:val="20"/>
                <w:szCs w:val="20"/>
                <w:color w:val="auto"/>
              </w:rPr>
            </w:pPr>
            <w:r>
              <w:rPr>
                <w:rFonts w:ascii="Arial" w:cs="Arial" w:eastAsia="Arial" w:hAnsi="Arial"/>
                <w:sz w:val="18"/>
                <w:szCs w:val="18"/>
                <w:color w:val="auto"/>
              </w:rPr>
              <w:t>Operating expenses</w:t>
            </w:r>
          </w:p>
        </w:tc>
        <w:tc>
          <w:tcPr>
            <w:tcW w:w="320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$1.11 billion ± $15 million</w:t>
            </w:r>
          </w:p>
        </w:tc>
        <w:tc>
          <w:tcPr>
            <w:tcW w:w="2380" w:type="dxa"/>
            <w:vAlign w:val="bottom"/>
            <w:gridSpan w:val="2"/>
            <w:shd w:val="clear" w:color="auto" w:fill="DBDBDB"/>
          </w:tcPr>
          <w:p>
            <w:pPr>
              <w:ind w:left="300"/>
              <w:spacing w:after="0"/>
              <w:rPr>
                <w:sz w:val="20"/>
                <w:szCs w:val="20"/>
                <w:color w:val="auto"/>
              </w:rPr>
            </w:pPr>
            <w:r>
              <w:rPr>
                <w:rFonts w:ascii="Arial" w:cs="Arial" w:eastAsia="Arial" w:hAnsi="Arial"/>
                <w:sz w:val="18"/>
                <w:szCs w:val="18"/>
                <w:color w:val="auto"/>
              </w:rPr>
              <w:t>$123 million B</w:t>
            </w:r>
          </w:p>
        </w:tc>
        <w:tc>
          <w:tcPr>
            <w:tcW w:w="2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$990 million ± $15 million</w:t>
            </w:r>
          </w:p>
        </w:tc>
      </w:tr>
      <w:tr>
        <w:trPr>
          <w:trHeight w:val="311"/>
        </w:trPr>
        <w:tc>
          <w:tcPr>
            <w:tcW w:w="3200" w:type="dxa"/>
            <w:vAlign w:val="bottom"/>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080" w:type="dxa"/>
            <w:vAlign w:val="bottom"/>
          </w:tcPr>
          <w:p>
            <w:pPr>
              <w:jc w:val="right"/>
              <w:spacing w:after="0"/>
              <w:rPr>
                <w:sz w:val="20"/>
                <w:szCs w:val="20"/>
                <w:color w:val="auto"/>
              </w:rPr>
            </w:pPr>
            <w:r>
              <w:rPr>
                <w:rFonts w:ascii="Arial" w:cs="Arial" w:eastAsia="Arial" w:hAnsi="Arial"/>
                <w:sz w:val="18"/>
                <w:szCs w:val="18"/>
                <w:color w:val="auto"/>
              </w:rPr>
              <w:t>$0.17 ± $0.07</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$0.28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$0.45 ± $0.07</w:t>
            </w:r>
          </w:p>
        </w:tc>
      </w:tr>
    </w:tbl>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Adjustments</w:t>
      </w:r>
    </w:p>
    <w:p>
      <w:pPr>
        <w:ind w:left="12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003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780" w:type="dxa"/>
            <w:vAlign w:val="bottom"/>
            <w:shd w:val="clear" w:color="auto" w:fill="DBDBDB"/>
          </w:tcPr>
          <w:p>
            <w:pPr>
              <w:spacing w:after="0"/>
              <w:rPr>
                <w:sz w:val="20"/>
                <w:szCs w:val="20"/>
                <w:color w:val="auto"/>
              </w:rPr>
            </w:pPr>
            <w:r>
              <w:rPr>
                <w:rFonts w:ascii="Arial" w:cs="Arial" w:eastAsia="Arial" w:hAnsi="Arial"/>
                <w:sz w:val="18"/>
                <w:szCs w:val="18"/>
                <w:color w:val="auto"/>
              </w:rPr>
              <w:t>A  Stock-based compensation – cost of goods sold</w:t>
            </w:r>
          </w:p>
        </w:tc>
        <w:tc>
          <w:tcPr>
            <w:tcW w:w="98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  Other – cost of goods sold</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780" w:type="dxa"/>
            <w:vAlign w:val="bottom"/>
            <w:shd w:val="clear" w:color="auto" w:fill="DBDBDB"/>
          </w:tcPr>
          <w:p>
            <w:pPr>
              <w:spacing w:after="0"/>
              <w:rPr>
                <w:sz w:val="20"/>
                <w:szCs w:val="20"/>
                <w:color w:val="auto"/>
              </w:rPr>
            </w:pPr>
            <w:r>
              <w:rPr>
                <w:rFonts w:ascii="Arial" w:cs="Arial" w:eastAsia="Arial" w:hAnsi="Arial"/>
                <w:sz w:val="18"/>
                <w:szCs w:val="18"/>
                <w:color w:val="auto"/>
              </w:rPr>
              <w:t>B  Stock-based compensation – research and development</w:t>
            </w:r>
          </w:p>
        </w:tc>
        <w:tc>
          <w:tcPr>
            <w:tcW w:w="9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780" w:type="dxa"/>
            <w:vAlign w:val="bottom"/>
            <w:shd w:val="clear" w:color="auto" w:fill="DBDBDB"/>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9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87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1"/>
        </w:trPr>
        <w:tc>
          <w:tcPr>
            <w:tcW w:w="8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1.11 billion diluted shares and non-GAAP earnings per share based on approximately 1.14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2024-03-20T15:10:22Z</dcterms:created>
  <dcterms:modified xsi:type="dcterms:W3CDTF">2024-03-20T15:10:22Z</dcterms:modified>
</cp:coreProperties>
</file>