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January 23, 2014</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4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The Company’s Fiscal 2013 Annual Meeting of Shareholders was held on January 23, 2014. At the meeting, the following proposals were submitted to a vote of the shareholders: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Proposal 1</w:t>
      </w:r>
    </w:p>
    <w:p>
      <w:pPr>
        <w:spacing w:after="0" w:line="249" w:lineRule="exact"/>
        <w:rPr>
          <w:sz w:val="20"/>
          <w:szCs w:val="20"/>
          <w:color w:val="auto"/>
        </w:rPr>
      </w:pPr>
    </w:p>
    <w:p>
      <w:pPr>
        <w:ind w:right="380" w:firstLine="310"/>
        <w:spacing w:after="0" w:line="280" w:lineRule="auto"/>
        <w:rPr>
          <w:sz w:val="20"/>
          <w:szCs w:val="20"/>
          <w:color w:val="auto"/>
        </w:rPr>
      </w:pPr>
      <w:r>
        <w:rPr>
          <w:rFonts w:ascii="Arial" w:cs="Arial" w:eastAsia="Arial" w:hAnsi="Arial"/>
          <w:sz w:val="17"/>
          <w:szCs w:val="17"/>
          <w:color w:val="auto"/>
        </w:rPr>
        <w:t>The following nominees for Directors were elected. Each person elected as a Director will serve until the next annual meeting of shareholders or until such person’s successor is elected and qualified.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Nominee</w:t>
            </w:r>
          </w:p>
        </w:tc>
        <w:tc>
          <w:tcPr>
            <w:tcW w:w="27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b w:val="1"/>
                <w:bCs w:val="1"/>
                <w:color w:val="auto"/>
              </w:rPr>
              <w:t>For</w:t>
            </w:r>
          </w:p>
        </w:tc>
        <w:tc>
          <w:tcPr>
            <w:tcW w:w="23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b w:val="1"/>
                <w:bCs w:val="1"/>
                <w:color w:val="auto"/>
              </w:rPr>
              <w:t>Against</w:t>
            </w:r>
          </w:p>
        </w:tc>
        <w:tc>
          <w:tcPr>
            <w:tcW w:w="134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w w:val="89"/>
              </w:rPr>
              <w:t>Abstain</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93"/>
        </w:trPr>
        <w:tc>
          <w:tcPr>
            <w:tcW w:w="2740" w:type="dxa"/>
            <w:vAlign w:val="bottom"/>
          </w:tcPr>
          <w:p>
            <w:pPr>
              <w:ind w:left="160"/>
              <w:spacing w:after="0"/>
              <w:rPr>
                <w:sz w:val="20"/>
                <w:szCs w:val="20"/>
                <w:color w:val="auto"/>
              </w:rPr>
            </w:pPr>
            <w:r>
              <w:rPr>
                <w:rFonts w:ascii="Arial" w:cs="Arial" w:eastAsia="Arial" w:hAnsi="Arial"/>
                <w:sz w:val="17"/>
                <w:szCs w:val="17"/>
                <w:color w:val="auto"/>
              </w:rPr>
              <w:t>Robert L. Bailey</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787,100,408</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2,464,677</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734,867</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Richard M. Beyer</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775,449,636</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14,069,613</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780,703</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Patrick J. Byrne</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775,497,683</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14,063,923</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738,346</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D. Mark Durcan</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787,208,905</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2,410,379</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680,668</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Warren East</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783,189,792</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6,361,152</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749,008</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Mercedes Johnson</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787,106,917</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2,419,386</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773,649</w:t>
            </w:r>
          </w:p>
        </w:tc>
      </w:tr>
      <w:tr>
        <w:trPr>
          <w:trHeight w:val="206"/>
        </w:trPr>
        <w:tc>
          <w:tcPr>
            <w:tcW w:w="2740" w:type="dxa"/>
            <w:vAlign w:val="bottom"/>
          </w:tcPr>
          <w:p>
            <w:pPr>
              <w:ind w:left="160"/>
              <w:spacing w:after="0"/>
              <w:rPr>
                <w:sz w:val="20"/>
                <w:szCs w:val="20"/>
                <w:color w:val="auto"/>
              </w:rPr>
            </w:pPr>
            <w:r>
              <w:rPr>
                <w:rFonts w:ascii="Arial" w:cs="Arial" w:eastAsia="Arial" w:hAnsi="Arial"/>
                <w:sz w:val="17"/>
                <w:szCs w:val="17"/>
                <w:color w:val="auto"/>
              </w:rPr>
              <w:t>Lawrence N. Mondry</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775,357,620</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14,164,544</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777,788</w:t>
            </w:r>
          </w:p>
        </w:tc>
      </w:tr>
      <w:tr>
        <w:trPr>
          <w:trHeight w:val="217"/>
        </w:trPr>
        <w:tc>
          <w:tcPr>
            <w:tcW w:w="2740" w:type="dxa"/>
            <w:vAlign w:val="bottom"/>
          </w:tcPr>
          <w:p>
            <w:pPr>
              <w:ind w:left="160"/>
              <w:spacing w:after="0"/>
              <w:rPr>
                <w:sz w:val="20"/>
                <w:szCs w:val="20"/>
                <w:color w:val="auto"/>
              </w:rPr>
            </w:pPr>
            <w:r>
              <w:rPr>
                <w:rFonts w:ascii="Arial" w:cs="Arial" w:eastAsia="Arial" w:hAnsi="Arial"/>
                <w:sz w:val="17"/>
                <w:szCs w:val="17"/>
                <w:color w:val="auto"/>
              </w:rPr>
              <w:t>Robert E. Switz</w:t>
            </w:r>
          </w:p>
        </w:tc>
        <w:tc>
          <w:tcPr>
            <w:tcW w:w="2740" w:type="dxa"/>
            <w:vAlign w:val="bottom"/>
          </w:tcPr>
          <w:p>
            <w:pPr>
              <w:jc w:val="right"/>
              <w:ind w:right="694"/>
              <w:spacing w:after="0"/>
              <w:rPr>
                <w:sz w:val="20"/>
                <w:szCs w:val="20"/>
                <w:color w:val="auto"/>
              </w:rPr>
            </w:pPr>
            <w:r>
              <w:rPr>
                <w:rFonts w:ascii="Arial" w:cs="Arial" w:eastAsia="Arial" w:hAnsi="Arial"/>
                <w:sz w:val="17"/>
                <w:szCs w:val="17"/>
                <w:color w:val="auto"/>
              </w:rPr>
              <w:t>785,715,900</w:t>
            </w:r>
          </w:p>
        </w:tc>
        <w:tc>
          <w:tcPr>
            <w:tcW w:w="2320" w:type="dxa"/>
            <w:vAlign w:val="bottom"/>
          </w:tcPr>
          <w:p>
            <w:pPr>
              <w:jc w:val="right"/>
              <w:ind w:right="694"/>
              <w:spacing w:after="0"/>
              <w:rPr>
                <w:sz w:val="20"/>
                <w:szCs w:val="20"/>
                <w:color w:val="auto"/>
              </w:rPr>
            </w:pPr>
            <w:r>
              <w:rPr>
                <w:rFonts w:ascii="Arial" w:cs="Arial" w:eastAsia="Arial" w:hAnsi="Arial"/>
                <w:sz w:val="17"/>
                <w:szCs w:val="17"/>
                <w:color w:val="auto"/>
              </w:rPr>
              <w:t>3,735,121</w:t>
            </w:r>
          </w:p>
        </w:tc>
        <w:tc>
          <w:tcPr>
            <w:tcW w:w="1340" w:type="dxa"/>
            <w:vAlign w:val="bottom"/>
          </w:tcPr>
          <w:p>
            <w:pPr>
              <w:ind w:left="780"/>
              <w:spacing w:after="0"/>
              <w:rPr>
                <w:sz w:val="20"/>
                <w:szCs w:val="20"/>
                <w:color w:val="auto"/>
              </w:rPr>
            </w:pPr>
            <w:r>
              <w:rPr>
                <w:rFonts w:ascii="Arial" w:cs="Arial" w:eastAsia="Arial" w:hAnsi="Arial"/>
                <w:sz w:val="17"/>
                <w:szCs w:val="17"/>
                <w:color w:val="auto"/>
                <w:w w:val="87"/>
              </w:rPr>
              <w:t>848,931</w:t>
            </w:r>
          </w:p>
        </w:tc>
      </w:tr>
    </w:tbl>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Proposal 2</w:t>
      </w:r>
    </w:p>
    <w:p>
      <w:pPr>
        <w:spacing w:after="0" w:line="224" w:lineRule="exact"/>
        <w:rPr>
          <w:sz w:val="20"/>
          <w:szCs w:val="20"/>
          <w:color w:val="auto"/>
        </w:rPr>
      </w:pPr>
    </w:p>
    <w:p>
      <w:pPr>
        <w:ind w:right="300" w:firstLine="310"/>
        <w:spacing w:after="0" w:line="280" w:lineRule="auto"/>
        <w:rPr>
          <w:sz w:val="20"/>
          <w:szCs w:val="20"/>
          <w:color w:val="auto"/>
        </w:rPr>
      </w:pPr>
      <w:r>
        <w:rPr>
          <w:rFonts w:ascii="Arial" w:cs="Arial" w:eastAsia="Arial" w:hAnsi="Arial"/>
          <w:sz w:val="17"/>
          <w:szCs w:val="17"/>
          <w:color w:val="auto"/>
        </w:rPr>
        <w:t>The proposal by the Company to approve the Amended and Restated 2007 Equity Incentive Plan and increase the shares reserved for issuance thereunder by 45,000,000 was approved with 716,694,664 votes in favor, 72,774,464 votes against, and 830,824 abstentions.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Proposal 3</w:t>
      </w:r>
    </w:p>
    <w:p>
      <w:pPr>
        <w:spacing w:after="0" w:line="224" w:lineRule="exact"/>
        <w:rPr>
          <w:sz w:val="20"/>
          <w:szCs w:val="20"/>
          <w:color w:val="auto"/>
        </w:rPr>
      </w:pPr>
    </w:p>
    <w:p>
      <w:pPr>
        <w:ind w:right="40" w:firstLine="310"/>
        <w:spacing w:after="0" w:line="266" w:lineRule="auto"/>
        <w:rPr>
          <w:sz w:val="20"/>
          <w:szCs w:val="20"/>
          <w:color w:val="auto"/>
        </w:rPr>
      </w:pPr>
      <w:r>
        <w:rPr>
          <w:rFonts w:ascii="Arial" w:cs="Arial" w:eastAsia="Arial" w:hAnsi="Arial"/>
          <w:sz w:val="17"/>
          <w:szCs w:val="17"/>
          <w:color w:val="auto"/>
        </w:rPr>
        <w:t>The proposal by the Company to approve the Amended and Restated 2004 Equity Incentive Plan to provide that future stock options and stock appreciation rights granted under the plan may have a maximum term of 8 years (instead of 6 years) was approved with 760,545,782 votes in favor, 28,959,419 votes against, and 794,751 abstentions.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Proposal 4</w:t>
      </w:r>
    </w:p>
    <w:p>
      <w:pPr>
        <w:spacing w:after="0" w:line="224"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August 28, 2014, was approved with 885,809,304 votes in favor, 12,388,834 votes against, and 1,142,049 abstentions.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Proposal 5</w:t>
      </w:r>
    </w:p>
    <w:p>
      <w:pPr>
        <w:spacing w:after="0" w:line="224" w:lineRule="exact"/>
        <w:rPr>
          <w:sz w:val="20"/>
          <w:szCs w:val="20"/>
          <w:color w:val="auto"/>
        </w:rPr>
      </w:pPr>
    </w:p>
    <w:p>
      <w:pPr>
        <w:ind w:right="800" w:firstLine="310"/>
        <w:spacing w:after="0" w:line="280" w:lineRule="auto"/>
        <w:rPr>
          <w:sz w:val="20"/>
          <w:szCs w:val="20"/>
          <w:color w:val="auto"/>
        </w:rPr>
      </w:pPr>
      <w:r>
        <w:rPr>
          <w:rFonts w:ascii="Arial" w:cs="Arial" w:eastAsia="Arial" w:hAnsi="Arial"/>
          <w:sz w:val="17"/>
          <w:szCs w:val="17"/>
          <w:color w:val="auto"/>
        </w:rPr>
        <w:t>The proposal by the Company to approve a non-binding resolution to approve the compensation of our Named Executive Officers was approved with 755,681,874 votes in favor, 33,409,494 votes against, and 1,208,584 abstentions.</w:t>
      </w:r>
    </w:p>
    <w:p>
      <w:pPr>
        <w:spacing w:after="0" w:line="157"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 Repurchases</w:t>
      </w:r>
      <w:r>
        <w:rPr>
          <w:rFonts w:ascii="Arial" w:cs="Arial" w:eastAsia="Arial" w:hAnsi="Arial"/>
          <w:sz w:val="17"/>
          <w:szCs w:val="17"/>
          <w:color w:val="auto"/>
        </w:rPr>
        <w:t>.</w:t>
      </w:r>
    </w:p>
    <w:p>
      <w:pPr>
        <w:spacing w:after="0" w:line="243" w:lineRule="exact"/>
        <w:rPr>
          <w:sz w:val="20"/>
          <w:szCs w:val="20"/>
          <w:color w:val="auto"/>
        </w:rPr>
      </w:pPr>
    </w:p>
    <w:p>
      <w:pPr>
        <w:ind w:right="80" w:firstLine="310"/>
        <w:spacing w:after="0" w:line="292" w:lineRule="auto"/>
        <w:rPr>
          <w:sz w:val="20"/>
          <w:szCs w:val="20"/>
          <w:color w:val="auto"/>
        </w:rPr>
      </w:pPr>
      <w:r>
        <w:rPr>
          <w:rFonts w:ascii="Arial" w:cs="Arial" w:eastAsia="Arial" w:hAnsi="Arial"/>
          <w:sz w:val="15"/>
          <w:szCs w:val="15"/>
          <w:color w:val="auto"/>
        </w:rPr>
        <w:t>From January 17 through January 23, 2014, in privately-negotiated transactions, the Company repurchased approximately $26 million in aggregate principal amount of its 1.875% Convertible Senior Notes due 2031 (the “2031B Notes”) for $65 million in cash, approximately $100 million in aggregate principal amount of its 2.375% Convertible Senior Notes due 2032 (the “2032C Notes”) for $249 million in cash and approximately $38 million in aggregate principal amount of its</w:t>
      </w:r>
    </w:p>
    <w:p>
      <w:pPr>
        <w:spacing w:after="0" w:line="1"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color w:val="auto"/>
        </w:rPr>
        <w:t>3.125% Convertible Senior Notes due 2032 (the “2032D Notes”) for $93 million in cash. The Company anticipates that the closings of these repurchases will be completed by January 28, 2014.</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2" w:name="page3"/>
    <w:bookmarkEnd w:id="2"/>
    <w:p>
      <w:pPr>
        <w:ind w:right="220" w:firstLine="310"/>
        <w:spacing w:after="0" w:line="262" w:lineRule="auto"/>
        <w:rPr>
          <w:sz w:val="20"/>
          <w:szCs w:val="20"/>
          <w:color w:val="auto"/>
        </w:rPr>
      </w:pPr>
      <w:r>
        <w:rPr>
          <w:rFonts w:ascii="Arial" w:cs="Arial" w:eastAsia="Arial" w:hAnsi="Arial"/>
          <w:sz w:val="17"/>
          <w:szCs w:val="17"/>
          <w:color w:val="auto"/>
        </w:rPr>
        <w:t>Following the closings of these repurchases, the Company estimates that approximately $114 million in aggregate principal amount of 2031B Notes, approximately $451 million in aggregate principal amount of 2032C Notes, and approximately $412 million in aggregate principal amount of 2032D Notes will remain outstanding. The Company expects to record a charge in the second quarter of fiscal 2014 of approximately $10 million associated with the repurchases of the notes.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Related Press Release</w:t>
      </w:r>
      <w:r>
        <w:rPr>
          <w:rFonts w:ascii="Arial" w:cs="Arial" w:eastAsia="Arial" w:hAnsi="Arial"/>
          <w:sz w:val="17"/>
          <w:szCs w:val="17"/>
          <w:color w:val="auto"/>
        </w:rPr>
        <w:t>.</w:t>
      </w:r>
    </w:p>
    <w:p>
      <w:pPr>
        <w:spacing w:after="0" w:line="243" w:lineRule="exact"/>
        <w:rPr>
          <w:sz w:val="20"/>
          <w:szCs w:val="20"/>
          <w:color w:val="auto"/>
        </w:rPr>
      </w:pPr>
    </w:p>
    <w:p>
      <w:pPr>
        <w:ind w:right="260" w:firstLine="310"/>
        <w:spacing w:after="0" w:line="280" w:lineRule="auto"/>
        <w:rPr>
          <w:sz w:val="20"/>
          <w:szCs w:val="20"/>
          <w:color w:val="auto"/>
        </w:rPr>
      </w:pPr>
      <w:r>
        <w:rPr>
          <w:rFonts w:ascii="Arial" w:cs="Arial" w:eastAsia="Arial" w:hAnsi="Arial"/>
          <w:sz w:val="17"/>
          <w:szCs w:val="17"/>
          <w:color w:val="auto"/>
        </w:rPr>
        <w:t>On January 27, 2014, the Company issued a press release with respect to the transactions described above. A copy of this press release is furnished as Exhibit 99.1 hereto.</w:t>
      </w:r>
    </w:p>
    <w:p>
      <w:pPr>
        <w:spacing w:after="0" w:line="189" w:lineRule="exact"/>
        <w:rPr>
          <w:sz w:val="20"/>
          <w:szCs w:val="20"/>
          <w:color w:val="auto"/>
        </w:rPr>
      </w:pPr>
    </w:p>
    <w:p>
      <w:pPr>
        <w:ind w:right="40" w:firstLine="310"/>
        <w:spacing w:after="0" w:line="280" w:lineRule="auto"/>
        <w:rPr>
          <w:sz w:val="20"/>
          <w:szCs w:val="20"/>
          <w:color w:val="auto"/>
        </w:rPr>
      </w:pPr>
      <w:r>
        <w:rPr>
          <w:rFonts w:ascii="Arial" w:cs="Arial" w:eastAsia="Arial" w:hAnsi="Arial"/>
          <w:sz w:val="17"/>
          <w:szCs w:val="17"/>
          <w:color w:val="auto"/>
        </w:rPr>
        <w:t>This Current Report on Form 8-K does not constitute an offer to sell, or a solicitation of an offer to buy, any security and shall not constitute an offer, solicitation or sale in any jurisdiction in which such offering would be unlawful.</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This report contains forward-looking statements regarding the amount of the second quarter charge to be recorded. Actual events or results may differ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materially from those contained in the forward-looking statements. Please refer to the documents Micron files on a consolidated basis from time to time with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Securities and Exchange Commission, specifically Micron's most recent Form 10-K and Form 10-Q. These documents contain and identify important factors that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could cause the actual results for Micron on a consolidated basis to differ materially from those contained in our forward-looking statements (see Certain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Factors). Although the Company believes that the expectations reflected in the forward-looking statements are reasonable, it cannot guarantee future results, levels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 activity, performance or achievements.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20"/>
                <w:szCs w:val="20"/>
                <w:color w:val="auto"/>
              </w:rPr>
            </w:pPr>
            <w:r>
              <w:rPr>
                <w:rFonts w:ascii="Arial" w:cs="Arial" w:eastAsia="Arial" w:hAnsi="Arial"/>
                <w:sz w:val="17"/>
                <w:szCs w:val="17"/>
                <w:b w:val="1"/>
                <w:bCs w:val="1"/>
                <w:color w:val="auto"/>
              </w:rPr>
              <w:t>Item 9.01.</w:t>
            </w:r>
          </w:p>
        </w:tc>
        <w:tc>
          <w:tcPr>
            <w:tcW w:w="10380" w:type="dxa"/>
            <w:vAlign w:val="bottom"/>
            <w:gridSpan w:val="2"/>
          </w:tcPr>
          <w:p>
            <w:pPr>
              <w:ind w:left="200"/>
              <w:spacing w:after="0"/>
              <w:rPr>
                <w:sz w:val="20"/>
                <w:szCs w:val="20"/>
                <w:color w:val="auto"/>
              </w:rPr>
            </w:pPr>
            <w:r>
              <w:rPr>
                <w:rFonts w:ascii="Arial" w:cs="Arial" w:eastAsia="Arial" w:hAnsi="Arial"/>
                <w:sz w:val="17"/>
                <w:szCs w:val="17"/>
                <w:b w:val="1"/>
                <w:bCs w:val="1"/>
                <w:color w:val="auto"/>
              </w:rPr>
              <w:t>Financial Statements and Exhibits.</w:t>
            </w:r>
          </w:p>
        </w:tc>
      </w:tr>
      <w:tr>
        <w:trPr>
          <w:trHeight w:val="413"/>
        </w:trPr>
        <w:tc>
          <w:tcPr>
            <w:tcW w:w="1040" w:type="dxa"/>
            <w:vAlign w:val="bottom"/>
          </w:tcPr>
          <w:p>
            <w:pPr>
              <w:spacing w:after="0"/>
              <w:rPr>
                <w:sz w:val="24"/>
                <w:szCs w:val="24"/>
                <w:color w:val="auto"/>
              </w:rPr>
            </w:pPr>
          </w:p>
        </w:tc>
        <w:tc>
          <w:tcPr>
            <w:tcW w:w="10380" w:type="dxa"/>
            <w:vAlign w:val="bottom"/>
            <w:gridSpan w:val="2"/>
          </w:tcPr>
          <w:p>
            <w:pPr>
              <w:ind w:left="200"/>
              <w:spacing w:after="0"/>
              <w:rPr>
                <w:sz w:val="20"/>
                <w:szCs w:val="20"/>
                <w:color w:val="auto"/>
              </w:rPr>
            </w:pPr>
            <w:r>
              <w:rPr>
                <w:rFonts w:ascii="Arial" w:cs="Arial" w:eastAsia="Arial" w:hAnsi="Arial"/>
                <w:sz w:val="17"/>
                <w:szCs w:val="17"/>
                <w:color w:val="auto"/>
              </w:rPr>
              <w:t>(d) Exhibits.</w:t>
            </w:r>
          </w:p>
        </w:tc>
      </w:tr>
      <w:tr>
        <w:trPr>
          <w:trHeight w:val="446"/>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r>
      <w:tr>
        <w:trPr>
          <w:trHeight w:val="217"/>
        </w:trPr>
        <w:tc>
          <w:tcPr>
            <w:tcW w:w="1040" w:type="dxa"/>
            <w:vAlign w:val="bottom"/>
          </w:tcPr>
          <w:p>
            <w:pPr>
              <w:spacing w:after="0"/>
              <w:rPr>
                <w:sz w:val="20"/>
                <w:szCs w:val="20"/>
                <w:color w:val="auto"/>
              </w:rPr>
            </w:pPr>
            <w:r>
              <w:rPr>
                <w:rFonts w:ascii="Arial" w:cs="Arial" w:eastAsia="Arial" w:hAnsi="Arial"/>
                <w:sz w:val="17"/>
                <w:szCs w:val="17"/>
                <w:color w:val="auto"/>
              </w:rPr>
              <w:t>99.1</w:t>
            </w:r>
          </w:p>
        </w:tc>
        <w:tc>
          <w:tcPr>
            <w:tcW w:w="34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Press Release issued on January 27, 2014</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8360" w:type="dxa"/>
            <w:vAlign w:val="bottom"/>
            <w:gridSpan w:val="2"/>
          </w:tcPr>
          <w:p>
            <w:pPr>
              <w:ind w:left="1400"/>
              <w:spacing w:after="0"/>
              <w:rPr>
                <w:sz w:val="20"/>
                <w:szCs w:val="20"/>
                <w:color w:val="auto"/>
              </w:rPr>
            </w:pPr>
            <w:r>
              <w:rPr>
                <w:rFonts w:ascii="Arial" w:cs="Arial" w:eastAsia="Arial" w:hAnsi="Arial"/>
                <w:sz w:val="17"/>
                <w:szCs w:val="17"/>
                <w:b w:val="1"/>
                <w:bCs w:val="1"/>
                <w:color w:val="auto"/>
              </w:rPr>
              <w:t>MICRON TECHNOLOGY, INC.</w:t>
            </w:r>
          </w:p>
        </w:tc>
      </w:tr>
      <w:tr>
        <w:trPr>
          <w:trHeight w:val="621"/>
        </w:trPr>
        <w:tc>
          <w:tcPr>
            <w:tcW w:w="3060" w:type="dxa"/>
            <w:vAlign w:val="bottom"/>
          </w:tcPr>
          <w:p>
            <w:pPr>
              <w:spacing w:after="0"/>
              <w:rPr>
                <w:sz w:val="20"/>
                <w:szCs w:val="20"/>
                <w:color w:val="auto"/>
              </w:rPr>
            </w:pPr>
            <w:r>
              <w:rPr>
                <w:rFonts w:ascii="Arial" w:cs="Arial" w:eastAsia="Arial" w:hAnsi="Arial"/>
                <w:sz w:val="17"/>
                <w:szCs w:val="17"/>
                <w:color w:val="auto"/>
              </w:rPr>
              <w:t>Date: January 27, 2014</w:t>
            </w:r>
          </w:p>
        </w:tc>
        <w:tc>
          <w:tcPr>
            <w:tcW w:w="8360" w:type="dxa"/>
            <w:vAlign w:val="bottom"/>
            <w:gridSpan w:val="2"/>
          </w:tcPr>
          <w:p>
            <w:pPr>
              <w:ind w:left="140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 Ronald C. Foster</w:t>
            </w:r>
          </w:p>
        </w:tc>
      </w:tr>
      <w:tr>
        <w:trPr>
          <w:trHeight w:val="26"/>
        </w:trPr>
        <w:tc>
          <w:tcPr>
            <w:tcW w:w="3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500" w:type="dxa"/>
            <w:vAlign w:val="bottom"/>
            <w:shd w:val="clear" w:color="auto" w:fill="000000"/>
          </w:tcPr>
          <w:p>
            <w:pPr>
              <w:spacing w:after="0"/>
              <w:rPr>
                <w:sz w:val="2"/>
                <w:szCs w:val="2"/>
                <w:color w:val="auto"/>
              </w:rPr>
            </w:pPr>
          </w:p>
        </w:tc>
      </w:tr>
      <w:tr>
        <w:trPr>
          <w:trHeight w:val="194"/>
        </w:trPr>
        <w:tc>
          <w:tcPr>
            <w:tcW w:w="3060" w:type="dxa"/>
            <w:vAlign w:val="bottom"/>
          </w:tcPr>
          <w:p>
            <w:pPr>
              <w:spacing w:after="0"/>
              <w:rPr>
                <w:sz w:val="16"/>
                <w:szCs w:val="16"/>
                <w:color w:val="auto"/>
              </w:rPr>
            </w:pPr>
          </w:p>
        </w:tc>
        <w:tc>
          <w:tcPr>
            <w:tcW w:w="8360" w:type="dxa"/>
            <w:vAlign w:val="bottom"/>
            <w:gridSpan w:val="2"/>
          </w:tcPr>
          <w:p>
            <w:pPr>
              <w:ind w:left="1400"/>
              <w:spacing w:after="0" w:line="194" w:lineRule="exact"/>
              <w:rPr>
                <w:sz w:val="20"/>
                <w:szCs w:val="20"/>
                <w:color w:val="auto"/>
              </w:rPr>
            </w:pPr>
            <w:r>
              <w:rPr>
                <w:rFonts w:ascii="Arial" w:cs="Arial" w:eastAsia="Arial" w:hAnsi="Arial"/>
                <w:sz w:val="17"/>
                <w:szCs w:val="17"/>
                <w:color w:val="auto"/>
              </w:rPr>
              <w:t>Name:Ronald C. Foster</w:t>
            </w:r>
          </w:p>
        </w:tc>
      </w:tr>
      <w:tr>
        <w:trPr>
          <w:trHeight w:val="206"/>
        </w:trPr>
        <w:tc>
          <w:tcPr>
            <w:tcW w:w="3060" w:type="dxa"/>
            <w:vAlign w:val="bottom"/>
          </w:tcPr>
          <w:p>
            <w:pPr>
              <w:spacing w:after="0"/>
              <w:rPr>
                <w:sz w:val="17"/>
                <w:szCs w:val="17"/>
                <w:color w:val="auto"/>
              </w:rPr>
            </w:pPr>
          </w:p>
        </w:tc>
        <w:tc>
          <w:tcPr>
            <w:tcW w:w="8360" w:type="dxa"/>
            <w:vAlign w:val="bottom"/>
            <w:gridSpan w:val="2"/>
          </w:tcPr>
          <w:p>
            <w:pPr>
              <w:ind w:left="1400"/>
              <w:spacing w:after="0"/>
              <w:rPr>
                <w:sz w:val="20"/>
                <w:szCs w:val="20"/>
                <w:color w:val="auto"/>
              </w:rPr>
            </w:pPr>
            <w:r>
              <w:rPr>
                <w:rFonts w:ascii="Arial" w:cs="Arial" w:eastAsia="Arial" w:hAnsi="Arial"/>
                <w:sz w:val="17"/>
                <w:szCs w:val="17"/>
                <w:color w:val="auto"/>
              </w:rPr>
              <w:t>Title: Chief Financial Officer and</w:t>
            </w:r>
          </w:p>
        </w:tc>
      </w:tr>
      <w:tr>
        <w:trPr>
          <w:trHeight w:val="217"/>
        </w:trPr>
        <w:tc>
          <w:tcPr>
            <w:tcW w:w="3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581"/>
        </w:trPr>
        <w:tc>
          <w:tcPr>
            <w:tcW w:w="3060" w:type="dxa"/>
            <w:vAlign w:val="bottom"/>
          </w:tcPr>
          <w:p>
            <w:pPr>
              <w:spacing w:after="0"/>
              <w:rPr>
                <w:sz w:val="24"/>
                <w:szCs w:val="24"/>
                <w:color w:val="auto"/>
              </w:rPr>
            </w:pPr>
          </w:p>
        </w:tc>
        <w:tc>
          <w:tcPr>
            <w:tcW w:w="8360" w:type="dxa"/>
            <w:vAlign w:val="bottom"/>
            <w:gridSpan w:val="2"/>
          </w:tcPr>
          <w:p>
            <w:pPr>
              <w:ind w:left="2620"/>
              <w:spacing w:after="0"/>
              <w:rPr>
                <w:sz w:val="20"/>
                <w:szCs w:val="20"/>
                <w:color w:val="auto"/>
              </w:rPr>
            </w:pPr>
            <w:r>
              <w:rPr>
                <w:rFonts w:ascii="Arial" w:cs="Arial" w:eastAsia="Arial" w:hAnsi="Arial"/>
                <w:sz w:val="17"/>
                <w:szCs w:val="17"/>
                <w:color w:val="auto"/>
              </w:rPr>
              <w:t>3</w:t>
            </w:r>
          </w:p>
        </w:tc>
      </w:tr>
      <w:tr>
        <w:trPr>
          <w:trHeight w:val="114"/>
        </w:trPr>
        <w:tc>
          <w:tcPr>
            <w:tcW w:w="30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6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INDEX TO EXHIBITS FILED WITH</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CURRENT REPORT ON FORM 8-K DATED JANUARY 23, 2014</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60" w:type="dxa"/>
            <w:vAlign w:val="bottom"/>
          </w:tcPr>
          <w:p>
            <w:pPr>
              <w:spacing w:after="0"/>
              <w:rPr>
                <w:sz w:val="20"/>
                <w:szCs w:val="20"/>
                <w:color w:val="auto"/>
              </w:rPr>
            </w:pPr>
            <w:r>
              <w:rPr>
                <w:rFonts w:ascii="Arial" w:cs="Arial" w:eastAsia="Arial" w:hAnsi="Arial"/>
                <w:sz w:val="17"/>
                <w:szCs w:val="17"/>
                <w:b w:val="1"/>
                <w:bCs w:val="1"/>
                <w:color w:val="auto"/>
              </w:rPr>
              <w:t>Exhibit No.</w:t>
            </w:r>
          </w:p>
        </w:tc>
        <w:tc>
          <w:tcPr>
            <w:tcW w:w="10360" w:type="dxa"/>
            <w:vAlign w:val="bottom"/>
            <w:gridSpan w:val="2"/>
          </w:tcPr>
          <w:p>
            <w:pPr>
              <w:ind w:left="340"/>
              <w:spacing w:after="0"/>
              <w:rPr>
                <w:sz w:val="20"/>
                <w:szCs w:val="20"/>
                <w:color w:val="auto"/>
              </w:rPr>
            </w:pPr>
            <w:r>
              <w:rPr>
                <w:rFonts w:ascii="Arial" w:cs="Arial" w:eastAsia="Arial" w:hAnsi="Arial"/>
                <w:sz w:val="17"/>
                <w:szCs w:val="17"/>
                <w:b w:val="1"/>
                <w:bCs w:val="1"/>
                <w:color w:val="auto"/>
              </w:rPr>
              <w:t>Description</w:t>
            </w:r>
          </w:p>
        </w:tc>
      </w:tr>
      <w:tr>
        <w:trPr>
          <w:trHeight w:val="27"/>
        </w:trPr>
        <w:tc>
          <w:tcPr>
            <w:tcW w:w="10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20" w:type="dxa"/>
            <w:vAlign w:val="bottom"/>
            <w:shd w:val="clear" w:color="auto" w:fill="000000"/>
          </w:tcPr>
          <w:p>
            <w:pPr>
              <w:spacing w:after="0"/>
              <w:rPr>
                <w:sz w:val="2"/>
                <w:szCs w:val="2"/>
                <w:color w:val="auto"/>
              </w:rPr>
            </w:pPr>
          </w:p>
        </w:tc>
      </w:tr>
      <w:tr>
        <w:trPr>
          <w:trHeight w:val="411"/>
        </w:trPr>
        <w:tc>
          <w:tcPr>
            <w:tcW w:w="1060" w:type="dxa"/>
            <w:vAlign w:val="bottom"/>
          </w:tcPr>
          <w:p>
            <w:pPr>
              <w:spacing w:after="0"/>
              <w:rPr>
                <w:sz w:val="20"/>
                <w:szCs w:val="20"/>
                <w:color w:val="auto"/>
              </w:rPr>
            </w:pPr>
            <w:r>
              <w:rPr>
                <w:rFonts w:ascii="Arial" w:cs="Arial" w:eastAsia="Arial" w:hAnsi="Arial"/>
                <w:sz w:val="17"/>
                <w:szCs w:val="17"/>
                <w:color w:val="auto"/>
              </w:rPr>
              <w:t>99.1</w:t>
            </w:r>
          </w:p>
        </w:tc>
        <w:tc>
          <w:tcPr>
            <w:tcW w:w="10360" w:type="dxa"/>
            <w:vAlign w:val="bottom"/>
            <w:gridSpan w:val="2"/>
          </w:tcPr>
          <w:p>
            <w:pPr>
              <w:ind w:left="340"/>
              <w:spacing w:after="0"/>
              <w:rPr>
                <w:sz w:val="20"/>
                <w:szCs w:val="20"/>
                <w:color w:val="auto"/>
              </w:rPr>
            </w:pPr>
            <w:r>
              <w:rPr>
                <w:rFonts w:ascii="Arial" w:cs="Arial" w:eastAsia="Arial" w:hAnsi="Arial"/>
                <w:sz w:val="17"/>
                <w:szCs w:val="17"/>
                <w:color w:val="auto"/>
              </w:rPr>
              <w:t>Press Release issued on January 27,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8322310</wp:posOffset>
            </wp:positionV>
            <wp:extent cx="7257415" cy="36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99.1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080" w:type="dxa"/>
            <w:vAlign w:val="bottom"/>
          </w:tcPr>
          <w:p>
            <w:pPr>
              <w:spacing w:after="0"/>
              <w:rPr>
                <w:sz w:val="16"/>
                <w:szCs w:val="16"/>
                <w:color w:val="auto"/>
              </w:rPr>
            </w:pPr>
          </w:p>
        </w:tc>
      </w:tr>
      <w:tr>
        <w:trPr>
          <w:trHeight w:val="206"/>
        </w:trPr>
        <w:tc>
          <w:tcPr>
            <w:tcW w:w="840" w:type="dxa"/>
            <w:vAlign w:val="bottom"/>
          </w:tcPr>
          <w:p>
            <w:pPr>
              <w:spacing w:after="0"/>
              <w:rPr>
                <w:sz w:val="20"/>
                <w:szCs w:val="20"/>
                <w:color w:val="auto"/>
              </w:rPr>
            </w:pPr>
            <w:r>
              <w:rPr>
                <w:rFonts w:ascii="Arial" w:cs="Arial" w:eastAsia="Arial" w:hAnsi="Arial"/>
                <w:sz w:val="17"/>
                <w:szCs w:val="17"/>
                <w:color w:val="auto"/>
              </w:rPr>
              <w:t>Contacts:</w:t>
            </w:r>
          </w:p>
        </w:tc>
        <w:tc>
          <w:tcPr>
            <w:tcW w:w="2100" w:type="dxa"/>
            <w:vAlign w:val="bottom"/>
          </w:tcPr>
          <w:p>
            <w:pPr>
              <w:ind w:left="200"/>
              <w:spacing w:after="0"/>
              <w:rPr>
                <w:sz w:val="20"/>
                <w:szCs w:val="20"/>
                <w:color w:val="auto"/>
              </w:rPr>
            </w:pPr>
            <w:r>
              <w:rPr>
                <w:rFonts w:ascii="Arial" w:cs="Arial" w:eastAsia="Arial" w:hAnsi="Arial"/>
                <w:sz w:val="17"/>
                <w:szCs w:val="17"/>
                <w:color w:val="auto"/>
              </w:rPr>
              <w:t>Kipp A. Bedard</w:t>
            </w:r>
          </w:p>
        </w:tc>
        <w:tc>
          <w:tcPr>
            <w:tcW w:w="2080" w:type="dxa"/>
            <w:vAlign w:val="bottom"/>
          </w:tcPr>
          <w:p>
            <w:pPr>
              <w:ind w:left="380"/>
              <w:spacing w:after="0"/>
              <w:rPr>
                <w:sz w:val="20"/>
                <w:szCs w:val="20"/>
                <w:color w:val="auto"/>
              </w:rPr>
            </w:pPr>
            <w:r>
              <w:rPr>
                <w:rFonts w:ascii="Arial" w:cs="Arial" w:eastAsia="Arial" w:hAnsi="Arial"/>
                <w:sz w:val="17"/>
                <w:szCs w:val="17"/>
                <w:color w:val="auto"/>
              </w:rPr>
              <w:t>Daniel Francisco</w:t>
            </w:r>
          </w:p>
        </w:tc>
      </w:tr>
      <w:tr>
        <w:trPr>
          <w:trHeight w:val="206"/>
        </w:trPr>
        <w:tc>
          <w:tcPr>
            <w:tcW w:w="840" w:type="dxa"/>
            <w:vAlign w:val="bottom"/>
          </w:tcPr>
          <w:p>
            <w:pPr>
              <w:spacing w:after="0"/>
              <w:rPr>
                <w:sz w:val="17"/>
                <w:szCs w:val="17"/>
                <w:color w:val="auto"/>
              </w:rPr>
            </w:pPr>
          </w:p>
        </w:tc>
        <w:tc>
          <w:tcPr>
            <w:tcW w:w="2100" w:type="dxa"/>
            <w:vAlign w:val="bottom"/>
          </w:tcPr>
          <w:p>
            <w:pPr>
              <w:ind w:left="200"/>
              <w:spacing w:after="0"/>
              <w:rPr>
                <w:sz w:val="20"/>
                <w:szCs w:val="20"/>
                <w:color w:val="auto"/>
              </w:rPr>
            </w:pPr>
            <w:r>
              <w:rPr>
                <w:rFonts w:ascii="Arial" w:cs="Arial" w:eastAsia="Arial" w:hAnsi="Arial"/>
                <w:sz w:val="17"/>
                <w:szCs w:val="17"/>
                <w:color w:val="auto"/>
              </w:rPr>
              <w:t>Investor Relations</w:t>
            </w:r>
          </w:p>
        </w:tc>
        <w:tc>
          <w:tcPr>
            <w:tcW w:w="2080" w:type="dxa"/>
            <w:vAlign w:val="bottom"/>
          </w:tcPr>
          <w:p>
            <w:pPr>
              <w:ind w:left="380"/>
              <w:spacing w:after="0"/>
              <w:rPr>
                <w:sz w:val="20"/>
                <w:szCs w:val="20"/>
                <w:color w:val="auto"/>
              </w:rPr>
            </w:pPr>
            <w:r>
              <w:rPr>
                <w:rFonts w:ascii="Arial" w:cs="Arial" w:eastAsia="Arial" w:hAnsi="Arial"/>
                <w:sz w:val="17"/>
                <w:szCs w:val="17"/>
                <w:color w:val="auto"/>
              </w:rPr>
              <w:t>Media Relations</w:t>
            </w:r>
          </w:p>
        </w:tc>
      </w:tr>
      <w:tr>
        <w:trPr>
          <w:trHeight w:val="206"/>
        </w:trPr>
        <w:tc>
          <w:tcPr>
            <w:tcW w:w="840" w:type="dxa"/>
            <w:vAlign w:val="bottom"/>
          </w:tcPr>
          <w:p>
            <w:pPr>
              <w:spacing w:after="0"/>
              <w:rPr>
                <w:sz w:val="17"/>
                <w:szCs w:val="17"/>
                <w:color w:val="auto"/>
              </w:rPr>
            </w:pPr>
          </w:p>
        </w:tc>
        <w:tc>
          <w:tcPr>
            <w:tcW w:w="2100" w:type="dxa"/>
            <w:vAlign w:val="bottom"/>
          </w:tcPr>
          <w:p>
            <w:pPr>
              <w:ind w:left="200"/>
              <w:spacing w:after="0"/>
              <w:rPr>
                <w:sz w:val="20"/>
                <w:szCs w:val="20"/>
                <w:color w:val="auto"/>
              </w:rPr>
            </w:pPr>
            <w:r>
              <w:rPr>
                <w:rFonts w:ascii="Arial" w:cs="Arial" w:eastAsia="Arial" w:hAnsi="Arial"/>
                <w:sz w:val="17"/>
                <w:szCs w:val="17"/>
                <w:color w:val="auto"/>
              </w:rPr>
              <w:t>kbedard@micron.com</w:t>
            </w:r>
          </w:p>
        </w:tc>
        <w:tc>
          <w:tcPr>
            <w:tcW w:w="2080" w:type="dxa"/>
            <w:vAlign w:val="bottom"/>
          </w:tcPr>
          <w:p>
            <w:pPr>
              <w:ind w:left="38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84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7"/>
                <w:szCs w:val="17"/>
                <w:color w:val="auto"/>
              </w:rPr>
              <w:t>(208) 368-4465</w:t>
            </w:r>
          </w:p>
        </w:tc>
        <w:tc>
          <w:tcPr>
            <w:tcW w:w="2080" w:type="dxa"/>
            <w:vAlign w:val="bottom"/>
          </w:tcPr>
          <w:p>
            <w:pPr>
              <w:ind w:left="38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MICRON ANNOUNCES REPURCHASES OF CONVERTIBLE DEBT</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color w:val="auto"/>
        </w:rPr>
        <w:t xml:space="preserve">BOISE, Idaho, </w:t>
      </w:r>
      <w:r>
        <w:rPr>
          <w:rFonts w:ascii="Arial" w:cs="Arial" w:eastAsia="Arial" w:hAnsi="Arial"/>
          <w:sz w:val="17"/>
          <w:szCs w:val="17"/>
          <w:color w:val="auto"/>
        </w:rPr>
        <w:t>January 27, 2014 – Micron Technology, Inc., (NASDAQ: MU) today announced that the company, in privately-negotiated transactions, had</w:t>
      </w:r>
      <w:r>
        <w:rPr>
          <w:rFonts w:ascii="Arial" w:cs="Arial" w:eastAsia="Arial" w:hAnsi="Arial"/>
          <w:sz w:val="17"/>
          <w:szCs w:val="17"/>
          <w:b w:val="1"/>
          <w:bCs w:val="1"/>
          <w:color w:val="auto"/>
        </w:rPr>
        <w:t xml:space="preserve"> </w:t>
      </w:r>
      <w:r>
        <w:rPr>
          <w:rFonts w:ascii="Arial" w:cs="Arial" w:eastAsia="Arial" w:hAnsi="Arial"/>
          <w:sz w:val="17"/>
          <w:szCs w:val="17"/>
          <w:color w:val="auto"/>
        </w:rPr>
        <w:t>repurchased approximately $26 million in aggregate principal amount of its 1.875% Convertible Senior Notes due 2031 (the “2031B Notes”) for $65 million in cash, approximately $100 million in aggregate principal amount of its 2.375% Convertible Senior Notes due 2032 (the “2032C Notes”) for $249 million in cash and approximately $38 million in aggregate principal amount of its 3.125% Convertible Senior Notes due 2032 (the “2032D Notes”) for $93 million in cash. The company anticipates that the closings of these repurchases will be completed by January 28, 2014.</w:t>
      </w:r>
    </w:p>
    <w:p>
      <w:pPr>
        <w:spacing w:after="0" w:line="204"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Following the closings of these repurchases, the company estimates that approximately $114 million in aggregate principal amount of 2031B Notes, approximately $451 million in aggregate principal amount of 2032C Notes, and approximately $412 million in aggregate principal amount of 2032D Notes will remain outstanding. The company expects to record a charge in the second quarter of fiscal 2014 of approximately $10 million associated with the repurchases of the notes.</w:t>
      </w:r>
    </w:p>
    <w:p>
      <w:pPr>
        <w:spacing w:after="0" w:line="16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transactions we announced today reduced the dilutive effect of our existing convertible notes,” said Ron Foster, Micron vice president and CFO. “We eliminated approximately 10 million shares from our current dilutive share count, assuming a $23 stock price, and reduced the outstanding principal amount of our debt by approximately $164 million. Since last November, we have reduced the dilutive effects of our convertible notes by approximately 52 million shares based on a $23 stock price.”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49"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Micron Technology, Inc., is a global leader in advanced semiconductor systems. Micron’s broad portfolio of high-performance memory technologies—including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 xml:space="preserve">Micron’s common stock is traded on the NASDAQ under the MU symbol. To learn more about Micron Technology, Inc., visit </w:t>
      </w:r>
      <w:r>
        <w:rPr>
          <w:rFonts w:ascii="Arial" w:cs="Arial" w:eastAsia="Arial" w:hAnsi="Arial"/>
          <w:sz w:val="17"/>
          <w:szCs w:val="17"/>
          <w:u w:val="single" w:color="auto"/>
          <w:color w:val="auto"/>
        </w:rPr>
        <w:t>www.micron.com</w:t>
      </w:r>
      <w:r>
        <w:rPr>
          <w:rFonts w:ascii="Arial" w:cs="Arial" w:eastAsia="Arial" w:hAnsi="Arial"/>
          <w:sz w:val="17"/>
          <w:szCs w:val="17"/>
          <w:color w:val="auto"/>
        </w:rPr>
        <w:t>.</w:t>
      </w: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Micron and the Micron orbit logo are trademarks of Micron Technology, Inc. All other trademarks are the property of their respective owners.</w:t>
      </w:r>
    </w:p>
    <w:p>
      <w:pPr>
        <w:spacing w:after="0" w:line="218" w:lineRule="exact"/>
        <w:rPr>
          <w:sz w:val="20"/>
          <w:szCs w:val="20"/>
          <w:color w:val="auto"/>
        </w:rPr>
      </w:pPr>
    </w:p>
    <w:p>
      <w:pPr>
        <w:ind w:firstLine="310"/>
        <w:spacing w:after="0" w:line="258" w:lineRule="auto"/>
        <w:rPr>
          <w:sz w:val="20"/>
          <w:szCs w:val="20"/>
          <w:color w:val="auto"/>
        </w:rPr>
      </w:pPr>
      <w:r>
        <w:rPr>
          <w:rFonts w:ascii="Arial" w:cs="Arial" w:eastAsia="Arial" w:hAnsi="Arial"/>
          <w:sz w:val="17"/>
          <w:szCs w:val="17"/>
          <w:i w:val="1"/>
          <w:iCs w:val="1"/>
          <w:color w:val="auto"/>
        </w:rPr>
        <w:t>This press release contains forward-looking statements regarding the amount of the second quarter charge to be recorded. Actual events or results may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our forward-looking statements (see Certain Factors). Although the company believes that the expectations reflected in the forward-looking statements are reasonable, it cannot guarantee future results, levels of activity, performance or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459105</wp:posOffset>
            </wp:positionV>
            <wp:extent cx="725741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300"/>
      </w:cols>
      <w:pgMar w:left="240" w:top="47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2019-12-05T20:03:09Z</dcterms:created>
  <dcterms:modified xsi:type="dcterms:W3CDTF">2019-12-05T20:03:09Z</dcterms:modified>
</cp:coreProperties>
</file>