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8"/>
          <w:szCs w:val="18"/>
          <w:color w:val="auto"/>
        </w:rPr>
        <w:t>UNITED STATES</w:t>
      </w:r>
    </w:p>
    <w:p>
      <w:pPr>
        <w:jc w:val="center"/>
        <w:ind w:right="28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Micron Technology, Incorporated</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595112103</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2003</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chedule is filed:</w:t>
      </w:r>
    </w:p>
    <w:p>
      <w:pPr>
        <w:spacing w:after="0"/>
        <w:rPr>
          <w:sz w:val="20"/>
          <w:szCs w:val="20"/>
          <w:color w:val="auto"/>
        </w:rPr>
      </w:pPr>
      <w:r>
        <w:rPr>
          <w:rFonts w:ascii="Courier New" w:cs="Courier New" w:eastAsia="Courier New" w:hAnsi="Courier New"/>
          <w:sz w:val="18"/>
          <w:szCs w:val="18"/>
          <w:color w:val="auto"/>
        </w:rPr>
        <w:t>X] Rule 13d-1(b)</w:t>
      </w:r>
    </w:p>
    <w:p>
      <w:pPr>
        <w:ind w:left="320" w:hanging="207"/>
        <w:spacing w:after="0" w:line="237"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ind w:left="320" w:hanging="207"/>
        <w:spacing w:after="0" w:line="238" w:lineRule="auto"/>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13d-1(d)</w:t>
      </w:r>
    </w:p>
    <w:p>
      <w:pPr>
        <w:spacing w:after="0" w:line="200" w:lineRule="exact"/>
        <w:rPr>
          <w:sz w:val="24"/>
          <w:szCs w:val="24"/>
          <w:color w:val="auto"/>
        </w:rPr>
      </w:pPr>
    </w:p>
    <w:p>
      <w:pPr>
        <w:spacing w:after="0" w:line="210" w:lineRule="exact"/>
        <w:rPr>
          <w:sz w:val="24"/>
          <w:szCs w:val="24"/>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erson's initial filing on this form with respect to the subject class f securities, and for any subsequent amendment containing information hich would alter the disclosures provided in a prior cover page.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he information</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required in</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remainder</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this</w:t>
            </w:r>
          </w:p>
        </w:tc>
        <w:tc>
          <w:tcPr>
            <w:tcW w:w="22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cover page shall not</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 deemed to be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for</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6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purpose of Section 18 of</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the Securities</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xchange Act</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6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1934 ("Act") or</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otherwise</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subject</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liabilities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hat section</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0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the Act but shall be subject</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to all other provisions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w:t>
            </w:r>
          </w:p>
        </w:tc>
      </w:tr>
    </w:tbl>
    <w:p>
      <w:pPr>
        <w:spacing w:after="0" w:line="238" w:lineRule="auto"/>
        <w:rPr>
          <w:sz w:val="20"/>
          <w:szCs w:val="20"/>
          <w:color w:val="auto"/>
        </w:rPr>
      </w:pPr>
      <w:r>
        <w:rPr>
          <w:rFonts w:ascii="Courier New" w:cs="Courier New" w:eastAsia="Courier New" w:hAnsi="Courier New"/>
          <w:sz w:val="18"/>
          <w:szCs w:val="18"/>
          <w:color w:val="auto"/>
        </w:rPr>
        <w: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USIP: 595112103</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and Management Company</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95-1411037</w:t>
      </w:r>
    </w:p>
    <w:p>
      <w:pPr>
        <w:spacing w:after="0" w:line="202"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540" w:right="5899" w:hanging="427"/>
        <w:spacing w:after="0" w:line="463"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703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78,801,740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800" w:hanging="423"/>
        <w:spacing w:after="0" w:line="237" w:lineRule="auto"/>
        <w:tabs>
          <w:tab w:leader="none" w:pos="18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78,801,740</w:t>
      </w:r>
      <w:r>
        <w:rPr>
          <w:rFonts w:ascii="Courier New" w:cs="Courier New" w:eastAsia="Courier New" w:hAnsi="Courier New"/>
          <w:sz w:val="16"/>
          <w:szCs w:val="16"/>
          <w:color w:val="auto"/>
        </w:rPr>
        <w:t>Beneficial ownership disclaimed pursuant to Rule 13d-4</w:t>
      </w:r>
    </w:p>
    <w:p>
      <w:pPr>
        <w:spacing w:after="0" w:line="207" w:lineRule="exact"/>
        <w:rPr>
          <w:sz w:val="20"/>
          <w:szCs w:val="20"/>
          <w:color w:val="auto"/>
        </w:rPr>
      </w:pPr>
    </w:p>
    <w:p>
      <w:pPr>
        <w:ind w:left="540" w:right="2519" w:hanging="427"/>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12.8%</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ectPr>
          <w:pgSz w:w="11900" w:h="16838" w:orient="portrait"/>
          <w:cols w:equalWidth="0" w:num="1">
            <w:col w:w="10219"/>
          </w:cols>
          <w:pgMar w:left="2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USIP: 595112103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page&gt;</w:t>
      </w:r>
    </w:p>
    <w:p>
      <w:pPr>
        <w:spacing w:after="0" w:line="238" w:lineRule="auto"/>
        <w:rPr>
          <w:sz w:val="20"/>
          <w:szCs w:val="20"/>
          <w:color w:val="auto"/>
        </w:rPr>
      </w:pPr>
      <w:r>
        <w:rPr>
          <w:rFonts w:ascii="Courier New" w:cs="Courier New" w:eastAsia="Courier New" w:hAnsi="Courier New"/>
          <w:sz w:val="18"/>
          <w:szCs w:val="18"/>
          <w:color w:val="auto"/>
        </w:rPr>
        <w:t>page&gt;</w:t>
      </w:r>
    </w:p>
    <w:p>
      <w:pPr>
        <w:spacing w:after="0"/>
        <w:rPr>
          <w:sz w:val="20"/>
          <w:szCs w:val="20"/>
          <w:color w:val="auto"/>
        </w:rPr>
      </w:pPr>
      <w:r>
        <w:rPr>
          <w:rFonts w:ascii="Courier New" w:cs="Courier New" w:eastAsia="Courier New" w:hAnsi="Courier New"/>
          <w:sz w:val="18"/>
          <w:szCs w:val="18"/>
          <w:color w:val="auto"/>
        </w:rPr>
        <w:t>page&gt;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7</w:t>
      </w:r>
    </w:p>
    <w:p>
      <w:pPr>
        <w:spacing w:after="0" w:line="825" w:lineRule="exact"/>
        <w:rPr>
          <w:sz w:val="20"/>
          <w:szCs w:val="20"/>
          <w:color w:val="auto"/>
        </w:rPr>
      </w:pPr>
    </w:p>
    <w:p>
      <w:pPr>
        <w:sectPr>
          <w:pgSz w:w="11900" w:h="16838" w:orient="portrait"/>
          <w:cols w:equalWidth="0" w:num="2">
            <w:col w:w="5920" w:space="720"/>
            <w:col w:w="3579"/>
          </w:cols>
          <w:pgMar w:left="240" w:top="344" w:right="1440" w:bottom="0" w:gutter="0" w:footer="0" w:header="0"/>
          <w:type w:val="continuous"/>
        </w:sectPr>
      </w:pPr>
    </w:p>
    <w:p>
      <w:pPr>
        <w:spacing w:after="0" w:line="203"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Growth Fund of America,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20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7"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(b)</w:t>
      </w:r>
    </w:p>
    <w:p>
      <w:pPr>
        <w:spacing w:after="0" w:line="16" w:lineRule="exact"/>
        <w:rPr>
          <w:sz w:val="20"/>
          <w:szCs w:val="20"/>
          <w:color w:val="auto"/>
        </w:rPr>
      </w:pPr>
    </w:p>
    <w:p>
      <w:pPr>
        <w:ind w:left="540" w:hanging="427"/>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589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31,608,800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380"/>
        <w:spacing w:after="0" w:line="237" w:lineRule="auto"/>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344" w:right="1440" w:bottom="0" w:gutter="0" w:footer="0" w:header="0"/>
          <w:type w:val="continuous"/>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31,608,800</w:t>
      </w:r>
    </w:p>
    <w:p>
      <w:pPr>
        <w:spacing w:after="0" w:line="207" w:lineRule="exact"/>
        <w:rPr>
          <w:sz w:val="20"/>
          <w:szCs w:val="20"/>
          <w:color w:val="auto"/>
        </w:rPr>
      </w:pPr>
    </w:p>
    <w:p>
      <w:pPr>
        <w:ind w:left="540" w:right="2519" w:hanging="427"/>
        <w:spacing w:after="0" w:line="23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USIP: 595112103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page&gt;</w:t>
      </w:r>
    </w:p>
    <w:p>
      <w:pPr>
        <w:spacing w:after="0" w:line="238" w:lineRule="auto"/>
        <w:rPr>
          <w:sz w:val="20"/>
          <w:szCs w:val="20"/>
          <w:color w:val="auto"/>
        </w:rPr>
      </w:pPr>
      <w:r>
        <w:rPr>
          <w:rFonts w:ascii="Courier New" w:cs="Courier New" w:eastAsia="Courier New" w:hAnsi="Courier New"/>
          <w:sz w:val="18"/>
          <w:szCs w:val="18"/>
          <w:color w:val="auto"/>
        </w:rPr>
        <w:t>page&gt;</w:t>
      </w:r>
    </w:p>
    <w:p>
      <w:pPr>
        <w:spacing w:after="0"/>
        <w:rPr>
          <w:sz w:val="20"/>
          <w:szCs w:val="20"/>
          <w:color w:val="auto"/>
        </w:rPr>
      </w:pPr>
      <w:r>
        <w:rPr>
          <w:rFonts w:ascii="Courier New" w:cs="Courier New" w:eastAsia="Courier New" w:hAnsi="Courier New"/>
          <w:sz w:val="18"/>
          <w:szCs w:val="18"/>
          <w:color w:val="auto"/>
        </w:rPr>
        <w:t>page&gt;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7</w:t>
      </w:r>
    </w:p>
    <w:p>
      <w:pPr>
        <w:spacing w:after="0" w:line="825" w:lineRule="exact"/>
        <w:rPr>
          <w:sz w:val="20"/>
          <w:szCs w:val="20"/>
          <w:color w:val="auto"/>
        </w:rPr>
      </w:pPr>
    </w:p>
    <w:p>
      <w:pPr>
        <w:sectPr>
          <w:pgSz w:w="11900" w:h="16838" w:orient="portrait"/>
          <w:cols w:equalWidth="0" w:num="2">
            <w:col w:w="5920" w:space="720"/>
            <w:col w:w="3579"/>
          </w:cols>
          <w:pgMar w:left="240" w:top="136" w:right="1440" w:bottom="0" w:gutter="0" w:footer="0" w:header="0"/>
          <w:type w:val="continuous"/>
        </w:sect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mendment No. 6</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8000 S. Federal Way</w:t>
      </w:r>
    </w:p>
    <w:p>
      <w:pPr>
        <w:ind w:left="740"/>
        <w:spacing w:after="0"/>
        <w:rPr>
          <w:sz w:val="20"/>
          <w:szCs w:val="20"/>
          <w:color w:val="auto"/>
        </w:rPr>
      </w:pPr>
      <w:r>
        <w:rPr>
          <w:rFonts w:ascii="Courier New" w:cs="Courier New" w:eastAsia="Courier New" w:hAnsi="Courier New"/>
          <w:sz w:val="18"/>
          <w:szCs w:val="18"/>
          <w:color w:val="auto"/>
        </w:rPr>
        <w:t>P.O. Box 6</w:t>
      </w:r>
    </w:p>
    <w:p>
      <w:pPr>
        <w:ind w:left="740"/>
        <w:spacing w:after="0"/>
        <w:tabs>
          <w:tab w:leader="none" w:pos="188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83707-0006</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36" w:right="1440" w:bottom="0" w:gutter="0" w:footer="0" w:header="0"/>
          <w:type w:val="continuous"/>
        </w:sectPr>
      </w:pP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Research and Management Company and The Growth Fund of America, Inc.</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2" w:lineRule="exact"/>
        <w:rPr>
          <w:sz w:val="20"/>
          <w:szCs w:val="20"/>
          <w:color w:val="auto"/>
        </w:rPr>
      </w:pPr>
    </w:p>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595112103</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jc w:val="both"/>
        <w:ind w:left="1280" w:right="3039" w:hanging="535"/>
        <w:spacing w:after="0" w:line="268" w:lineRule="auto"/>
        <w:tabs>
          <w:tab w:leader="none" w:pos="1596"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1"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136" w:right="1440" w:bottom="0" w:gutter="0" w:footer="0" w:header="0"/>
          <w:type w:val="continuous"/>
        </w:sectPr>
      </w:pPr>
    </w:p>
    <w:bookmarkStart w:id="3" w:name="page4"/>
    <w:bookmarkEnd w:id="3"/>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1480" w:hanging="735"/>
        <w:spacing w:after="0"/>
        <w:tabs>
          <w:tab w:leader="none" w:pos="148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power to dispose or to direct the disposition of:</w:t>
      </w:r>
    </w:p>
    <w:p>
      <w:pPr>
        <w:sectPr>
          <w:pgSz w:w="11900" w:h="16838" w:orient="portrait"/>
          <w:cols w:equalWidth="0" w:num="1">
            <w:col w:w="10219"/>
          </w:cols>
          <w:pgMar w:left="240" w:top="136" w:right="1440" w:bottom="134"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USIP: 595112103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page&gt;</w:t>
      </w:r>
    </w:p>
    <w:p>
      <w:pPr>
        <w:spacing w:after="0" w:line="238" w:lineRule="auto"/>
        <w:rPr>
          <w:sz w:val="20"/>
          <w:szCs w:val="20"/>
          <w:color w:val="auto"/>
        </w:rPr>
      </w:pPr>
      <w:r>
        <w:rPr>
          <w:rFonts w:ascii="Courier New" w:cs="Courier New" w:eastAsia="Courier New" w:hAnsi="Courier New"/>
          <w:sz w:val="18"/>
          <w:szCs w:val="18"/>
          <w:color w:val="auto"/>
        </w:rPr>
        <w:t>page&gt;</w:t>
      </w:r>
    </w:p>
    <w:p>
      <w:pPr>
        <w:spacing w:after="0"/>
        <w:rPr>
          <w:sz w:val="20"/>
          <w:szCs w:val="20"/>
          <w:color w:val="auto"/>
        </w:rPr>
      </w:pPr>
      <w:r>
        <w:rPr>
          <w:rFonts w:ascii="Courier New" w:cs="Courier New" w:eastAsia="Courier New" w:hAnsi="Courier New"/>
          <w:sz w:val="18"/>
          <w:szCs w:val="18"/>
          <w:color w:val="auto"/>
        </w:rPr>
        <w:t>page&gt;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7</w:t>
      </w:r>
    </w:p>
    <w:p>
      <w:pPr>
        <w:spacing w:after="0" w:line="825" w:lineRule="exact"/>
        <w:rPr>
          <w:sz w:val="20"/>
          <w:szCs w:val="20"/>
          <w:color w:val="auto"/>
        </w:rPr>
      </w:pPr>
    </w:p>
    <w:p>
      <w:pPr>
        <w:sectPr>
          <w:pgSz w:w="11900" w:h="16838" w:orient="portrait"/>
          <w:cols w:equalWidth="0" w:num="2">
            <w:col w:w="5920" w:space="720"/>
            <w:col w:w="3579"/>
          </w:cols>
          <w:pgMar w:left="240" w:top="136" w:right="1440" w:bottom="134" w:gutter="0" w:footer="0" w:header="0"/>
          <w:type w:val="continuous"/>
        </w:sectPr>
      </w:pPr>
    </w:p>
    <w:p>
      <w:pPr>
        <w:spacing w:after="0" w:line="209" w:lineRule="exact"/>
        <w:rPr>
          <w:sz w:val="20"/>
          <w:szCs w:val="20"/>
          <w:color w:val="auto"/>
        </w:rPr>
      </w:pPr>
    </w:p>
    <w:p>
      <w:pPr>
        <w:ind w:left="740" w:right="2939"/>
        <w:spacing w:after="0" w:line="271" w:lineRule="auto"/>
        <w:rPr>
          <w:sz w:val="20"/>
          <w:szCs w:val="20"/>
          <w:color w:val="auto"/>
        </w:rPr>
      </w:pPr>
      <w:r>
        <w:rPr>
          <w:rFonts w:ascii="Courier New" w:cs="Courier New" w:eastAsia="Courier New" w:hAnsi="Courier New"/>
          <w:sz w:val="16"/>
          <w:szCs w:val="16"/>
          <w:color w:val="auto"/>
        </w:rPr>
        <w:t>Capital Research and Management Company, an investment adviser registered under Section 203 of the Investment Advisers Act of 1940 is deemed to be the beneficial owner of 78,801,740 shares or 12.8% of the 614,424,440 shares of Common Stock believed to be outstanding as a result of acting as investment adviser to various investment companies registered under Section 8 of the Investment Company Act of 1940.</w:t>
      </w:r>
    </w:p>
    <w:p>
      <w:pPr>
        <w:spacing w:after="0" w:line="188" w:lineRule="exact"/>
        <w:rPr>
          <w:sz w:val="20"/>
          <w:szCs w:val="20"/>
          <w:color w:val="auto"/>
        </w:rPr>
      </w:pPr>
    </w:p>
    <w:p>
      <w:pPr>
        <w:ind w:left="740" w:right="2939"/>
        <w:spacing w:after="0" w:line="273"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31,608,800 shares or 5.2% of the 614,424,440 shares of Common Stock believed to be outstanding.</w:t>
      </w:r>
    </w:p>
    <w:p>
      <w:pPr>
        <w:spacing w:after="0" w:line="185"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Shares reported by Capital Research and Management Company, include 3,817,440 shares resulting from the assumed conversion of $45,000,000 principal amount of the 2.5% Convertible Note expiring 02/01/10.</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2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tem 6</w:t>
        <w:tab/>
        <w:t>Ownership of More than Five Percent on Behalf of Another Person: N/A</w:t>
      </w:r>
    </w:p>
    <w:p>
      <w:pPr>
        <w:spacing w:after="0" w:line="208" w:lineRule="exact"/>
        <w:rPr>
          <w:sz w:val="20"/>
          <w:szCs w:val="20"/>
          <w:color w:val="auto"/>
        </w:rPr>
      </w:pPr>
    </w:p>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040" w:val="left"/>
          <w:tab w:leader="none" w:pos="4520" w:val="left"/>
        </w:tabs>
        <w:rPr>
          <w:sz w:val="20"/>
          <w:szCs w:val="20"/>
          <w:color w:val="auto"/>
        </w:rPr>
      </w:pPr>
      <w:r>
        <w:rPr>
          <w:rFonts w:ascii="Courier New" w:cs="Courier New" w:eastAsia="Courier New" w:hAnsi="Courier New"/>
          <w:sz w:val="18"/>
          <w:szCs w:val="18"/>
          <w:color w:val="auto"/>
        </w:rPr>
        <w:t>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USIP: 595112103</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34" w:gutter="0" w:footer="0" w:header="0"/>
          <w:type w:val="continuous"/>
        </w:sectPr>
      </w:pPr>
    </w:p>
    <w:bookmarkStart w:id="4" w:name="page5"/>
    <w:bookmarkEnd w:id="4"/>
    <w:tbl>
      <w:tblPr>
        <w:tblLayout w:type="fixed"/>
        <w:tblInd w:w="74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840" w:type="dxa"/>
            <w:vAlign w:val="bottom"/>
          </w:tcPr>
          <w:p>
            <w:pPr>
              <w:spacing w:after="0"/>
              <w:rPr>
                <w:sz w:val="17"/>
                <w:szCs w:val="17"/>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February 10, 2004</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*Paul G. Haaga, Jr.</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Paul G. Haaga, Jr., Executive Vice</w:t>
            </w:r>
          </w:p>
        </w:tc>
      </w:tr>
      <w:tr>
        <w:trPr>
          <w:trHeight w:val="203"/>
        </w:trPr>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 Research and Management Company</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840" w:type="dxa"/>
            <w:vAlign w:val="bottom"/>
          </w:tcPr>
          <w:p>
            <w:pPr>
              <w:spacing w:after="0"/>
              <w:rPr>
                <w:sz w:val="24"/>
                <w:szCs w:val="24"/>
                <w:color w:val="auto"/>
              </w:rPr>
            </w:pP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February 10, 2004</w:t>
            </w:r>
          </w:p>
        </w:tc>
      </w:tr>
      <w:tr>
        <w:trPr>
          <w:trHeight w:val="405"/>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Signature:</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rPr>
              <w:t>*Paul G. Haaga, Jr.</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Paul G. Haaga, Jr., Senior Vice President</w:t>
            </w:r>
          </w:p>
        </w:tc>
      </w:tr>
      <w:tr>
        <w:trPr>
          <w:trHeight w:val="203"/>
        </w:trPr>
        <w:tc>
          <w:tcPr>
            <w:tcW w:w="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Growth Fund of America, Inc.</w:t>
            </w:r>
          </w:p>
        </w:tc>
      </w:tr>
      <w:tr>
        <w:trPr>
          <w:trHeight w:val="810"/>
        </w:trPr>
        <w:tc>
          <w:tcPr>
            <w:tcW w:w="700" w:type="dxa"/>
            <w:vAlign w:val="bottom"/>
          </w:tcPr>
          <w:p>
            <w:pPr>
              <w:ind w:left="120"/>
              <w:spacing w:after="0"/>
              <w:rPr>
                <w:sz w:val="20"/>
                <w:szCs w:val="20"/>
                <w:color w:val="auto"/>
              </w:rPr>
            </w:pPr>
            <w:r>
              <w:rPr>
                <w:rFonts w:ascii="Courier New" w:cs="Courier New" w:eastAsia="Courier New" w:hAnsi="Courier New"/>
                <w:sz w:val="18"/>
                <w:szCs w:val="18"/>
                <w:color w:val="auto"/>
              </w:rPr>
              <w:t>*By</w:t>
            </w:r>
          </w:p>
        </w:tc>
        <w:tc>
          <w:tcPr>
            <w:tcW w:w="6040" w:type="dxa"/>
            <w:vAlign w:val="bottom"/>
            <w:gridSpan w:val="2"/>
          </w:tcPr>
          <w:p>
            <w:pPr>
              <w:ind w:left="140"/>
              <w:spacing w:after="0"/>
              <w:rPr>
                <w:sz w:val="20"/>
                <w:szCs w:val="20"/>
                <w:color w:val="auto"/>
              </w:rPr>
            </w:pPr>
            <w:r>
              <w:rPr>
                <w:rFonts w:ascii="Courier New" w:cs="Courier New" w:eastAsia="Courier New" w:hAnsi="Courier New"/>
                <w:sz w:val="18"/>
                <w:szCs w:val="18"/>
                <w:color w:val="auto"/>
              </w:rPr>
              <w:t>/s/ Anna J. Griffith</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Anna J. Griffith</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Attorney-in-fact</w:t>
            </w:r>
          </w:p>
        </w:tc>
      </w:tr>
      <w:tr>
        <w:trPr>
          <w:trHeight w:val="405"/>
        </w:trPr>
        <w:tc>
          <w:tcPr>
            <w:tcW w:w="700" w:type="dxa"/>
            <w:vAlign w:val="bottom"/>
          </w:tcPr>
          <w:p>
            <w:pPr>
              <w:spacing w:after="0"/>
              <w:rPr>
                <w:sz w:val="24"/>
                <w:szCs w:val="24"/>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8"/>
                <w:szCs w:val="18"/>
                <w:color w:val="auto"/>
              </w:rPr>
              <w:t>Signed</w:t>
            </w:r>
          </w:p>
        </w:tc>
        <w:tc>
          <w:tcPr>
            <w:tcW w:w="5200" w:type="dxa"/>
            <w:vAlign w:val="bottom"/>
          </w:tcPr>
          <w:p>
            <w:pPr>
              <w:ind w:left="40"/>
              <w:spacing w:after="0"/>
              <w:rPr>
                <w:sz w:val="20"/>
                <w:szCs w:val="20"/>
                <w:color w:val="auto"/>
              </w:rPr>
            </w:pPr>
            <w:r>
              <w:rPr>
                <w:rFonts w:ascii="Courier New" w:cs="Courier New" w:eastAsia="Courier New" w:hAnsi="Courier New"/>
                <w:sz w:val="18"/>
                <w:szCs w:val="18"/>
                <w:color w:val="auto"/>
                <w:w w:val="97"/>
              </w:rPr>
              <w:t>pursuant to a Power of Attorney dated January 14,</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2004 included as an Exhibit to Schedule 13G filed with</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the Securities and Exchange Commission by Capital</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Research and Management Company on February 6, 2004 with</w:t>
            </w:r>
          </w:p>
        </w:tc>
      </w:tr>
      <w:tr>
        <w:trPr>
          <w:trHeight w:val="203"/>
        </w:trPr>
        <w:tc>
          <w:tcPr>
            <w:tcW w:w="700" w:type="dxa"/>
            <w:vAlign w:val="bottom"/>
          </w:tcPr>
          <w:p>
            <w:pPr>
              <w:spacing w:after="0"/>
              <w:rPr>
                <w:sz w:val="17"/>
                <w:szCs w:val="17"/>
                <w:color w:val="auto"/>
              </w:rPr>
            </w:pPr>
          </w:p>
        </w:tc>
        <w:tc>
          <w:tcPr>
            <w:tcW w:w="604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respect to Air Products and Chemicals, Incorporated.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USIP: 595112103</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Los Angeles, CA</w:t>
      </w:r>
    </w:p>
    <w:p>
      <w:pPr>
        <w:jc w:val="center"/>
        <w:ind w:right="2739"/>
        <w:spacing w:after="0" w:line="238" w:lineRule="auto"/>
        <w:rPr>
          <w:sz w:val="20"/>
          <w:szCs w:val="20"/>
          <w:color w:val="auto"/>
        </w:rPr>
      </w:pPr>
      <w:r>
        <w:rPr>
          <w:rFonts w:ascii="Courier New" w:cs="Courier New" w:eastAsia="Courier New" w:hAnsi="Courier New"/>
          <w:sz w:val="18"/>
          <w:szCs w:val="18"/>
          <w:color w:val="auto"/>
        </w:rPr>
        <w:t>February 10, 2004</w:t>
      </w:r>
    </w:p>
    <w:p>
      <w:pPr>
        <w:spacing w:after="0" w:line="207" w:lineRule="exact"/>
        <w:rPr>
          <w:sz w:val="20"/>
          <w:szCs w:val="20"/>
          <w:color w:val="auto"/>
        </w:rPr>
      </w:pPr>
    </w:p>
    <w:p>
      <w:pPr>
        <w:ind w:right="2839" w:firstLine="211"/>
        <w:spacing w:after="0" w:line="237" w:lineRule="auto"/>
        <w:rPr>
          <w:sz w:val="20"/>
          <w:szCs w:val="20"/>
          <w:color w:val="auto"/>
        </w:rPr>
      </w:pPr>
      <w:r>
        <w:rPr>
          <w:rFonts w:ascii="Courier New" w:cs="Courier New" w:eastAsia="Courier New" w:hAnsi="Courier New"/>
          <w:sz w:val="18"/>
          <w:szCs w:val="18"/>
          <w:color w:val="auto"/>
        </w:rPr>
        <w:t>Capital Research and Management Company ("CRMC") and The Growth Fund f America, Inc. ("GFA") hereby agree to file a joint statement on chedule 13G under the Securities Exchange Act of 1934 (the "Act") in onnection with their beneficial ownership of Common Stock issued by icron Technology, Incorporated.</w:t>
      </w:r>
    </w:p>
    <w:p>
      <w:pPr>
        <w:spacing w:after="0" w:line="209" w:lineRule="exact"/>
        <w:rPr>
          <w:sz w:val="20"/>
          <w:szCs w:val="20"/>
          <w:color w:val="auto"/>
        </w:rPr>
      </w:pPr>
    </w:p>
    <w:p>
      <w:pPr>
        <w:ind w:right="3039" w:firstLine="211"/>
        <w:spacing w:after="0" w:line="235" w:lineRule="auto"/>
        <w:rPr>
          <w:sz w:val="20"/>
          <w:szCs w:val="20"/>
          <w:color w:val="auto"/>
        </w:rPr>
      </w:pPr>
      <w:r>
        <w:rPr>
          <w:rFonts w:ascii="Courier New" w:cs="Courier New" w:eastAsia="Courier New" w:hAnsi="Courier New"/>
          <w:sz w:val="18"/>
          <w:szCs w:val="18"/>
          <w:color w:val="auto"/>
        </w:rPr>
        <w:t>CRMC and GFA state that they are each entitled to individually use chedule 13G pursuant to Rule 13d-1(c) of the Act.</w:t>
      </w:r>
    </w:p>
    <w:p>
      <w:pPr>
        <w:spacing w:after="0" w:line="208" w:lineRule="exact"/>
        <w:rPr>
          <w:sz w:val="20"/>
          <w:szCs w:val="20"/>
          <w:color w:val="auto"/>
        </w:rPr>
      </w:pPr>
    </w:p>
    <w:p>
      <w:pPr>
        <w:ind w:right="3039" w:firstLine="211"/>
        <w:spacing w:after="0" w:line="237" w:lineRule="auto"/>
        <w:rPr>
          <w:sz w:val="20"/>
          <w:szCs w:val="20"/>
          <w:color w:val="auto"/>
        </w:rPr>
      </w:pPr>
      <w:r>
        <w:rPr>
          <w:rFonts w:ascii="Courier New" w:cs="Courier New" w:eastAsia="Courier New" w:hAnsi="Courier New"/>
          <w:sz w:val="18"/>
          <w:szCs w:val="18"/>
          <w:color w:val="auto"/>
        </w:rPr>
        <w:t>CRMC and GFA are each responsible for the timely filing of the tatement and any amendments thereto, and for the completeness and ccuracy of the information concerning each of them contained therein ut are not responsible for the completeness or accuracy of the 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CAPITAL RESEARCH AND MANAGEMENT COMPANY</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238" w:lineRule="auto"/>
        <w:rPr>
          <w:sz w:val="20"/>
          <w:szCs w:val="20"/>
          <w:color w:val="auto"/>
        </w:rPr>
      </w:pPr>
      <w:r>
        <w:rPr>
          <w:rFonts w:ascii="Courier New" w:cs="Courier New" w:eastAsia="Courier New" w:hAnsi="Courier New"/>
          <w:sz w:val="18"/>
          <w:szCs w:val="18"/>
          <w:color w:val="auto"/>
        </w:rPr>
        <w:t>Paul G. Haaga, Jr., Executive</w:t>
      </w:r>
    </w:p>
    <w:p>
      <w:pPr>
        <w:ind w:left="220"/>
        <w:spacing w:after="0"/>
        <w:rPr>
          <w:sz w:val="20"/>
          <w:szCs w:val="20"/>
          <w:color w:val="auto"/>
        </w:rPr>
      </w:pPr>
      <w:r>
        <w:rPr>
          <w:rFonts w:ascii="Courier New" w:cs="Courier New" w:eastAsia="Courier New" w:hAnsi="Courier New"/>
          <w:sz w:val="18"/>
          <w:szCs w:val="18"/>
          <w:color w:val="auto"/>
        </w:rPr>
        <w:t>Vice President</w:t>
      </w:r>
    </w:p>
    <w:p>
      <w:pPr>
        <w:spacing w:after="0" w:line="3"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Capital Research and Management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Company</w:t>
      </w:r>
    </w:p>
    <w:p>
      <w:pPr>
        <w:sectPr>
          <w:pgSz w:w="11900" w:h="16838" w:orient="portrait"/>
          <w:cols w:equalWidth="0" w:num="2">
            <w:col w:w="2760" w:space="720"/>
            <w:col w:w="6739"/>
          </w:cols>
          <w:pgMar w:left="240" w:top="136" w:right="1440" w:bottom="0" w:gutter="0" w:footer="0" w:header="0"/>
          <w:type w:val="continuous"/>
        </w:sectPr>
      </w:pPr>
    </w:p>
    <w:bookmarkStart w:id="5" w:name="page6"/>
    <w:bookmarkEnd w:id="5"/>
    <w:p>
      <w:pPr>
        <w:ind w:left="1700"/>
        <w:spacing w:after="0"/>
        <w:rPr>
          <w:sz w:val="20"/>
          <w:szCs w:val="20"/>
          <w:color w:val="auto"/>
        </w:rPr>
      </w:pPr>
      <w:r>
        <w:rPr>
          <w:rFonts w:ascii="Courier New" w:cs="Courier New" w:eastAsia="Courier New" w:hAnsi="Courier New"/>
          <w:sz w:val="16"/>
          <w:szCs w:val="16"/>
          <w:color w:val="auto"/>
        </w:rPr>
        <w:t>THE GROWTH FUND OF AMERICA, INC.</w:t>
      </w:r>
    </w:p>
    <w:p>
      <w:pPr>
        <w:sectPr>
          <w:pgSz w:w="11900" w:h="16838" w:orient="portrait"/>
          <w:cols w:equalWidth="0" w:num="1">
            <w:col w:w="10219"/>
          </w:cols>
          <w:pgMar w:left="240" w:top="547" w:right="1440" w:bottom="1440" w:gutter="0" w:footer="0" w:header="0"/>
        </w:sectPr>
      </w:pPr>
    </w:p>
    <w:p>
      <w:pPr>
        <w:spacing w:after="0" w:line="2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G. Haaga,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Paul G. Haaga, Jr., Senior Vice</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President</w:t>
      </w:r>
    </w:p>
    <w:p>
      <w:pPr>
        <w:ind w:left="220"/>
        <w:spacing w:after="0" w:line="238" w:lineRule="auto"/>
        <w:rPr>
          <w:sz w:val="20"/>
          <w:szCs w:val="20"/>
          <w:color w:val="auto"/>
        </w:rPr>
      </w:pPr>
      <w:r>
        <w:rPr>
          <w:rFonts w:ascii="Courier New" w:cs="Courier New" w:eastAsia="Courier New" w:hAnsi="Courier New"/>
          <w:sz w:val="18"/>
          <w:szCs w:val="18"/>
          <w:color w:val="auto"/>
        </w:rPr>
        <w:t>The Growth Fund of America,</w:t>
      </w:r>
    </w:p>
    <w:p>
      <w:pPr>
        <w:ind w:left="22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ectPr>
          <w:pgSz w:w="11900" w:h="16838" w:orient="portrait"/>
          <w:cols w:equalWidth="0" w:num="2">
            <w:col w:w="2760" w:space="720"/>
            <w:col w:w="6739"/>
          </w:cols>
          <w:pgMar w:left="240" w:top="547" w:right="1440" w:bottom="1440" w:gutter="0" w:footer="0" w:header="0"/>
          <w:type w:val="continuous"/>
        </w:sectPr>
      </w:pP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Anna J. Griffith</w:t>
      </w:r>
    </w:p>
    <w:p>
      <w:pPr>
        <w:ind w:left="420"/>
        <w:spacing w:after="0" w:line="238" w:lineRule="auto"/>
        <w:rPr>
          <w:sz w:val="20"/>
          <w:szCs w:val="20"/>
          <w:color w:val="auto"/>
        </w:rPr>
      </w:pPr>
      <w:r>
        <w:rPr>
          <w:rFonts w:ascii="Courier New" w:cs="Courier New" w:eastAsia="Courier New" w:hAnsi="Courier New"/>
          <w:sz w:val="18"/>
          <w:szCs w:val="18"/>
          <w:color w:val="auto"/>
        </w:rPr>
        <w:t>Anna J. Griffith</w:t>
      </w: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54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14, 2004 included as an Exhibit to Schedule 13G filed with the Securities and Exchange Commission by Capital Research and Management Company on February 6, 2004 with respect to Air Products and Chemicals,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6620" w:val="left"/>
        </w:tabs>
        <w:rPr>
          <w:sz w:val="20"/>
          <w:szCs w:val="20"/>
          <w:color w:val="auto"/>
        </w:rPr>
      </w:pPr>
      <w:r>
        <w:rPr>
          <w:rFonts w:ascii="Courier New" w:cs="Courier New" w:eastAsia="Courier New" w:hAnsi="Courier New"/>
          <w:sz w:val="18"/>
          <w:szCs w:val="18"/>
          <w:color w:val="auto"/>
        </w:rPr>
        <w:t>USIP: 595112103</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54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5"/>
      <w:numFmt w:val="bullet"/>
      <w:start w:val="1"/>
    </w:lvl>
  </w:abstractNum>
  <w:abstractNum w:abstractNumId="6">
    <w:nsid w:val="140E0F76"/>
    <w:multiLevelType w:val="hybridMultilevel"/>
    <w:lvl w:ilvl="0">
      <w:lvlJc w:val="left"/>
      <w:lvlText w:val="8"/>
      <w:numFmt w:val="bullet"/>
      <w:start w:val="1"/>
    </w:lvl>
  </w:abstractNum>
  <w:abstractNum w:abstractNumId="7">
    <w:nsid w:val="3352255A"/>
    <w:multiLevelType w:val="hybridMultilevel"/>
    <w:lvl w:ilvl="0">
      <w:lvlJc w:val="left"/>
      <w:lvlText w:val="9"/>
      <w:numFmt w:val="bullet"/>
      <w:start w:val="1"/>
    </w:lvl>
  </w:abstractNum>
  <w:abstractNum w:abstractNumId="8">
    <w:nsid w:val="109CF92E"/>
    <w:multiLevelType w:val="hybridMultilevel"/>
    <w:lvl w:ilvl="0">
      <w:lvlJc w:val="left"/>
      <w:lvlText w:val="%1"/>
      <w:numFmt w:val="decimal"/>
      <w:start w:val="10"/>
    </w:lvl>
  </w:abstractNum>
  <w:abstractNum w:abstractNumId="9">
    <w:nsid w:val="DED7263"/>
    <w:multiLevelType w:val="hybridMultilevel"/>
    <w:lvl w:ilvl="0">
      <w:lvlJc w:val="left"/>
      <w:lvlText w:val="1"/>
      <w:numFmt w:val="bullet"/>
      <w:start w:val="1"/>
    </w:lvl>
  </w:abstractNum>
  <w:abstractNum w:abstractNumId="10">
    <w:nsid w:val="7FDCC233"/>
    <w:multiLevelType w:val="hybridMultilevel"/>
    <w:lvl w:ilvl="0">
      <w:lvlJc w:val="left"/>
      <w:lvlText w:val="2"/>
      <w:numFmt w:val="bullet"/>
      <w:start w:val="1"/>
    </w:lvl>
  </w:abstractNum>
  <w:abstractNum w:abstractNumId="11">
    <w:nsid w:val="1BEFD79F"/>
    <w:multiLevelType w:val="hybridMultilevel"/>
    <w:lvl w:ilvl="0">
      <w:lvlJc w:val="left"/>
      <w:lvlText w:val="3"/>
      <w:numFmt w:val="bullet"/>
      <w:start w:val="1"/>
    </w:lvl>
  </w:abstractNum>
  <w:abstractNum w:abstractNumId="12">
    <w:nsid w:val="41A7C4C9"/>
    <w:multiLevelType w:val="hybridMultilevel"/>
    <w:lvl w:ilvl="0">
      <w:lvlJc w:val="left"/>
      <w:lvlText w:val="4"/>
      <w:numFmt w:val="bullet"/>
      <w:start w:val="1"/>
    </w:lvl>
  </w:abstractNum>
  <w:abstractNum w:abstractNumId="13">
    <w:nsid w:val="6B68079A"/>
    <w:multiLevelType w:val="hybridMultilevel"/>
    <w:lvl w:ilvl="0">
      <w:lvlJc w:val="left"/>
      <w:lvlText w:val="9"/>
      <w:numFmt w:val="bullet"/>
      <w:start w:val="1"/>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lowerLetter"/>
      <w:start w:val="4"/>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2019-12-12T10:43:22Z</dcterms:created>
  <dcterms:modified xsi:type="dcterms:W3CDTF">2019-12-12T10:43:22Z</dcterms:modified>
</cp:coreProperties>
</file>