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Registration No. 333-220882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Issuer Free Writing Prospectus dated April 21, 2020</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Relating to Preliminary Prospectus Supplement dated April 21, 2020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APRIL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142875</wp:posOffset>
            </wp:positionV>
            <wp:extent cx="156019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2.497% SENIOR NOTES DUE 2023</w:t>
      </w:r>
    </w:p>
    <w:p>
      <w:pPr>
        <w:spacing w:after="0" w:line="229" w:lineRule="exact"/>
        <w:rPr>
          <w:sz w:val="24"/>
          <w:szCs w:val="24"/>
          <w:color w:val="auto"/>
        </w:rPr>
      </w:pPr>
    </w:p>
    <w:p>
      <w:pPr>
        <w:jc w:val="both"/>
        <w:ind w:right="120" w:firstLine="653"/>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April 21, 2020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940" w:type="dxa"/>
            <w:vAlign w:val="bottom"/>
          </w:tcPr>
          <w:p>
            <w:pPr>
              <w:ind w:left="900"/>
              <w:spacing w:after="0"/>
              <w:rPr>
                <w:sz w:val="20"/>
                <w:szCs w:val="20"/>
                <w:color w:val="auto"/>
              </w:rPr>
            </w:pPr>
            <w:r>
              <w:rPr>
                <w:rFonts w:ascii="Arial" w:cs="Arial" w:eastAsia="Arial" w:hAnsi="Arial"/>
                <w:sz w:val="18"/>
                <w:szCs w:val="18"/>
                <w:color w:val="auto"/>
              </w:rPr>
              <w:t>Micron Technology, Inc. (Nasdaq: MU)</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7940" w:type="dxa"/>
            <w:vAlign w:val="bottom"/>
          </w:tcPr>
          <w:p>
            <w:pPr>
              <w:ind w:left="900"/>
              <w:spacing w:after="0"/>
              <w:rPr>
                <w:sz w:val="20"/>
                <w:szCs w:val="20"/>
                <w:color w:val="auto"/>
              </w:rPr>
            </w:pPr>
            <w:r>
              <w:rPr>
                <w:rFonts w:ascii="Arial" w:cs="Arial" w:eastAsia="Arial" w:hAnsi="Arial"/>
                <w:sz w:val="18"/>
                <w:szCs w:val="18"/>
                <w:color w:val="auto"/>
                <w:w w:val="98"/>
              </w:rPr>
              <w:t>$1,250 million aggregate principal amount of 2.497% Senior Notes due 2023 (the “notes”)</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7940" w:type="dxa"/>
            <w:vAlign w:val="bottom"/>
          </w:tcPr>
          <w:p>
            <w:pPr>
              <w:ind w:left="900"/>
              <w:spacing w:after="0"/>
              <w:rPr>
                <w:sz w:val="20"/>
                <w:szCs w:val="20"/>
                <w:color w:val="auto"/>
              </w:rPr>
            </w:pPr>
            <w:r>
              <w:rPr>
                <w:rFonts w:ascii="Arial" w:cs="Arial" w:eastAsia="Arial" w:hAnsi="Arial"/>
                <w:sz w:val="18"/>
                <w:szCs w:val="18"/>
                <w:color w:val="auto"/>
              </w:rPr>
              <w:t>April 24</w:t>
            </w:r>
            <w:r>
              <w:rPr>
                <w:rFonts w:ascii="Arial" w:cs="Arial" w:eastAsia="Arial" w:hAnsi="Arial"/>
                <w:sz w:val="17"/>
                <w:szCs w:val="17"/>
                <w:color w:val="auto"/>
              </w:rPr>
              <w:t>, 20</w:t>
            </w:r>
            <w:r>
              <w:rPr>
                <w:rFonts w:ascii="Arial" w:cs="Arial" w:eastAsia="Arial" w:hAnsi="Arial"/>
                <w:sz w:val="18"/>
                <w:szCs w:val="18"/>
                <w:color w:val="auto"/>
              </w:rPr>
              <w:t>23</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7940" w:type="dxa"/>
            <w:vAlign w:val="bottom"/>
          </w:tcPr>
          <w:p>
            <w:pPr>
              <w:ind w:left="900"/>
              <w:spacing w:after="0"/>
              <w:rPr>
                <w:sz w:val="20"/>
                <w:szCs w:val="20"/>
                <w:color w:val="auto"/>
              </w:rPr>
            </w:pPr>
            <w:r>
              <w:rPr>
                <w:rFonts w:ascii="Arial" w:cs="Arial" w:eastAsia="Arial" w:hAnsi="Arial"/>
                <w:sz w:val="18"/>
                <w:szCs w:val="18"/>
                <w:color w:val="auto"/>
              </w:rPr>
              <w:t>2.497% per year on the principal amount</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940" w:type="dxa"/>
            <w:vAlign w:val="bottom"/>
          </w:tcPr>
          <w:p>
            <w:pPr>
              <w:ind w:left="900"/>
              <w:spacing w:after="0"/>
              <w:rPr>
                <w:sz w:val="20"/>
                <w:szCs w:val="20"/>
                <w:color w:val="auto"/>
              </w:rPr>
            </w:pPr>
            <w:r>
              <w:rPr>
                <w:rFonts w:ascii="Arial" w:cs="Arial" w:eastAsia="Arial" w:hAnsi="Arial"/>
                <w:sz w:val="18"/>
                <w:szCs w:val="18"/>
                <w:color w:val="auto"/>
              </w:rPr>
              <w:t xml:space="preserve">April 24 </w:t>
            </w:r>
            <w:r>
              <w:rPr>
                <w:rFonts w:ascii="Arial" w:cs="Arial" w:eastAsia="Arial" w:hAnsi="Arial"/>
                <w:sz w:val="17"/>
                <w:szCs w:val="17"/>
                <w:color w:val="auto"/>
              </w:rPr>
              <w:t>and</w:t>
            </w:r>
            <w:r>
              <w:rPr>
                <w:rFonts w:ascii="Arial" w:cs="Arial" w:eastAsia="Arial" w:hAnsi="Arial"/>
                <w:sz w:val="18"/>
                <w:szCs w:val="18"/>
                <w:color w:val="auto"/>
              </w:rPr>
              <w:t xml:space="preserve"> October 24, beginning October 24, 2020, accruing from April 24, 2020</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7940" w:type="dxa"/>
            <w:vAlign w:val="bottom"/>
          </w:tcPr>
          <w:p>
            <w:pPr>
              <w:ind w:left="900"/>
              <w:spacing w:after="0"/>
              <w:rPr>
                <w:sz w:val="20"/>
                <w:szCs w:val="20"/>
                <w:color w:val="auto"/>
              </w:rPr>
            </w:pPr>
            <w:r>
              <w:rPr>
                <w:rFonts w:ascii="Arial" w:cs="Arial" w:eastAsia="Arial" w:hAnsi="Arial"/>
                <w:sz w:val="18"/>
                <w:szCs w:val="18"/>
                <w:color w:val="auto"/>
              </w:rPr>
              <w:t xml:space="preserve">April 9 </w:t>
            </w:r>
            <w:r>
              <w:rPr>
                <w:rFonts w:ascii="Arial" w:cs="Arial" w:eastAsia="Arial" w:hAnsi="Arial"/>
                <w:sz w:val="17"/>
                <w:szCs w:val="17"/>
                <w:color w:val="auto"/>
              </w:rPr>
              <w:t>and</w:t>
            </w:r>
            <w:r>
              <w:rPr>
                <w:rFonts w:ascii="Arial" w:cs="Arial" w:eastAsia="Arial" w:hAnsi="Arial"/>
                <w:sz w:val="18"/>
                <w:szCs w:val="18"/>
                <w:color w:val="auto"/>
              </w:rPr>
              <w:t xml:space="preserve"> October 9</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7940" w:type="dxa"/>
            <w:vAlign w:val="bottom"/>
          </w:tcPr>
          <w:p>
            <w:pPr>
              <w:ind w:left="900"/>
              <w:spacing w:after="0"/>
              <w:rPr>
                <w:sz w:val="20"/>
                <w:szCs w:val="20"/>
                <w:color w:val="auto"/>
              </w:rPr>
            </w:pPr>
            <w:r>
              <w:rPr>
                <w:rFonts w:ascii="Arial" w:cs="Arial" w:eastAsia="Arial" w:hAnsi="Arial"/>
                <w:sz w:val="18"/>
                <w:szCs w:val="18"/>
                <w:color w:val="auto"/>
              </w:rPr>
              <w:t>100.000%</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7940" w:type="dxa"/>
            <w:vAlign w:val="bottom"/>
          </w:tcPr>
          <w:p>
            <w:pPr>
              <w:ind w:left="900"/>
              <w:spacing w:after="0"/>
              <w:rPr>
                <w:sz w:val="20"/>
                <w:szCs w:val="20"/>
                <w:color w:val="auto"/>
              </w:rPr>
            </w:pPr>
            <w:r>
              <w:rPr>
                <w:rFonts w:ascii="Arial" w:cs="Arial" w:eastAsia="Arial" w:hAnsi="Arial"/>
                <w:sz w:val="18"/>
                <w:szCs w:val="18"/>
                <w:color w:val="auto"/>
              </w:rPr>
              <w:t>0.200% per note</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Spread to Treasury:</w:t>
            </w:r>
          </w:p>
        </w:tc>
        <w:tc>
          <w:tcPr>
            <w:tcW w:w="7940" w:type="dxa"/>
            <w:vAlign w:val="bottom"/>
          </w:tcPr>
          <w:p>
            <w:pPr>
              <w:ind w:left="900"/>
              <w:spacing w:after="0"/>
              <w:rPr>
                <w:sz w:val="20"/>
                <w:szCs w:val="20"/>
                <w:color w:val="auto"/>
              </w:rPr>
            </w:pPr>
            <w:r>
              <w:rPr>
                <w:rFonts w:ascii="Arial" w:cs="Arial" w:eastAsia="Arial" w:hAnsi="Arial"/>
                <w:sz w:val="18"/>
                <w:szCs w:val="18"/>
                <w:color w:val="auto"/>
              </w:rPr>
              <w:t>+225 basis points</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Benchmark:</w:t>
            </w:r>
          </w:p>
        </w:tc>
        <w:tc>
          <w:tcPr>
            <w:tcW w:w="7940" w:type="dxa"/>
            <w:vAlign w:val="bottom"/>
          </w:tcPr>
          <w:p>
            <w:pPr>
              <w:ind w:left="900"/>
              <w:spacing w:after="0"/>
              <w:rPr>
                <w:sz w:val="20"/>
                <w:szCs w:val="20"/>
                <w:color w:val="auto"/>
              </w:rPr>
            </w:pPr>
            <w:r>
              <w:rPr>
                <w:rFonts w:ascii="Arial" w:cs="Arial" w:eastAsia="Arial" w:hAnsi="Arial"/>
                <w:sz w:val="18"/>
                <w:szCs w:val="18"/>
                <w:color w:val="auto"/>
              </w:rPr>
              <w:t>UST 0.250% due April 15, 2023 (yielding: 0.247%)</w:t>
            </w:r>
          </w:p>
        </w:tc>
      </w:tr>
      <w:tr>
        <w:trPr>
          <w:trHeight w:val="418"/>
        </w:trPr>
        <w:tc>
          <w:tcPr>
            <w:tcW w:w="334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7940" w:type="dxa"/>
            <w:vAlign w:val="bottom"/>
          </w:tcPr>
          <w:p>
            <w:pPr>
              <w:ind w:left="900"/>
              <w:spacing w:after="0"/>
              <w:rPr>
                <w:sz w:val="20"/>
                <w:szCs w:val="20"/>
                <w:color w:val="auto"/>
              </w:rPr>
            </w:pPr>
            <w:r>
              <w:rPr>
                <w:rFonts w:ascii="Arial" w:cs="Arial" w:eastAsia="Arial" w:hAnsi="Arial"/>
                <w:sz w:val="18"/>
                <w:szCs w:val="18"/>
                <w:color w:val="auto"/>
              </w:rPr>
              <w:t>Baa3 (Stable) (Moody’s Investors Service, Inc.)</w:t>
            </w:r>
          </w:p>
        </w:tc>
      </w:tr>
      <w:tr>
        <w:trPr>
          <w:trHeight w:val="216"/>
        </w:trPr>
        <w:tc>
          <w:tcPr>
            <w:tcW w:w="3340" w:type="dxa"/>
            <w:vAlign w:val="bottom"/>
          </w:tcPr>
          <w:p>
            <w:pPr>
              <w:spacing w:after="0"/>
              <w:rPr>
                <w:sz w:val="18"/>
                <w:szCs w:val="18"/>
                <w:color w:val="auto"/>
              </w:rPr>
            </w:pPr>
          </w:p>
        </w:tc>
        <w:tc>
          <w:tcPr>
            <w:tcW w:w="7940" w:type="dxa"/>
            <w:vAlign w:val="bottom"/>
          </w:tcPr>
          <w:p>
            <w:pPr>
              <w:ind w:left="900"/>
              <w:spacing w:after="0"/>
              <w:rPr>
                <w:sz w:val="20"/>
                <w:szCs w:val="20"/>
                <w:color w:val="auto"/>
              </w:rPr>
            </w:pPr>
            <w:r>
              <w:rPr>
                <w:rFonts w:ascii="Arial" w:cs="Arial" w:eastAsia="Arial" w:hAnsi="Arial"/>
                <w:sz w:val="18"/>
                <w:szCs w:val="18"/>
                <w:color w:val="auto"/>
              </w:rPr>
              <w:t>BBB- (Stable) (Fitch Ratings Inc.)</w:t>
            </w:r>
          </w:p>
        </w:tc>
      </w:tr>
      <w:tr>
        <w:trPr>
          <w:trHeight w:val="230"/>
        </w:trPr>
        <w:tc>
          <w:tcPr>
            <w:tcW w:w="3340" w:type="dxa"/>
            <w:vAlign w:val="bottom"/>
          </w:tcPr>
          <w:p>
            <w:pPr>
              <w:spacing w:after="0"/>
              <w:rPr>
                <w:sz w:val="20"/>
                <w:szCs w:val="20"/>
                <w:color w:val="auto"/>
              </w:rPr>
            </w:pPr>
          </w:p>
        </w:tc>
        <w:tc>
          <w:tcPr>
            <w:tcW w:w="7940" w:type="dxa"/>
            <w:vAlign w:val="bottom"/>
          </w:tcPr>
          <w:p>
            <w:pPr>
              <w:ind w:left="900"/>
              <w:spacing w:after="0"/>
              <w:rPr>
                <w:sz w:val="20"/>
                <w:szCs w:val="20"/>
                <w:color w:val="auto"/>
              </w:rPr>
            </w:pPr>
            <w:r>
              <w:rPr>
                <w:rFonts w:ascii="Arial" w:cs="Arial" w:eastAsia="Arial" w:hAnsi="Arial"/>
                <w:sz w:val="18"/>
                <w:szCs w:val="18"/>
                <w:color w:val="auto"/>
              </w:rPr>
              <w:t>BBB- (Stable) (S&amp;P Global Ratings)</w:t>
            </w:r>
          </w:p>
        </w:tc>
      </w:tr>
      <w:tr>
        <w:trPr>
          <w:trHeight w:val="414"/>
        </w:trPr>
        <w:tc>
          <w:tcPr>
            <w:tcW w:w="3340" w:type="dxa"/>
            <w:vAlign w:val="bottom"/>
          </w:tcPr>
          <w:p>
            <w:pPr>
              <w:spacing w:after="0"/>
              <w:rPr>
                <w:sz w:val="20"/>
                <w:szCs w:val="20"/>
                <w:color w:val="auto"/>
              </w:rPr>
            </w:pPr>
            <w:r>
              <w:rPr>
                <w:rFonts w:ascii="Arial" w:cs="Arial" w:eastAsia="Arial" w:hAnsi="Arial"/>
                <w:sz w:val="18"/>
                <w:szCs w:val="18"/>
                <w:b w:val="1"/>
                <w:bCs w:val="1"/>
                <w:color w:val="auto"/>
              </w:rPr>
              <w:t>Pricing Date:</w:t>
            </w:r>
          </w:p>
        </w:tc>
        <w:tc>
          <w:tcPr>
            <w:tcW w:w="7940" w:type="dxa"/>
            <w:vAlign w:val="bottom"/>
          </w:tcPr>
          <w:p>
            <w:pPr>
              <w:ind w:left="900"/>
              <w:spacing w:after="0"/>
              <w:rPr>
                <w:sz w:val="20"/>
                <w:szCs w:val="20"/>
                <w:color w:val="auto"/>
              </w:rPr>
            </w:pPr>
            <w:r>
              <w:rPr>
                <w:rFonts w:ascii="Arial" w:cs="Arial" w:eastAsia="Arial" w:hAnsi="Arial"/>
                <w:sz w:val="18"/>
                <w:szCs w:val="18"/>
                <w:color w:val="auto"/>
              </w:rPr>
              <w:t>April 21, 2020</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7940" w:type="dxa"/>
            <w:vAlign w:val="bottom"/>
          </w:tcPr>
          <w:p>
            <w:pPr>
              <w:ind w:left="900"/>
              <w:spacing w:after="0"/>
              <w:rPr>
                <w:sz w:val="20"/>
                <w:szCs w:val="20"/>
                <w:color w:val="auto"/>
              </w:rPr>
            </w:pPr>
            <w:r>
              <w:rPr>
                <w:rFonts w:ascii="Arial" w:cs="Arial" w:eastAsia="Arial" w:hAnsi="Arial"/>
                <w:sz w:val="18"/>
                <w:szCs w:val="18"/>
                <w:color w:val="auto"/>
              </w:rPr>
              <w:t>April 24, 2020</w:t>
            </w:r>
          </w:p>
        </w:tc>
      </w:t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7940" w:type="dxa"/>
            <w:vAlign w:val="bottom"/>
          </w:tcPr>
          <w:p>
            <w:pPr>
              <w:ind w:left="900"/>
              <w:spacing w:after="0"/>
              <w:rPr>
                <w:sz w:val="20"/>
                <w:szCs w:val="20"/>
                <w:color w:val="auto"/>
              </w:rPr>
            </w:pPr>
            <w:r>
              <w:rPr>
                <w:rFonts w:ascii="Arial" w:cs="Arial" w:eastAsia="Arial" w:hAnsi="Arial"/>
                <w:sz w:val="18"/>
                <w:szCs w:val="18"/>
                <w:color w:val="auto"/>
              </w:rPr>
              <w:t>595112 BR 3</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ISIN Number:</w:t>
            </w:r>
          </w:p>
        </w:tc>
        <w:tc>
          <w:tcPr>
            <w:tcW w:w="7940" w:type="dxa"/>
            <w:vAlign w:val="bottom"/>
          </w:tcPr>
          <w:p>
            <w:pPr>
              <w:ind w:left="900"/>
              <w:spacing w:after="0"/>
              <w:rPr>
                <w:sz w:val="20"/>
                <w:szCs w:val="20"/>
                <w:color w:val="auto"/>
              </w:rPr>
            </w:pPr>
            <w:r>
              <w:rPr>
                <w:rFonts w:ascii="Arial" w:cs="Arial" w:eastAsia="Arial" w:hAnsi="Arial"/>
                <w:sz w:val="18"/>
                <w:szCs w:val="18"/>
                <w:color w:val="auto"/>
              </w:rPr>
              <w:t>US595112BR36</w:t>
            </w: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7940" w:type="dxa"/>
            <w:vAlign w:val="bottom"/>
          </w:tcPr>
          <w:p>
            <w:pPr>
              <w:ind w:left="900"/>
              <w:spacing w:after="0"/>
              <w:rPr>
                <w:sz w:val="20"/>
                <w:szCs w:val="20"/>
                <w:color w:val="auto"/>
              </w:rPr>
            </w:pPr>
            <w:r>
              <w:rPr>
                <w:rFonts w:ascii="Arial" w:cs="Arial" w:eastAsia="Arial" w:hAnsi="Arial"/>
                <w:sz w:val="18"/>
                <w:szCs w:val="18"/>
                <w:color w:val="auto"/>
              </w:rPr>
              <w:t>$2,000 and integral multiples of $1,000 in excess thereof</w:t>
            </w:r>
          </w:p>
        </w:tc>
      </w:tr>
      <w:tr>
        <w:trPr>
          <w:trHeight w:val="418"/>
        </w:trPr>
        <w:tc>
          <w:tcPr>
            <w:tcW w:w="334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7940" w:type="dxa"/>
            <w:vAlign w:val="bottom"/>
          </w:tcPr>
          <w:p>
            <w:pPr>
              <w:ind w:left="9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340" w:type="dxa"/>
            <w:vAlign w:val="bottom"/>
          </w:tcPr>
          <w:p>
            <w:pPr>
              <w:spacing w:after="0"/>
              <w:rPr>
                <w:sz w:val="18"/>
                <w:szCs w:val="18"/>
                <w:color w:val="auto"/>
              </w:rPr>
            </w:pPr>
          </w:p>
        </w:tc>
        <w:tc>
          <w:tcPr>
            <w:tcW w:w="7940" w:type="dxa"/>
            <w:vAlign w:val="bottom"/>
          </w:tcPr>
          <w:p>
            <w:pPr>
              <w:ind w:left="90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340" w:type="dxa"/>
            <w:vAlign w:val="bottom"/>
          </w:tcPr>
          <w:p>
            <w:pPr>
              <w:spacing w:after="0"/>
              <w:rPr>
                <w:sz w:val="18"/>
                <w:szCs w:val="18"/>
                <w:color w:val="auto"/>
              </w:rPr>
            </w:pPr>
          </w:p>
        </w:tc>
        <w:tc>
          <w:tcPr>
            <w:tcW w:w="7940" w:type="dxa"/>
            <w:vAlign w:val="bottom"/>
          </w:tcPr>
          <w:p>
            <w:pPr>
              <w:ind w:left="900"/>
              <w:spacing w:after="0"/>
              <w:rPr>
                <w:sz w:val="20"/>
                <w:szCs w:val="20"/>
                <w:color w:val="auto"/>
              </w:rPr>
            </w:pPr>
            <w:r>
              <w:rPr>
                <w:rFonts w:ascii="Arial" w:cs="Arial" w:eastAsia="Arial" w:hAnsi="Arial"/>
                <w:sz w:val="18"/>
                <w:szCs w:val="18"/>
                <w:color w:val="auto"/>
              </w:rPr>
              <w:t>Morgan Stanley &amp; Co. LLC</w:t>
            </w:r>
          </w:p>
        </w:tc>
      </w:tr>
      <w:tr>
        <w:trPr>
          <w:trHeight w:val="216"/>
        </w:trPr>
        <w:tc>
          <w:tcPr>
            <w:tcW w:w="3340" w:type="dxa"/>
            <w:vAlign w:val="bottom"/>
          </w:tcPr>
          <w:p>
            <w:pPr>
              <w:spacing w:after="0"/>
              <w:rPr>
                <w:sz w:val="18"/>
                <w:szCs w:val="18"/>
                <w:color w:val="auto"/>
              </w:rPr>
            </w:pPr>
          </w:p>
        </w:tc>
        <w:tc>
          <w:tcPr>
            <w:tcW w:w="7940" w:type="dxa"/>
            <w:vAlign w:val="bottom"/>
          </w:tcPr>
          <w:p>
            <w:pPr>
              <w:ind w:left="90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3340" w:type="dxa"/>
            <w:vAlign w:val="bottom"/>
          </w:tcPr>
          <w:p>
            <w:pPr>
              <w:spacing w:after="0"/>
              <w:rPr>
                <w:sz w:val="18"/>
                <w:szCs w:val="18"/>
                <w:color w:val="auto"/>
              </w:rPr>
            </w:pPr>
          </w:p>
        </w:tc>
        <w:tc>
          <w:tcPr>
            <w:tcW w:w="7940" w:type="dxa"/>
            <w:vAlign w:val="bottom"/>
          </w:tcPr>
          <w:p>
            <w:pPr>
              <w:ind w:left="900"/>
              <w:spacing w:after="0"/>
              <w:rPr>
                <w:sz w:val="20"/>
                <w:szCs w:val="20"/>
                <w:color w:val="auto"/>
              </w:rPr>
            </w:pPr>
            <w:r>
              <w:rPr>
                <w:rFonts w:ascii="Arial" w:cs="Arial" w:eastAsia="Arial" w:hAnsi="Arial"/>
                <w:sz w:val="18"/>
                <w:szCs w:val="18"/>
                <w:color w:val="auto"/>
              </w:rPr>
              <w:t>HSBC Securities (USA) Inc.</w:t>
            </w:r>
          </w:p>
        </w:tc>
      </w:tr>
      <w:tr>
        <w:trPr>
          <w:trHeight w:val="230"/>
        </w:trPr>
        <w:tc>
          <w:tcPr>
            <w:tcW w:w="3340" w:type="dxa"/>
            <w:vAlign w:val="bottom"/>
          </w:tcPr>
          <w:p>
            <w:pPr>
              <w:spacing w:after="0"/>
              <w:rPr>
                <w:sz w:val="20"/>
                <w:szCs w:val="20"/>
                <w:color w:val="auto"/>
              </w:rPr>
            </w:pPr>
          </w:p>
        </w:tc>
        <w:tc>
          <w:tcPr>
            <w:tcW w:w="7940" w:type="dxa"/>
            <w:vAlign w:val="bottom"/>
          </w:tcPr>
          <w:p>
            <w:pPr>
              <w:ind w:left="900"/>
              <w:spacing w:after="0"/>
              <w:rPr>
                <w:sz w:val="20"/>
                <w:szCs w:val="20"/>
                <w:color w:val="auto"/>
              </w:rPr>
            </w:pPr>
            <w:r>
              <w:rPr>
                <w:rFonts w:ascii="Arial" w:cs="Arial" w:eastAsia="Arial" w:hAnsi="Arial"/>
                <w:sz w:val="18"/>
                <w:szCs w:val="18"/>
                <w:color w:val="auto"/>
              </w:rPr>
              <w:t>MUFG Securities Americas Inc.</w:t>
            </w:r>
          </w:p>
        </w:tc>
      </w:tr>
      <w:tr>
        <w:trPr>
          <w:trHeight w:val="432"/>
        </w:trPr>
        <w:tc>
          <w:tcPr>
            <w:tcW w:w="3340" w:type="dxa"/>
            <w:vAlign w:val="bottom"/>
          </w:tcPr>
          <w:p>
            <w:pPr>
              <w:spacing w:after="0"/>
              <w:rPr>
                <w:sz w:val="24"/>
                <w:szCs w:val="24"/>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1</w:t>
            </w:r>
          </w:p>
        </w:tc>
      </w:tr>
      <w:tr>
        <w:trPr>
          <w:trHeight w:val="132"/>
        </w:trPr>
        <w:tc>
          <w:tcPr>
            <w:tcW w:w="3340" w:type="dxa"/>
            <w:vAlign w:val="bottom"/>
            <w:tcBorders>
              <w:bottom w:val="single" w:sz="8" w:color="808080"/>
            </w:tcBorders>
          </w:tcPr>
          <w:p>
            <w:pPr>
              <w:spacing w:after="0"/>
              <w:rPr>
                <w:sz w:val="11"/>
                <w:szCs w:val="11"/>
                <w:color w:val="auto"/>
              </w:rPr>
            </w:pPr>
          </w:p>
        </w:tc>
        <w:tc>
          <w:tcPr>
            <w:tcW w:w="79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9" w:right="29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ANZ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BNP Paribas Securities Corp.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Mizuho Securities USA LLC</w:t>
      </w:r>
    </w:p>
    <w:p>
      <w:pPr>
        <w:spacing w:after="0" w:line="21" w:lineRule="exact"/>
        <w:rPr>
          <w:sz w:val="20"/>
          <w:szCs w:val="20"/>
          <w:color w:val="auto"/>
        </w:rPr>
      </w:pPr>
    </w:p>
    <w:p>
      <w:pPr>
        <w:sectPr>
          <w:pgSz w:w="11900" w:h="16838" w:orient="portrait"/>
          <w:cols w:equalWidth="0" w:num="2">
            <w:col w:w="3520" w:space="720"/>
            <w:col w:w="7000"/>
          </w:cols>
          <w:pgMar w:left="320" w:top="337" w:right="339" w:bottom="1440" w:gutter="0" w:footer="0" w:header="0"/>
        </w:sectPr>
      </w:pPr>
    </w:p>
    <w:p>
      <w:pPr>
        <w:ind w:left="4240"/>
        <w:spacing w:after="0"/>
        <w:rPr>
          <w:sz w:val="20"/>
          <w:szCs w:val="20"/>
          <w:color w:val="auto"/>
        </w:rPr>
      </w:pPr>
      <w:r>
        <w:rPr>
          <w:rFonts w:ascii="Arial" w:cs="Arial" w:eastAsia="Arial" w:hAnsi="Arial"/>
          <w:sz w:val="18"/>
          <w:szCs w:val="18"/>
          <w:color w:val="auto"/>
        </w:rPr>
        <w:t>Academy Securities, Inc.</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Goldman Sachs &amp; Co. LLC</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Siebert Williams Shank &amp; Co., LLC</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Wells Fargo Securities, LLC</w:t>
      </w:r>
    </w:p>
    <w:p>
      <w:pPr>
        <w:sectPr>
          <w:pgSz w:w="11900" w:h="16838" w:orient="portrait"/>
          <w:cols w:equalWidth="0" w:num="1">
            <w:col w:w="11240"/>
          </w:cols>
          <w:pgMar w:left="320" w:top="337"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Micron estimates that the net proceeds from the offering, after deducting underwriting discounts and estimated offering fees and expenses, will be approximately $1,245 million.</w:t>
      </w:r>
    </w:p>
    <w:p>
      <w:pPr>
        <w:spacing w:after="0" w:line="142" w:lineRule="exact"/>
        <w:rPr>
          <w:sz w:val="20"/>
          <w:szCs w:val="20"/>
          <w:color w:val="auto"/>
        </w:rPr>
      </w:pPr>
    </w:p>
    <w:p>
      <w:pPr>
        <w:sectPr>
          <w:pgSz w:w="11900" w:h="16838" w:orient="portrait"/>
          <w:cols w:equalWidth="0" w:num="2">
            <w:col w:w="3520" w:space="720"/>
            <w:col w:w="700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at Micron’s Option:</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Micron may redeem the notes in whole at any time or in part from time to time, at a redemption price equal to the greater of (i) 100% of the principal amount of the notes to be redeemed and</w:t>
      </w:r>
    </w:p>
    <w:p>
      <w:pPr>
        <w:spacing w:after="0" w:line="1" w:lineRule="exact"/>
        <w:rPr>
          <w:sz w:val="20"/>
          <w:szCs w:val="20"/>
          <w:color w:val="auto"/>
        </w:rPr>
      </w:pPr>
    </w:p>
    <w:p>
      <w:pPr>
        <w:sectPr>
          <w:pgSz w:w="11900" w:h="16838" w:orient="portrait"/>
          <w:cols w:equalWidth="0" w:num="2">
            <w:col w:w="3520" w:space="720"/>
            <w:col w:w="7000"/>
          </w:cols>
          <w:pgMar w:left="320" w:top="337" w:right="339" w:bottom="1440" w:gutter="0" w:footer="0" w:header="0"/>
          <w:type w:val="continuous"/>
        </w:sectPr>
      </w:pPr>
    </w:p>
    <w:p>
      <w:pPr>
        <w:ind w:left="4240" w:right="120" w:hanging="7"/>
        <w:spacing w:after="0" w:line="292" w:lineRule="auto"/>
        <w:tabs>
          <w:tab w:leader="none" w:pos="4505"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(exclusive of interest accrued to the date of redemption), discounted to the date of redemption on a semi-annual basis (assuming a 360-day year consisting of twelve 30-day months) at the then current Treasury Rate plus 35 basis points, plus, in each case, accrued and unpaid interest, if any, on the amount being redeemed to, but excluding, the date of redemption.</w:t>
      </w:r>
    </w:p>
    <w:p>
      <w:pPr>
        <w:spacing w:after="0" w:line="38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07" w:lineRule="exact"/>
        <w:rPr>
          <w:sz w:val="20"/>
          <w:szCs w:val="20"/>
          <w:color w:val="auto"/>
        </w:rPr>
      </w:pPr>
    </w:p>
    <w:p>
      <w:pPr>
        <w:ind w:firstLine="656"/>
        <w:spacing w:after="0" w:line="322" w:lineRule="auto"/>
        <w:tabs>
          <w:tab w:leader="none" w:pos="873"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It is expected that delivery of the notes will be made against payment therefor on or about April 24, 2020, which will be the third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three business days (T+3), to specify alternative settlement arrangements to prevent a failed settlement.</w:t>
      </w:r>
    </w:p>
    <w:p>
      <w:pPr>
        <w:spacing w:after="0" w:line="139"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3"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p>
      <w:pPr>
        <w:ind w:right="140"/>
        <w:spacing w:after="0" w:line="282" w:lineRule="auto"/>
        <w:rPr>
          <w:sz w:val="20"/>
          <w:szCs w:val="20"/>
          <w:color w:val="auto"/>
        </w:rPr>
      </w:pPr>
      <w:r>
        <w:rPr>
          <w:rFonts w:ascii="Arial" w:cs="Arial" w:eastAsia="Arial" w:hAnsi="Arial"/>
          <w:sz w:val="18"/>
          <w:szCs w:val="18"/>
          <w:b w:val="1"/>
          <w:bCs w:val="1"/>
          <w:color w:val="auto"/>
        </w:rPr>
        <w:t>Markets Inc. at 1-800-831-9146, Credit Suisse Securities (USA) LLC toll free at 1-800-221-1037 or Morgan Stanley &amp; Co. LLC toll free at 1-866-718-1649.</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lowerRoman"/>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2020-04-21T16:15:32Z</dcterms:created>
  <dcterms:modified xsi:type="dcterms:W3CDTF">2020-04-21T16:15:32Z</dcterms:modified>
</cp:coreProperties>
</file>