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80"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28" w:lineRule="exact"/>
        <w:rPr>
          <w:sz w:val="24"/>
          <w:szCs w:val="24"/>
          <w:color w:val="auto"/>
        </w:rPr>
      </w:pPr>
    </w:p>
    <w:p>
      <w:pPr>
        <w:ind w:left="1680" w:hanging="923"/>
        <w:spacing w:after="0"/>
        <w:tabs>
          <w:tab w:leader="none" w:pos="1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1700" w:hanging="929"/>
        <w:spacing w:after="0"/>
        <w:tabs>
          <w:tab w:leader="none" w:pos="17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20"/>
          </w:cols>
          <w:pgMar w:left="320" w:top="1440" w:right="359" w:bottom="1440" w:gutter="0" w:footer="0" w:header="0"/>
        </w:sectPr>
      </w:pPr>
    </w:p>
    <w:p>
      <w:pPr>
        <w:spacing w:after="0" w:line="169" w:lineRule="exact"/>
        <w:rPr>
          <w:sz w:val="24"/>
          <w:szCs w:val="24"/>
          <w:color w:val="auto"/>
        </w:rPr>
      </w:pPr>
    </w:p>
    <w:p>
      <w:pPr>
        <w:jc w:val="center"/>
        <w:ind w:right="-39"/>
        <w:spacing w:after="0"/>
        <w:tabs>
          <w:tab w:leader="none" w:pos="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54610</wp:posOffset>
            </wp:positionV>
            <wp:extent cx="150876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41148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 w:lineRule="exact"/>
        <w:rPr>
          <w:sz w:val="24"/>
          <w:szCs w:val="24"/>
          <w:color w:val="auto"/>
        </w:rPr>
      </w:pPr>
    </w:p>
    <w:tbl>
      <w:tblPr>
        <w:tblLayout w:type="fixed"/>
        <w:tblInd w:w="120" w:type="dxa"/>
        <w:tblCellMar>
          <w:top w:w="0" w:type="dxa"/>
          <w:left w:w="0" w:type="dxa"/>
          <w:bottom w:w="0" w:type="dxa"/>
          <w:right w:w="0" w:type="dxa"/>
        </w:tblCellMar>
      </w:tblPr>
      <w:tr>
        <w:trPr>
          <w:trHeight w:val="239"/>
        </w:trPr>
        <w:tc>
          <w:tcPr>
            <w:tcW w:w="6020" w:type="dxa"/>
            <w:vAlign w:val="bottom"/>
          </w:tcPr>
          <w:p>
            <w:pPr>
              <w:jc w:val="center"/>
              <w:ind w:right="1292"/>
              <w:spacing w:after="0"/>
              <w:rPr>
                <w:sz w:val="20"/>
                <w:szCs w:val="20"/>
                <w:color w:val="auto"/>
              </w:rPr>
            </w:pPr>
            <w:r>
              <w:rPr>
                <w:rFonts w:ascii="Arial" w:cs="Arial" w:eastAsia="Arial" w:hAnsi="Arial"/>
                <w:sz w:val="18"/>
                <w:szCs w:val="18"/>
                <w:b w:val="1"/>
                <w:bCs w:val="1"/>
                <w:color w:val="auto"/>
              </w:rPr>
              <w:t>Delaware</w:t>
            </w:r>
          </w:p>
        </w:tc>
        <w:tc>
          <w:tcPr>
            <w:tcW w:w="4140" w:type="dxa"/>
            <w:vAlign w:val="bottom"/>
          </w:tcPr>
          <w:p>
            <w:pPr>
              <w:jc w:val="center"/>
              <w:ind w:left="1292"/>
              <w:spacing w:after="0"/>
              <w:rPr>
                <w:sz w:val="20"/>
                <w:szCs w:val="20"/>
                <w:color w:val="auto"/>
              </w:rPr>
            </w:pPr>
            <w:r>
              <w:rPr>
                <w:rFonts w:ascii="Arial" w:cs="Arial" w:eastAsia="Arial" w:hAnsi="Arial"/>
                <w:sz w:val="18"/>
                <w:szCs w:val="18"/>
                <w:b w:val="1"/>
                <w:bCs w:val="1"/>
                <w:color w:val="auto"/>
                <w:w w:val="99"/>
              </w:rPr>
              <w:t>75-1618004</w:t>
            </w:r>
          </w:p>
        </w:tc>
      </w:tr>
      <w:tr>
        <w:trPr>
          <w:trHeight w:val="220"/>
        </w:trPr>
        <w:tc>
          <w:tcPr>
            <w:tcW w:w="6020" w:type="dxa"/>
            <w:vAlign w:val="bottom"/>
          </w:tcPr>
          <w:p>
            <w:pPr>
              <w:jc w:val="center"/>
              <w:ind w:right="1292"/>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4140" w:type="dxa"/>
            <w:vAlign w:val="bottom"/>
          </w:tcPr>
          <w:p>
            <w:pPr>
              <w:jc w:val="center"/>
              <w:ind w:left="1292"/>
              <w:spacing w:after="0"/>
              <w:rPr>
                <w:sz w:val="20"/>
                <w:szCs w:val="20"/>
                <w:color w:val="auto"/>
              </w:rPr>
            </w:pPr>
            <w:r>
              <w:rPr>
                <w:rFonts w:ascii="Arial" w:cs="Arial" w:eastAsia="Arial" w:hAnsi="Arial"/>
                <w:sz w:val="18"/>
                <w:szCs w:val="18"/>
                <w:color w:val="auto"/>
                <w:w w:val="99"/>
              </w:rPr>
              <w:t>(I.R.S. Employer Identification No.)</w:t>
            </w:r>
          </w:p>
        </w:tc>
      </w:tr>
      <w:tr>
        <w:trPr>
          <w:trHeight w:val="239"/>
        </w:trPr>
        <w:tc>
          <w:tcPr>
            <w:tcW w:w="6020" w:type="dxa"/>
            <w:vAlign w:val="bottom"/>
          </w:tcPr>
          <w:p>
            <w:pPr>
              <w:jc w:val="center"/>
              <w:ind w:right="1292"/>
              <w:spacing w:after="0"/>
              <w:rPr>
                <w:sz w:val="20"/>
                <w:szCs w:val="20"/>
                <w:color w:val="auto"/>
              </w:rPr>
            </w:pPr>
            <w:r>
              <w:rPr>
                <w:rFonts w:ascii="Arial" w:cs="Arial" w:eastAsia="Arial" w:hAnsi="Arial"/>
                <w:sz w:val="16"/>
                <w:szCs w:val="16"/>
                <w:b w:val="1"/>
                <w:bCs w:val="1"/>
                <w:color w:val="auto"/>
              </w:rPr>
              <w:t>8000 S. Federal Way, Boise, Idaho</w:t>
            </w:r>
          </w:p>
        </w:tc>
        <w:tc>
          <w:tcPr>
            <w:tcW w:w="4140" w:type="dxa"/>
            <w:vAlign w:val="bottom"/>
          </w:tcPr>
          <w:p>
            <w:pPr>
              <w:jc w:val="center"/>
              <w:ind w:left="1292"/>
              <w:spacing w:after="0"/>
              <w:rPr>
                <w:sz w:val="20"/>
                <w:szCs w:val="20"/>
                <w:color w:val="auto"/>
              </w:rPr>
            </w:pPr>
            <w:r>
              <w:rPr>
                <w:rFonts w:ascii="Arial" w:cs="Arial" w:eastAsia="Arial" w:hAnsi="Arial"/>
                <w:sz w:val="18"/>
                <w:szCs w:val="18"/>
                <w:b w:val="1"/>
                <w:bCs w:val="1"/>
                <w:color w:val="auto"/>
                <w:w w:val="99"/>
              </w:rPr>
              <w:t>83716-9632</w:t>
            </w:r>
          </w:p>
        </w:tc>
      </w:tr>
      <w:tr>
        <w:trPr>
          <w:trHeight w:val="225"/>
        </w:trPr>
        <w:tc>
          <w:tcPr>
            <w:tcW w:w="6020" w:type="dxa"/>
            <w:vAlign w:val="bottom"/>
          </w:tcPr>
          <w:p>
            <w:pPr>
              <w:jc w:val="center"/>
              <w:ind w:right="1292"/>
              <w:spacing w:after="0"/>
              <w:rPr>
                <w:sz w:val="20"/>
                <w:szCs w:val="20"/>
                <w:color w:val="auto"/>
              </w:rPr>
            </w:pPr>
            <w:r>
              <w:rPr>
                <w:rFonts w:ascii="Arial" w:cs="Arial" w:eastAsia="Arial" w:hAnsi="Arial"/>
                <w:sz w:val="18"/>
                <w:szCs w:val="18"/>
                <w:color w:val="auto"/>
                <w:w w:val="99"/>
              </w:rPr>
              <w:t>(Address of principal executive offices)</w:t>
            </w:r>
          </w:p>
        </w:tc>
        <w:tc>
          <w:tcPr>
            <w:tcW w:w="4140" w:type="dxa"/>
            <w:vAlign w:val="bottom"/>
          </w:tcPr>
          <w:p>
            <w:pPr>
              <w:jc w:val="center"/>
              <w:ind w:left="1292"/>
              <w:spacing w:after="0"/>
              <w:rPr>
                <w:sz w:val="20"/>
                <w:szCs w:val="20"/>
                <w:color w:val="auto"/>
              </w:rPr>
            </w:pPr>
            <w:r>
              <w:rPr>
                <w:rFonts w:ascii="Arial" w:cs="Arial" w:eastAsia="Arial" w:hAnsi="Arial"/>
                <w:sz w:val="18"/>
                <w:szCs w:val="18"/>
                <w:color w:val="auto"/>
                <w:w w:val="98"/>
              </w:rPr>
              <w:t>(Zip Code)</w:t>
            </w:r>
          </w:p>
        </w:tc>
      </w:tr>
      <w:tr>
        <w:trPr>
          <w:trHeight w:val="234"/>
        </w:trPr>
        <w:tc>
          <w:tcPr>
            <w:tcW w:w="6020" w:type="dxa"/>
            <w:vAlign w:val="bottom"/>
          </w:tcPr>
          <w:p>
            <w:pPr>
              <w:jc w:val="center"/>
              <w:ind w:right="1312"/>
              <w:spacing w:after="0"/>
              <w:rPr>
                <w:sz w:val="20"/>
                <w:szCs w:val="20"/>
                <w:color w:val="auto"/>
              </w:rPr>
            </w:pPr>
            <w:r>
              <w:rPr>
                <w:rFonts w:ascii="Arial" w:cs="Arial" w:eastAsia="Arial" w:hAnsi="Arial"/>
                <w:sz w:val="18"/>
                <w:szCs w:val="18"/>
                <w:color w:val="auto"/>
                <w:w w:val="99"/>
              </w:rPr>
              <w:t>(Registrant’s telephone number, including area code)</w:t>
            </w:r>
          </w:p>
        </w:tc>
        <w:tc>
          <w:tcPr>
            <w:tcW w:w="4140" w:type="dxa"/>
            <w:vAlign w:val="bottom"/>
          </w:tcPr>
          <w:p>
            <w:pPr>
              <w:jc w:val="center"/>
              <w:ind w:left="1292"/>
              <w:spacing w:after="0"/>
              <w:rPr>
                <w:sz w:val="20"/>
                <w:szCs w:val="20"/>
                <w:color w:val="auto"/>
              </w:rPr>
            </w:pPr>
            <w:r>
              <w:rPr>
                <w:rFonts w:ascii="Arial" w:cs="Arial" w:eastAsia="Arial" w:hAnsi="Arial"/>
                <w:sz w:val="16"/>
                <w:szCs w:val="16"/>
                <w:b w:val="1"/>
                <w:bCs w:val="1"/>
                <w:color w:val="auto"/>
              </w:rPr>
              <w:t>(208) 368-4000</w:t>
            </w:r>
          </w:p>
        </w:tc>
      </w:tr>
    </w:tbl>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 w:lineRule="exact"/>
        <w:rPr>
          <w:sz w:val="24"/>
          <w:szCs w:val="24"/>
          <w:color w:val="auto"/>
        </w:rPr>
      </w:pPr>
    </w:p>
    <w:tbl>
      <w:tblPr>
        <w:tblLayout w:type="fixed"/>
        <w:tblInd w:w="40" w:type="dxa"/>
        <w:tblCellMar>
          <w:top w:w="0" w:type="dxa"/>
          <w:left w:w="0" w:type="dxa"/>
          <w:bottom w:w="0" w:type="dxa"/>
          <w:right w:w="0" w:type="dxa"/>
        </w:tblCellMar>
      </w:tblPr>
      <w:tr>
        <w:trPr>
          <w:trHeight w:val="229"/>
        </w:trPr>
        <w:tc>
          <w:tcPr>
            <w:tcW w:w="482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w:t>
            </w:r>
          </w:p>
        </w:tc>
        <w:tc>
          <w:tcPr>
            <w:tcW w:w="100" w:type="dxa"/>
            <w:vAlign w:val="bottom"/>
          </w:tcPr>
          <w:p>
            <w:pPr>
              <w:spacing w:after="0"/>
              <w:rPr>
                <w:sz w:val="19"/>
                <w:szCs w:val="19"/>
                <w:color w:val="auto"/>
              </w:rPr>
            </w:pPr>
          </w:p>
        </w:tc>
        <w:tc>
          <w:tcPr>
            <w:tcW w:w="4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920" w:type="dxa"/>
            <w:vAlign w:val="bottom"/>
            <w:gridSpan w:val="2"/>
          </w:tcPr>
          <w:p>
            <w:pPr>
              <w:ind w:left="700"/>
              <w:spacing w:after="0"/>
              <w:rPr>
                <w:sz w:val="20"/>
                <w:szCs w:val="20"/>
                <w:color w:val="auto"/>
              </w:rPr>
            </w:pPr>
            <w:r>
              <w:rPr>
                <w:rFonts w:ascii="Arial" w:cs="Arial" w:eastAsia="Arial" w:hAnsi="Arial"/>
                <w:sz w:val="18"/>
                <w:szCs w:val="18"/>
                <w:color w:val="auto"/>
              </w:rPr>
              <w:t>Common Stock, par value $0.10 per share</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MU</w:t>
            </w:r>
          </w:p>
        </w:tc>
        <w:tc>
          <w:tcPr>
            <w:tcW w:w="386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Nasdaq Global Select Market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9520" w:type="dxa"/>
            <w:vAlign w:val="bottom"/>
            <w:gridSpan w:val="5"/>
          </w:tcPr>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w:t>
            </w:r>
          </w:p>
        </w:tc>
        <w:tc>
          <w:tcPr>
            <w:tcW w:w="88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5"/>
        </w:trPr>
        <w:tc>
          <w:tcPr>
            <w:tcW w:w="9520" w:type="dxa"/>
            <w:vAlign w:val="bottom"/>
            <w:gridSpan w:val="5"/>
          </w:tcPr>
          <w:p>
            <w:pPr>
              <w:spacing w:after="0" w:line="176" w:lineRule="exact"/>
              <w:rPr>
                <w:sz w:val="20"/>
                <w:szCs w:val="20"/>
                <w:color w:val="auto"/>
              </w:rPr>
            </w:pPr>
            <w:r>
              <w:rPr>
                <w:rFonts w:ascii="Arial" w:cs="Arial" w:eastAsia="Arial" w:hAnsi="Arial"/>
                <w:sz w:val="18"/>
                <w:szCs w:val="18"/>
                <w:color w:val="auto"/>
              </w:rPr>
              <w:t>Securities Exchange Act of 1934 during the preceding 12 months (or for such shorter period that the registrant was</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520" w:type="dxa"/>
            <w:vAlign w:val="bottom"/>
            <w:gridSpan w:val="5"/>
          </w:tcPr>
          <w:p>
            <w:pPr>
              <w:spacing w:after="0"/>
              <w:rPr>
                <w:sz w:val="20"/>
                <w:szCs w:val="20"/>
                <w:color w:val="auto"/>
              </w:rPr>
            </w:pPr>
            <w:r>
              <w:rPr>
                <w:rFonts w:ascii="Arial" w:cs="Arial" w:eastAsia="Arial" w:hAnsi="Arial"/>
                <w:sz w:val="18"/>
                <w:szCs w:val="18"/>
                <w:color w:val="auto"/>
              </w:rPr>
              <w:t>required to file such reports), and (2) has been subject to such filing requirements for the past 90 days.</w:t>
            </w:r>
          </w:p>
        </w:tc>
        <w:tc>
          <w:tcPr>
            <w:tcW w:w="880" w:type="dxa"/>
            <w:vAlign w:val="bottom"/>
            <w:vMerge w:val="restart"/>
          </w:tcPr>
          <w:p>
            <w:pPr>
              <w:ind w:left="2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8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8"/>
        </w:trPr>
        <w:tc>
          <w:tcPr>
            <w:tcW w:w="9520" w:type="dxa"/>
            <w:vAlign w:val="bottom"/>
            <w:gridSpan w:val="5"/>
          </w:tcPr>
          <w:p>
            <w:pPr>
              <w:spacing w:after="0" w:line="189"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w:t>
            </w:r>
          </w:p>
        </w:tc>
        <w:tc>
          <w:tcPr>
            <w:tcW w:w="8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520" w:type="dxa"/>
            <w:vAlign w:val="bottom"/>
            <w:gridSpan w:val="5"/>
          </w:tcPr>
          <w:p>
            <w:pPr>
              <w:spacing w:after="0" w:line="176" w:lineRule="exact"/>
              <w:rPr>
                <w:sz w:val="20"/>
                <w:szCs w:val="20"/>
                <w:color w:val="auto"/>
              </w:rPr>
            </w:pPr>
            <w:r>
              <w:rPr>
                <w:rFonts w:ascii="Arial" w:cs="Arial" w:eastAsia="Arial" w:hAnsi="Arial"/>
                <w:sz w:val="18"/>
                <w:szCs w:val="18"/>
                <w:color w:val="auto"/>
              </w:rPr>
              <w:t>submitted pursuant to Rule 405 of Regulation S-T (§232.405 of this chapter) during the preceding 12 months (or for</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540" w:type="dxa"/>
            <w:vAlign w:val="bottom"/>
            <w:gridSpan w:val="4"/>
          </w:tcPr>
          <w:p>
            <w:pPr>
              <w:spacing w:after="0"/>
              <w:rPr>
                <w:sz w:val="20"/>
                <w:szCs w:val="20"/>
                <w:color w:val="auto"/>
              </w:rPr>
            </w:pPr>
            <w:r>
              <w:rPr>
                <w:rFonts w:ascii="Arial" w:cs="Arial" w:eastAsia="Arial" w:hAnsi="Arial"/>
                <w:sz w:val="18"/>
                <w:szCs w:val="18"/>
                <w:color w:val="auto"/>
              </w:rPr>
              <w:t>such shorter period that the registrant was required to submit such files).</w:t>
            </w:r>
          </w:p>
        </w:tc>
        <w:tc>
          <w:tcPr>
            <w:tcW w:w="2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40" w:right="280"/>
        <w:spacing w:after="0" w:line="21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40" w:type="dxa"/>
        <w:tblCellMar>
          <w:top w:w="0" w:type="dxa"/>
          <w:left w:w="0" w:type="dxa"/>
          <w:bottom w:w="0" w:type="dxa"/>
          <w:right w:w="0" w:type="dxa"/>
        </w:tblCellMar>
      </w:tblPr>
      <w:tr>
        <w:trPr>
          <w:trHeight w:val="184"/>
        </w:trPr>
        <w:tc>
          <w:tcPr>
            <w:tcW w:w="2340" w:type="dxa"/>
            <w:vAlign w:val="bottom"/>
          </w:tcPr>
          <w:p>
            <w:pPr>
              <w:jc w:val="center"/>
              <w:ind w:right="32"/>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220" w:type="dxa"/>
            <w:vAlign w:val="bottom"/>
          </w:tcPr>
          <w:p>
            <w:pPr>
              <w:jc w:val="center"/>
              <w:ind w:left="115"/>
              <w:spacing w:after="0"/>
              <w:rPr>
                <w:sz w:val="20"/>
                <w:szCs w:val="20"/>
                <w:color w:val="auto"/>
              </w:rPr>
            </w:pPr>
            <w:r>
              <w:rPr>
                <w:rFonts w:ascii="Arial" w:cs="Arial" w:eastAsia="Arial" w:hAnsi="Arial"/>
                <w:sz w:val="16"/>
                <w:szCs w:val="16"/>
                <w:color w:val="auto"/>
              </w:rPr>
              <w:t>Non-Accelerated Filer</w:t>
            </w:r>
          </w:p>
        </w:tc>
        <w:tc>
          <w:tcPr>
            <w:tcW w:w="242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rPr>
              <w:t>Emerging Growth Company</w:t>
            </w:r>
          </w:p>
        </w:tc>
        <w:tc>
          <w:tcPr>
            <w:tcW w:w="0" w:type="dxa"/>
            <w:vAlign w:val="bottom"/>
          </w:tcPr>
          <w:p>
            <w:pPr>
              <w:spacing w:after="0"/>
              <w:rPr>
                <w:sz w:val="1"/>
                <w:szCs w:val="1"/>
                <w:color w:val="auto"/>
              </w:rPr>
            </w:pPr>
          </w:p>
        </w:tc>
      </w:tr>
      <w:tr>
        <w:trPr>
          <w:trHeight w:val="276"/>
        </w:trPr>
        <w:tc>
          <w:tcPr>
            <w:tcW w:w="2340" w:type="dxa"/>
            <w:vAlign w:val="bottom"/>
          </w:tcPr>
          <w:p>
            <w:pPr>
              <w:jc w:val="center"/>
              <w:ind w:right="52"/>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20" w:type="dxa"/>
            <w:vAlign w:val="bottom"/>
          </w:tcPr>
          <w:p>
            <w:pPr>
              <w:jc w:val="center"/>
              <w:ind w:left="135"/>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jc w:val="center"/>
              <w:ind w:left="673"/>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vMerge w:val="restart"/>
          </w:tcPr>
          <w:p>
            <w:pPr>
              <w:jc w:val="right"/>
              <w:ind w:right="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6"/>
        </w:trPr>
        <w:tc>
          <w:tcPr>
            <w:tcW w:w="10400" w:type="dxa"/>
            <w:vAlign w:val="bottom"/>
            <w:gridSpan w:val="5"/>
          </w:tcPr>
          <w:p>
            <w:pPr>
              <w:spacing w:after="0" w:line="17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0" w:type="dxa"/>
            <w:vAlign w:val="bottom"/>
            <w:gridSpan w:val="5"/>
          </w:tcPr>
          <w:p>
            <w:pPr>
              <w:spacing w:after="0" w:line="183" w:lineRule="exact"/>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9040" w:type="dxa"/>
            <w:vAlign w:val="bottom"/>
            <w:gridSpan w:val="4"/>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1360" w:type="dxa"/>
            <w:vAlign w:val="bottom"/>
          </w:tcPr>
          <w:p>
            <w:pPr>
              <w:ind w:left="6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00" w:type="dxa"/>
            <w:vAlign w:val="bottom"/>
          </w:tcPr>
          <w:p>
            <w:pPr>
              <w:jc w:val="right"/>
              <w:ind w:right="1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January 3, 2022 was 1,119,777,110.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2134235" cy="1903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4235" cy="1903095"/>
                    </a:xfrm>
                    <a:prstGeom prst="rect">
                      <a:avLst/>
                    </a:prstGeom>
                    <a:noFill/>
                  </pic:spPr>
                </pic:pic>
              </a:graphicData>
            </a:graphic>
          </wp:anchor>
        </w:drawing>
      </w:r>
    </w:p>
    <w:p>
      <w:pPr>
        <w:spacing w:after="0" w:line="235" w:lineRule="exact"/>
        <w:rPr>
          <w:sz w:val="20"/>
          <w:szCs w:val="20"/>
          <w:color w:val="auto"/>
        </w:rPr>
      </w:pPr>
    </w:p>
    <w:p>
      <w:pPr>
        <w:ind w:left="214"/>
        <w:spacing w:after="0" w:line="234" w:lineRule="auto"/>
        <w:rPr>
          <w:sz w:val="20"/>
          <w:szCs w:val="20"/>
          <w:color w:val="auto"/>
        </w:rPr>
      </w:pPr>
      <w:r>
        <w:rPr>
          <w:rFonts w:ascii="Arial" w:cs="Arial" w:eastAsia="Arial" w:hAnsi="Arial"/>
          <w:sz w:val="64"/>
          <w:szCs w:val="64"/>
          <w:b w:val="1"/>
          <w:bCs w:val="1"/>
          <w:color w:val="FFFFFF"/>
        </w:rPr>
        <w:t>Micron Corporate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2134235" cy="6155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6155055"/>
                    </a:xfrm>
                    <a:prstGeom prst="rect">
                      <a:avLst/>
                    </a:prstGeom>
                    <a:noFill/>
                  </pic:spPr>
                </pic:pic>
              </a:graphicData>
            </a:graphic>
          </wp:anchor>
        </w:drawing>
      </w:r>
    </w:p>
    <w:p>
      <w:pPr>
        <w:spacing w:after="0" w:line="47"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Founded on October 5, 1978</w:t>
      </w:r>
    </w:p>
    <w:p>
      <w:pPr>
        <w:spacing w:after="0" w:line="113"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Headquartered in</w:t>
      </w:r>
    </w:p>
    <w:p>
      <w:pPr>
        <w:ind w:left="214"/>
        <w:spacing w:after="0"/>
        <w:rPr>
          <w:sz w:val="20"/>
          <w:szCs w:val="20"/>
          <w:color w:val="auto"/>
        </w:rPr>
      </w:pPr>
      <w:r>
        <w:rPr>
          <w:rFonts w:ascii="Arial" w:cs="Arial" w:eastAsia="Arial" w:hAnsi="Arial"/>
          <w:sz w:val="18"/>
          <w:szCs w:val="18"/>
          <w:color w:val="FFFFFF"/>
        </w:rPr>
        <w:t>Boise, Idaho, USA</w:t>
      </w:r>
    </w:p>
    <w:p>
      <w:pPr>
        <w:spacing w:after="0" w:line="57"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4th</w:t>
      </w:r>
    </w:p>
    <w:p>
      <w:pPr>
        <w:spacing w:after="0" w:line="12" w:lineRule="exact"/>
        <w:rPr>
          <w:sz w:val="20"/>
          <w:szCs w:val="20"/>
          <w:color w:val="auto"/>
        </w:rPr>
      </w:pPr>
    </w:p>
    <w:p>
      <w:pPr>
        <w:ind w:left="214" w:right="360"/>
        <w:spacing w:after="0" w:line="219" w:lineRule="auto"/>
        <w:rPr>
          <w:sz w:val="20"/>
          <w:szCs w:val="20"/>
          <w:color w:val="auto"/>
        </w:rPr>
      </w:pPr>
      <w:r>
        <w:rPr>
          <w:rFonts w:ascii="Arial" w:cs="Arial" w:eastAsia="Arial" w:hAnsi="Arial"/>
          <w:sz w:val="18"/>
          <w:szCs w:val="18"/>
          <w:color w:val="FFFFFF"/>
        </w:rPr>
        <w:t>Largest semiconductor company in the world, excluding IP/software revenue*</w:t>
      </w:r>
    </w:p>
    <w:p>
      <w:pPr>
        <w:spacing w:after="0" w:line="48"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135</w:t>
      </w:r>
    </w:p>
    <w:p>
      <w:pPr>
        <w:spacing w:after="0" w:line="12"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On the 2021 Fortune 500</w:t>
      </w:r>
    </w:p>
    <w:p>
      <w:pPr>
        <w:spacing w:after="0" w:line="57"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48,500+</w:t>
      </w:r>
    </w:p>
    <w:p>
      <w:pPr>
        <w:spacing w:after="0" w:line="12"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Patents granted and growing***</w:t>
      </w:r>
    </w:p>
    <w:p>
      <w:pPr>
        <w:spacing w:after="0" w:line="57"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17</w:t>
      </w:r>
    </w:p>
    <w:p>
      <w:pPr>
        <w:spacing w:after="0" w:line="12"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Countries**</w:t>
      </w:r>
    </w:p>
    <w:p>
      <w:pPr>
        <w:spacing w:after="0" w:line="57"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11</w:t>
      </w:r>
    </w:p>
    <w:p>
      <w:pPr>
        <w:spacing w:after="0" w:line="12" w:lineRule="exact"/>
        <w:rPr>
          <w:sz w:val="20"/>
          <w:szCs w:val="20"/>
          <w:color w:val="auto"/>
        </w:rPr>
      </w:pPr>
    </w:p>
    <w:p>
      <w:pPr>
        <w:ind w:left="214" w:right="980"/>
        <w:spacing w:after="0" w:line="227" w:lineRule="auto"/>
        <w:rPr>
          <w:sz w:val="20"/>
          <w:szCs w:val="20"/>
          <w:color w:val="auto"/>
        </w:rPr>
      </w:pPr>
      <w:r>
        <w:rPr>
          <w:rFonts w:ascii="Arial" w:cs="Arial" w:eastAsia="Arial" w:hAnsi="Arial"/>
          <w:sz w:val="18"/>
          <w:szCs w:val="18"/>
          <w:color w:val="FFFFFF"/>
        </w:rPr>
        <w:t>Manufacturing sites*** and 14 customer labs**</w:t>
      </w:r>
    </w:p>
    <w:p>
      <w:pPr>
        <w:spacing w:after="0" w:line="48"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~43,000</w:t>
      </w:r>
    </w:p>
    <w:p>
      <w:pPr>
        <w:spacing w:after="0" w:line="12"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Team members**</w:t>
      </w:r>
    </w:p>
    <w:p>
      <w:pPr>
        <w:spacing w:after="0" w:line="200" w:lineRule="exact"/>
        <w:rPr>
          <w:sz w:val="20"/>
          <w:szCs w:val="20"/>
          <w:color w:val="auto"/>
        </w:rPr>
      </w:pPr>
    </w:p>
    <w:p>
      <w:pPr>
        <w:spacing w:after="0" w:line="203" w:lineRule="exact"/>
        <w:rPr>
          <w:sz w:val="20"/>
          <w:szCs w:val="20"/>
          <w:color w:val="auto"/>
        </w:rPr>
      </w:pPr>
    </w:p>
    <w:p>
      <w:pPr>
        <w:ind w:left="214"/>
        <w:spacing w:after="0" w:line="221" w:lineRule="auto"/>
        <w:rPr>
          <w:sz w:val="20"/>
          <w:szCs w:val="20"/>
          <w:color w:val="auto"/>
        </w:rPr>
      </w:pPr>
      <w:r>
        <w:rPr>
          <w:rFonts w:ascii="Arial" w:cs="Arial" w:eastAsia="Arial" w:hAnsi="Arial"/>
          <w:sz w:val="16"/>
          <w:szCs w:val="16"/>
          <w:color w:val="FFFFFF"/>
        </w:rPr>
        <w:t>*Gartner Market Share: Semiconductors by End Market, Worldwide, 2020 (April 2021) **Micron data as of September 2, 2021 ***Micron data as of November 19,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It’s All About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-2578100</wp:posOffset>
            </wp:positionV>
            <wp:extent cx="4114800" cy="1842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0" cy="1842770"/>
                    </a:xfrm>
                    <a:prstGeom prst="rect">
                      <a:avLst/>
                    </a:prstGeom>
                    <a:noFill/>
                  </pic:spPr>
                </pic:pic>
              </a:graphicData>
            </a:graphic>
          </wp:anchor>
        </w:drawing>
      </w:r>
    </w:p>
    <w:p>
      <w:pPr>
        <w:spacing w:after="0" w:line="38" w:lineRule="exact"/>
        <w:rPr>
          <w:sz w:val="20"/>
          <w:szCs w:val="20"/>
          <w:color w:val="auto"/>
        </w:rPr>
      </w:pPr>
    </w:p>
    <w:p>
      <w:pPr>
        <w:ind w:right="379"/>
        <w:spacing w:after="0" w:line="213" w:lineRule="auto"/>
        <w:rPr>
          <w:sz w:val="20"/>
          <w:szCs w:val="20"/>
          <w:color w:val="auto"/>
        </w:rPr>
      </w:pPr>
      <w:r>
        <w:rPr>
          <w:rFonts w:ascii="Arial" w:cs="Arial" w:eastAsia="Arial" w:hAnsi="Arial"/>
          <w:sz w:val="25"/>
          <w:szCs w:val="25"/>
          <w:b w:val="1"/>
          <w:bCs w:val="1"/>
          <w:color w:val="0090DA"/>
        </w:rPr>
        <w:t xml:space="preserve">Data is today’s new business currency, and memory and storage are a critical foundation for the data economy. Memory and storage innovations are transforming society and enabling significant value </w:t>
      </w:r>
      <w:r>
        <w:rPr>
          <w:rFonts w:ascii="Arial" w:cs="Arial" w:eastAsia="Arial" w:hAnsi="Arial"/>
          <w:sz w:val="25"/>
          <w:szCs w:val="25"/>
          <w:b w:val="1"/>
          <w:bCs w:val="1"/>
          <w:i w:val="1"/>
          <w:iCs w:val="1"/>
          <w:color w:val="0090DA"/>
        </w:rPr>
        <w:t>for all</w:t>
      </w:r>
      <w:r>
        <w:rPr>
          <w:rFonts w:ascii="Arial" w:cs="Arial" w:eastAsia="Arial" w:hAnsi="Arial"/>
          <w:sz w:val="25"/>
          <w:szCs w:val="25"/>
          <w:b w:val="1"/>
          <w:bCs w:val="1"/>
          <w:color w:val="0090DA"/>
        </w:rPr>
        <w:t>.</w:t>
      </w:r>
    </w:p>
    <w:p>
      <w:pPr>
        <w:spacing w:after="0" w:line="28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Who We Are</w:t>
      </w:r>
    </w:p>
    <w:p>
      <w:pPr>
        <w:spacing w:after="0" w:line="57" w:lineRule="exact"/>
        <w:rPr>
          <w:sz w:val="20"/>
          <w:szCs w:val="20"/>
          <w:color w:val="auto"/>
        </w:rPr>
      </w:pPr>
    </w:p>
    <w:p>
      <w:pPr>
        <w:ind w:right="259"/>
        <w:spacing w:after="0" w:line="210" w:lineRule="auto"/>
        <w:rPr>
          <w:sz w:val="20"/>
          <w:szCs w:val="20"/>
          <w:color w:val="auto"/>
        </w:rPr>
      </w:pPr>
      <w:r>
        <w:rPr>
          <w:rFonts w:ascii="Arial" w:cs="Arial" w:eastAsia="Arial" w:hAnsi="Arial"/>
          <w:sz w:val="18"/>
          <w:szCs w:val="18"/>
          <w:color w:val="auto"/>
        </w:rPr>
        <w:t>Micron designs, develops and manufactures industry-leading memory and storage products. By providing foundational capability for AI and 5G across data center, the intelligent edge, and consumer devices, we unlock innovation across industries including healthcare, automotive and communications. Our technology and expertise are central to maximizing value from cutting-edge computing applications and new business models which disrupt and advance the industry.</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Vision</w:t>
      </w:r>
    </w:p>
    <w:p>
      <w:pPr>
        <w:spacing w:after="0" w:line="57" w:lineRule="exact"/>
        <w:rPr>
          <w:sz w:val="20"/>
          <w:szCs w:val="20"/>
          <w:color w:val="auto"/>
        </w:rPr>
      </w:pPr>
    </w:p>
    <w:p>
      <w:pPr>
        <w:ind w:right="379"/>
        <w:spacing w:after="0" w:line="211" w:lineRule="auto"/>
        <w:rPr>
          <w:sz w:val="20"/>
          <w:szCs w:val="20"/>
          <w:color w:val="auto"/>
        </w:rPr>
      </w:pPr>
      <w:r>
        <w:rPr>
          <w:rFonts w:ascii="Arial" w:cs="Arial" w:eastAsia="Arial" w:hAnsi="Arial"/>
          <w:sz w:val="18"/>
          <w:szCs w:val="18"/>
          <w:color w:val="auto"/>
        </w:rPr>
        <w:t xml:space="preserve">As a global leader in memory and storage solutions, we are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By advancing technologies to collect, store and manage data with unprecedented speed and efficiency, we lead the transformation of data to intelligence. In a world of change, we remain nimble, delivering products that help inspire the world to learn, communicate and advance faster than ever.</w:t>
      </w:r>
    </w:p>
    <w:p>
      <w:pPr>
        <w:spacing w:after="0" w:line="30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Commitment</w:t>
      </w:r>
    </w:p>
    <w:p>
      <w:pPr>
        <w:spacing w:after="0" w:line="57" w:lineRule="exact"/>
        <w:rPr>
          <w:sz w:val="20"/>
          <w:szCs w:val="20"/>
          <w:color w:val="auto"/>
        </w:rPr>
      </w:pPr>
    </w:p>
    <w:p>
      <w:pPr>
        <w:ind w:right="539"/>
        <w:spacing w:after="0" w:line="215" w:lineRule="auto"/>
        <w:rPr>
          <w:sz w:val="20"/>
          <w:szCs w:val="20"/>
          <w:color w:val="auto"/>
        </w:rPr>
      </w:pPr>
      <w:r>
        <w:rPr>
          <w:rFonts w:ascii="Arial" w:cs="Arial" w:eastAsia="Arial" w:hAnsi="Arial"/>
          <w:sz w:val="18"/>
          <w:szCs w:val="18"/>
          <w:color w:val="auto"/>
        </w:rPr>
        <w:t xml:space="preserve">Our customers depend on our innovative solutions every day. We dedicate ourselves to demonstrating our environmental conscience, an inclusive team culture where all voices are heard and respected, and engaging in our communities to enrich life </w:t>
      </w:r>
      <w:r>
        <w:rPr>
          <w:rFonts w:ascii="Arial" w:cs="Arial" w:eastAsia="Arial" w:hAnsi="Arial"/>
          <w:sz w:val="18"/>
          <w:szCs w:val="18"/>
          <w:i w:val="1"/>
          <w:iCs w:val="1"/>
          <w:color w:val="auto"/>
        </w:rPr>
        <w:t>for all</w:t>
      </w:r>
      <w:r>
        <w:rPr>
          <w:rFonts w:ascii="Arial" w:cs="Arial" w:eastAsia="Arial" w:hAnsi="Arial"/>
          <w:sz w:val="18"/>
          <w:szCs w:val="18"/>
          <w:color w:val="auto"/>
        </w:rPr>
        <w:t>.</w:t>
      </w:r>
    </w:p>
    <w:p>
      <w:pPr>
        <w:spacing w:after="0" w:line="219" w:lineRule="exact"/>
        <w:rPr>
          <w:sz w:val="20"/>
          <w:szCs w:val="20"/>
          <w:color w:val="auto"/>
        </w:rPr>
      </w:pPr>
    </w:p>
    <w:p>
      <w:pPr>
        <w:sectPr>
          <w:pgSz w:w="11900" w:h="16838" w:orient="portrait"/>
          <w:cols w:equalWidth="0" w:num="2">
            <w:col w:w="3314" w:space="160"/>
            <w:col w:w="6639"/>
          </w:cols>
          <w:pgMar w:left="346" w:top="1440" w:right="1440" w:bottom="1440" w:gutter="0" w:footer="0" w:header="0"/>
        </w:sectPr>
      </w:pPr>
    </w:p>
    <w:p>
      <w:pPr>
        <w:spacing w:after="0" w:line="15" w:lineRule="exact"/>
        <w:rPr>
          <w:sz w:val="20"/>
          <w:szCs w:val="20"/>
          <w:color w:val="auto"/>
        </w:rPr>
      </w:pPr>
    </w:p>
    <w:tbl>
      <w:tblPr>
        <w:tblLayout w:type="fixed"/>
        <w:tblInd w:w="214" w:type="dxa"/>
        <w:tblCellMar>
          <w:top w:w="0" w:type="dxa"/>
          <w:left w:w="0" w:type="dxa"/>
          <w:bottom w:w="0" w:type="dxa"/>
          <w:right w:w="0" w:type="dxa"/>
        </w:tblCellMar>
      </w:tblPr>
      <w:tr>
        <w:trPr>
          <w:trHeight w:val="333"/>
        </w:trPr>
        <w:tc>
          <w:tcPr>
            <w:tcW w:w="2660" w:type="dxa"/>
            <w:vAlign w:val="bottom"/>
          </w:tcPr>
          <w:p>
            <w:pPr>
              <w:spacing w:after="0"/>
              <w:rPr>
                <w:sz w:val="20"/>
                <w:szCs w:val="20"/>
                <w:color w:val="auto"/>
              </w:rPr>
            </w:pPr>
            <w:r>
              <w:rPr>
                <w:rFonts w:ascii="Arial" w:cs="Arial" w:eastAsia="Arial" w:hAnsi="Arial"/>
                <w:sz w:val="16"/>
                <w:szCs w:val="16"/>
                <w:b w:val="1"/>
                <w:bCs w:val="1"/>
                <w:color w:val="FFFFFF"/>
              </w:rPr>
              <w:t>Media Inquiries</w:t>
            </w:r>
          </w:p>
        </w:tc>
        <w:tc>
          <w:tcPr>
            <w:tcW w:w="5880" w:type="dxa"/>
            <w:vAlign w:val="bottom"/>
          </w:tcPr>
          <w:p>
            <w:pPr>
              <w:ind w:left="600"/>
              <w:spacing w:after="0"/>
              <w:rPr>
                <w:sz w:val="20"/>
                <w:szCs w:val="20"/>
                <w:color w:val="auto"/>
              </w:rPr>
            </w:pPr>
            <w:r>
              <w:rPr>
                <w:rFonts w:ascii="Arial" w:cs="Arial" w:eastAsia="Arial" w:hAnsi="Arial"/>
                <w:sz w:val="29"/>
                <w:szCs w:val="29"/>
                <w:b w:val="1"/>
                <w:bCs w:val="1"/>
                <w:color w:val="0090DA"/>
              </w:rPr>
              <w:t>Global Product Portfolio</w:t>
            </w:r>
          </w:p>
        </w:tc>
        <w:tc>
          <w:tcPr>
            <w:tcW w:w="0" w:type="dxa"/>
            <w:vAlign w:val="bottom"/>
          </w:tcPr>
          <w:p>
            <w:pPr>
              <w:spacing w:after="0"/>
              <w:rPr>
                <w:sz w:val="1"/>
                <w:szCs w:val="1"/>
                <w:color w:val="auto"/>
              </w:rPr>
            </w:pPr>
          </w:p>
        </w:tc>
      </w:tr>
      <w:tr>
        <w:trPr>
          <w:trHeight w:val="195"/>
        </w:trPr>
        <w:tc>
          <w:tcPr>
            <w:tcW w:w="2660" w:type="dxa"/>
            <w:vAlign w:val="bottom"/>
          </w:tcPr>
          <w:p>
            <w:pPr>
              <w:spacing w:after="0"/>
              <w:rPr>
                <w:sz w:val="20"/>
                <w:szCs w:val="20"/>
                <w:color w:val="auto"/>
              </w:rPr>
            </w:pPr>
            <w:r>
              <w:rPr>
                <w:rFonts w:ascii="Arial" w:cs="Arial" w:eastAsia="Arial" w:hAnsi="Arial"/>
                <w:sz w:val="16"/>
                <w:szCs w:val="16"/>
                <w:color w:val="FFFFFF"/>
              </w:rPr>
              <w:t>mediarelations@micron.com</w:t>
            </w:r>
          </w:p>
        </w:tc>
        <w:tc>
          <w:tcPr>
            <w:tcW w:w="5880" w:type="dxa"/>
            <w:vAlign w:val="bottom"/>
            <w:vMerge w:val="restart"/>
          </w:tcPr>
          <w:p>
            <w:pPr>
              <w:ind w:left="600"/>
              <w:spacing w:after="0"/>
              <w:rPr>
                <w:sz w:val="20"/>
                <w:szCs w:val="20"/>
                <w:color w:val="auto"/>
              </w:rPr>
            </w:pPr>
            <w:r>
              <w:rPr>
                <w:rFonts w:ascii="Arial" w:cs="Arial" w:eastAsia="Arial" w:hAnsi="Arial"/>
                <w:sz w:val="16"/>
                <w:szCs w:val="16"/>
                <w:color w:val="0090DA"/>
              </w:rPr>
              <w:t>DRAM | NAND | NOR | Solid-State Drives | Graphics and High Bandwidth</w:t>
            </w:r>
          </w:p>
        </w:tc>
        <w:tc>
          <w:tcPr>
            <w:tcW w:w="0" w:type="dxa"/>
            <w:vAlign w:val="bottom"/>
          </w:tcPr>
          <w:p>
            <w:pPr>
              <w:spacing w:after="0"/>
              <w:rPr>
                <w:sz w:val="1"/>
                <w:szCs w:val="1"/>
                <w:color w:val="auto"/>
              </w:rPr>
            </w:pPr>
          </w:p>
        </w:tc>
      </w:tr>
      <w:tr>
        <w:trPr>
          <w:trHeight w:val="64"/>
        </w:trPr>
        <w:tc>
          <w:tcPr>
            <w:tcW w:w="2660" w:type="dxa"/>
            <w:vAlign w:val="bottom"/>
          </w:tcPr>
          <w:p>
            <w:pPr>
              <w:spacing w:after="0"/>
              <w:rPr>
                <w:sz w:val="5"/>
                <w:szCs w:val="5"/>
                <w:color w:val="auto"/>
              </w:rPr>
            </w:pPr>
          </w:p>
        </w:tc>
        <w:tc>
          <w:tcPr>
            <w:tcW w:w="5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660" w:type="dxa"/>
            <w:vAlign w:val="bottom"/>
            <w:vMerge w:val="restart"/>
          </w:tcPr>
          <w:p>
            <w:pPr>
              <w:spacing w:after="0"/>
              <w:rPr>
                <w:sz w:val="20"/>
                <w:szCs w:val="20"/>
                <w:color w:val="auto"/>
              </w:rPr>
            </w:pPr>
            <w:r>
              <w:rPr>
                <w:rFonts w:ascii="Arial" w:cs="Arial" w:eastAsia="Arial" w:hAnsi="Arial"/>
                <w:sz w:val="16"/>
                <w:szCs w:val="16"/>
                <w:b w:val="1"/>
                <w:bCs w:val="1"/>
                <w:color w:val="FFFFFF"/>
              </w:rPr>
              <w:t>Government Inquiries</w:t>
            </w:r>
          </w:p>
        </w:tc>
        <w:tc>
          <w:tcPr>
            <w:tcW w:w="5880" w:type="dxa"/>
            <w:vAlign w:val="bottom"/>
          </w:tcPr>
          <w:p>
            <w:pPr>
              <w:ind w:left="600"/>
              <w:spacing w:after="0"/>
              <w:rPr>
                <w:sz w:val="20"/>
                <w:szCs w:val="20"/>
                <w:color w:val="auto"/>
              </w:rPr>
            </w:pPr>
            <w:r>
              <w:rPr>
                <w:rFonts w:ascii="Arial" w:cs="Arial" w:eastAsia="Arial" w:hAnsi="Arial"/>
                <w:sz w:val="16"/>
                <w:szCs w:val="16"/>
                <w:color w:val="0090DA"/>
              </w:rPr>
              <w:t>Memory (HBM) | Managed NAND and Multichip Packages</w:t>
            </w:r>
          </w:p>
        </w:tc>
        <w:tc>
          <w:tcPr>
            <w:tcW w:w="0" w:type="dxa"/>
            <w:vAlign w:val="bottom"/>
          </w:tcPr>
          <w:p>
            <w:pPr>
              <w:spacing w:after="0"/>
              <w:rPr>
                <w:sz w:val="1"/>
                <w:szCs w:val="1"/>
                <w:color w:val="auto"/>
              </w:rPr>
            </w:pPr>
          </w:p>
        </w:tc>
      </w:tr>
      <w:tr>
        <w:trPr>
          <w:trHeight w:val="75"/>
        </w:trPr>
        <w:tc>
          <w:tcPr>
            <w:tcW w:w="2660" w:type="dxa"/>
            <w:vAlign w:val="bottom"/>
            <w:vMerge w:val="continue"/>
          </w:tcPr>
          <w:p>
            <w:pPr>
              <w:spacing w:after="0"/>
              <w:rPr>
                <w:sz w:val="6"/>
                <w:szCs w:val="6"/>
                <w:color w:val="auto"/>
              </w:rPr>
            </w:pPr>
          </w:p>
        </w:tc>
        <w:tc>
          <w:tcPr>
            <w:tcW w:w="5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660" w:type="dxa"/>
            <w:vAlign w:val="bottom"/>
          </w:tcPr>
          <w:p>
            <w:pPr>
              <w:spacing w:after="0"/>
              <w:rPr>
                <w:sz w:val="20"/>
                <w:szCs w:val="20"/>
                <w:color w:val="auto"/>
              </w:rPr>
            </w:pPr>
            <w:r>
              <w:rPr>
                <w:rFonts w:ascii="Arial" w:cs="Arial" w:eastAsia="Arial" w:hAnsi="Arial"/>
                <w:sz w:val="16"/>
                <w:szCs w:val="16"/>
                <w:color w:val="FFFFFF"/>
              </w:rPr>
              <w:t>govaffairs@micron.com</w:t>
            </w:r>
          </w:p>
        </w:tc>
        <w:tc>
          <w:tcPr>
            <w:tcW w:w="5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1">
            <w:col w:w="10113"/>
          </w:cols>
          <w:pgMar w:left="346" w:top="1440" w:right="1440" w:bottom="1440" w:gutter="0" w:footer="0" w:header="0"/>
          <w:type w:val="continuous"/>
        </w:sectPr>
      </w:pPr>
    </w:p>
    <w:p>
      <w:pPr>
        <w:ind w:left="214"/>
        <w:spacing w:after="0"/>
        <w:rPr>
          <w:sz w:val="20"/>
          <w:szCs w:val="20"/>
          <w:color w:val="auto"/>
        </w:rPr>
      </w:pPr>
      <w:r>
        <w:rPr>
          <w:rFonts w:ascii="Arial" w:cs="Arial" w:eastAsia="Arial" w:hAnsi="Arial"/>
          <w:sz w:val="16"/>
          <w:szCs w:val="16"/>
          <w:b w:val="1"/>
          <w:bCs w:val="1"/>
          <w:color w:val="FFFFFF"/>
        </w:rPr>
        <w:t>Investor Inquiries</w:t>
      </w:r>
    </w:p>
    <w:p>
      <w:pPr>
        <w:ind w:left="214"/>
        <w:spacing w:after="0"/>
        <w:rPr>
          <w:sz w:val="20"/>
          <w:szCs w:val="20"/>
          <w:color w:val="auto"/>
        </w:rPr>
      </w:pPr>
      <w:r>
        <w:rPr>
          <w:rFonts w:ascii="Arial" w:cs="Arial" w:eastAsia="Arial" w:hAnsi="Arial"/>
          <w:sz w:val="16"/>
          <w:szCs w:val="16"/>
          <w:color w:val="FFFFFF"/>
        </w:rPr>
        <w:t>investorrelations@micron.com</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Connect with us on 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-1708150</wp:posOffset>
            </wp:positionH>
            <wp:positionV relativeFrom="paragraph">
              <wp:posOffset>-213995</wp:posOffset>
            </wp:positionV>
            <wp:extent cx="414020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40200" cy="30035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5314" w:space="720"/>
            <w:col w:w="4079"/>
          </w:cols>
          <w:pgMar w:left="346" w:top="1440" w:right="1440" w:bottom="1440" w:gutter="0" w:footer="0" w:header="0"/>
          <w:type w:val="continuous"/>
        </w:sectPr>
      </w:pPr>
    </w:p>
    <w:p>
      <w:pPr>
        <w:ind w:left="-6" w:right="419" w:firstLine="6"/>
        <w:spacing w:after="0" w:line="203" w:lineRule="auto"/>
        <w:tabs>
          <w:tab w:leader="none" w:pos="104" w:val="left"/>
        </w:tabs>
        <w:numPr>
          <w:ilvl w:val="0"/>
          <w:numId w:val="3"/>
        </w:numPr>
        <w:rPr>
          <w:rFonts w:ascii="Arial" w:cs="Arial" w:eastAsia="Arial" w:hAnsi="Arial"/>
          <w:sz w:val="11"/>
          <w:szCs w:val="11"/>
          <w:color w:val="auto"/>
        </w:rPr>
      </w:pPr>
      <w:r>
        <w:rPr>
          <w:rFonts w:ascii="Arial" w:cs="Arial" w:eastAsia="Arial" w:hAnsi="Arial"/>
          <w:sz w:val="11"/>
          <w:szCs w:val="11"/>
          <w:color w:val="auto"/>
        </w:rPr>
        <w:t>2022 Micron Technology, Inc. Micron, the Micron orbit logo, the M orbit logo, Intelligence Accelerated</w:t>
      </w:r>
      <w:r>
        <w:rPr>
          <w:rFonts w:ascii="Arial" w:cs="Arial" w:eastAsia="Arial" w:hAnsi="Arial"/>
          <w:sz w:val="14"/>
          <w:szCs w:val="14"/>
          <w:color w:val="auto"/>
          <w:vertAlign w:val="superscript"/>
        </w:rPr>
        <w:t>TM</w:t>
      </w:r>
      <w:r>
        <w:rPr>
          <w:rFonts w:ascii="Arial" w:cs="Arial" w:eastAsia="Arial" w:hAnsi="Arial"/>
          <w:sz w:val="11"/>
          <w:szCs w:val="11"/>
          <w:color w:val="auto"/>
        </w:rPr>
        <w:t>, and other Micron trademarks are the property of Micron Technology, Inc. All other trademarks are the property of their respective owners. Products and specifications are subject to change without notice. Rev 10/21 CCMMD-1707390403-3712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670560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3"/>
          </w:cols>
          <w:pgMar w:left="346" w:top="144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shd w:val="clear" w:color="auto" w:fill="D1D2D4"/>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Introduction</w:t>
              </w:r>
            </w:hyperlink>
          </w:p>
        </w:tc>
        <w:tc>
          <w:tcPr>
            <w:tcW w:w="8540" w:type="dxa"/>
            <w:vAlign w:val="bottom"/>
            <w:shd w:val="clear" w:color="auto" w:fill="D1D2D4"/>
          </w:tcPr>
          <w:p>
            <w:pPr>
              <w:spacing w:after="0"/>
              <w:rPr>
                <w:sz w:val="19"/>
                <w:szCs w:val="19"/>
                <w:color w:val="auto"/>
              </w:rPr>
            </w:pPr>
          </w:p>
        </w:tc>
        <w:tc>
          <w:tcPr>
            <w:tcW w:w="1620" w:type="dxa"/>
            <w:vAlign w:val="bottom"/>
            <w:shd w:val="clear" w:color="auto" w:fill="D1D2D4"/>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29"/>
        </w:trPr>
        <w:tc>
          <w:tcPr>
            <w:tcW w:w="9620" w:type="dxa"/>
            <w:vAlign w:val="bottom"/>
            <w:gridSpan w:val="2"/>
          </w:tcPr>
          <w:p>
            <w:pPr>
              <w:ind w:left="20"/>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Part I. Financial Information</w:t>
              </w:r>
            </w:hyperlink>
          </w:p>
        </w:tc>
        <w:tc>
          <w:tcPr>
            <w:tcW w:w="1620" w:type="dxa"/>
            <w:vAlign w:val="bottom"/>
          </w:tcPr>
          <w:p>
            <w:pPr>
              <w:spacing w:after="0"/>
              <w:rPr>
                <w:sz w:val="19"/>
                <w:szCs w:val="19"/>
                <w:color w:val="auto"/>
              </w:rPr>
            </w:pPr>
          </w:p>
        </w:tc>
      </w:tr>
      <w:tr>
        <w:trPr>
          <w:trHeight w:val="230"/>
        </w:trPr>
        <w:tc>
          <w:tcPr>
            <w:tcW w:w="1080" w:type="dxa"/>
            <w:vAlign w:val="bottom"/>
            <w:shd w:val="clear" w:color="auto" w:fill="D1D2D4"/>
          </w:tcPr>
          <w:p>
            <w:pPr>
              <w:ind w:left="140"/>
              <w:spacing w:after="0"/>
              <w:rPr>
                <w:rFonts w:ascii="Arial" w:cs="Arial" w:eastAsia="Arial" w:hAnsi="Arial"/>
                <w:sz w:val="18"/>
                <w:szCs w:val="18"/>
                <w:color w:val="auto"/>
              </w:rPr>
            </w:pPr>
            <w:hyperlink w:anchor="page6">
              <w:r>
                <w:rPr>
                  <w:rFonts w:ascii="Arial" w:cs="Arial" w:eastAsia="Arial" w:hAnsi="Arial"/>
                  <w:sz w:val="18"/>
                  <w:szCs w:val="18"/>
                  <w:color w:val="auto"/>
                </w:rPr>
                <w:t>Item 1.</w:t>
              </w:r>
            </w:hyperlink>
          </w:p>
        </w:tc>
        <w:tc>
          <w:tcPr>
            <w:tcW w:w="8540" w:type="dxa"/>
            <w:vAlign w:val="bottom"/>
            <w:shd w:val="clear" w:color="auto" w:fill="D1D2D4"/>
          </w:tcPr>
          <w:p>
            <w:pPr>
              <w:ind w:left="60"/>
              <w:spacing w:after="0"/>
              <w:rPr>
                <w:rFonts w:ascii="Arial" w:cs="Arial" w:eastAsia="Arial" w:hAnsi="Arial"/>
                <w:sz w:val="18"/>
                <w:szCs w:val="18"/>
                <w:color w:val="auto"/>
              </w:rPr>
            </w:pPr>
            <w:hyperlink w:anchor="page6">
              <w:r>
                <w:rPr>
                  <w:rFonts w:ascii="Arial" w:cs="Arial" w:eastAsia="Arial" w:hAnsi="Arial"/>
                  <w:sz w:val="18"/>
                  <w:szCs w:val="18"/>
                  <w:color w:val="auto"/>
                </w:rPr>
                <w:t>Financial Statements:</w:t>
              </w:r>
            </w:hyperlink>
          </w:p>
        </w:tc>
        <w:tc>
          <w:tcPr>
            <w:tcW w:w="1620" w:type="dxa"/>
            <w:vAlign w:val="bottom"/>
            <w:shd w:val="clear" w:color="auto" w:fill="D1D2D4"/>
          </w:tcPr>
          <w:p>
            <w:pPr>
              <w:spacing w:after="0"/>
              <w:rPr>
                <w:sz w:val="19"/>
                <w:szCs w:val="19"/>
                <w:color w:val="auto"/>
              </w:rPr>
            </w:pPr>
          </w:p>
        </w:tc>
      </w:tr>
      <w:tr>
        <w:trPr>
          <w:trHeight w:val="229"/>
        </w:trPr>
        <w:tc>
          <w:tcPr>
            <w:tcW w:w="1080" w:type="dxa"/>
            <w:vAlign w:val="bottom"/>
          </w:tcPr>
          <w:p>
            <w:pPr>
              <w:spacing w:after="0"/>
              <w:rPr>
                <w:sz w:val="19"/>
                <w:szCs w:val="19"/>
                <w:color w:val="auto"/>
              </w:rPr>
            </w:pPr>
          </w:p>
        </w:tc>
        <w:tc>
          <w:tcPr>
            <w:tcW w:w="8540" w:type="dxa"/>
            <w:vAlign w:val="bottom"/>
          </w:tcPr>
          <w:p>
            <w:pPr>
              <w:ind w:left="180"/>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Operations</w:t>
              </w:r>
            </w:hyperlink>
          </w:p>
        </w:tc>
        <w:tc>
          <w:tcPr>
            <w:tcW w:w="16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29"/>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Comprehensive Income</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230"/>
        </w:trPr>
        <w:tc>
          <w:tcPr>
            <w:tcW w:w="1080" w:type="dxa"/>
            <w:vAlign w:val="bottom"/>
          </w:tcPr>
          <w:p>
            <w:pPr>
              <w:spacing w:after="0"/>
              <w:rPr>
                <w:sz w:val="19"/>
                <w:szCs w:val="19"/>
                <w:color w:val="auto"/>
              </w:rPr>
            </w:pPr>
          </w:p>
        </w:tc>
        <w:tc>
          <w:tcPr>
            <w:tcW w:w="8540" w:type="dxa"/>
            <w:vAlign w:val="bottom"/>
          </w:tcPr>
          <w:p>
            <w:pPr>
              <w:ind w:left="180"/>
              <w:spacing w:after="0"/>
              <w:rPr>
                <w:rFonts w:ascii="Arial" w:cs="Arial" w:eastAsia="Arial" w:hAnsi="Arial"/>
                <w:sz w:val="18"/>
                <w:szCs w:val="18"/>
                <w:color w:val="auto"/>
              </w:rPr>
            </w:pPr>
            <w:hyperlink w:anchor="page7">
              <w:r>
                <w:rPr>
                  <w:rFonts w:ascii="Arial" w:cs="Arial" w:eastAsia="Arial" w:hAnsi="Arial"/>
                  <w:sz w:val="18"/>
                  <w:szCs w:val="18"/>
                  <w:color w:val="auto"/>
                </w:rPr>
                <w:t>Consolidated Balance Sheets</w:t>
              </w:r>
            </w:hyperlink>
          </w:p>
        </w:tc>
        <w:tc>
          <w:tcPr>
            <w:tcW w:w="16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r>
      <w:tr>
        <w:trPr>
          <w:trHeight w:val="229"/>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rFonts w:ascii="Arial" w:cs="Arial" w:eastAsia="Arial" w:hAnsi="Arial"/>
                <w:sz w:val="18"/>
                <w:szCs w:val="18"/>
                <w:color w:val="auto"/>
              </w:rPr>
            </w:pPr>
            <w:hyperlink w:anchor="page8">
              <w:r>
                <w:rPr>
                  <w:rFonts w:ascii="Arial" w:cs="Arial" w:eastAsia="Arial" w:hAnsi="Arial"/>
                  <w:sz w:val="18"/>
                  <w:szCs w:val="18"/>
                  <w:color w:val="auto"/>
                </w:rPr>
                <w:t>Consolidated Statements of Changes in Equity</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r>
      <w:tr>
        <w:trPr>
          <w:trHeight w:val="230"/>
        </w:trPr>
        <w:tc>
          <w:tcPr>
            <w:tcW w:w="1080" w:type="dxa"/>
            <w:vAlign w:val="bottom"/>
          </w:tcPr>
          <w:p>
            <w:pPr>
              <w:spacing w:after="0"/>
              <w:rPr>
                <w:sz w:val="19"/>
                <w:szCs w:val="19"/>
                <w:color w:val="auto"/>
              </w:rPr>
            </w:pPr>
          </w:p>
        </w:tc>
        <w:tc>
          <w:tcPr>
            <w:tcW w:w="8540" w:type="dxa"/>
            <w:vAlign w:val="bottom"/>
          </w:tcPr>
          <w:p>
            <w:pPr>
              <w:ind w:left="180"/>
              <w:spacing w:after="0"/>
              <w:rPr>
                <w:rFonts w:ascii="Arial" w:cs="Arial" w:eastAsia="Arial" w:hAnsi="Arial"/>
                <w:sz w:val="18"/>
                <w:szCs w:val="18"/>
                <w:color w:val="auto"/>
              </w:rPr>
            </w:pPr>
            <w:hyperlink w:anchor="page9">
              <w:r>
                <w:rPr>
                  <w:rFonts w:ascii="Arial" w:cs="Arial" w:eastAsia="Arial" w:hAnsi="Arial"/>
                  <w:sz w:val="18"/>
                  <w:szCs w:val="18"/>
                  <w:color w:val="auto"/>
                </w:rPr>
                <w:t>Consolidated Statements of Cash Flows</w:t>
              </w:r>
            </w:hyperlink>
          </w:p>
        </w:tc>
        <w:tc>
          <w:tcPr>
            <w:tcW w:w="162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r>
      <w:tr>
        <w:trPr>
          <w:trHeight w:val="229"/>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rFonts w:ascii="Arial" w:cs="Arial" w:eastAsia="Arial" w:hAnsi="Arial"/>
                <w:sz w:val="18"/>
                <w:szCs w:val="18"/>
                <w:color w:val="auto"/>
              </w:rPr>
            </w:pPr>
            <w:hyperlink w:anchor="page10">
              <w:r>
                <w:rPr>
                  <w:rFonts w:ascii="Arial" w:cs="Arial" w:eastAsia="Arial" w:hAnsi="Arial"/>
                  <w:sz w:val="18"/>
                  <w:szCs w:val="18"/>
                  <w:color w:val="auto"/>
                </w:rPr>
                <w:t>Notes to Consolidated Financial Statements</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11</w:t>
              </w:r>
            </w:hyperlink>
          </w:p>
        </w:tc>
      </w:tr>
      <w:tr>
        <w:trPr>
          <w:trHeight w:val="229"/>
        </w:trPr>
        <w:tc>
          <w:tcPr>
            <w:tcW w:w="1080" w:type="dxa"/>
            <w:vAlign w:val="bottom"/>
          </w:tcPr>
          <w:p>
            <w:pPr>
              <w:ind w:left="140"/>
              <w:spacing w:after="0"/>
              <w:rPr>
                <w:rFonts w:ascii="Arial" w:cs="Arial" w:eastAsia="Arial" w:hAnsi="Arial"/>
                <w:sz w:val="18"/>
                <w:szCs w:val="18"/>
                <w:color w:val="auto"/>
              </w:rPr>
            </w:pPr>
            <w:hyperlink w:anchor="page27">
              <w:r>
                <w:rPr>
                  <w:rFonts w:ascii="Arial" w:cs="Arial" w:eastAsia="Arial" w:hAnsi="Arial"/>
                  <w:sz w:val="18"/>
                  <w:szCs w:val="18"/>
                  <w:color w:val="auto"/>
                </w:rPr>
                <w:t>Item 2.</w:t>
              </w:r>
            </w:hyperlink>
          </w:p>
        </w:tc>
        <w:tc>
          <w:tcPr>
            <w:tcW w:w="8540" w:type="dxa"/>
            <w:vAlign w:val="bottom"/>
          </w:tcPr>
          <w:p>
            <w:pPr>
              <w:ind w:left="60"/>
              <w:spacing w:after="0"/>
              <w:rPr>
                <w:rFonts w:ascii="Arial" w:cs="Arial" w:eastAsia="Arial" w:hAnsi="Arial"/>
                <w:sz w:val="18"/>
                <w:szCs w:val="18"/>
                <w:color w:val="auto"/>
              </w:rPr>
            </w:pPr>
            <w:hyperlink w:anchor="page27">
              <w:r>
                <w:rPr>
                  <w:rFonts w:ascii="Arial" w:cs="Arial" w:eastAsia="Arial" w:hAnsi="Arial"/>
                  <w:sz w:val="18"/>
                  <w:szCs w:val="18"/>
                  <w:color w:val="auto"/>
                </w:rPr>
                <w:t>Management’s Discussion and Analysis of Financial Condition and Results of Operations</w:t>
              </w:r>
            </w:hyperlink>
          </w:p>
        </w:tc>
        <w:tc>
          <w:tcPr>
            <w:tcW w:w="162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30"/>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rFonts w:ascii="Arial" w:cs="Arial" w:eastAsia="Arial" w:hAnsi="Arial"/>
                <w:sz w:val="18"/>
                <w:szCs w:val="18"/>
                <w:color w:val="auto"/>
              </w:rPr>
            </w:pPr>
            <w:hyperlink w:anchor="page30">
              <w:r>
                <w:rPr>
                  <w:rFonts w:ascii="Arial" w:cs="Arial" w:eastAsia="Arial" w:hAnsi="Arial"/>
                  <w:sz w:val="18"/>
                  <w:szCs w:val="18"/>
                  <w:color w:val="auto"/>
                </w:rPr>
                <w:t>Results of Operations</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29"/>
        </w:trPr>
        <w:tc>
          <w:tcPr>
            <w:tcW w:w="1080" w:type="dxa"/>
            <w:vAlign w:val="bottom"/>
          </w:tcPr>
          <w:p>
            <w:pPr>
              <w:spacing w:after="0"/>
              <w:rPr>
                <w:sz w:val="19"/>
                <w:szCs w:val="19"/>
                <w:color w:val="auto"/>
              </w:rPr>
            </w:pPr>
          </w:p>
        </w:tc>
        <w:tc>
          <w:tcPr>
            <w:tcW w:w="8540" w:type="dxa"/>
            <w:vAlign w:val="bottom"/>
          </w:tcPr>
          <w:p>
            <w:pPr>
              <w:ind w:left="180"/>
              <w:spacing w:after="0"/>
              <w:rPr>
                <w:rFonts w:ascii="Arial" w:cs="Arial" w:eastAsia="Arial" w:hAnsi="Arial"/>
                <w:sz w:val="18"/>
                <w:szCs w:val="18"/>
                <w:color w:val="auto"/>
              </w:rPr>
            </w:pPr>
            <w:hyperlink w:anchor="page33">
              <w:r>
                <w:rPr>
                  <w:rFonts w:ascii="Arial" w:cs="Arial" w:eastAsia="Arial" w:hAnsi="Arial"/>
                  <w:sz w:val="18"/>
                  <w:szCs w:val="18"/>
                  <w:color w:val="auto"/>
                </w:rPr>
                <w:t>Liquidity and Capital Resources</w:t>
              </w:r>
            </w:hyperlink>
          </w:p>
        </w:tc>
        <w:tc>
          <w:tcPr>
            <w:tcW w:w="162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29"/>
        </w:trPr>
        <w:tc>
          <w:tcPr>
            <w:tcW w:w="1080" w:type="dxa"/>
            <w:vAlign w:val="bottom"/>
            <w:shd w:val="clear" w:color="auto" w:fill="D1D2D4"/>
          </w:tcPr>
          <w:p>
            <w:pPr>
              <w:ind w:left="140"/>
              <w:spacing w:after="0"/>
              <w:rPr>
                <w:rFonts w:ascii="Arial" w:cs="Arial" w:eastAsia="Arial" w:hAnsi="Arial"/>
                <w:sz w:val="18"/>
                <w:szCs w:val="18"/>
                <w:color w:val="auto"/>
              </w:rPr>
            </w:pPr>
            <w:hyperlink w:anchor="page35">
              <w:r>
                <w:rPr>
                  <w:rFonts w:ascii="Arial" w:cs="Arial" w:eastAsia="Arial" w:hAnsi="Arial"/>
                  <w:sz w:val="18"/>
                  <w:szCs w:val="18"/>
                  <w:color w:val="auto"/>
                </w:rPr>
                <w:t>Item 3.</w:t>
              </w:r>
            </w:hyperlink>
          </w:p>
        </w:tc>
        <w:tc>
          <w:tcPr>
            <w:tcW w:w="8540" w:type="dxa"/>
            <w:vAlign w:val="bottom"/>
            <w:shd w:val="clear" w:color="auto" w:fill="D1D2D4"/>
          </w:tcPr>
          <w:p>
            <w:pPr>
              <w:ind w:left="80"/>
              <w:spacing w:after="0"/>
              <w:rPr>
                <w:rFonts w:ascii="Arial" w:cs="Arial" w:eastAsia="Arial" w:hAnsi="Arial"/>
                <w:sz w:val="18"/>
                <w:szCs w:val="18"/>
                <w:color w:val="auto"/>
              </w:rPr>
            </w:pPr>
            <w:hyperlink w:anchor="page35">
              <w:r>
                <w:rPr>
                  <w:rFonts w:ascii="Arial" w:cs="Arial" w:eastAsia="Arial" w:hAnsi="Arial"/>
                  <w:sz w:val="18"/>
                  <w:szCs w:val="18"/>
                  <w:color w:val="auto"/>
                </w:rPr>
                <w:t>Quantitative and Qualitative Disclosures about Market Risk</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30"/>
        </w:trPr>
        <w:tc>
          <w:tcPr>
            <w:tcW w:w="1080" w:type="dxa"/>
            <w:vAlign w:val="bottom"/>
          </w:tcPr>
          <w:p>
            <w:pPr>
              <w:ind w:left="140"/>
              <w:spacing w:after="0"/>
              <w:rPr>
                <w:rFonts w:ascii="Arial" w:cs="Arial" w:eastAsia="Arial" w:hAnsi="Arial"/>
                <w:sz w:val="18"/>
                <w:szCs w:val="18"/>
                <w:color w:val="auto"/>
              </w:rPr>
            </w:pPr>
            <w:hyperlink w:anchor="page35">
              <w:r>
                <w:rPr>
                  <w:rFonts w:ascii="Arial" w:cs="Arial" w:eastAsia="Arial" w:hAnsi="Arial"/>
                  <w:sz w:val="18"/>
                  <w:szCs w:val="18"/>
                  <w:color w:val="auto"/>
                </w:rPr>
                <w:t>Item 4.</w:t>
              </w:r>
            </w:hyperlink>
          </w:p>
        </w:tc>
        <w:tc>
          <w:tcPr>
            <w:tcW w:w="8540" w:type="dxa"/>
            <w:vAlign w:val="bottom"/>
          </w:tcPr>
          <w:p>
            <w:pPr>
              <w:ind w:left="80"/>
              <w:spacing w:after="0"/>
              <w:rPr>
                <w:rFonts w:ascii="Arial" w:cs="Arial" w:eastAsia="Arial" w:hAnsi="Arial"/>
                <w:sz w:val="18"/>
                <w:szCs w:val="18"/>
                <w:color w:val="auto"/>
              </w:rPr>
            </w:pPr>
            <w:hyperlink w:anchor="page35">
              <w:r>
                <w:rPr>
                  <w:rFonts w:ascii="Arial" w:cs="Arial" w:eastAsia="Arial" w:hAnsi="Arial"/>
                  <w:sz w:val="18"/>
                  <w:szCs w:val="18"/>
                  <w:color w:val="auto"/>
                </w:rPr>
                <w:t>Controls and Procedures</w:t>
              </w:r>
            </w:hyperlink>
          </w:p>
        </w:tc>
        <w:tc>
          <w:tcPr>
            <w:tcW w:w="16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29"/>
        </w:trPr>
        <w:tc>
          <w:tcPr>
            <w:tcW w:w="9620" w:type="dxa"/>
            <w:vAlign w:val="bottom"/>
            <w:gridSpan w:val="2"/>
            <w:shd w:val="clear" w:color="auto" w:fill="D1D2D4"/>
          </w:tcPr>
          <w:p>
            <w:pPr>
              <w:ind w:left="20"/>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Part II. Other Information</w:t>
              </w:r>
            </w:hyperlink>
          </w:p>
        </w:tc>
        <w:tc>
          <w:tcPr>
            <w:tcW w:w="1620" w:type="dxa"/>
            <w:vAlign w:val="bottom"/>
            <w:shd w:val="clear" w:color="auto" w:fill="D1D2D4"/>
          </w:tcPr>
          <w:p>
            <w:pPr>
              <w:spacing w:after="0"/>
              <w:rPr>
                <w:sz w:val="19"/>
                <w:szCs w:val="19"/>
                <w:color w:val="auto"/>
              </w:rPr>
            </w:pPr>
          </w:p>
        </w:tc>
      </w:tr>
      <w:tr>
        <w:trPr>
          <w:trHeight w:val="230"/>
        </w:trPr>
        <w:tc>
          <w:tcPr>
            <w:tcW w:w="1080" w:type="dxa"/>
            <w:vAlign w:val="bottom"/>
          </w:tcPr>
          <w:p>
            <w:pPr>
              <w:ind w:left="140"/>
              <w:spacing w:after="0"/>
              <w:rPr>
                <w:rFonts w:ascii="Arial" w:cs="Arial" w:eastAsia="Arial" w:hAnsi="Arial"/>
                <w:sz w:val="18"/>
                <w:szCs w:val="18"/>
                <w:color w:val="auto"/>
              </w:rPr>
            </w:pPr>
            <w:hyperlink w:anchor="page35">
              <w:r>
                <w:rPr>
                  <w:rFonts w:ascii="Arial" w:cs="Arial" w:eastAsia="Arial" w:hAnsi="Arial"/>
                  <w:sz w:val="18"/>
                  <w:szCs w:val="18"/>
                  <w:color w:val="auto"/>
                </w:rPr>
                <w:t>Item 1.</w:t>
              </w:r>
            </w:hyperlink>
          </w:p>
        </w:tc>
        <w:tc>
          <w:tcPr>
            <w:tcW w:w="8540" w:type="dxa"/>
            <w:vAlign w:val="bottom"/>
          </w:tcPr>
          <w:p>
            <w:pPr>
              <w:ind w:left="80"/>
              <w:spacing w:after="0"/>
              <w:rPr>
                <w:rFonts w:ascii="Arial" w:cs="Arial" w:eastAsia="Arial" w:hAnsi="Arial"/>
                <w:sz w:val="18"/>
                <w:szCs w:val="18"/>
                <w:color w:val="auto"/>
              </w:rPr>
            </w:pPr>
            <w:hyperlink w:anchor="page35">
              <w:r>
                <w:rPr>
                  <w:rFonts w:ascii="Arial" w:cs="Arial" w:eastAsia="Arial" w:hAnsi="Arial"/>
                  <w:sz w:val="18"/>
                  <w:szCs w:val="18"/>
                  <w:color w:val="auto"/>
                </w:rPr>
                <w:t>Legal Proceedings</w:t>
              </w:r>
            </w:hyperlink>
          </w:p>
        </w:tc>
        <w:tc>
          <w:tcPr>
            <w:tcW w:w="16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29"/>
        </w:trPr>
        <w:tc>
          <w:tcPr>
            <w:tcW w:w="1080" w:type="dxa"/>
            <w:vAlign w:val="bottom"/>
            <w:shd w:val="clear" w:color="auto" w:fill="D1D2D4"/>
          </w:tcPr>
          <w:p>
            <w:pPr>
              <w:ind w:left="140"/>
              <w:spacing w:after="0"/>
              <w:rPr>
                <w:rFonts w:ascii="Arial" w:cs="Arial" w:eastAsia="Arial" w:hAnsi="Arial"/>
                <w:sz w:val="18"/>
                <w:szCs w:val="18"/>
                <w:color w:val="auto"/>
              </w:rPr>
            </w:pPr>
            <w:hyperlink w:anchor="page36">
              <w:r>
                <w:rPr>
                  <w:rFonts w:ascii="Arial" w:cs="Arial" w:eastAsia="Arial" w:hAnsi="Arial"/>
                  <w:sz w:val="18"/>
                  <w:szCs w:val="18"/>
                  <w:color w:val="auto"/>
                </w:rPr>
                <w:t>Item 1A.</w:t>
              </w:r>
            </w:hyperlink>
          </w:p>
        </w:tc>
        <w:tc>
          <w:tcPr>
            <w:tcW w:w="8540" w:type="dxa"/>
            <w:vAlign w:val="bottom"/>
            <w:shd w:val="clear" w:color="auto" w:fill="D1D2D4"/>
          </w:tcPr>
          <w:p>
            <w:pPr>
              <w:ind w:left="80"/>
              <w:spacing w:after="0"/>
              <w:rPr>
                <w:rFonts w:ascii="Arial" w:cs="Arial" w:eastAsia="Arial" w:hAnsi="Arial"/>
                <w:sz w:val="18"/>
                <w:szCs w:val="18"/>
                <w:color w:val="auto"/>
              </w:rPr>
            </w:pPr>
            <w:hyperlink w:anchor="page36">
              <w:r>
                <w:rPr>
                  <w:rFonts w:ascii="Arial" w:cs="Arial" w:eastAsia="Arial" w:hAnsi="Arial"/>
                  <w:sz w:val="18"/>
                  <w:szCs w:val="18"/>
                  <w:color w:val="auto"/>
                </w:rPr>
                <w:t>Risk Factors</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29"/>
        </w:trPr>
        <w:tc>
          <w:tcPr>
            <w:tcW w:w="1080" w:type="dxa"/>
            <w:vAlign w:val="bottom"/>
          </w:tcPr>
          <w:p>
            <w:pPr>
              <w:ind w:left="140"/>
              <w:spacing w:after="0"/>
              <w:rPr>
                <w:rFonts w:ascii="Arial" w:cs="Arial" w:eastAsia="Arial" w:hAnsi="Arial"/>
                <w:sz w:val="18"/>
                <w:szCs w:val="18"/>
                <w:color w:val="auto"/>
              </w:rPr>
            </w:pPr>
            <w:hyperlink w:anchor="page55">
              <w:r>
                <w:rPr>
                  <w:rFonts w:ascii="Arial" w:cs="Arial" w:eastAsia="Arial" w:hAnsi="Arial"/>
                  <w:sz w:val="18"/>
                  <w:szCs w:val="18"/>
                  <w:color w:val="auto"/>
                </w:rPr>
                <w:t>Item 2.</w:t>
              </w:r>
            </w:hyperlink>
          </w:p>
        </w:tc>
        <w:tc>
          <w:tcPr>
            <w:tcW w:w="8540" w:type="dxa"/>
            <w:vAlign w:val="bottom"/>
          </w:tcPr>
          <w:p>
            <w:pPr>
              <w:ind w:left="80"/>
              <w:spacing w:after="0"/>
              <w:rPr>
                <w:rFonts w:ascii="Arial" w:cs="Arial" w:eastAsia="Arial" w:hAnsi="Arial"/>
                <w:sz w:val="18"/>
                <w:szCs w:val="18"/>
                <w:color w:val="auto"/>
              </w:rPr>
            </w:pPr>
            <w:hyperlink w:anchor="page55">
              <w:r>
                <w:rPr>
                  <w:rFonts w:ascii="Arial" w:cs="Arial" w:eastAsia="Arial" w:hAnsi="Arial"/>
                  <w:sz w:val="18"/>
                  <w:szCs w:val="18"/>
                  <w:color w:val="auto"/>
                </w:rPr>
                <w:t>Unregistered Sales of Equity Securities and Use of Proceeds</w:t>
              </w:r>
            </w:hyperlink>
          </w:p>
        </w:tc>
        <w:tc>
          <w:tcPr>
            <w:tcW w:w="162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56</w:t>
              </w:r>
            </w:hyperlink>
          </w:p>
        </w:tc>
      </w:tr>
      <w:tr>
        <w:trPr>
          <w:trHeight w:val="230"/>
        </w:trPr>
        <w:tc>
          <w:tcPr>
            <w:tcW w:w="1080" w:type="dxa"/>
            <w:vAlign w:val="bottom"/>
            <w:shd w:val="clear" w:color="auto" w:fill="D1D2D4"/>
          </w:tcPr>
          <w:p>
            <w:pPr>
              <w:ind w:left="140"/>
              <w:spacing w:after="0"/>
              <w:rPr>
                <w:rFonts w:ascii="Arial" w:cs="Arial" w:eastAsia="Arial" w:hAnsi="Arial"/>
                <w:sz w:val="18"/>
                <w:szCs w:val="18"/>
                <w:color w:val="auto"/>
              </w:rPr>
            </w:pPr>
            <w:hyperlink w:anchor="page56">
              <w:r>
                <w:rPr>
                  <w:rFonts w:ascii="Arial" w:cs="Arial" w:eastAsia="Arial" w:hAnsi="Arial"/>
                  <w:sz w:val="18"/>
                  <w:szCs w:val="18"/>
                  <w:color w:val="auto"/>
                </w:rPr>
                <w:t>Item 6.</w:t>
              </w:r>
            </w:hyperlink>
          </w:p>
        </w:tc>
        <w:tc>
          <w:tcPr>
            <w:tcW w:w="8540" w:type="dxa"/>
            <w:vAlign w:val="bottom"/>
            <w:shd w:val="clear" w:color="auto" w:fill="D1D2D4"/>
          </w:tcPr>
          <w:p>
            <w:pPr>
              <w:ind w:left="80"/>
              <w:spacing w:after="0"/>
              <w:rPr>
                <w:rFonts w:ascii="Arial" w:cs="Arial" w:eastAsia="Arial" w:hAnsi="Arial"/>
                <w:sz w:val="18"/>
                <w:szCs w:val="18"/>
                <w:color w:val="auto"/>
              </w:rPr>
            </w:pPr>
            <w:hyperlink w:anchor="page56">
              <w:r>
                <w:rPr>
                  <w:rFonts w:ascii="Arial" w:cs="Arial" w:eastAsia="Arial" w:hAnsi="Arial"/>
                  <w:sz w:val="18"/>
                  <w:szCs w:val="18"/>
                  <w:color w:val="auto"/>
                </w:rPr>
                <w:t>Exhibits</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57</w:t>
              </w:r>
            </w:hyperlink>
          </w:p>
        </w:tc>
      </w:tr>
      <w:tr>
        <w:trPr>
          <w:trHeight w:val="229"/>
        </w:trPr>
        <w:tc>
          <w:tcPr>
            <w:tcW w:w="1080" w:type="dxa"/>
            <w:vAlign w:val="bottom"/>
          </w:tcPr>
          <w:p>
            <w:pPr>
              <w:ind w:left="140"/>
              <w:spacing w:after="0"/>
              <w:rPr>
                <w:rFonts w:ascii="Arial" w:cs="Arial" w:eastAsia="Arial" w:hAnsi="Arial"/>
                <w:sz w:val="18"/>
                <w:szCs w:val="18"/>
                <w:color w:val="auto"/>
              </w:rPr>
            </w:pPr>
            <w:hyperlink w:anchor="page57">
              <w:r>
                <w:rPr>
                  <w:rFonts w:ascii="Arial" w:cs="Arial" w:eastAsia="Arial" w:hAnsi="Arial"/>
                  <w:sz w:val="18"/>
                  <w:szCs w:val="18"/>
                  <w:color w:val="auto"/>
                </w:rPr>
                <w:t>Signatures</w:t>
              </w:r>
            </w:hyperlink>
          </w:p>
        </w:tc>
        <w:tc>
          <w:tcPr>
            <w:tcW w:w="8540" w:type="dxa"/>
            <w:vAlign w:val="bottom"/>
          </w:tcPr>
          <w:p>
            <w:pPr>
              <w:spacing w:after="0"/>
              <w:rPr>
                <w:sz w:val="19"/>
                <w:szCs w:val="19"/>
                <w:color w:val="auto"/>
              </w:rPr>
            </w:pPr>
          </w:p>
        </w:tc>
        <w:tc>
          <w:tcPr>
            <w:tcW w:w="162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58</w:t>
              </w:r>
            </w:hyperlink>
          </w:p>
        </w:tc>
      </w:tr>
      <w:tr>
        <w:trPr>
          <w:trHeight w:val="898"/>
        </w:trPr>
        <w:tc>
          <w:tcPr>
            <w:tcW w:w="108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121"/>
        </w:trPr>
        <w:tc>
          <w:tcPr>
            <w:tcW w:w="1080" w:type="dxa"/>
            <w:vAlign w:val="bottom"/>
            <w:tcBorders>
              <w:bottom w:val="single" w:sz="8" w:color="9A9A9A"/>
            </w:tcBorders>
          </w:tcPr>
          <w:p>
            <w:pPr>
              <w:spacing w:after="0"/>
              <w:rPr>
                <w:sz w:val="10"/>
                <w:szCs w:val="10"/>
                <w:color w:val="auto"/>
              </w:rPr>
            </w:pPr>
          </w:p>
        </w:tc>
        <w:tc>
          <w:tcPr>
            <w:tcW w:w="85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-334010</wp:posOffset>
            </wp:positionV>
            <wp:extent cx="64325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255" cy="180340"/>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 w:name="page4"/>
    <w:bookmarkEnd w:id="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8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 w:type="dxa"/>
            <w:vAlign w:val="bottom"/>
          </w:tcPr>
          <w:p>
            <w:pPr>
              <w:spacing w:after="0"/>
              <w:rPr>
                <w:sz w:val="20"/>
                <w:szCs w:val="20"/>
                <w:color w:val="auto"/>
              </w:rPr>
            </w:pP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Term</w:t>
            </w:r>
          </w:p>
        </w:tc>
        <w:tc>
          <w:tcPr>
            <w:tcW w:w="3960" w:type="dxa"/>
            <w:vAlign w:val="bottom"/>
            <w:gridSpan w:val="2"/>
          </w:tcPr>
          <w:p>
            <w:pPr>
              <w:ind w:left="1560"/>
              <w:spacing w:after="0"/>
              <w:rPr>
                <w:sz w:val="20"/>
                <w:szCs w:val="20"/>
                <w:color w:val="auto"/>
              </w:rPr>
            </w:pPr>
            <w:r>
              <w:rPr>
                <w:rFonts w:ascii="Arial" w:cs="Arial" w:eastAsia="Arial" w:hAnsi="Arial"/>
                <w:sz w:val="18"/>
                <w:szCs w:val="18"/>
                <w:b w:val="1"/>
                <w:bCs w:val="1"/>
                <w:color w:val="auto"/>
              </w:rPr>
              <w:t>Definition</w:t>
            </w:r>
          </w:p>
        </w:tc>
        <w:tc>
          <w:tcPr>
            <w:tcW w:w="1560" w:type="dxa"/>
            <w:vAlign w:val="bottom"/>
          </w:tcPr>
          <w:p>
            <w:pPr>
              <w:ind w:left="680"/>
              <w:spacing w:after="0"/>
              <w:rPr>
                <w:sz w:val="20"/>
                <w:szCs w:val="20"/>
                <w:color w:val="auto"/>
              </w:rPr>
            </w:pPr>
            <w:r>
              <w:rPr>
                <w:rFonts w:ascii="Arial" w:cs="Arial" w:eastAsia="Arial" w:hAnsi="Arial"/>
                <w:sz w:val="18"/>
                <w:szCs w:val="18"/>
                <w:b w:val="1"/>
                <w:bCs w:val="1"/>
                <w:color w:val="auto"/>
              </w:rPr>
              <w:t>Term</w:t>
            </w:r>
          </w:p>
        </w:tc>
        <w:tc>
          <w:tcPr>
            <w:tcW w:w="4060" w:type="dxa"/>
            <w:vAlign w:val="bottom"/>
          </w:tcPr>
          <w:p>
            <w:pPr>
              <w:ind w:left="1720"/>
              <w:spacing w:after="0"/>
              <w:rPr>
                <w:sz w:val="20"/>
                <w:szCs w:val="20"/>
                <w:color w:val="auto"/>
              </w:rPr>
            </w:pPr>
            <w:r>
              <w:rPr>
                <w:rFonts w:ascii="Arial" w:cs="Arial" w:eastAsia="Arial" w:hAnsi="Arial"/>
                <w:sz w:val="18"/>
                <w:szCs w:val="18"/>
                <w:b w:val="1"/>
                <w:bCs w:val="1"/>
                <w:color w:val="auto"/>
              </w:rPr>
              <w:t>Definition</w:t>
            </w:r>
          </w:p>
        </w:tc>
      </w:tr>
      <w:tr>
        <w:trPr>
          <w:trHeight w:val="34"/>
        </w:trPr>
        <w:tc>
          <w:tcPr>
            <w:tcW w:w="460" w:type="dxa"/>
            <w:vAlign w:val="bottom"/>
            <w:tcBorders>
              <w:top w:val="single" w:sz="8" w:color="0090DA"/>
            </w:tcBorders>
          </w:tcPr>
          <w:p>
            <w:pPr>
              <w:spacing w:after="0"/>
              <w:rPr>
                <w:sz w:val="2"/>
                <w:szCs w:val="2"/>
                <w:color w:val="auto"/>
              </w:rPr>
            </w:pPr>
          </w:p>
        </w:tc>
        <w:tc>
          <w:tcPr>
            <w:tcW w:w="1200" w:type="dxa"/>
            <w:vAlign w:val="bottom"/>
            <w:tcBorders>
              <w:top w:val="single" w:sz="8" w:color="0090DA"/>
            </w:tcBorders>
          </w:tcPr>
          <w:p>
            <w:pPr>
              <w:spacing w:after="0"/>
              <w:rPr>
                <w:sz w:val="2"/>
                <w:szCs w:val="2"/>
                <w:color w:val="auto"/>
              </w:rPr>
            </w:pPr>
          </w:p>
        </w:tc>
        <w:tc>
          <w:tcPr>
            <w:tcW w:w="384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top w:val="single" w:sz="8" w:color="0090DA"/>
            </w:tcBorders>
          </w:tcPr>
          <w:p>
            <w:pPr>
              <w:spacing w:after="0"/>
              <w:rPr>
                <w:sz w:val="2"/>
                <w:szCs w:val="2"/>
                <w:color w:val="auto"/>
              </w:rPr>
            </w:pPr>
          </w:p>
        </w:tc>
        <w:tc>
          <w:tcPr>
            <w:tcW w:w="4060" w:type="dxa"/>
            <w:vAlign w:val="bottom"/>
            <w:tcBorders>
              <w:top w:val="single" w:sz="8" w:color="0090DA"/>
            </w:tcBorders>
          </w:tcPr>
          <w:p>
            <w:pPr>
              <w:spacing w:after="0"/>
              <w:rPr>
                <w:sz w:val="2"/>
                <w:szCs w:val="2"/>
                <w:color w:val="auto"/>
              </w:rPr>
            </w:pP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2023</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3960" w:type="dxa"/>
            <w:vAlign w:val="bottom"/>
            <w:gridSpan w:val="2"/>
            <w:shd w:val="clear" w:color="auto" w:fill="DBDBDB"/>
          </w:tcPr>
          <w:p>
            <w:pPr>
              <w:ind w:left="120"/>
              <w:spacing w:after="0"/>
              <w:rPr>
                <w:sz w:val="20"/>
                <w:szCs w:val="20"/>
                <w:color w:val="auto"/>
              </w:rPr>
            </w:pPr>
            <w:r>
              <w:rPr>
                <w:rFonts w:ascii="Arial" w:cs="Arial" w:eastAsia="Arial" w:hAnsi="Arial"/>
                <w:sz w:val="18"/>
                <w:szCs w:val="18"/>
                <w:color w:val="auto"/>
              </w:rPr>
              <w:t>2.497% Senior Notes due 2023</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Inotera</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Inotera Memories, Inc.</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2024</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4.640% Senior Notes due 2024</w:t>
            </w:r>
          </w:p>
        </w:tc>
        <w:tc>
          <w:tcPr>
            <w:tcW w:w="1560" w:type="dxa"/>
            <w:vAlign w:val="bottom"/>
          </w:tcPr>
          <w:p>
            <w:pPr>
              <w:spacing w:after="0"/>
              <w:rPr>
                <w:sz w:val="20"/>
                <w:szCs w:val="20"/>
                <w:color w:val="auto"/>
              </w:rPr>
            </w:pPr>
            <w:r>
              <w:rPr>
                <w:rFonts w:ascii="Arial" w:cs="Arial" w:eastAsia="Arial" w:hAnsi="Arial"/>
                <w:sz w:val="18"/>
                <w:szCs w:val="18"/>
                <w:color w:val="auto"/>
              </w:rPr>
              <w:t>Intel</w:t>
            </w:r>
          </w:p>
        </w:tc>
        <w:tc>
          <w:tcPr>
            <w:tcW w:w="4060" w:type="dxa"/>
            <w:vAlign w:val="bottom"/>
          </w:tcPr>
          <w:p>
            <w:pPr>
              <w:ind w:left="240"/>
              <w:spacing w:after="0"/>
              <w:rPr>
                <w:sz w:val="20"/>
                <w:szCs w:val="20"/>
                <w:color w:val="auto"/>
              </w:rPr>
            </w:pPr>
            <w:r>
              <w:rPr>
                <w:rFonts w:ascii="Arial" w:cs="Arial" w:eastAsia="Arial" w:hAnsi="Arial"/>
                <w:sz w:val="18"/>
                <w:szCs w:val="18"/>
                <w:color w:val="auto"/>
              </w:rPr>
              <w:t>Intel Corporation</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2"/>
            <w:shd w:val="clear" w:color="auto" w:fill="DBDBDB"/>
          </w:tcPr>
          <w:p>
            <w:pPr>
              <w:ind w:left="120"/>
              <w:spacing w:after="0"/>
              <w:rPr>
                <w:sz w:val="20"/>
                <w:szCs w:val="20"/>
                <w:color w:val="auto"/>
              </w:rPr>
            </w:pPr>
            <w:r>
              <w:rPr>
                <w:rFonts w:ascii="Arial" w:cs="Arial" w:eastAsia="Arial" w:hAnsi="Arial"/>
                <w:sz w:val="18"/>
                <w:szCs w:val="18"/>
                <w:color w:val="auto"/>
              </w:rPr>
              <w:t>Senior Term Loan A due 2024</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LIBOR</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2026 Notes</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4.975% Senior Notes due 2026</w:t>
            </w:r>
          </w:p>
        </w:tc>
        <w:tc>
          <w:tcPr>
            <w:tcW w:w="1560" w:type="dxa"/>
            <w:vAlign w:val="bottom"/>
          </w:tcPr>
          <w:p>
            <w:pPr>
              <w:spacing w:after="0"/>
              <w:rPr>
                <w:sz w:val="20"/>
                <w:szCs w:val="20"/>
                <w:color w:val="auto"/>
              </w:rPr>
            </w:pPr>
            <w:r>
              <w:rPr>
                <w:rFonts w:ascii="Arial" w:cs="Arial" w:eastAsia="Arial" w:hAnsi="Arial"/>
                <w:sz w:val="18"/>
                <w:szCs w:val="18"/>
                <w:color w:val="auto"/>
              </w:rPr>
              <w:t>LPDRAM</w:t>
            </w:r>
          </w:p>
        </w:tc>
        <w:tc>
          <w:tcPr>
            <w:tcW w:w="4060" w:type="dxa"/>
            <w:vAlign w:val="bottom"/>
          </w:tcPr>
          <w:p>
            <w:pPr>
              <w:ind w:left="240"/>
              <w:spacing w:after="0"/>
              <w:rPr>
                <w:sz w:val="20"/>
                <w:szCs w:val="20"/>
                <w:color w:val="auto"/>
              </w:rPr>
            </w:pPr>
            <w:r>
              <w:rPr>
                <w:rFonts w:ascii="Arial" w:cs="Arial" w:eastAsia="Arial" w:hAnsi="Arial"/>
                <w:sz w:val="18"/>
                <w:szCs w:val="18"/>
                <w:color w:val="auto"/>
              </w:rPr>
              <w:t>Low-Power DRAM</w:t>
            </w:r>
          </w:p>
        </w:tc>
      </w:tr>
      <w:tr>
        <w:trPr>
          <w:trHeight w:val="188"/>
        </w:trPr>
        <w:tc>
          <w:tcPr>
            <w:tcW w:w="46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2027</w:t>
            </w:r>
          </w:p>
        </w:tc>
        <w:tc>
          <w:tcPr>
            <w:tcW w:w="120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Notes</w:t>
            </w:r>
          </w:p>
        </w:tc>
        <w:tc>
          <w:tcPr>
            <w:tcW w:w="3960" w:type="dxa"/>
            <w:vAlign w:val="bottom"/>
            <w:gridSpan w:val="2"/>
            <w:shd w:val="clear" w:color="auto" w:fill="DBDBDB"/>
          </w:tcPr>
          <w:p>
            <w:pPr>
              <w:ind w:left="120"/>
              <w:spacing w:after="0" w:line="189" w:lineRule="exact"/>
              <w:rPr>
                <w:sz w:val="20"/>
                <w:szCs w:val="20"/>
                <w:color w:val="auto"/>
              </w:rPr>
            </w:pPr>
            <w:r>
              <w:rPr>
                <w:rFonts w:ascii="Arial" w:cs="Arial" w:eastAsia="Arial" w:hAnsi="Arial"/>
                <w:sz w:val="18"/>
                <w:szCs w:val="18"/>
                <w:color w:val="auto"/>
              </w:rPr>
              <w:t>4.185% Senior Notes due 2027</w:t>
            </w:r>
          </w:p>
        </w:tc>
        <w:tc>
          <w:tcPr>
            <w:tcW w:w="1560" w:type="dxa"/>
            <w:vAlign w:val="bottom"/>
            <w:shd w:val="clear" w:color="auto" w:fill="DBDBDB"/>
          </w:tcPr>
          <w:p>
            <w:pPr>
              <w:spacing w:after="0" w:line="189" w:lineRule="exact"/>
              <w:rPr>
                <w:sz w:val="20"/>
                <w:szCs w:val="20"/>
                <w:color w:val="auto"/>
              </w:rPr>
            </w:pPr>
            <w:r>
              <w:rPr>
                <w:rFonts w:ascii="Arial" w:cs="Arial" w:eastAsia="Arial" w:hAnsi="Arial"/>
                <w:sz w:val="18"/>
                <w:szCs w:val="18"/>
                <w:color w:val="auto"/>
              </w:rPr>
              <w:t>MCP</w:t>
            </w:r>
          </w:p>
        </w:tc>
        <w:tc>
          <w:tcPr>
            <w:tcW w:w="4060" w:type="dxa"/>
            <w:vAlign w:val="bottom"/>
            <w:shd w:val="clear" w:color="auto" w:fill="DBDBDB"/>
          </w:tcPr>
          <w:p>
            <w:pPr>
              <w:ind w:left="240"/>
              <w:spacing w:after="0" w:line="189" w:lineRule="exact"/>
              <w:rPr>
                <w:sz w:val="20"/>
                <w:szCs w:val="20"/>
                <w:color w:val="auto"/>
              </w:rPr>
            </w:pPr>
            <w:r>
              <w:rPr>
                <w:rFonts w:ascii="Arial" w:cs="Arial" w:eastAsia="Arial" w:hAnsi="Arial"/>
                <w:sz w:val="18"/>
                <w:szCs w:val="18"/>
                <w:color w:val="auto"/>
              </w:rPr>
              <w:t>Multichip packaged solutions with managed</w:t>
            </w:r>
          </w:p>
        </w:tc>
      </w:tr>
      <w:tr>
        <w:trPr>
          <w:trHeight w:val="217"/>
        </w:trPr>
        <w:tc>
          <w:tcPr>
            <w:tcW w:w="4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38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NAND and LPDRAM</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2029</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5.327% Senior Notes due 2029</w:t>
            </w:r>
          </w:p>
        </w:tc>
        <w:tc>
          <w:tcPr>
            <w:tcW w:w="1560" w:type="dxa"/>
            <w:vAlign w:val="bottom"/>
          </w:tcPr>
          <w:p>
            <w:pPr>
              <w:spacing w:after="0"/>
              <w:rPr>
                <w:sz w:val="20"/>
                <w:szCs w:val="20"/>
                <w:color w:val="auto"/>
              </w:rPr>
            </w:pPr>
            <w:r>
              <w:rPr>
                <w:rFonts w:ascii="Arial" w:cs="Arial" w:eastAsia="Arial" w:hAnsi="Arial"/>
                <w:sz w:val="18"/>
                <w:szCs w:val="18"/>
                <w:color w:val="auto"/>
              </w:rPr>
              <w:t>Micron</w:t>
            </w:r>
          </w:p>
        </w:tc>
        <w:tc>
          <w:tcPr>
            <w:tcW w:w="4060" w:type="dxa"/>
            <w:vAlign w:val="bottom"/>
          </w:tcPr>
          <w:p>
            <w:pPr>
              <w:ind w:left="240"/>
              <w:spacing w:after="0"/>
              <w:rPr>
                <w:sz w:val="20"/>
                <w:szCs w:val="20"/>
                <w:color w:val="auto"/>
              </w:rPr>
            </w:pPr>
            <w:r>
              <w:rPr>
                <w:rFonts w:ascii="Arial" w:cs="Arial" w:eastAsia="Arial" w:hAnsi="Arial"/>
                <w:sz w:val="18"/>
                <w:szCs w:val="18"/>
                <w:color w:val="auto"/>
              </w:rPr>
              <w:t>Micron Technology, Inc. (Parent Company)</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2030</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3960" w:type="dxa"/>
            <w:vAlign w:val="bottom"/>
            <w:gridSpan w:val="2"/>
            <w:shd w:val="clear" w:color="auto" w:fill="DBDBDB"/>
          </w:tcPr>
          <w:p>
            <w:pPr>
              <w:ind w:left="120"/>
              <w:spacing w:after="0"/>
              <w:rPr>
                <w:sz w:val="20"/>
                <w:szCs w:val="20"/>
                <w:color w:val="auto"/>
              </w:rPr>
            </w:pPr>
            <w:r>
              <w:rPr>
                <w:rFonts w:ascii="Arial" w:cs="Arial" w:eastAsia="Arial" w:hAnsi="Arial"/>
                <w:sz w:val="18"/>
                <w:szCs w:val="18"/>
                <w:color w:val="auto"/>
              </w:rPr>
              <w:t>4.663% Senior Notes due 2030</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MTU</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Micron Technology Utah, LLC</w:t>
            </w: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2032 Green Bonds</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2.703% Senior Notes due 2032</w:t>
            </w:r>
          </w:p>
        </w:tc>
        <w:tc>
          <w:tcPr>
            <w:tcW w:w="1560" w:type="dxa"/>
            <w:vAlign w:val="bottom"/>
          </w:tcPr>
          <w:p>
            <w:pPr>
              <w:spacing w:after="0"/>
              <w:rPr>
                <w:sz w:val="20"/>
                <w:szCs w:val="20"/>
                <w:color w:val="auto"/>
              </w:rPr>
            </w:pPr>
            <w:r>
              <w:rPr>
                <w:rFonts w:ascii="Arial" w:cs="Arial" w:eastAsia="Arial" w:hAnsi="Arial"/>
                <w:sz w:val="18"/>
                <w:szCs w:val="18"/>
                <w:color w:val="auto"/>
              </w:rPr>
              <w:t>Qimonda</w:t>
            </w:r>
          </w:p>
        </w:tc>
        <w:tc>
          <w:tcPr>
            <w:tcW w:w="4060" w:type="dxa"/>
            <w:vAlign w:val="bottom"/>
          </w:tcPr>
          <w:p>
            <w:pPr>
              <w:ind w:left="240"/>
              <w:spacing w:after="0"/>
              <w:rPr>
                <w:sz w:val="20"/>
                <w:szCs w:val="20"/>
                <w:color w:val="auto"/>
              </w:rPr>
            </w:pPr>
            <w:r>
              <w:rPr>
                <w:rFonts w:ascii="Arial" w:cs="Arial" w:eastAsia="Arial" w:hAnsi="Arial"/>
                <w:sz w:val="18"/>
                <w:szCs w:val="18"/>
                <w:color w:val="auto"/>
              </w:rPr>
              <w:t>Qimonda AG</w:t>
            </w:r>
          </w:p>
        </w:tc>
      </w:tr>
      <w:tr>
        <w:trPr>
          <w:trHeight w:val="188"/>
        </w:trPr>
        <w:tc>
          <w:tcPr>
            <w:tcW w:w="46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2041</w:t>
            </w:r>
          </w:p>
        </w:tc>
        <w:tc>
          <w:tcPr>
            <w:tcW w:w="120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Notes</w:t>
            </w:r>
          </w:p>
        </w:tc>
        <w:tc>
          <w:tcPr>
            <w:tcW w:w="3960" w:type="dxa"/>
            <w:vAlign w:val="bottom"/>
            <w:gridSpan w:val="2"/>
            <w:shd w:val="clear" w:color="auto" w:fill="DBDBDB"/>
          </w:tcPr>
          <w:p>
            <w:pPr>
              <w:ind w:left="120"/>
              <w:spacing w:after="0" w:line="189" w:lineRule="exact"/>
              <w:rPr>
                <w:sz w:val="20"/>
                <w:szCs w:val="20"/>
                <w:color w:val="auto"/>
              </w:rPr>
            </w:pPr>
            <w:r>
              <w:rPr>
                <w:rFonts w:ascii="Arial" w:cs="Arial" w:eastAsia="Arial" w:hAnsi="Arial"/>
                <w:sz w:val="18"/>
                <w:szCs w:val="18"/>
                <w:color w:val="auto"/>
              </w:rPr>
              <w:t>3.366% Senior Notes due 2041</w:t>
            </w:r>
          </w:p>
        </w:tc>
        <w:tc>
          <w:tcPr>
            <w:tcW w:w="1560" w:type="dxa"/>
            <w:vAlign w:val="bottom"/>
            <w:shd w:val="clear" w:color="auto" w:fill="DBDBDB"/>
          </w:tcPr>
          <w:p>
            <w:pPr>
              <w:spacing w:after="0" w:line="189" w:lineRule="exact"/>
              <w:rPr>
                <w:sz w:val="20"/>
                <w:szCs w:val="20"/>
                <w:color w:val="auto"/>
              </w:rPr>
            </w:pPr>
            <w:r>
              <w:rPr>
                <w:rFonts w:ascii="Arial" w:cs="Arial" w:eastAsia="Arial" w:hAnsi="Arial"/>
                <w:sz w:val="18"/>
                <w:szCs w:val="18"/>
                <w:color w:val="auto"/>
              </w:rPr>
              <w:t>Revolving Credit</w:t>
            </w:r>
          </w:p>
        </w:tc>
        <w:tc>
          <w:tcPr>
            <w:tcW w:w="4060" w:type="dxa"/>
            <w:vAlign w:val="bottom"/>
            <w:shd w:val="clear" w:color="auto" w:fill="DBDBDB"/>
          </w:tcPr>
          <w:p>
            <w:pPr>
              <w:ind w:left="240"/>
              <w:spacing w:after="0" w:line="189" w:lineRule="exact"/>
              <w:rPr>
                <w:sz w:val="20"/>
                <w:szCs w:val="20"/>
                <w:color w:val="auto"/>
              </w:rPr>
            </w:pPr>
            <w:r>
              <w:rPr>
                <w:rFonts w:ascii="Arial" w:cs="Arial" w:eastAsia="Arial" w:hAnsi="Arial"/>
                <w:sz w:val="18"/>
                <w:szCs w:val="18"/>
                <w:color w:val="auto"/>
              </w:rPr>
              <w:t>$2.5 billion Revolving Credit Facility due May</w:t>
            </w:r>
          </w:p>
        </w:tc>
      </w:tr>
      <w:tr>
        <w:trPr>
          <w:trHeight w:val="217"/>
        </w:trPr>
        <w:tc>
          <w:tcPr>
            <w:tcW w:w="4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38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Facility</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2026</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2051</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3.477% Senior Notes due 2051</w:t>
            </w:r>
          </w:p>
        </w:tc>
        <w:tc>
          <w:tcPr>
            <w:tcW w:w="1560" w:type="dxa"/>
            <w:vAlign w:val="bottom"/>
          </w:tcPr>
          <w:p>
            <w:pPr>
              <w:spacing w:after="0"/>
              <w:rPr>
                <w:sz w:val="20"/>
                <w:szCs w:val="20"/>
                <w:color w:val="auto"/>
              </w:rPr>
            </w:pPr>
            <w:r>
              <w:rPr>
                <w:rFonts w:ascii="Arial" w:cs="Arial" w:eastAsia="Arial" w:hAnsi="Arial"/>
                <w:sz w:val="18"/>
                <w:szCs w:val="18"/>
                <w:color w:val="auto"/>
              </w:rPr>
              <w:t>SOFR</w:t>
            </w:r>
          </w:p>
        </w:tc>
        <w:tc>
          <w:tcPr>
            <w:tcW w:w="4060" w:type="dxa"/>
            <w:vAlign w:val="bottom"/>
          </w:tcPr>
          <w:p>
            <w:pPr>
              <w:ind w:left="240"/>
              <w:spacing w:after="0"/>
              <w:rPr>
                <w:sz w:val="20"/>
                <w:szCs w:val="20"/>
                <w:color w:val="auto"/>
              </w:rPr>
            </w:pPr>
            <w:r>
              <w:rPr>
                <w:rFonts w:ascii="Arial" w:cs="Arial" w:eastAsia="Arial" w:hAnsi="Arial"/>
                <w:sz w:val="18"/>
                <w:szCs w:val="18"/>
                <w:color w:val="auto"/>
              </w:rPr>
              <w:t>Secured Overnight Financing Rate</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DDR</w:t>
            </w:r>
          </w:p>
        </w:tc>
        <w:tc>
          <w:tcPr>
            <w:tcW w:w="1200" w:type="dxa"/>
            <w:vAlign w:val="bottom"/>
            <w:shd w:val="clear" w:color="auto" w:fill="DBDBDB"/>
          </w:tcPr>
          <w:p>
            <w:pPr>
              <w:spacing w:after="0"/>
              <w:rPr>
                <w:sz w:val="19"/>
                <w:szCs w:val="19"/>
                <w:color w:val="auto"/>
              </w:rPr>
            </w:pPr>
          </w:p>
        </w:tc>
        <w:tc>
          <w:tcPr>
            <w:tcW w:w="3960" w:type="dxa"/>
            <w:vAlign w:val="bottom"/>
            <w:gridSpan w:val="2"/>
            <w:shd w:val="clear" w:color="auto" w:fill="DBDBDB"/>
          </w:tcPr>
          <w:p>
            <w:pPr>
              <w:ind w:left="120"/>
              <w:spacing w:after="0"/>
              <w:rPr>
                <w:sz w:val="20"/>
                <w:szCs w:val="20"/>
                <w:color w:val="auto"/>
              </w:rPr>
            </w:pPr>
            <w:r>
              <w:rPr>
                <w:rFonts w:ascii="Arial" w:cs="Arial" w:eastAsia="Arial" w:hAnsi="Arial"/>
                <w:sz w:val="18"/>
                <w:szCs w:val="18"/>
                <w:color w:val="auto"/>
              </w:rPr>
              <w:t>Double Data Rate DRAM</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SSD</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Solid State Drive</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EUV</w:t>
            </w:r>
          </w:p>
        </w:tc>
        <w:tc>
          <w:tcPr>
            <w:tcW w:w="1200" w:type="dxa"/>
            <w:vAlign w:val="bottom"/>
          </w:tcPr>
          <w:p>
            <w:pPr>
              <w:spacing w:after="0"/>
              <w:rPr>
                <w:sz w:val="19"/>
                <w:szCs w:val="19"/>
                <w:color w:val="auto"/>
              </w:rPr>
            </w:pP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Extreme ultraviolet lithography</w:t>
            </w:r>
          </w:p>
        </w:tc>
        <w:tc>
          <w:tcPr>
            <w:tcW w:w="1560" w:type="dxa"/>
            <w:vAlign w:val="bottom"/>
          </w:tcPr>
          <w:p>
            <w:pPr>
              <w:spacing w:after="0"/>
              <w:rPr>
                <w:sz w:val="20"/>
                <w:szCs w:val="20"/>
                <w:color w:val="auto"/>
              </w:rPr>
            </w:pPr>
            <w:r>
              <w:rPr>
                <w:rFonts w:ascii="Arial" w:cs="Arial" w:eastAsia="Arial" w:hAnsi="Arial"/>
                <w:sz w:val="18"/>
                <w:szCs w:val="18"/>
                <w:color w:val="auto"/>
              </w:rPr>
              <w:t>TI</w:t>
            </w:r>
          </w:p>
        </w:tc>
        <w:tc>
          <w:tcPr>
            <w:tcW w:w="4060" w:type="dxa"/>
            <w:vAlign w:val="bottom"/>
          </w:tcPr>
          <w:p>
            <w:pPr>
              <w:ind w:left="240"/>
              <w:spacing w:after="0"/>
              <w:rPr>
                <w:sz w:val="20"/>
                <w:szCs w:val="20"/>
                <w:color w:val="auto"/>
              </w:rPr>
            </w:pPr>
            <w:r>
              <w:rPr>
                <w:rFonts w:ascii="Arial" w:cs="Arial" w:eastAsia="Arial" w:hAnsi="Arial"/>
                <w:sz w:val="18"/>
                <w:szCs w:val="18"/>
                <w:color w:val="auto"/>
              </w:rPr>
              <w:t>Texas Instruments Incorporated</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w w:val="99"/>
              </w:rPr>
              <w:t>IMFT</w:t>
            </w:r>
          </w:p>
        </w:tc>
        <w:tc>
          <w:tcPr>
            <w:tcW w:w="1200" w:type="dxa"/>
            <w:vAlign w:val="bottom"/>
            <w:shd w:val="clear" w:color="auto" w:fill="DBDBDB"/>
          </w:tcPr>
          <w:p>
            <w:pPr>
              <w:spacing w:after="0"/>
              <w:rPr>
                <w:sz w:val="19"/>
                <w:szCs w:val="19"/>
                <w:color w:val="auto"/>
              </w:rPr>
            </w:pPr>
          </w:p>
        </w:tc>
        <w:tc>
          <w:tcPr>
            <w:tcW w:w="3960" w:type="dxa"/>
            <w:vAlign w:val="bottom"/>
            <w:gridSpan w:val="2"/>
            <w:shd w:val="clear" w:color="auto" w:fill="DBDBDB"/>
          </w:tcPr>
          <w:p>
            <w:pPr>
              <w:ind w:left="120"/>
              <w:spacing w:after="0"/>
              <w:rPr>
                <w:sz w:val="20"/>
                <w:szCs w:val="20"/>
                <w:color w:val="auto"/>
              </w:rPr>
            </w:pPr>
            <w:r>
              <w:rPr>
                <w:rFonts w:ascii="Arial" w:cs="Arial" w:eastAsia="Arial" w:hAnsi="Arial"/>
                <w:sz w:val="18"/>
                <w:szCs w:val="18"/>
                <w:color w:val="auto"/>
              </w:rPr>
              <w:t>IM Flash Technologies, LLC</w:t>
            </w:r>
          </w:p>
        </w:tc>
        <w:tc>
          <w:tcPr>
            <w:tcW w:w="1560" w:type="dxa"/>
            <w:vAlign w:val="bottom"/>
            <w:shd w:val="clear" w:color="auto" w:fill="DBDBDB"/>
          </w:tcPr>
          <w:p>
            <w:pPr>
              <w:spacing w:after="0"/>
              <w:rPr>
                <w:sz w:val="19"/>
                <w:szCs w:val="19"/>
                <w:color w:val="auto"/>
              </w:rPr>
            </w:pPr>
          </w:p>
        </w:tc>
        <w:tc>
          <w:tcPr>
            <w:tcW w:w="4060" w:type="dxa"/>
            <w:vAlign w:val="bottom"/>
            <w:shd w:val="clear" w:color="auto" w:fill="DBDBDB"/>
          </w:tcPr>
          <w:p>
            <w:pPr>
              <w:spacing w:after="0"/>
              <w:rPr>
                <w:sz w:val="19"/>
                <w:szCs w:val="19"/>
                <w:color w:val="auto"/>
              </w:rPr>
            </w:pPr>
          </w:p>
        </w:tc>
      </w:tr>
    </w:tbl>
    <w:p>
      <w:pPr>
        <w:spacing w:after="0" w:line="200" w:lineRule="exact"/>
        <w:rPr>
          <w:sz w:val="20"/>
          <w:szCs w:val="20"/>
          <w:color w:val="auto"/>
        </w:rPr>
      </w:pPr>
    </w:p>
    <w:p>
      <w:pPr>
        <w:spacing w:after="0" w:line="24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Micron Technology, Inc., including its consolidated subsidiaries, is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3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Micron, Crucial, any associated logos, and all other Micron trademarks are the property of Micron. Intel and 3D XPoint are trademarks of Intel Corporation or its subsidiaries. Other product names or trademarks that are not owned by Micron are for identification purposes only and may be the trademarks of their respective owners.</w:t>
      </w:r>
    </w:p>
    <w:p>
      <w:pPr>
        <w:spacing w:after="0" w:line="19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285"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(the “SEC”), press releases, public conference calls,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Such forward-looking statements may be identified by words such as "anticipate," "expect," "intend," "pledge," "committed," "plans,"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the impact of coronavirus disease 2019, including variant strains (“COVID-19”) to our business, including in Xi’an China; the sufficiency of our cash and investments; the payment of future cash dividends; capital spending in 2022; and funding of sustainability-focused projects.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803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0"/>
          <w:szCs w:val="10"/>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FINANCIAL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2,</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7,687</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3,565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56"/>
        </w:trPr>
        <w:tc>
          <w:tcPr>
            <w:tcW w:w="83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56"/>
        </w:trPr>
        <w:tc>
          <w:tcPr>
            <w:tcW w:w="83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2,</w:t>
            </w:r>
          </w:p>
        </w:tc>
        <w:tc>
          <w:tcPr>
            <w:tcW w:w="160" w:type="dxa"/>
            <w:vAlign w:val="bottom"/>
          </w:tcPr>
          <w:p>
            <w:pPr>
              <w:spacing w:after="0"/>
              <w:rPr>
                <w:sz w:val="17"/>
                <w:szCs w:val="17"/>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2,306</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Gains (losses) on investments</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2,213</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21" w:right="339" w:bottom="993" w:gutter="0" w:footer="0" w:header="0"/>
        </w:sectPr>
      </w:pPr>
    </w:p>
    <w:p>
      <w:pPr>
        <w:spacing w:after="0" w:line="200" w:lineRule="exact"/>
        <w:rPr>
          <w:sz w:val="20"/>
          <w:szCs w:val="20"/>
          <w:color w:val="auto"/>
        </w:rPr>
      </w:pPr>
    </w:p>
    <w:p>
      <w:pPr>
        <w:spacing w:after="0" w:line="246"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79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0"/>
          <w:szCs w:val="10"/>
          <w:b w:val="1"/>
          <w:b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993"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gridSpan w:val="3"/>
          </w:tcPr>
          <w:p>
            <w:pPr>
              <w:jc w:val="right"/>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107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Balance Sheets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 except par value amounts)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December 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0090DA"/>
            </w:tcBorders>
          </w:tcPr>
          <w:p>
            <w:pPr>
              <w:spacing w:after="0"/>
              <w:rPr>
                <w:sz w:val="19"/>
                <w:szCs w:val="19"/>
                <w:color w:val="auto"/>
              </w:rPr>
            </w:pPr>
          </w:p>
        </w:tc>
        <w:tc>
          <w:tcPr>
            <w:tcW w:w="6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8,680</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5,250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4,827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521</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20,191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marketable investments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1,817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35,155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33,213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746</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1,188</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3"/>
        </w:trPr>
        <w:tc>
          <w:tcPr>
            <w:tcW w:w="836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61,246</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5,470</w:t>
            </w:r>
          </w:p>
        </w:tc>
        <w:tc>
          <w:tcPr>
            <w:tcW w:w="1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924</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6,512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6,904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15,338</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shareholders’ equity</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360" w:type="dxa"/>
            <w:vAlign w:val="bottom"/>
          </w:tcPr>
          <w:p>
            <w:pPr>
              <w:ind w:left="20"/>
              <w:spacing w:after="0" w:line="189" w:lineRule="exact"/>
              <w:rPr>
                <w:sz w:val="20"/>
                <w:szCs w:val="20"/>
                <w:color w:val="auto"/>
              </w:rPr>
            </w:pPr>
            <w:r>
              <w:rPr>
                <w:rFonts w:ascii="Arial" w:cs="Arial" w:eastAsia="Arial" w:hAnsi="Arial"/>
                <w:sz w:val="18"/>
                <w:szCs w:val="18"/>
                <w:color w:val="auto"/>
              </w:rPr>
              <w:t>Common stock, $0.10 par value, 3,000 shares authorized, 1,220 shares issued and 1,120 outstanding</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60" w:type="dxa"/>
            <w:vAlign w:val="bottom"/>
          </w:tcPr>
          <w:p>
            <w:pPr>
              <w:ind w:left="20"/>
              <w:spacing w:after="0"/>
              <w:rPr>
                <w:sz w:val="20"/>
                <w:szCs w:val="20"/>
                <w:color w:val="auto"/>
              </w:rPr>
            </w:pPr>
            <w:r>
              <w:rPr>
                <w:rFonts w:ascii="Arial" w:cs="Arial" w:eastAsia="Arial" w:hAnsi="Arial"/>
                <w:sz w:val="18"/>
                <w:szCs w:val="18"/>
                <w:color w:val="auto"/>
              </w:rPr>
              <w:t>(1,216 shares issued and 1,119 outstanding as of September 2, 2021)</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Additional capital</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9,564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41,267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39,051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Treasury stock, 100 shares held (97 shares as of September 2, 2021)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(4,954)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45,908</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43,933</w:t>
            </w:r>
          </w:p>
        </w:tc>
        <w:tc>
          <w:tcPr>
            <w:tcW w:w="0" w:type="dxa"/>
            <w:vAlign w:val="bottom"/>
          </w:tcPr>
          <w:p>
            <w:pPr>
              <w:spacing w:after="0"/>
              <w:rPr>
                <w:sz w:val="1"/>
                <w:szCs w:val="1"/>
                <w:color w:val="auto"/>
              </w:rPr>
            </w:pPr>
          </w:p>
        </w:tc>
      </w:tr>
      <w:tr>
        <w:trPr>
          <w:trHeight w:val="223"/>
        </w:trPr>
        <w:tc>
          <w:tcPr>
            <w:tcW w:w="8360" w:type="dxa"/>
            <w:vAlign w:val="bottom"/>
          </w:tcPr>
          <w:p>
            <w:pPr>
              <w:ind w:left="48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61,246</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1760" w:type="dxa"/>
            <w:vAlign w:val="bottom"/>
            <w:tcBorders>
              <w:bottom w:val="single" w:sz="8" w:color="0090DA"/>
            </w:tcBorders>
            <w:gridSpan w:val="3"/>
          </w:tcPr>
          <w:p>
            <w:pPr>
              <w:jc w:val="right"/>
              <w:ind w:right="191"/>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vMerge w:val="restart"/>
          </w:tcPr>
          <w:p>
            <w:pPr>
              <w:jc w:val="center"/>
              <w:ind w:right="17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line="20" w:lineRule="exact"/>
              <w:rPr>
                <w:sz w:val="1"/>
                <w:szCs w:val="1"/>
                <w:color w:val="auto"/>
              </w:rPr>
            </w:pPr>
          </w:p>
        </w:tc>
      </w:tr>
      <w:tr>
        <w:trPr>
          <w:trHeight w:val="162"/>
        </w:trPr>
        <w:tc>
          <w:tcPr>
            <w:tcW w:w="424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Additional</w:t>
            </w:r>
          </w:p>
        </w:tc>
        <w:tc>
          <w:tcPr>
            <w:tcW w:w="900" w:type="dxa"/>
            <w:vAlign w:val="bottom"/>
            <w:gridSpan w:val="2"/>
            <w:vMerge w:val="restart"/>
          </w:tcPr>
          <w:p>
            <w:pPr>
              <w:jc w:val="right"/>
              <w:ind w:right="10"/>
              <w:spacing w:after="0"/>
              <w:rPr>
                <w:sz w:val="20"/>
                <w:szCs w:val="20"/>
                <w:color w:val="auto"/>
              </w:rPr>
            </w:pPr>
            <w:r>
              <w:rPr>
                <w:rFonts w:ascii="Arial" w:cs="Arial" w:eastAsia="Arial" w:hAnsi="Arial"/>
                <w:sz w:val="16"/>
                <w:szCs w:val="16"/>
                <w:b w:val="1"/>
                <w:bCs w:val="1"/>
                <w:color w:val="auto"/>
              </w:rPr>
              <w:t>Retained</w:t>
            </w:r>
          </w:p>
        </w:tc>
        <w:tc>
          <w:tcPr>
            <w:tcW w:w="9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7"/>
              </w:rPr>
              <w:t>Treasury</w:t>
            </w:r>
          </w:p>
        </w:tc>
        <w:tc>
          <w:tcPr>
            <w:tcW w:w="120" w:type="dxa"/>
            <w:vAlign w:val="bottom"/>
          </w:tcPr>
          <w:p>
            <w:pPr>
              <w:spacing w:after="0"/>
              <w:rPr>
                <w:sz w:val="14"/>
                <w:szCs w:val="14"/>
                <w:color w:val="auto"/>
              </w:rPr>
            </w:pPr>
          </w:p>
        </w:tc>
        <w:tc>
          <w:tcPr>
            <w:tcW w:w="1160" w:type="dxa"/>
            <w:vAlign w:val="bottom"/>
          </w:tcPr>
          <w:p>
            <w:pPr>
              <w:jc w:val="center"/>
              <w:ind w:right="32"/>
              <w:spacing w:after="0" w:line="162" w:lineRule="exact"/>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6"/>
                <w:szCs w:val="16"/>
                <w:b w:val="1"/>
                <w:bCs w:val="1"/>
                <w:color w:val="auto"/>
                <w:w w:val="99"/>
              </w:rPr>
              <w:t>Amount</w:t>
            </w:r>
          </w:p>
        </w:tc>
        <w:tc>
          <w:tcPr>
            <w:tcW w:w="8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8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Comprehensive</w:t>
            </w:r>
          </w:p>
        </w:tc>
        <w:tc>
          <w:tcPr>
            <w:tcW w:w="12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5"/>
        </w:trPr>
        <w:tc>
          <w:tcPr>
            <w:tcW w:w="4240" w:type="dxa"/>
            <w:vAlign w:val="bottom"/>
            <w:tcBorders>
              <w:bottom w:val="single" w:sz="8" w:color="0090DA"/>
            </w:tcBorders>
          </w:tcPr>
          <w:p>
            <w:pPr>
              <w:spacing w:after="0"/>
              <w:rPr>
                <w:sz w:val="18"/>
                <w:szCs w:val="18"/>
                <w:color w:val="auto"/>
              </w:rPr>
            </w:pPr>
          </w:p>
        </w:tc>
        <w:tc>
          <w:tcPr>
            <w:tcW w:w="88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20" w:type="dxa"/>
            <w:vAlign w:val="bottom"/>
            <w:tcBorders>
              <w:bottom w:val="single" w:sz="8" w:color="0090DA"/>
            </w:tcBorders>
          </w:tcPr>
          <w:p>
            <w:pPr>
              <w:spacing w:after="0"/>
              <w:rPr>
                <w:sz w:val="18"/>
                <w:szCs w:val="18"/>
                <w:color w:val="auto"/>
              </w:rPr>
            </w:pPr>
          </w:p>
        </w:tc>
        <w:tc>
          <w:tcPr>
            <w:tcW w:w="760" w:type="dxa"/>
            <w:vAlign w:val="bottom"/>
            <w:tcBorders>
              <w:bottom w:val="single" w:sz="8" w:color="0090DA"/>
            </w:tcBorders>
            <w:vMerge w:val="continue"/>
          </w:tcPr>
          <w:p>
            <w:pPr>
              <w:spacing w:after="0"/>
              <w:rPr>
                <w:sz w:val="18"/>
                <w:szCs w:val="18"/>
                <w:color w:val="auto"/>
              </w:rPr>
            </w:pPr>
          </w:p>
        </w:tc>
        <w:tc>
          <w:tcPr>
            <w:tcW w:w="140" w:type="dxa"/>
            <w:vAlign w:val="bottom"/>
            <w:tcBorders>
              <w:bottom w:val="single" w:sz="8" w:color="0090DA"/>
            </w:tcBorders>
          </w:tcPr>
          <w:p>
            <w:pPr>
              <w:spacing w:after="0"/>
              <w:rPr>
                <w:sz w:val="18"/>
                <w:szCs w:val="18"/>
                <w:color w:val="auto"/>
              </w:rPr>
            </w:pPr>
          </w:p>
        </w:tc>
        <w:tc>
          <w:tcPr>
            <w:tcW w:w="740" w:type="dxa"/>
            <w:vAlign w:val="bottom"/>
            <w:tcBorders>
              <w:bottom w:val="single" w:sz="8" w:color="0090DA"/>
            </w:tcBorders>
          </w:tcPr>
          <w:p>
            <w:pPr>
              <w:jc w:val="center"/>
              <w:ind w:right="31"/>
              <w:spacing w:after="0"/>
              <w:rPr>
                <w:sz w:val="20"/>
                <w:szCs w:val="20"/>
                <w:color w:val="auto"/>
              </w:rPr>
            </w:pPr>
            <w:r>
              <w:rPr>
                <w:rFonts w:ascii="Arial" w:cs="Arial" w:eastAsia="Arial" w:hAnsi="Arial"/>
                <w:sz w:val="16"/>
                <w:szCs w:val="16"/>
                <w:b w:val="1"/>
                <w:bCs w:val="1"/>
                <w:color w:val="auto"/>
              </w:rPr>
              <w:t>Capital</w:t>
            </w:r>
          </w:p>
        </w:tc>
        <w:tc>
          <w:tcPr>
            <w:tcW w:w="900" w:type="dxa"/>
            <w:vAlign w:val="bottom"/>
            <w:tcBorders>
              <w:bottom w:val="single" w:sz="8" w:color="0090DA"/>
            </w:tcBorders>
            <w:gridSpan w:val="2"/>
          </w:tcPr>
          <w:p>
            <w:pPr>
              <w:jc w:val="right"/>
              <w:ind w:right="10"/>
              <w:spacing w:after="0"/>
              <w:rPr>
                <w:sz w:val="20"/>
                <w:szCs w:val="20"/>
                <w:color w:val="auto"/>
              </w:rPr>
            </w:pPr>
            <w:r>
              <w:rPr>
                <w:rFonts w:ascii="Arial" w:cs="Arial" w:eastAsia="Arial" w:hAnsi="Arial"/>
                <w:sz w:val="16"/>
                <w:szCs w:val="16"/>
                <w:b w:val="1"/>
                <w:bCs w:val="1"/>
                <w:color w:val="auto"/>
              </w:rPr>
              <w:t>Earnings</w:t>
            </w:r>
          </w:p>
        </w:tc>
        <w:tc>
          <w:tcPr>
            <w:tcW w:w="180" w:type="dxa"/>
            <w:vAlign w:val="bottom"/>
            <w:tcBorders>
              <w:bottom w:val="single" w:sz="8" w:color="0090DA"/>
            </w:tcBorders>
          </w:tcPr>
          <w:p>
            <w:pPr>
              <w:spacing w:after="0"/>
              <w:rPr>
                <w:sz w:val="18"/>
                <w:szCs w:val="18"/>
                <w:color w:val="auto"/>
              </w:rPr>
            </w:pPr>
          </w:p>
        </w:tc>
        <w:tc>
          <w:tcPr>
            <w:tcW w:w="720" w:type="dxa"/>
            <w:vAlign w:val="bottom"/>
            <w:tcBorders>
              <w:bottom w:val="single" w:sz="8" w:color="0090DA"/>
            </w:tcBorders>
          </w:tcPr>
          <w:p>
            <w:pPr>
              <w:jc w:val="center"/>
              <w:ind w:right="91"/>
              <w:spacing w:after="0"/>
              <w:rPr>
                <w:sz w:val="20"/>
                <w:szCs w:val="20"/>
                <w:color w:val="auto"/>
              </w:rPr>
            </w:pPr>
            <w:r>
              <w:rPr>
                <w:rFonts w:ascii="Arial" w:cs="Arial" w:eastAsia="Arial" w:hAnsi="Arial"/>
                <w:sz w:val="16"/>
                <w:szCs w:val="16"/>
                <w:b w:val="1"/>
                <w:bCs w:val="1"/>
                <w:color w:val="auto"/>
              </w:rPr>
              <w:t>Stock</w:t>
            </w:r>
          </w:p>
        </w:tc>
        <w:tc>
          <w:tcPr>
            <w:tcW w:w="128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260" w:type="dxa"/>
            <w:vAlign w:val="bottom"/>
            <w:tcBorders>
              <w:bottom w:val="single" w:sz="8" w:color="0090DA"/>
            </w:tcBorders>
          </w:tcPr>
          <w:p>
            <w:pPr>
              <w:spacing w:after="0"/>
              <w:rPr>
                <w:sz w:val="18"/>
                <w:szCs w:val="18"/>
                <w:color w:val="auto"/>
              </w:rPr>
            </w:pPr>
          </w:p>
        </w:tc>
        <w:tc>
          <w:tcPr>
            <w:tcW w:w="1020" w:type="dxa"/>
            <w:vAlign w:val="bottom"/>
            <w:tcBorders>
              <w:bottom w:val="single" w:sz="8" w:color="0090DA"/>
            </w:tcBorders>
          </w:tcPr>
          <w:p>
            <w:pPr>
              <w:jc w:val="center"/>
              <w:ind w:right="172"/>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35"/>
        </w:trPr>
        <w:tc>
          <w:tcPr>
            <w:tcW w:w="4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September 2, 2021</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9,453</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39,051</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(4,695)</w:t>
            </w:r>
          </w:p>
        </w:tc>
        <w:tc>
          <w:tcPr>
            <w:tcW w:w="120" w:type="dxa"/>
            <w:vAlign w:val="bottom"/>
            <w:shd w:val="clear" w:color="auto" w:fill="D1D2D4"/>
          </w:tcPr>
          <w:p>
            <w:pPr>
              <w:ind w:left="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D1D2D4"/>
          </w:tcPr>
          <w:p>
            <w:pPr>
              <w:jc w:val="right"/>
              <w:ind w:right="53"/>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43,933</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2,306</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30"/>
        </w:trPr>
        <w:tc>
          <w:tcPr>
            <w:tcW w:w="424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24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Repurchase of stock</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December 2, 2021</w:t>
            </w: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9,564</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41,267</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(4,954)</w:t>
            </w:r>
          </w:p>
        </w:tc>
        <w:tc>
          <w:tcPr>
            <w:tcW w:w="12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260" w:type="dxa"/>
            <w:vAlign w:val="bottom"/>
            <w:tcBorders>
              <w:bottom w:val="single" w:sz="8" w:color="auto"/>
            </w:tcBorders>
            <w:shd w:val="clear" w:color="auto" w:fill="D1D2D4"/>
          </w:tcPr>
          <w:p>
            <w:pPr>
              <w:jc w:val="right"/>
              <w:ind w:right="5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45,908</w:t>
            </w:r>
          </w:p>
        </w:tc>
        <w:tc>
          <w:tcPr>
            <w:tcW w:w="0" w:type="dxa"/>
            <w:vAlign w:val="bottom"/>
          </w:tcPr>
          <w:p>
            <w:pPr>
              <w:spacing w:after="0"/>
              <w:rPr>
                <w:sz w:val="1"/>
                <w:szCs w:val="1"/>
                <w:color w:val="auto"/>
              </w:rPr>
            </w:pPr>
          </w:p>
        </w:tc>
      </w:tr>
      <w:tr>
        <w:trPr>
          <w:trHeight w:val="20"/>
        </w:trPr>
        <w:tc>
          <w:tcPr>
            <w:tcW w:w="4240" w:type="dxa"/>
            <w:vAlign w:val="bottom"/>
            <w:tcBorders>
              <w:top w:val="single" w:sz="8" w:color="D1D2D4"/>
            </w:tcBorders>
          </w:tcPr>
          <w:p>
            <w:pPr>
              <w:spacing w:after="0" w:line="20" w:lineRule="exact"/>
              <w:rPr>
                <w:sz w:val="1"/>
                <w:szCs w:val="1"/>
                <w:color w:val="auto"/>
              </w:rPr>
            </w:pPr>
          </w:p>
        </w:tc>
        <w:tc>
          <w:tcPr>
            <w:tcW w:w="1760" w:type="dxa"/>
            <w:vAlign w:val="bottom"/>
            <w:tcBorders>
              <w:top w:val="single" w:sz="8" w:color="D1D2D4"/>
              <w:bottom w:val="single" w:sz="8" w:color="auto"/>
            </w:tcBorders>
            <w:gridSpan w:val="3"/>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74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4240" w:type="dxa"/>
            <w:vAlign w:val="bottom"/>
          </w:tcPr>
          <w:p>
            <w:pPr>
              <w:spacing w:after="0"/>
              <w:rPr>
                <w:sz w:val="24"/>
                <w:szCs w:val="24"/>
                <w:color w:val="auto"/>
              </w:rPr>
            </w:pPr>
          </w:p>
        </w:tc>
        <w:tc>
          <w:tcPr>
            <w:tcW w:w="1760" w:type="dxa"/>
            <w:vAlign w:val="bottom"/>
            <w:tcBorders>
              <w:bottom w:val="single" w:sz="8" w:color="0090DA"/>
            </w:tcBorders>
            <w:gridSpan w:val="3"/>
          </w:tcPr>
          <w:p>
            <w:pPr>
              <w:jc w:val="right"/>
              <w:ind w:right="191"/>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vMerge w:val="restart"/>
          </w:tcPr>
          <w:p>
            <w:pPr>
              <w:jc w:val="center"/>
              <w:ind w:right="17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line="20" w:lineRule="exact"/>
              <w:rPr>
                <w:sz w:val="1"/>
                <w:szCs w:val="1"/>
                <w:color w:val="auto"/>
              </w:rPr>
            </w:pPr>
          </w:p>
        </w:tc>
      </w:tr>
      <w:tr>
        <w:trPr>
          <w:trHeight w:val="162"/>
        </w:trPr>
        <w:tc>
          <w:tcPr>
            <w:tcW w:w="424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Additional</w:t>
            </w:r>
          </w:p>
        </w:tc>
        <w:tc>
          <w:tcPr>
            <w:tcW w:w="900" w:type="dxa"/>
            <w:vAlign w:val="bottom"/>
            <w:gridSpan w:val="2"/>
            <w:vMerge w:val="restart"/>
          </w:tcPr>
          <w:p>
            <w:pPr>
              <w:jc w:val="right"/>
              <w:ind w:right="10"/>
              <w:spacing w:after="0"/>
              <w:rPr>
                <w:sz w:val="20"/>
                <w:szCs w:val="20"/>
                <w:color w:val="auto"/>
              </w:rPr>
            </w:pPr>
            <w:r>
              <w:rPr>
                <w:rFonts w:ascii="Arial" w:cs="Arial" w:eastAsia="Arial" w:hAnsi="Arial"/>
                <w:sz w:val="16"/>
                <w:szCs w:val="16"/>
                <w:b w:val="1"/>
                <w:bCs w:val="1"/>
                <w:color w:val="auto"/>
              </w:rPr>
              <w:t>Retained</w:t>
            </w:r>
          </w:p>
        </w:tc>
        <w:tc>
          <w:tcPr>
            <w:tcW w:w="9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7"/>
              </w:rPr>
              <w:t>Treasury</w:t>
            </w:r>
          </w:p>
        </w:tc>
        <w:tc>
          <w:tcPr>
            <w:tcW w:w="120" w:type="dxa"/>
            <w:vAlign w:val="bottom"/>
          </w:tcPr>
          <w:p>
            <w:pPr>
              <w:spacing w:after="0"/>
              <w:rPr>
                <w:sz w:val="14"/>
                <w:szCs w:val="14"/>
                <w:color w:val="auto"/>
              </w:rPr>
            </w:pPr>
          </w:p>
        </w:tc>
        <w:tc>
          <w:tcPr>
            <w:tcW w:w="1160" w:type="dxa"/>
            <w:vAlign w:val="bottom"/>
          </w:tcPr>
          <w:p>
            <w:pPr>
              <w:jc w:val="center"/>
              <w:ind w:right="32"/>
              <w:spacing w:after="0" w:line="162" w:lineRule="exact"/>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6"/>
                <w:szCs w:val="16"/>
                <w:b w:val="1"/>
                <w:bCs w:val="1"/>
                <w:color w:val="auto"/>
                <w:w w:val="99"/>
              </w:rPr>
              <w:t>Amount</w:t>
            </w:r>
          </w:p>
        </w:tc>
        <w:tc>
          <w:tcPr>
            <w:tcW w:w="8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Comprehensive</w:t>
            </w:r>
          </w:p>
        </w:tc>
        <w:tc>
          <w:tcPr>
            <w:tcW w:w="12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5"/>
        </w:trPr>
        <w:tc>
          <w:tcPr>
            <w:tcW w:w="4240" w:type="dxa"/>
            <w:vAlign w:val="bottom"/>
            <w:tcBorders>
              <w:bottom w:val="single" w:sz="8" w:color="0090DA"/>
            </w:tcBorders>
          </w:tcPr>
          <w:p>
            <w:pPr>
              <w:spacing w:after="0"/>
              <w:rPr>
                <w:sz w:val="18"/>
                <w:szCs w:val="18"/>
                <w:color w:val="auto"/>
              </w:rPr>
            </w:pPr>
          </w:p>
        </w:tc>
        <w:tc>
          <w:tcPr>
            <w:tcW w:w="88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20" w:type="dxa"/>
            <w:vAlign w:val="bottom"/>
            <w:tcBorders>
              <w:bottom w:val="single" w:sz="8" w:color="0090DA"/>
            </w:tcBorders>
          </w:tcPr>
          <w:p>
            <w:pPr>
              <w:spacing w:after="0"/>
              <w:rPr>
                <w:sz w:val="18"/>
                <w:szCs w:val="18"/>
                <w:color w:val="auto"/>
              </w:rPr>
            </w:pPr>
          </w:p>
        </w:tc>
        <w:tc>
          <w:tcPr>
            <w:tcW w:w="760" w:type="dxa"/>
            <w:vAlign w:val="bottom"/>
            <w:tcBorders>
              <w:bottom w:val="single" w:sz="8" w:color="0090DA"/>
            </w:tcBorders>
            <w:vMerge w:val="continue"/>
          </w:tcPr>
          <w:p>
            <w:pPr>
              <w:spacing w:after="0"/>
              <w:rPr>
                <w:sz w:val="18"/>
                <w:szCs w:val="18"/>
                <w:color w:val="auto"/>
              </w:rPr>
            </w:pPr>
          </w:p>
        </w:tc>
        <w:tc>
          <w:tcPr>
            <w:tcW w:w="140" w:type="dxa"/>
            <w:vAlign w:val="bottom"/>
            <w:tcBorders>
              <w:bottom w:val="single" w:sz="8" w:color="0090DA"/>
            </w:tcBorders>
          </w:tcPr>
          <w:p>
            <w:pPr>
              <w:spacing w:after="0"/>
              <w:rPr>
                <w:sz w:val="18"/>
                <w:szCs w:val="18"/>
                <w:color w:val="auto"/>
              </w:rPr>
            </w:pPr>
          </w:p>
        </w:tc>
        <w:tc>
          <w:tcPr>
            <w:tcW w:w="740" w:type="dxa"/>
            <w:vAlign w:val="bottom"/>
            <w:tcBorders>
              <w:bottom w:val="single" w:sz="8" w:color="0090DA"/>
            </w:tcBorders>
          </w:tcPr>
          <w:p>
            <w:pPr>
              <w:jc w:val="center"/>
              <w:ind w:right="31"/>
              <w:spacing w:after="0"/>
              <w:rPr>
                <w:sz w:val="20"/>
                <w:szCs w:val="20"/>
                <w:color w:val="auto"/>
              </w:rPr>
            </w:pPr>
            <w:r>
              <w:rPr>
                <w:rFonts w:ascii="Arial" w:cs="Arial" w:eastAsia="Arial" w:hAnsi="Arial"/>
                <w:sz w:val="16"/>
                <w:szCs w:val="16"/>
                <w:b w:val="1"/>
                <w:bCs w:val="1"/>
                <w:color w:val="auto"/>
              </w:rPr>
              <w:t>Capital</w:t>
            </w:r>
          </w:p>
        </w:tc>
        <w:tc>
          <w:tcPr>
            <w:tcW w:w="900" w:type="dxa"/>
            <w:vAlign w:val="bottom"/>
            <w:tcBorders>
              <w:bottom w:val="single" w:sz="8" w:color="0090DA"/>
            </w:tcBorders>
            <w:gridSpan w:val="2"/>
          </w:tcPr>
          <w:p>
            <w:pPr>
              <w:jc w:val="right"/>
              <w:ind w:right="10"/>
              <w:spacing w:after="0"/>
              <w:rPr>
                <w:sz w:val="20"/>
                <w:szCs w:val="20"/>
                <w:color w:val="auto"/>
              </w:rPr>
            </w:pPr>
            <w:r>
              <w:rPr>
                <w:rFonts w:ascii="Arial" w:cs="Arial" w:eastAsia="Arial" w:hAnsi="Arial"/>
                <w:sz w:val="16"/>
                <w:szCs w:val="16"/>
                <w:b w:val="1"/>
                <w:bCs w:val="1"/>
                <w:color w:val="auto"/>
              </w:rPr>
              <w:t>Earnings</w:t>
            </w:r>
          </w:p>
        </w:tc>
        <w:tc>
          <w:tcPr>
            <w:tcW w:w="180" w:type="dxa"/>
            <w:vAlign w:val="bottom"/>
            <w:tcBorders>
              <w:bottom w:val="single" w:sz="8" w:color="0090DA"/>
            </w:tcBorders>
          </w:tcPr>
          <w:p>
            <w:pPr>
              <w:spacing w:after="0"/>
              <w:rPr>
                <w:sz w:val="18"/>
                <w:szCs w:val="18"/>
                <w:color w:val="auto"/>
              </w:rPr>
            </w:pPr>
          </w:p>
        </w:tc>
        <w:tc>
          <w:tcPr>
            <w:tcW w:w="720" w:type="dxa"/>
            <w:vAlign w:val="bottom"/>
            <w:tcBorders>
              <w:bottom w:val="single" w:sz="8" w:color="0090DA"/>
            </w:tcBorders>
          </w:tcPr>
          <w:p>
            <w:pPr>
              <w:jc w:val="center"/>
              <w:ind w:right="91"/>
              <w:spacing w:after="0"/>
              <w:rPr>
                <w:sz w:val="20"/>
                <w:szCs w:val="20"/>
                <w:color w:val="auto"/>
              </w:rPr>
            </w:pPr>
            <w:r>
              <w:rPr>
                <w:rFonts w:ascii="Arial" w:cs="Arial" w:eastAsia="Arial" w:hAnsi="Arial"/>
                <w:sz w:val="16"/>
                <w:szCs w:val="16"/>
                <w:b w:val="1"/>
                <w:bCs w:val="1"/>
                <w:color w:val="auto"/>
              </w:rPr>
              <w:t>Stock</w:t>
            </w:r>
          </w:p>
        </w:tc>
        <w:tc>
          <w:tcPr>
            <w:tcW w:w="128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260" w:type="dxa"/>
            <w:vAlign w:val="bottom"/>
            <w:tcBorders>
              <w:bottom w:val="single" w:sz="8" w:color="0090DA"/>
            </w:tcBorders>
          </w:tcPr>
          <w:p>
            <w:pPr>
              <w:spacing w:after="0"/>
              <w:rPr>
                <w:sz w:val="18"/>
                <w:szCs w:val="18"/>
                <w:color w:val="auto"/>
              </w:rPr>
            </w:pPr>
          </w:p>
        </w:tc>
        <w:tc>
          <w:tcPr>
            <w:tcW w:w="1020" w:type="dxa"/>
            <w:vAlign w:val="bottom"/>
            <w:tcBorders>
              <w:bottom w:val="single" w:sz="8" w:color="0090DA"/>
            </w:tcBorders>
          </w:tcPr>
          <w:p>
            <w:pPr>
              <w:jc w:val="center"/>
              <w:ind w:right="172"/>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35"/>
        </w:trPr>
        <w:tc>
          <w:tcPr>
            <w:tcW w:w="4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September 3, 2020</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8,917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33,384</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(3,495)</w:t>
            </w:r>
          </w:p>
        </w:tc>
        <w:tc>
          <w:tcPr>
            <w:tcW w:w="120" w:type="dxa"/>
            <w:vAlign w:val="bottom"/>
            <w:shd w:val="clear" w:color="auto" w:fill="D1D2D4"/>
          </w:tcPr>
          <w:p>
            <w:pPr>
              <w:ind w:left="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D1D2D4"/>
          </w:tcPr>
          <w:p>
            <w:pPr>
              <w:jc w:val="right"/>
              <w:ind w:right="53"/>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38,996</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803</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0"/>
        </w:trPr>
        <w:tc>
          <w:tcPr>
            <w:tcW w:w="424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24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Repurchase of stock</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December 3, 2020</w:t>
            </w: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9,034</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34,138</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(3,495)</w:t>
            </w:r>
          </w:p>
        </w:tc>
        <w:tc>
          <w:tcPr>
            <w:tcW w:w="12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auto"/>
            </w:tcBorders>
            <w:shd w:val="clear" w:color="auto" w:fill="D1D2D4"/>
          </w:tcPr>
          <w:p>
            <w:pPr>
              <w:jc w:val="right"/>
              <w:ind w:right="5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39,907</w:t>
            </w:r>
          </w:p>
        </w:tc>
        <w:tc>
          <w:tcPr>
            <w:tcW w:w="0" w:type="dxa"/>
            <w:vAlign w:val="bottom"/>
          </w:tcPr>
          <w:p>
            <w:pPr>
              <w:spacing w:after="0"/>
              <w:rPr>
                <w:sz w:val="1"/>
                <w:szCs w:val="1"/>
                <w:color w:val="auto"/>
              </w:rPr>
            </w:pPr>
          </w:p>
        </w:tc>
      </w:tr>
      <w:tr>
        <w:trPr>
          <w:trHeight w:val="20"/>
        </w:trPr>
        <w:tc>
          <w:tcPr>
            <w:tcW w:w="4240" w:type="dxa"/>
            <w:vAlign w:val="bottom"/>
            <w:tcBorders>
              <w:top w:val="single" w:sz="8" w:color="D1D2D4"/>
            </w:tcBorders>
          </w:tcPr>
          <w:p>
            <w:pPr>
              <w:spacing w:after="0" w:line="20" w:lineRule="exact"/>
              <w:rPr>
                <w:sz w:val="1"/>
                <w:szCs w:val="1"/>
                <w:color w:val="auto"/>
              </w:rPr>
            </w:pPr>
          </w:p>
        </w:tc>
        <w:tc>
          <w:tcPr>
            <w:tcW w:w="8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76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74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803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0"/>
          <w:szCs w:val="10"/>
          <w:b w:val="1"/>
          <w:bCs w:val="1"/>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gridSpan w:val="3"/>
          </w:tcPr>
          <w:p>
            <w:pPr>
              <w:jc w:val="right"/>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107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Statements of Cash Flows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December 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December 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0090DA"/>
            </w:tcBorders>
          </w:tcPr>
          <w:p>
            <w:pPr>
              <w:spacing w:after="0"/>
              <w:rPr>
                <w:sz w:val="19"/>
                <w:szCs w:val="19"/>
                <w:color w:val="auto"/>
              </w:rPr>
            </w:pPr>
          </w:p>
        </w:tc>
        <w:tc>
          <w:tcPr>
            <w:tcW w:w="6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2,306</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(Gain) loss on debt repurchases and conversions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3,938</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(3,265)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 of Lehi, Utah fab</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(2,485)</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Repurchases of common stock - withholdings on employee equity awards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(513)</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8,763</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8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For a discussion of our significant accounting policies, see “Part II – Item 8. Financial Statements and Supplementary Data – Notes to Consolidated Financial Statements – Significant Accounting Policies” of our Annual Report on Form 10-K for the year ended September 2, 2021. There have been no changes to our significant accounting policies since our Annual Report on Form 10-K for the year ended September 2, 2021.</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Basis of Presentation</w:t>
      </w:r>
    </w:p>
    <w:p>
      <w:pPr>
        <w:spacing w:after="0" w:line="265"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The accompanying consolidated financial statements include the accounts of Micron and our consolidated subsidiaries and have been prepared in accordance with accounting principles generally accepted in the United States of America (“U.S. GAAP”) consistent in all material respects with those applied in our Annual Report on Form 10-K for the year ended September 2, 2021.</w:t>
      </w:r>
    </w:p>
    <w:p>
      <w:pPr>
        <w:spacing w:after="0" w:line="22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fiscal year is the 52 or 53-week period ending on the Thursday closest to August 31. Fiscal years 2022 and 2021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September 2, 2021.</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Lehi, Utah Fab and 3D XPoint</w:t>
      </w:r>
    </w:p>
    <w:p>
      <w:pPr>
        <w:spacing w:after="0" w:line="2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with potential buyers for the sale of our facility located in Lehi, Utah that was dedicated to 3D XPoint production. As a result, we classified the property, plant, and equipment as held for sale as of the second quarter of 2021 and ceased depreciating the assets. On June 30, 2021, we announced a definitive agreement to sell our Lehi facility to TI and closed the sale on October 22, 2021.</w:t>
      </w:r>
    </w:p>
    <w:p>
      <w:pPr>
        <w:spacing w:after="0" w:line="2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the first quarter of 2022, we received $893 million from TI for the sale of the Lehi facility and disposed of $918 million of net assets, consisting primarily of property, plant, and equipment of $ 921 million; $55 million of other assets, consisting primarily of a receivable for reimbursement of property taxes, equipment spare parts, and raw materials; and $58 million of liabilities, consisting primarily of a finance lease obligation. As a result of the disposition of the Lehi facility and other related adjustments, we recognized a loss of $23 million included in restructure and asset impairments in the first quarter of 2022.</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third quarter of 2021, we recognized a charge of $435 million included in restructure and asset impairments in connection with the definitive agreement with TI (and a tax benefit of $104 million included in income tax (provision) benefit) to write down the assets held for sale to the expected consideration, net of estimated selling costs. In the second quarter of 2021, we also recognized a charge of $49 million in cost of goods sold to write down 3D XPoint inventory in connection with our decision to cease further development of this technology.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28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Substantially all of our marketable debt and equity investments were classified as available-for-sale as of the dates noted below. Cash and equivalents and the fair values of our available-for-sale investments, which approximated amortized costs, were as follows:</w:t>
      </w:r>
    </w:p>
    <w:tbl>
      <w:tblPr>
        <w:tblLayout w:type="fixed"/>
        <w:tblInd w:w="0" w:type="dxa"/>
        <w:tblCellMar>
          <w:top w:w="0" w:type="dxa"/>
          <w:left w:w="0" w:type="dxa"/>
          <w:bottom w:w="0" w:type="dxa"/>
          <w:right w:w="0" w:type="dxa"/>
        </w:tblCellMar>
      </w:tblPr>
      <w:tr>
        <w:trPr>
          <w:trHeight w:val="239"/>
        </w:trPr>
        <w:tc>
          <w:tcPr>
            <w:tcW w:w="20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240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December 2, 2021</w:t>
            </w:r>
          </w:p>
        </w:tc>
        <w:tc>
          <w:tcPr>
            <w:tcW w:w="200" w:type="dxa"/>
            <w:vAlign w:val="bottom"/>
            <w:tcBorders>
              <w:bottom w:val="single" w:sz="8" w:color="0090DA"/>
            </w:tcBorders>
          </w:tcPr>
          <w:p>
            <w:pPr>
              <w:spacing w:after="0"/>
              <w:rPr>
                <w:sz w:val="20"/>
                <w:szCs w:val="20"/>
                <w:color w:val="auto"/>
              </w:rPr>
            </w:pPr>
          </w:p>
        </w:tc>
        <w:tc>
          <w:tcPr>
            <w:tcW w:w="700" w:type="dxa"/>
            <w:vAlign w:val="bottom"/>
            <w:tcBorders>
              <w:bottom w:val="single" w:sz="8" w:color="0090DA"/>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242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2, 2021</w:t>
            </w:r>
          </w:p>
        </w:tc>
        <w:tc>
          <w:tcPr>
            <w:tcW w:w="180" w:type="dxa"/>
            <w:vAlign w:val="bottom"/>
            <w:tcBorders>
              <w:bottom w:val="single" w:sz="8" w:color="0090DA"/>
            </w:tcBorders>
          </w:tcPr>
          <w:p>
            <w:pPr>
              <w:spacing w:after="0"/>
              <w:rPr>
                <w:sz w:val="20"/>
                <w:szCs w:val="20"/>
                <w:color w:val="auto"/>
              </w:rPr>
            </w:pPr>
          </w:p>
        </w:tc>
        <w:tc>
          <w:tcPr>
            <w:tcW w:w="720" w:type="dxa"/>
            <w:vAlign w:val="bottom"/>
            <w:tcBorders>
              <w:bottom w:val="single" w:sz="8" w:color="0090DA"/>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4"/>
                <w:szCs w:val="1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00" w:type="dxa"/>
            <w:vAlign w:val="bottom"/>
          </w:tcPr>
          <w:p>
            <w:pPr>
              <w:spacing w:after="0"/>
              <w:rPr>
                <w:sz w:val="14"/>
                <w:szCs w:val="14"/>
                <w:color w:val="auto"/>
              </w:rPr>
            </w:pPr>
          </w:p>
        </w:tc>
        <w:tc>
          <w:tcPr>
            <w:tcW w:w="11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rPr>
              <w:t>Long-term</w:t>
            </w: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6"/>
              </w:rPr>
              <w:t>Total Fair</w:t>
            </w:r>
          </w:p>
        </w:tc>
        <w:tc>
          <w:tcPr>
            <w:tcW w:w="14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4"/>
                <w:szCs w:val="1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00" w:type="dxa"/>
            <w:vAlign w:val="bottom"/>
          </w:tcPr>
          <w:p>
            <w:pPr>
              <w:spacing w:after="0"/>
              <w:rPr>
                <w:sz w:val="14"/>
                <w:szCs w:val="14"/>
                <w:color w:val="auto"/>
              </w:rPr>
            </w:pPr>
          </w:p>
        </w:tc>
        <w:tc>
          <w:tcPr>
            <w:tcW w:w="11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rPr>
              <w:t>Long-term</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75"/>
        </w:trPr>
        <w:tc>
          <w:tcPr>
            <w:tcW w:w="2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Marketable</w:t>
            </w:r>
          </w:p>
        </w:tc>
        <w:tc>
          <w:tcPr>
            <w:tcW w:w="10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2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6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200" w:type="dxa"/>
            <w:vAlign w:val="bottom"/>
          </w:tcPr>
          <w:p>
            <w:pPr>
              <w:spacing w:after="0"/>
              <w:rPr>
                <w:sz w:val="19"/>
                <w:szCs w:val="19"/>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Value</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1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202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6,516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6,516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5,796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5,796</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Certificates of deposits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1,996</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2,059</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1,907</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1,155</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188"/>
        </w:trPr>
        <w:tc>
          <w:tcPr>
            <w:tcW w:w="2020" w:type="dxa"/>
            <w:vAlign w:val="bottom"/>
            <w:shd w:val="clear" w:color="auto" w:fill="D1D2D4"/>
          </w:tcPr>
          <w:p>
            <w:pPr>
              <w:ind w:left="140"/>
              <w:spacing w:after="0" w:line="189" w:lineRule="exact"/>
              <w:rPr>
                <w:sz w:val="20"/>
                <w:szCs w:val="20"/>
                <w:color w:val="auto"/>
              </w:rPr>
            </w:pPr>
            <w:r>
              <w:rPr>
                <w:rFonts w:ascii="Arial" w:cs="Arial" w:eastAsia="Arial" w:hAnsi="Arial"/>
                <w:sz w:val="18"/>
                <w:szCs w:val="18"/>
                <w:color w:val="auto"/>
              </w:rPr>
              <w:t>Asset-backed</w:t>
            </w:r>
          </w:p>
        </w:tc>
        <w:tc>
          <w:tcPr>
            <w:tcW w:w="140" w:type="dxa"/>
            <w:vAlign w:val="bottom"/>
            <w:shd w:val="clear" w:color="auto" w:fill="D1D2D4"/>
          </w:tcPr>
          <w:p>
            <w:pPr>
              <w:spacing w:after="0"/>
              <w:rPr>
                <w:sz w:val="16"/>
                <w:szCs w:val="16"/>
                <w:color w:val="auto"/>
              </w:rPr>
            </w:pPr>
          </w:p>
        </w:tc>
        <w:tc>
          <w:tcPr>
            <w:tcW w:w="98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116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70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98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1180" w:type="dxa"/>
            <w:vAlign w:val="bottom"/>
            <w:shd w:val="clear" w:color="auto" w:fill="D1D2D4"/>
          </w:tcPr>
          <w:p>
            <w:pPr>
              <w:spacing w:after="0"/>
              <w:rPr>
                <w:sz w:val="16"/>
                <w:szCs w:val="16"/>
                <w:color w:val="auto"/>
              </w:rPr>
            </w:pPr>
          </w:p>
        </w:tc>
        <w:tc>
          <w:tcPr>
            <w:tcW w:w="180" w:type="dxa"/>
            <w:vAlign w:val="bottom"/>
            <w:shd w:val="clear" w:color="auto" w:fill="D1D2D4"/>
          </w:tcPr>
          <w:p>
            <w:pPr>
              <w:spacing w:after="0"/>
              <w:rPr>
                <w:sz w:val="16"/>
                <w:szCs w:val="16"/>
                <w:color w:val="auto"/>
              </w:rPr>
            </w:pPr>
          </w:p>
        </w:tc>
        <w:tc>
          <w:tcPr>
            <w:tcW w:w="7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1D2D4"/>
          </w:tcPr>
          <w:p>
            <w:pPr>
              <w:spacing w:after="0"/>
              <w:rPr>
                <w:sz w:val="18"/>
                <w:szCs w:val="18"/>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8"/>
                <w:szCs w:val="18"/>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559</w:t>
            </w:r>
          </w:p>
        </w:tc>
        <w:tc>
          <w:tcPr>
            <w:tcW w:w="20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1D2D4"/>
          </w:tcPr>
          <w:p>
            <w:pPr>
              <w:spacing w:after="0"/>
              <w:rPr>
                <w:sz w:val="18"/>
                <w:szCs w:val="18"/>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D1D2D4"/>
          </w:tcPr>
          <w:p>
            <w:pPr>
              <w:spacing w:after="0"/>
              <w:rPr>
                <w:sz w:val="18"/>
                <w:szCs w:val="18"/>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8,680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10,398</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83</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66</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20" w:type="dxa"/>
            <w:vAlign w:val="bottom"/>
          </w:tcPr>
          <w:p>
            <w:pPr>
              <w:ind w:left="20"/>
              <w:spacing w:after="0" w:line="168" w:lineRule="exact"/>
              <w:rPr>
                <w:sz w:val="20"/>
                <w:szCs w:val="20"/>
                <w:color w:val="auto"/>
              </w:rPr>
            </w:pPr>
            <w:r>
              <w:rPr>
                <w:rFonts w:ascii="Arial" w:cs="Arial" w:eastAsia="Arial" w:hAnsi="Arial"/>
                <w:sz w:val="18"/>
                <w:szCs w:val="18"/>
                <w:color w:val="auto"/>
              </w:rPr>
              <w:t>Cash, cash equivalents,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8,763</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7,829</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20" w:type="dxa"/>
            <w:vAlign w:val="bottom"/>
          </w:tcPr>
          <w:p>
            <w:pPr>
              <w:ind w:left="20"/>
              <w:spacing w:after="0" w:line="190" w:lineRule="exact"/>
              <w:rPr>
                <w:sz w:val="20"/>
                <w:szCs w:val="20"/>
                <w:color w:val="auto"/>
              </w:rPr>
            </w:pPr>
            <w:r>
              <w:rPr>
                <w:rFonts w:ascii="Arial" w:cs="Arial" w:eastAsia="Arial" w:hAnsi="Arial"/>
                <w:sz w:val="18"/>
                <w:szCs w:val="18"/>
                <w:color w:val="auto"/>
              </w:rPr>
              <w:t>and restricted cash</w:t>
            </w:r>
          </w:p>
        </w:tc>
        <w:tc>
          <w:tcPr>
            <w:tcW w:w="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40" w:hanging="232"/>
        <w:spacing w:after="0"/>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securities range from one to four years.</w:t>
      </w:r>
    </w:p>
    <w:p>
      <w:pPr>
        <w:ind w:left="240" w:hanging="232"/>
        <w:spacing w:after="0" w:line="196" w:lineRule="auto"/>
        <w:tabs>
          <w:tab w:leader="none" w:pos="2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60" w:hanging="252"/>
        <w:spacing w:after="0" w:line="237"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December 2, 2021 or September 2, 2021.</w:t>
      </w:r>
    </w:p>
    <w:p>
      <w:pPr>
        <w:spacing w:after="0" w:line="1" w:lineRule="exact"/>
        <w:rPr>
          <w:rFonts w:ascii="Arial" w:cs="Arial" w:eastAsia="Arial" w:hAnsi="Arial"/>
          <w:sz w:val="23"/>
          <w:szCs w:val="23"/>
          <w:i w:val="1"/>
          <w:iCs w:val="1"/>
          <w:color w:val="auto"/>
          <w:vertAlign w:val="superscript"/>
        </w:rPr>
      </w:pPr>
    </w:p>
    <w:p>
      <w:pPr>
        <w:ind w:left="260" w:right="420" w:hanging="252"/>
        <w:spacing w:after="0" w:line="220"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current assets and other noncurrent assets and primarily relates to certain government incentives received prior to being earned and for which restrictions lapse upon achieving certain performance conditions.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5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addition to the amounts included in the table above, we had $167 million and $153 million of non-marketable equity investments without a readily determinable fair value that were included in other noncurrent assets as of December 2, 2021 and September 2, 2021, respectively.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Receivables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2,</w:t>
            </w:r>
          </w:p>
        </w:tc>
        <w:tc>
          <w:tcPr>
            <w:tcW w:w="18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4,924</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gridSpan w:val="3"/>
          </w:tcPr>
          <w:p>
            <w:pPr>
              <w:jc w:val="right"/>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1124"/>
        </w:trPr>
        <w:tc>
          <w:tcPr>
            <w:tcW w:w="8360" w:type="dxa"/>
            <w:vAlign w:val="bottom"/>
          </w:tcPr>
          <w:p>
            <w:pPr>
              <w:spacing w:after="0"/>
              <w:rPr>
                <w:sz w:val="20"/>
                <w:szCs w:val="20"/>
                <w:color w:val="auto"/>
              </w:rPr>
            </w:pPr>
            <w:r>
              <w:rPr>
                <w:rFonts w:ascii="Arial" w:cs="Arial" w:eastAsia="Arial" w:hAnsi="Arial"/>
                <w:sz w:val="40"/>
                <w:szCs w:val="40"/>
                <w:b w:val="1"/>
                <w:bCs w:val="1"/>
                <w:color w:val="auto"/>
              </w:rPr>
              <w:t>Inventories</w:t>
            </w:r>
          </w:p>
        </w:tc>
        <w:tc>
          <w:tcPr>
            <w:tcW w:w="140" w:type="dxa"/>
            <w:vAlign w:val="bottom"/>
          </w:tcPr>
          <w:p>
            <w:pPr>
              <w:spacing w:after="0"/>
              <w:rPr>
                <w:sz w:val="24"/>
                <w:szCs w:val="24"/>
                <w:color w:val="auto"/>
              </w:rPr>
            </w:pP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December 2,</w:t>
            </w:r>
          </w:p>
        </w:tc>
        <w:tc>
          <w:tcPr>
            <w:tcW w:w="12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179"/>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0090DA"/>
            </w:tcBorders>
          </w:tcPr>
          <w:p>
            <w:pPr>
              <w:spacing w:after="0"/>
              <w:rPr>
                <w:sz w:val="19"/>
                <w:szCs w:val="19"/>
                <w:color w:val="auto"/>
              </w:rPr>
            </w:pPr>
          </w:p>
        </w:tc>
        <w:tc>
          <w:tcPr>
            <w:tcW w:w="6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1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3,661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14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Effective as of the beginning of the second quarter of 2021, we changed our method of inventory costing from average cost to FIFO. The change to FIFO was not material to any prior periods, and as such, prior periods were not retrospectively adjusted.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December 2,</w:t>
            </w:r>
          </w:p>
        </w:tc>
        <w:tc>
          <w:tcPr>
            <w:tcW w:w="120" w:type="dxa"/>
            <w:vAlign w:val="bottom"/>
          </w:tcPr>
          <w:p>
            <w:pPr>
              <w:spacing w:after="0"/>
              <w:rPr>
                <w:sz w:val="17"/>
                <w:szCs w:val="17"/>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15,440</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14,776</w:t>
            </w:r>
          </w:p>
        </w:tc>
        <w:tc>
          <w:tcPr>
            <w:tcW w:w="0" w:type="dxa"/>
            <w:vAlign w:val="bottom"/>
          </w:tcPr>
          <w:p>
            <w:pPr>
              <w:spacing w:after="0"/>
              <w:rPr>
                <w:sz w:val="1"/>
                <w:szCs w:val="1"/>
                <w:color w:val="auto"/>
              </w:rPr>
            </w:pPr>
          </w:p>
        </w:tc>
      </w:tr>
      <w:tr>
        <w:trPr>
          <w:trHeight w:val="230"/>
        </w:trPr>
        <w:tc>
          <w:tcPr>
            <w:tcW w:w="848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14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54,271</w:t>
            </w:r>
          </w:p>
        </w:tc>
        <w:tc>
          <w:tcPr>
            <w:tcW w:w="1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51,902</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9"/>
        </w:trPr>
        <w:tc>
          <w:tcPr>
            <w:tcW w:w="8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72,527</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69,462</w:t>
            </w:r>
          </w:p>
        </w:tc>
        <w:tc>
          <w:tcPr>
            <w:tcW w:w="0" w:type="dxa"/>
            <w:vAlign w:val="bottom"/>
          </w:tcPr>
          <w:p>
            <w:pPr>
              <w:spacing w:after="0"/>
              <w:rPr>
                <w:sz w:val="1"/>
                <w:szCs w:val="1"/>
                <w:color w:val="auto"/>
              </w:rPr>
            </w:pPr>
          </w:p>
        </w:tc>
      </w:tr>
      <w:tr>
        <w:trPr>
          <w:trHeight w:val="230"/>
        </w:trPr>
        <w:tc>
          <w:tcPr>
            <w:tcW w:w="8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(37,372)</w:t>
            </w:r>
          </w:p>
        </w:tc>
        <w:tc>
          <w:tcPr>
            <w:tcW w:w="1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(36,249)</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33,213</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60" w:right="220" w:hanging="252"/>
        <w:spacing w:after="0" w:line="229" w:lineRule="auto"/>
        <w:tabs>
          <w:tab w:leader="none" w:pos="254"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costs related to equipment not placed into service of $3.15 billion as of December 2, 2021 and $1.99 billion as of September 2, 2021.</w:t>
      </w:r>
    </w:p>
    <w:p>
      <w:pPr>
        <w:ind w:left="240" w:hanging="232"/>
        <w:spacing w:after="0" w:line="196" w:lineRule="auto"/>
        <w:tabs>
          <w:tab w:leader="none" w:pos="24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building-related construction, tool installation, and software costs for assets not placed into service.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 and Goodwill</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4"/>
          </w:tcPr>
          <w:p>
            <w:pPr>
              <w:ind w:left="440"/>
              <w:spacing w:after="0"/>
              <w:rPr>
                <w:sz w:val="20"/>
                <w:szCs w:val="20"/>
                <w:color w:val="auto"/>
              </w:rPr>
            </w:pPr>
            <w:r>
              <w:rPr>
                <w:rFonts w:ascii="Arial" w:cs="Arial" w:eastAsia="Arial" w:hAnsi="Arial"/>
                <w:sz w:val="18"/>
                <w:szCs w:val="18"/>
                <w:b w:val="1"/>
                <w:bCs w:val="1"/>
                <w:color w:val="auto"/>
              </w:rPr>
              <w:t>December 2, 2021</w:t>
            </w:r>
          </w:p>
        </w:tc>
        <w:tc>
          <w:tcPr>
            <w:tcW w:w="240" w:type="dxa"/>
            <w:vAlign w:val="bottom"/>
          </w:tcPr>
          <w:p>
            <w:pPr>
              <w:spacing w:after="0"/>
              <w:rPr>
                <w:sz w:val="20"/>
                <w:szCs w:val="20"/>
                <w:color w:val="auto"/>
              </w:rPr>
            </w:pPr>
          </w:p>
        </w:tc>
        <w:tc>
          <w:tcPr>
            <w:tcW w:w="26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September 2, 2021</w:t>
            </w:r>
          </w:p>
        </w:tc>
        <w:tc>
          <w:tcPr>
            <w:tcW w:w="0" w:type="dxa"/>
            <w:vAlign w:val="bottom"/>
          </w:tcPr>
          <w:p>
            <w:pPr>
              <w:spacing w:after="0"/>
              <w:rPr>
                <w:sz w:val="1"/>
                <w:szCs w:val="1"/>
                <w:color w:val="auto"/>
              </w:rPr>
            </w:pPr>
          </w:p>
        </w:tc>
      </w:tr>
      <w:tr>
        <w:trPr>
          <w:trHeight w:val="169"/>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ind w:left="20"/>
              <w:spacing w:after="0" w:line="169"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ind w:left="20"/>
              <w:spacing w:after="0" w:line="169" w:lineRule="exact"/>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29"/>
        </w:trPr>
        <w:tc>
          <w:tcPr>
            <w:tcW w:w="53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34"/>
        </w:trPr>
        <w:tc>
          <w:tcPr>
            <w:tcW w:w="536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Product and process technology</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first quarters of 2022 and 2021, we capitalized $18 million and $22 million, respectively, for product and process technology with weighted-average useful lives of 11 years and 10 years, respectively. Amortization expense was $20 million for both the first three months of 2022 and 2021. Expected amortization expense is $55 million for the remainder of 2022, $63 million for 2023, $56 million for 2024, $36 million for 2025, and $27 million for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Leases</w:t>
      </w:r>
    </w:p>
    <w:p>
      <w:pPr>
        <w:spacing w:after="0" w:line="28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Operating lease costs include short-term and variable lease expenses. Short-term, variable leases, and sublease income are not material for the periods presented. The components of lease expense are presented below:</w:t>
      </w:r>
    </w:p>
    <w:tbl>
      <w:tblPr>
        <w:tblLayout w:type="fixed"/>
        <w:tblInd w:w="0" w:type="dxa"/>
        <w:tblCellMar>
          <w:top w:w="0" w:type="dxa"/>
          <w:left w:w="0" w:type="dxa"/>
          <w:bottom w:w="0" w:type="dxa"/>
          <w:right w:w="0" w:type="dxa"/>
        </w:tblCellMar>
      </w:tblPr>
      <w:tr>
        <w:trPr>
          <w:trHeight w:val="185"/>
        </w:trPr>
        <w:tc>
          <w:tcPr>
            <w:tcW w:w="78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70"/>
              <w:spacing w:after="0" w:line="185" w:lineRule="exact"/>
              <w:rPr>
                <w:sz w:val="20"/>
                <w:szCs w:val="20"/>
                <w:color w:val="auto"/>
              </w:rPr>
            </w:pPr>
            <w:r>
              <w:rPr>
                <w:rFonts w:ascii="Arial" w:cs="Arial" w:eastAsia="Arial" w:hAnsi="Arial"/>
                <w:sz w:val="18"/>
                <w:szCs w:val="18"/>
                <w:b w:val="1"/>
                <w:bCs w:val="1"/>
                <w:color w:val="auto"/>
                <w:w w:val="98"/>
              </w:rPr>
              <w:t>December 2,</w:t>
            </w:r>
          </w:p>
        </w:tc>
        <w:tc>
          <w:tcPr>
            <w:tcW w:w="140" w:type="dxa"/>
            <w:vAlign w:val="bottom"/>
          </w:tcPr>
          <w:p>
            <w:pPr>
              <w:spacing w:after="0"/>
              <w:rPr>
                <w:sz w:val="16"/>
                <w:szCs w:val="16"/>
                <w:color w:val="auto"/>
              </w:rPr>
            </w:pPr>
          </w:p>
        </w:tc>
        <w:tc>
          <w:tcPr>
            <w:tcW w:w="1300" w:type="dxa"/>
            <w:vAlign w:val="bottom"/>
            <w:gridSpan w:val="2"/>
          </w:tcPr>
          <w:p>
            <w:pPr>
              <w:jc w:val="center"/>
              <w:ind w:right="140"/>
              <w:spacing w:after="0" w:line="185" w:lineRule="exact"/>
              <w:rPr>
                <w:sz w:val="20"/>
                <w:szCs w:val="20"/>
                <w:color w:val="auto"/>
              </w:rPr>
            </w:pPr>
            <w:r>
              <w:rPr>
                <w:rFonts w:ascii="Arial" w:cs="Arial" w:eastAsia="Arial" w:hAnsi="Arial"/>
                <w:sz w:val="18"/>
                <w:szCs w:val="18"/>
                <w:b w:val="1"/>
                <w:bCs w:val="1"/>
                <w:color w:val="auto"/>
              </w:rPr>
              <w:t>December 3,</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0090DA"/>
            </w:tcBorders>
            <w:gridSpan w:val="2"/>
            <w:vMerge w:val="continue"/>
          </w:tcPr>
          <w:p>
            <w:pPr>
              <w:spacing w:after="0"/>
              <w:rPr>
                <w:sz w:val="19"/>
                <w:szCs w:val="19"/>
                <w:color w:val="auto"/>
              </w:rPr>
            </w:pPr>
          </w:p>
        </w:tc>
        <w:tc>
          <w:tcPr>
            <w:tcW w:w="54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2021</w:t>
            </w:r>
          </w:p>
        </w:tc>
        <w:tc>
          <w:tcPr>
            <w:tcW w:w="14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gridSpan w:val="2"/>
            <w:shd w:val="clear" w:color="auto" w:fill="DDDDDD"/>
          </w:tcPr>
          <w:p>
            <w:pPr>
              <w:ind w:left="20"/>
              <w:spacing w:after="0"/>
              <w:rPr>
                <w:sz w:val="20"/>
                <w:szCs w:val="20"/>
                <w:color w:val="auto"/>
              </w:rPr>
            </w:pPr>
            <w:r>
              <w:rPr>
                <w:rFonts w:ascii="Arial" w:cs="Arial" w:eastAsia="Arial" w:hAnsi="Arial"/>
                <w:sz w:val="18"/>
                <w:szCs w:val="18"/>
                <w:color w:val="auto"/>
              </w:rPr>
              <w:t>Finance lease cost</w:t>
            </w:r>
          </w:p>
        </w:tc>
        <w:tc>
          <w:tcPr>
            <w:tcW w:w="54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tcPr>
          <w:p>
            <w:pPr>
              <w:ind w:left="100"/>
              <w:spacing w:after="0"/>
              <w:rPr>
                <w:sz w:val="20"/>
                <w:szCs w:val="20"/>
                <w:color w:val="auto"/>
              </w:rPr>
            </w:pPr>
            <w:r>
              <w:rPr>
                <w:rFonts w:ascii="Arial" w:cs="Arial" w:eastAsia="Arial" w:hAnsi="Arial"/>
                <w:sz w:val="18"/>
                <w:szCs w:val="18"/>
                <w:color w:val="auto"/>
              </w:rPr>
              <w:t>Amortization of right-of-use asset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DDDDDD"/>
          </w:tcPr>
          <w:p>
            <w:pPr>
              <w:spacing w:after="0"/>
              <w:rPr>
                <w:sz w:val="19"/>
                <w:szCs w:val="19"/>
                <w:color w:val="auto"/>
              </w:rPr>
            </w:pPr>
          </w:p>
        </w:tc>
        <w:tc>
          <w:tcPr>
            <w:tcW w:w="7780" w:type="dxa"/>
            <w:vAlign w:val="bottom"/>
            <w:shd w:val="clear" w:color="auto" w:fill="DDDDDD"/>
          </w:tcPr>
          <w:p>
            <w:pPr>
              <w:ind w:left="100"/>
              <w:spacing w:after="0"/>
              <w:rPr>
                <w:sz w:val="20"/>
                <w:szCs w:val="20"/>
                <w:color w:val="auto"/>
              </w:rPr>
            </w:pPr>
            <w:r>
              <w:rPr>
                <w:rFonts w:ascii="Arial" w:cs="Arial" w:eastAsia="Arial" w:hAnsi="Arial"/>
                <w:sz w:val="18"/>
                <w:szCs w:val="18"/>
                <w:color w:val="auto"/>
              </w:rPr>
              <w:t>Interest on lease liability</w:t>
            </w:r>
          </w:p>
        </w:tc>
        <w:tc>
          <w:tcPr>
            <w:tcW w:w="54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Borders>
              <w:bottom w:val="single" w:sz="8" w:color="DDDDDD"/>
            </w:tcBorders>
            <w:gridSpan w:val="2"/>
          </w:tcPr>
          <w:p>
            <w:pPr>
              <w:ind w:left="20"/>
              <w:spacing w:after="0"/>
              <w:rPr>
                <w:sz w:val="20"/>
                <w:szCs w:val="20"/>
                <w:color w:val="auto"/>
              </w:rPr>
            </w:pPr>
            <w:r>
              <w:rPr>
                <w:rFonts w:ascii="Arial" w:cs="Arial" w:eastAsia="Arial" w:hAnsi="Arial"/>
                <w:sz w:val="18"/>
                <w:szCs w:val="18"/>
                <w:color w:val="auto"/>
              </w:rPr>
              <w:t>Operating lease cost</w:t>
            </w:r>
          </w:p>
        </w:tc>
        <w:tc>
          <w:tcPr>
            <w:tcW w:w="540" w:type="dxa"/>
            <w:vAlign w:val="bottom"/>
            <w:tcBorders>
              <w:bottom w:val="single" w:sz="8" w:color="DDDDDD"/>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DDDDDD"/>
          </w:tcPr>
          <w:p>
            <w:pPr>
              <w:spacing w:after="0"/>
              <w:rPr>
                <w:sz w:val="21"/>
                <w:szCs w:val="21"/>
                <w:color w:val="auto"/>
              </w:rPr>
            </w:pPr>
          </w:p>
        </w:tc>
        <w:tc>
          <w:tcPr>
            <w:tcW w:w="7780" w:type="dxa"/>
            <w:vAlign w:val="bottom"/>
            <w:shd w:val="clear" w:color="auto" w:fill="DDDDDD"/>
          </w:tcPr>
          <w:p>
            <w:pPr>
              <w:spacing w:after="0"/>
              <w:rPr>
                <w:sz w:val="21"/>
                <w:szCs w:val="21"/>
                <w:color w:val="auto"/>
              </w:rPr>
            </w:pPr>
          </w:p>
        </w:tc>
        <w:tc>
          <w:tcPr>
            <w:tcW w:w="68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DDDDDD"/>
              <w:bottom w:val="single" w:sz="8" w:color="DDDDDD"/>
            </w:tcBorders>
            <w:gridSpan w:val="2"/>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54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8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8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8"/>
              </w:rPr>
              <w:t>December 2,</w:t>
            </w:r>
          </w:p>
        </w:tc>
        <w:tc>
          <w:tcPr>
            <w:tcW w:w="140" w:type="dxa"/>
            <w:vAlign w:val="bottom"/>
          </w:tcPr>
          <w:p>
            <w:pPr>
              <w:spacing w:after="0"/>
              <w:rPr>
                <w:sz w:val="17"/>
                <w:szCs w:val="17"/>
                <w:color w:val="auto"/>
              </w:rPr>
            </w:pPr>
          </w:p>
        </w:tc>
        <w:tc>
          <w:tcPr>
            <w:tcW w:w="13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rPr>
              <w:t>December 3,</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0090DA"/>
            </w:tcBorders>
            <w:gridSpan w:val="2"/>
            <w:vMerge w:val="continue"/>
          </w:tcPr>
          <w:p>
            <w:pPr>
              <w:spacing w:after="0"/>
              <w:rPr>
                <w:sz w:val="19"/>
                <w:szCs w:val="19"/>
                <w:color w:val="auto"/>
              </w:rPr>
            </w:pPr>
          </w:p>
        </w:tc>
        <w:tc>
          <w:tcPr>
            <w:tcW w:w="54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2021</w:t>
            </w:r>
          </w:p>
        </w:tc>
        <w:tc>
          <w:tcPr>
            <w:tcW w:w="14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DBDBDB"/>
          </w:tcPr>
          <w:p>
            <w:pPr>
              <w:spacing w:after="0"/>
              <w:rPr>
                <w:sz w:val="19"/>
                <w:szCs w:val="19"/>
                <w:color w:val="auto"/>
              </w:rPr>
            </w:pPr>
          </w:p>
        </w:tc>
        <w:tc>
          <w:tcPr>
            <w:tcW w:w="7780" w:type="dxa"/>
            <w:vAlign w:val="bottom"/>
            <w:shd w:val="clear" w:color="auto" w:fill="DBDBDB"/>
          </w:tcPr>
          <w:p>
            <w:pPr>
              <w:ind w:left="100"/>
              <w:spacing w:after="0"/>
              <w:rPr>
                <w:sz w:val="20"/>
                <w:szCs w:val="20"/>
                <w:color w:val="auto"/>
              </w:rPr>
            </w:pPr>
            <w:r>
              <w:rPr>
                <w:rFonts w:ascii="Arial" w:cs="Arial" w:eastAsia="Arial" w:hAnsi="Arial"/>
                <w:sz w:val="18"/>
                <w:szCs w:val="18"/>
                <w:color w:val="auto"/>
              </w:rPr>
              <w:t>Operating leases</w:t>
            </w:r>
          </w:p>
        </w:tc>
        <w:tc>
          <w:tcPr>
            <w:tcW w:w="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Cash flows used for financing activities from financing leases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DBDBDB"/>
          </w:tcPr>
          <w:p>
            <w:pPr>
              <w:spacing w:after="0"/>
              <w:rPr>
                <w:sz w:val="19"/>
                <w:szCs w:val="19"/>
                <w:color w:val="auto"/>
              </w:rPr>
            </w:pPr>
          </w:p>
        </w:tc>
        <w:tc>
          <w:tcPr>
            <w:tcW w:w="7780" w:type="dxa"/>
            <w:vAlign w:val="bottom"/>
            <w:shd w:val="clear" w:color="auto" w:fill="DBDBDB"/>
          </w:tcPr>
          <w:p>
            <w:pPr>
              <w:ind w:left="100"/>
              <w:spacing w:after="0"/>
              <w:rPr>
                <w:sz w:val="20"/>
                <w:szCs w:val="20"/>
                <w:color w:val="auto"/>
              </w:rPr>
            </w:pPr>
            <w:r>
              <w:rPr>
                <w:rFonts w:ascii="Arial" w:cs="Arial" w:eastAsia="Arial" w:hAnsi="Arial"/>
                <w:sz w:val="18"/>
                <w:szCs w:val="18"/>
                <w:color w:val="auto"/>
              </w:rPr>
              <w:t>Operating leases</w:t>
            </w:r>
          </w:p>
        </w:tc>
        <w:tc>
          <w:tcPr>
            <w:tcW w:w="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782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As of</w:t>
            </w:r>
          </w:p>
        </w:tc>
        <w:tc>
          <w:tcPr>
            <w:tcW w:w="3420" w:type="dxa"/>
            <w:vAlign w:val="bottom"/>
            <w:gridSpan w:val="6"/>
          </w:tcPr>
          <w:p>
            <w:pPr>
              <w:ind w:left="140"/>
              <w:spacing w:after="0"/>
              <w:rPr>
                <w:sz w:val="20"/>
                <w:szCs w:val="20"/>
                <w:color w:val="auto"/>
              </w:rPr>
            </w:pPr>
            <w:r>
              <w:rPr>
                <w:rFonts w:ascii="Arial" w:cs="Arial" w:eastAsia="Arial" w:hAnsi="Arial"/>
                <w:sz w:val="18"/>
                <w:szCs w:val="18"/>
                <w:b w:val="1"/>
                <w:bCs w:val="1"/>
                <w:color w:val="auto"/>
              </w:rPr>
              <w:t>December 2, 2021 September 2, 2021</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780" w:type="dxa"/>
            <w:vAlign w:val="bottom"/>
            <w:tcBorders>
              <w:top w:val="single" w:sz="8" w:color="0090DA"/>
            </w:tcBorders>
          </w:tcPr>
          <w:p>
            <w:pPr>
              <w:spacing w:after="0"/>
              <w:rPr>
                <w:sz w:val="2"/>
                <w:szCs w:val="2"/>
                <w:color w:val="auto"/>
              </w:rPr>
            </w:pPr>
          </w:p>
        </w:tc>
        <w:tc>
          <w:tcPr>
            <w:tcW w:w="54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1280" w:type="dxa"/>
            <w:vAlign w:val="bottom"/>
            <w:tcBorders>
              <w:top w:val="single" w:sz="8" w:color="0090DA"/>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778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Finance lease right-of-use assets (included in property, plant, and equipment and assets held for</w:t>
            </w:r>
          </w:p>
        </w:tc>
        <w:tc>
          <w:tcPr>
            <w:tcW w:w="5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w:t>
            </w:r>
          </w:p>
        </w:tc>
        <w:tc>
          <w:tcPr>
            <w:tcW w:w="54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886  $</w:t>
            </w:r>
          </w:p>
        </w:tc>
        <w:tc>
          <w:tcPr>
            <w:tcW w:w="14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Current operating lease liabilities (included in accounts payable and accrued expenses)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shd w:val="clear" w:color="auto" w:fill="DBDBDB"/>
          </w:tcPr>
          <w:p>
            <w:pPr>
              <w:spacing w:after="0"/>
              <w:rPr>
                <w:sz w:val="23"/>
                <w:szCs w:val="23"/>
                <w:color w:val="auto"/>
              </w:rPr>
            </w:pPr>
          </w:p>
        </w:tc>
        <w:tc>
          <w:tcPr>
            <w:tcW w:w="54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3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80" w:type="dxa"/>
            <w:vAlign w:val="bottom"/>
            <w:shd w:val="clear" w:color="auto" w:fill="DBDBDB"/>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shd w:val="clear" w:color="auto" w:fill="DBDBDB"/>
          </w:tcPr>
          <w:p>
            <w:pPr>
              <w:ind w:left="120"/>
              <w:spacing w:after="0"/>
              <w:rPr>
                <w:sz w:val="20"/>
                <w:szCs w:val="20"/>
                <w:color w:val="auto"/>
              </w:rPr>
            </w:pPr>
            <w:r>
              <w:rPr>
                <w:rFonts w:ascii="Arial" w:cs="Arial" w:eastAsia="Arial" w:hAnsi="Arial"/>
                <w:sz w:val="18"/>
                <w:szCs w:val="18"/>
                <w:color w:val="auto"/>
              </w:rPr>
              <w:t>Finance leases</w:t>
            </w:r>
          </w:p>
        </w:tc>
        <w:tc>
          <w:tcPr>
            <w:tcW w:w="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290"/>
              <w:spacing w:after="0"/>
              <w:rPr>
                <w:sz w:val="20"/>
                <w:szCs w:val="20"/>
                <w:color w:val="auto"/>
              </w:rPr>
            </w:pPr>
            <w:r>
              <w:rPr>
                <w:rFonts w:ascii="Arial" w:cs="Arial" w:eastAsia="Arial" w:hAnsi="Arial"/>
                <w:sz w:val="18"/>
                <w:szCs w:val="18"/>
                <w:color w:val="auto"/>
              </w:rPr>
              <w:t>6</w:t>
            </w:r>
          </w:p>
        </w:tc>
        <w:tc>
          <w:tcPr>
            <w:tcW w:w="14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Weighted-average discount rate</w:t>
            </w:r>
          </w:p>
        </w:tc>
        <w:tc>
          <w:tcPr>
            <w:tcW w:w="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2.69 %</w:t>
            </w:r>
          </w:p>
        </w:tc>
        <w:tc>
          <w:tcPr>
            <w:tcW w:w="14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shd w:val="clear" w:color="auto" w:fill="DBDBDB"/>
          </w:tcPr>
          <w:p>
            <w:pPr>
              <w:ind w:left="120"/>
              <w:spacing w:after="0"/>
              <w:rPr>
                <w:sz w:val="20"/>
                <w:szCs w:val="20"/>
                <w:color w:val="auto"/>
              </w:rPr>
            </w:pPr>
            <w:r>
              <w:rPr>
                <w:rFonts w:ascii="Arial" w:cs="Arial" w:eastAsia="Arial" w:hAnsi="Arial"/>
                <w:sz w:val="18"/>
                <w:szCs w:val="18"/>
                <w:color w:val="auto"/>
              </w:rPr>
              <w:t>Operating leases</w:t>
            </w:r>
          </w:p>
        </w:tc>
        <w:tc>
          <w:tcPr>
            <w:tcW w:w="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290"/>
              <w:spacing w:after="0"/>
              <w:rPr>
                <w:sz w:val="20"/>
                <w:szCs w:val="20"/>
                <w:color w:val="auto"/>
              </w:rPr>
            </w:pPr>
            <w:r>
              <w:rPr>
                <w:rFonts w:ascii="Arial" w:cs="Arial" w:eastAsia="Arial" w:hAnsi="Arial"/>
                <w:sz w:val="18"/>
                <w:szCs w:val="18"/>
                <w:color w:val="auto"/>
              </w:rPr>
              <w:t>2.63 %</w:t>
            </w:r>
          </w:p>
        </w:tc>
        <w:tc>
          <w:tcPr>
            <w:tcW w:w="14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2.63 %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7820" w:type="dxa"/>
            <w:vAlign w:val="bottom"/>
            <w:gridSpan w:val="2"/>
          </w:tcPr>
          <w:p>
            <w:pPr>
              <w:spacing w:after="0"/>
              <w:rPr>
                <w:sz w:val="20"/>
                <w:szCs w:val="20"/>
                <w:color w:val="auto"/>
              </w:rPr>
            </w:pPr>
            <w:r>
              <w:rPr>
                <w:rFonts w:ascii="Arial" w:cs="Arial" w:eastAsia="Arial" w:hAnsi="Arial"/>
                <w:sz w:val="18"/>
                <w:szCs w:val="18"/>
                <w:color w:val="auto"/>
              </w:rPr>
              <w:t>Maturities of lease liabilities existing as of December 2, 2021 were as follows: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540" w:type="dxa"/>
            <w:vAlign w:val="bottom"/>
          </w:tcPr>
          <w:p>
            <w:pPr>
              <w:spacing w:after="0"/>
              <w:rPr>
                <w:sz w:val="17"/>
                <w:szCs w:val="1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Finance Leases</w:t>
            </w:r>
          </w:p>
        </w:tc>
        <w:tc>
          <w:tcPr>
            <w:tcW w:w="140" w:type="dxa"/>
            <w:vAlign w:val="bottom"/>
          </w:tcPr>
          <w:p>
            <w:pPr>
              <w:spacing w:after="0"/>
              <w:rPr>
                <w:sz w:val="17"/>
                <w:szCs w:val="17"/>
                <w:color w:val="auto"/>
              </w:rPr>
            </w:pPr>
          </w:p>
        </w:tc>
        <w:tc>
          <w:tcPr>
            <w:tcW w:w="13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8"/>
              </w:rPr>
              <w:t>Operating</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0090DA"/>
            </w:tcBorders>
            <w:gridSpan w:val="2"/>
            <w:vMerge w:val="continue"/>
          </w:tcPr>
          <w:p>
            <w:pPr>
              <w:spacing w:after="0"/>
              <w:rPr>
                <w:sz w:val="19"/>
                <w:szCs w:val="19"/>
                <w:color w:val="auto"/>
              </w:rPr>
            </w:pPr>
          </w:p>
        </w:tc>
        <w:tc>
          <w:tcPr>
            <w:tcW w:w="540" w:type="dxa"/>
            <w:vAlign w:val="bottom"/>
            <w:tcBorders>
              <w:bottom w:val="single" w:sz="8" w:color="0090DA"/>
            </w:tcBorders>
          </w:tcPr>
          <w:p>
            <w:pPr>
              <w:spacing w:after="0"/>
              <w:rPr>
                <w:sz w:val="19"/>
                <w:szCs w:val="19"/>
                <w:color w:val="auto"/>
              </w:rPr>
            </w:pPr>
          </w:p>
        </w:tc>
        <w:tc>
          <w:tcPr>
            <w:tcW w:w="1440" w:type="dxa"/>
            <w:vAlign w:val="bottom"/>
            <w:tcBorders>
              <w:bottom w:val="single" w:sz="8" w:color="0090DA"/>
            </w:tcBorders>
            <w:gridSpan w:val="2"/>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gridSpan w:val="2"/>
          </w:tcPr>
          <w:p>
            <w:pPr>
              <w:jc w:val="center"/>
              <w:ind w:right="140"/>
              <w:spacing w:after="0"/>
              <w:rPr>
                <w:sz w:val="20"/>
                <w:szCs w:val="20"/>
                <w:color w:val="auto"/>
              </w:rPr>
            </w:pPr>
            <w:r>
              <w:rPr>
                <w:rFonts w:ascii="Arial" w:cs="Arial" w:eastAsia="Arial" w:hAnsi="Arial"/>
                <w:sz w:val="18"/>
                <w:szCs w:val="18"/>
                <w:b w:val="1"/>
                <w:bCs w:val="1"/>
                <w:color w:val="auto"/>
                <w:w w:val="98"/>
              </w:rPr>
              <w:t>Leases</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Remainder of 2022</w:t>
            </w: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2027 and thereafter</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Less imputed interest</w:t>
            </w:r>
          </w:p>
        </w:tc>
        <w:tc>
          <w:tcPr>
            <w:tcW w:w="54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table above excludes any lease liabilities for leases that have been executed but have not yet commenced. As of December 2, 2021, we had such lease liabilities relating to (1) operating lease payment obligations of $147 million for the initial 10-year lease term for a building, and (2) finance lease obligations of $ 324 million over a weighted-average period of 14 years for gas supply arrangements deemed to contain embedded leases. We will recognize right-of-use assets and associated lease liabilities at the time such assets become available for our use.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Accounts Payable and Accrued Expenses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2,</w:t>
            </w:r>
          </w:p>
        </w:tc>
        <w:tc>
          <w:tcPr>
            <w:tcW w:w="18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2,105</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321</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Debt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80" w:type="dxa"/>
            <w:vAlign w:val="bottom"/>
          </w:tcPr>
          <w:p>
            <w:pPr>
              <w:spacing w:after="0"/>
              <w:rPr>
                <w:sz w:val="20"/>
                <w:szCs w:val="20"/>
                <w:color w:val="auto"/>
              </w:rPr>
            </w:pPr>
          </w:p>
        </w:tc>
        <w:tc>
          <w:tcPr>
            <w:tcW w:w="1020" w:type="dxa"/>
            <w:vAlign w:val="bottom"/>
            <w:tcBorders>
              <w:bottom w:val="single" w:sz="8" w:color="0090DA"/>
            </w:tcBorders>
          </w:tcPr>
          <w:p>
            <w:pPr>
              <w:spacing w:after="0"/>
              <w:rPr>
                <w:sz w:val="20"/>
                <w:szCs w:val="20"/>
                <w:color w:val="auto"/>
              </w:rPr>
            </w:pPr>
          </w:p>
        </w:tc>
        <w:tc>
          <w:tcPr>
            <w:tcW w:w="2300" w:type="dxa"/>
            <w:vAlign w:val="bottom"/>
            <w:tcBorders>
              <w:bottom w:val="single" w:sz="8" w:color="0090DA"/>
            </w:tcBorders>
            <w:gridSpan w:val="4"/>
          </w:tcPr>
          <w:p>
            <w:pPr>
              <w:jc w:val="right"/>
              <w:ind w:right="10"/>
              <w:spacing w:after="0"/>
              <w:rPr>
                <w:sz w:val="20"/>
                <w:szCs w:val="20"/>
                <w:color w:val="auto"/>
              </w:rPr>
            </w:pPr>
            <w:r>
              <w:rPr>
                <w:rFonts w:ascii="Arial" w:cs="Arial" w:eastAsia="Arial" w:hAnsi="Arial"/>
                <w:sz w:val="18"/>
                <w:szCs w:val="18"/>
                <w:b w:val="1"/>
                <w:bCs w:val="1"/>
                <w:color w:val="auto"/>
              </w:rPr>
              <w:t>December 2, 2021</w:t>
            </w:r>
          </w:p>
        </w:tc>
        <w:tc>
          <w:tcPr>
            <w:tcW w:w="62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780" w:type="dxa"/>
            <w:vAlign w:val="bottom"/>
            <w:tcBorders>
              <w:bottom w:val="single" w:sz="8" w:color="0090DA"/>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2780" w:type="dxa"/>
            <w:vAlign w:val="bottom"/>
            <w:tcBorders>
              <w:bottom w:val="single" w:sz="8" w:color="0090DA"/>
            </w:tcBorders>
            <w:gridSpan w:val="5"/>
          </w:tcPr>
          <w:p>
            <w:pPr>
              <w:jc w:val="center"/>
              <w:ind w:right="70"/>
              <w:spacing w:after="0"/>
              <w:rPr>
                <w:sz w:val="20"/>
                <w:szCs w:val="20"/>
                <w:color w:val="auto"/>
              </w:rPr>
            </w:pPr>
            <w:r>
              <w:rPr>
                <w:rFonts w:ascii="Arial" w:cs="Arial" w:eastAsia="Arial" w:hAnsi="Arial"/>
                <w:sz w:val="18"/>
                <w:szCs w:val="18"/>
                <w:b w:val="1"/>
                <w:bCs w:val="1"/>
                <w:color w:val="auto"/>
                <w:w w:val="99"/>
              </w:rPr>
              <w:t>September 2, 2021</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Stated</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Effective</w:t>
            </w:r>
          </w:p>
        </w:tc>
        <w:tc>
          <w:tcPr>
            <w:tcW w:w="140" w:type="dxa"/>
            <w:vAlign w:val="bottom"/>
            <w:tcBorders>
              <w:bottom w:val="single" w:sz="8" w:color="0090DA"/>
            </w:tcBorders>
          </w:tcPr>
          <w:p>
            <w:pPr>
              <w:spacing w:after="0"/>
              <w:rPr>
                <w:sz w:val="19"/>
                <w:szCs w:val="19"/>
                <w:color w:val="auto"/>
              </w:rPr>
            </w:pPr>
          </w:p>
        </w:tc>
        <w:tc>
          <w:tcPr>
            <w:tcW w:w="2780" w:type="dxa"/>
            <w:vAlign w:val="bottom"/>
            <w:tcBorders>
              <w:bottom w:val="single" w:sz="8" w:color="0090DA"/>
            </w:tcBorders>
            <w:gridSpan w:val="5"/>
          </w:tcPr>
          <w:p>
            <w:pPr>
              <w:jc w:val="right"/>
              <w:ind w:right="470"/>
              <w:spacing w:after="0"/>
              <w:rPr>
                <w:sz w:val="20"/>
                <w:szCs w:val="20"/>
                <w:color w:val="auto"/>
              </w:rPr>
            </w:pPr>
            <w:r>
              <w:rPr>
                <w:rFonts w:ascii="Arial" w:cs="Arial" w:eastAsia="Arial" w:hAnsi="Arial"/>
                <w:sz w:val="18"/>
                <w:szCs w:val="18"/>
                <w:b w:val="1"/>
                <w:bCs w:val="1"/>
                <w:color w:val="auto"/>
              </w:rPr>
              <w:t>Net Carrying Amount</w:t>
            </w:r>
          </w:p>
        </w:tc>
        <w:tc>
          <w:tcPr>
            <w:tcW w:w="120" w:type="dxa"/>
            <w:vAlign w:val="bottom"/>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2780" w:type="dxa"/>
            <w:vAlign w:val="bottom"/>
            <w:tcBorders>
              <w:bottom w:val="single" w:sz="8" w:color="0090DA"/>
            </w:tcBorders>
            <w:gridSpan w:val="5"/>
          </w:tcPr>
          <w:p>
            <w:pPr>
              <w:jc w:val="center"/>
              <w:ind w:right="50"/>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155"/>
        </w:trPr>
        <w:tc>
          <w:tcPr>
            <w:tcW w:w="3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0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Current</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Long-Term</w:t>
            </w:r>
          </w:p>
        </w:tc>
        <w:tc>
          <w:tcPr>
            <w:tcW w:w="20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3"/>
                <w:szCs w:val="13"/>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8"/>
              </w:rPr>
              <w:t>Current</w:t>
            </w:r>
          </w:p>
        </w:tc>
        <w:tc>
          <w:tcPr>
            <w:tcW w:w="10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7"/>
              </w:rPr>
              <w:t>Long-Term</w:t>
            </w:r>
          </w:p>
        </w:tc>
        <w:tc>
          <w:tcPr>
            <w:tcW w:w="200" w:type="dxa"/>
            <w:vAlign w:val="bottom"/>
          </w:tcPr>
          <w:p>
            <w:pPr>
              <w:spacing w:after="0"/>
              <w:rPr>
                <w:sz w:val="13"/>
                <w:szCs w:val="13"/>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280" w:type="dxa"/>
            <w:vAlign w:val="bottom"/>
            <w:vMerge w:val="continue"/>
          </w:tcPr>
          <w:p>
            <w:pPr>
              <w:spacing w:after="0"/>
              <w:rPr>
                <w:sz w:val="19"/>
                <w:szCs w:val="19"/>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Rate</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Rate</w:t>
            </w:r>
          </w:p>
        </w:tc>
        <w:tc>
          <w:tcPr>
            <w:tcW w:w="80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28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800" w:type="dxa"/>
            <w:vAlign w:val="bottom"/>
            <w:tcBorders>
              <w:top w:val="single" w:sz="8" w:color="0090DA"/>
            </w:tcBorders>
          </w:tcPr>
          <w:p>
            <w:pPr>
              <w:spacing w:after="0"/>
              <w:rPr>
                <w:sz w:val="2"/>
                <w:szCs w:val="2"/>
                <w:color w:val="auto"/>
              </w:rPr>
            </w:pPr>
          </w:p>
        </w:tc>
        <w:tc>
          <w:tcPr>
            <w:tcW w:w="380" w:type="dxa"/>
            <w:vAlign w:val="bottom"/>
            <w:tcBorders>
              <w:top w:val="single" w:sz="8" w:color="0090DA"/>
            </w:tcBorders>
          </w:tcPr>
          <w:p>
            <w:pPr>
              <w:spacing w:after="0"/>
              <w:rPr>
                <w:sz w:val="2"/>
                <w:szCs w:val="2"/>
                <w:color w:val="auto"/>
              </w:rPr>
            </w:pPr>
          </w:p>
        </w:tc>
        <w:tc>
          <w:tcPr>
            <w:tcW w:w="62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8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800" w:type="dxa"/>
            <w:vAlign w:val="bottom"/>
            <w:tcBorders>
              <w:top w:val="single" w:sz="8" w:color="0090DA"/>
            </w:tcBorders>
          </w:tcPr>
          <w:p>
            <w:pPr>
              <w:spacing w:after="0"/>
              <w:rPr>
                <w:sz w:val="2"/>
                <w:szCs w:val="2"/>
                <w:color w:val="auto"/>
              </w:rPr>
            </w:pPr>
          </w:p>
        </w:tc>
        <w:tc>
          <w:tcPr>
            <w:tcW w:w="320" w:type="dxa"/>
            <w:vAlign w:val="bottom"/>
            <w:tcBorders>
              <w:top w:val="single" w:sz="8" w:color="0090DA"/>
            </w:tcBorders>
          </w:tcPr>
          <w:p>
            <w:pPr>
              <w:spacing w:after="0"/>
              <w:rPr>
                <w:sz w:val="2"/>
                <w:szCs w:val="2"/>
                <w:color w:val="auto"/>
              </w:rPr>
            </w:pPr>
          </w:p>
        </w:tc>
        <w:tc>
          <w:tcPr>
            <w:tcW w:w="68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8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Term Loan A</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0.965 %</w:t>
            </w:r>
          </w:p>
        </w:tc>
        <w:tc>
          <w:tcPr>
            <w:tcW w:w="112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1.00 % $</w:t>
            </w:r>
          </w:p>
        </w:tc>
        <w:tc>
          <w:tcPr>
            <w:tcW w:w="1180" w:type="dxa"/>
            <w:vAlign w:val="bottom"/>
            <w:gridSpan w:val="2"/>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2026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4.975 %</w:t>
            </w:r>
          </w:p>
        </w:tc>
        <w:tc>
          <w:tcPr>
            <w:tcW w:w="980" w:type="dxa"/>
            <w:vAlign w:val="bottom"/>
          </w:tcPr>
          <w:p>
            <w:pPr>
              <w:jc w:val="right"/>
              <w:spacing w:after="0"/>
              <w:rPr>
                <w:sz w:val="20"/>
                <w:szCs w:val="20"/>
                <w:color w:val="auto"/>
              </w:rPr>
            </w:pPr>
            <w:r>
              <w:rPr>
                <w:rFonts w:ascii="Arial" w:cs="Arial" w:eastAsia="Arial" w:hAnsi="Arial"/>
                <w:sz w:val="18"/>
                <w:szCs w:val="18"/>
                <w:color w:val="auto"/>
              </w:rPr>
              <w:t>5.07 %</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328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2027 Notes</w:t>
            </w:r>
            <w:r>
              <w:rPr>
                <w:rFonts w:ascii="Arial" w:cs="Arial" w:eastAsia="Arial" w:hAnsi="Arial"/>
                <w:sz w:val="23"/>
                <w:szCs w:val="23"/>
                <w:color w:val="auto"/>
                <w:vertAlign w:val="superscript"/>
              </w:rPr>
              <w:t>(1)</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4.185 %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4.27 %</w:t>
            </w: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883</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2029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tcPr>
          <w:p>
            <w:pPr>
              <w:jc w:val="right"/>
              <w:spacing w:after="0"/>
              <w:rPr>
                <w:sz w:val="20"/>
                <w:szCs w:val="20"/>
                <w:color w:val="auto"/>
              </w:rPr>
            </w:pPr>
            <w:r>
              <w:rPr>
                <w:rFonts w:ascii="Arial" w:cs="Arial" w:eastAsia="Arial" w:hAnsi="Arial"/>
                <w:sz w:val="18"/>
                <w:szCs w:val="18"/>
                <w:color w:val="auto"/>
              </w:rPr>
              <w:t>5.40 %</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3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2030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4.73 %</w:t>
            </w: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2032 Green Bonds</w:t>
            </w:r>
          </w:p>
        </w:tc>
        <w:tc>
          <w:tcPr>
            <w:tcW w:w="1020" w:type="dxa"/>
            <w:vAlign w:val="bottom"/>
          </w:tcPr>
          <w:p>
            <w:pPr>
              <w:jc w:val="right"/>
              <w:spacing w:after="0"/>
              <w:rPr>
                <w:sz w:val="20"/>
                <w:szCs w:val="20"/>
                <w:color w:val="auto"/>
              </w:rPr>
            </w:pPr>
            <w:r>
              <w:rPr>
                <w:rFonts w:ascii="Arial" w:cs="Arial" w:eastAsia="Arial" w:hAnsi="Arial"/>
                <w:sz w:val="18"/>
                <w:szCs w:val="18"/>
                <w:color w:val="auto"/>
              </w:rPr>
              <w:t>2.703 %</w:t>
            </w:r>
          </w:p>
        </w:tc>
        <w:tc>
          <w:tcPr>
            <w:tcW w:w="980" w:type="dxa"/>
            <w:vAlign w:val="bottom"/>
          </w:tcPr>
          <w:p>
            <w:pPr>
              <w:jc w:val="right"/>
              <w:spacing w:after="0"/>
              <w:rPr>
                <w:sz w:val="20"/>
                <w:szCs w:val="20"/>
                <w:color w:val="auto"/>
              </w:rPr>
            </w:pPr>
            <w:r>
              <w:rPr>
                <w:rFonts w:ascii="Arial" w:cs="Arial" w:eastAsia="Arial" w:hAnsi="Arial"/>
                <w:sz w:val="18"/>
                <w:szCs w:val="18"/>
                <w:color w:val="auto"/>
              </w:rPr>
              <w:t>2.77 %</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2041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3.366 %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3.41 %</w:t>
            </w: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2051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3.477 %</w:t>
            </w:r>
          </w:p>
        </w:tc>
        <w:tc>
          <w:tcPr>
            <w:tcW w:w="980" w:type="dxa"/>
            <w:vAlign w:val="bottom"/>
          </w:tcPr>
          <w:p>
            <w:pPr>
              <w:jc w:val="right"/>
              <w:spacing w:after="0"/>
              <w:rPr>
                <w:sz w:val="20"/>
                <w:szCs w:val="20"/>
                <w:color w:val="auto"/>
              </w:rPr>
            </w:pPr>
            <w:r>
              <w:rPr>
                <w:rFonts w:ascii="Arial" w:cs="Arial" w:eastAsia="Arial" w:hAnsi="Arial"/>
                <w:sz w:val="18"/>
                <w:szCs w:val="18"/>
                <w:color w:val="auto"/>
              </w:rPr>
              <w:t>3.52 %</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obligations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2.69 %</w:t>
            </w: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38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808</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2023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30"/>
        </w:trPr>
        <w:tc>
          <w:tcPr>
            <w:tcW w:w="3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auto"/>
            </w:tcBorders>
            <w:shd w:val="clear" w:color="auto" w:fill="D1D2D4"/>
          </w:tcPr>
          <w:p>
            <w:pPr>
              <w:spacing w:after="0"/>
              <w:rPr>
                <w:sz w:val="19"/>
                <w:szCs w:val="19"/>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D1D2D4"/>
          </w:tcPr>
          <w:p>
            <w:pPr>
              <w:spacing w:after="0"/>
              <w:rPr>
                <w:sz w:val="19"/>
                <w:szCs w:val="19"/>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Borders>
              <w:bottom w:val="single" w:sz="8" w:color="auto"/>
            </w:tcBorders>
            <w:shd w:val="clear" w:color="auto" w:fill="D1D2D4"/>
          </w:tcPr>
          <w:p>
            <w:pPr>
              <w:spacing w:after="0"/>
              <w:rPr>
                <w:sz w:val="19"/>
                <w:szCs w:val="19"/>
                <w:color w:val="auto"/>
              </w:rPr>
            </w:pP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60" w:right="200" w:hanging="252"/>
        <w:spacing w:after="0" w:line="239" w:lineRule="auto"/>
        <w:tabs>
          <w:tab w:leader="none" w:pos="254"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as a result, the carrying value of our 2027 Notes reflects adjustments in fair value.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gridSpan w:val="3"/>
          </w:tcPr>
          <w:p>
            <w:pPr>
              <w:ind w:left="80"/>
              <w:spacing w:after="0"/>
              <w:rPr>
                <w:rFonts w:ascii="Arial" w:cs="Arial" w:eastAsia="Arial" w:hAnsi="Arial"/>
                <w:sz w:val="16"/>
                <w:szCs w:val="16"/>
                <w:b w:val="1"/>
                <w:bCs w:val="1"/>
                <w:color w:val="0090DA"/>
                <w:w w:val="99"/>
              </w:rPr>
            </w:pPr>
            <w:hyperlink w:anchor="page2">
              <w:r>
                <w:rPr>
                  <w:rFonts w:ascii="Arial" w:cs="Arial" w:eastAsia="Arial" w:hAnsi="Arial"/>
                  <w:sz w:val="16"/>
                  <w:szCs w:val="16"/>
                  <w:b w:val="1"/>
                  <w:bCs w:val="1"/>
                  <w:color w:val="0090DA"/>
                  <w:w w:val="99"/>
                </w:rPr>
                <w:t>Table of Contents</w:t>
              </w:r>
            </w:hyperlink>
          </w:p>
        </w:tc>
        <w:tc>
          <w:tcPr>
            <w:tcW w:w="0" w:type="dxa"/>
            <w:vAlign w:val="bottom"/>
          </w:tcPr>
          <w:p>
            <w:pPr>
              <w:spacing w:after="0"/>
              <w:rPr>
                <w:sz w:val="1"/>
                <w:szCs w:val="1"/>
                <w:color w:val="auto"/>
              </w:rPr>
            </w:pPr>
          </w:p>
        </w:tc>
      </w:tr>
      <w:tr>
        <w:trPr>
          <w:trHeight w:val="881"/>
        </w:trPr>
        <w:tc>
          <w:tcPr>
            <w:tcW w:w="5460" w:type="dxa"/>
            <w:vAlign w:val="bottom"/>
          </w:tcPr>
          <w:p>
            <w:pPr>
              <w:spacing w:after="0"/>
              <w:rPr>
                <w:sz w:val="20"/>
                <w:szCs w:val="20"/>
                <w:color w:val="auto"/>
              </w:rPr>
            </w:pPr>
            <w:r>
              <w:rPr>
                <w:rFonts w:ascii="Arial" w:cs="Arial" w:eastAsia="Arial" w:hAnsi="Arial"/>
                <w:sz w:val="22"/>
                <w:szCs w:val="22"/>
                <w:b w:val="1"/>
                <w:bCs w:val="1"/>
                <w:color w:val="0090DA"/>
              </w:rPr>
              <w:t>Debt Activity</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90DA"/>
            </w:tcBorders>
          </w:tcPr>
          <w:p>
            <w:pPr>
              <w:spacing w:after="0"/>
              <w:rPr>
                <w:sz w:val="24"/>
                <w:szCs w:val="24"/>
                <w:color w:val="auto"/>
              </w:rPr>
            </w:pPr>
          </w:p>
        </w:tc>
        <w:tc>
          <w:tcPr>
            <w:tcW w:w="128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340" w:type="dxa"/>
            <w:vAlign w:val="bottom"/>
            <w:gridSpan w:val="5"/>
          </w:tcPr>
          <w:p>
            <w:pPr>
              <w:spacing w:after="0"/>
              <w:rPr>
                <w:sz w:val="20"/>
                <w:szCs w:val="20"/>
                <w:color w:val="auto"/>
              </w:rPr>
            </w:pPr>
            <w:r>
              <w:rPr>
                <w:rFonts w:ascii="Arial" w:cs="Arial" w:eastAsia="Arial" w:hAnsi="Arial"/>
                <w:sz w:val="18"/>
                <w:szCs w:val="18"/>
                <w:color w:val="auto"/>
              </w:rPr>
              <w:t>The table below presents the effects of issuances and prepayments of debt in the first quarter of 2022:</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Increase</w:t>
            </w:r>
          </w:p>
        </w:tc>
        <w:tc>
          <w:tcPr>
            <w:tcW w:w="14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7"/>
                <w:szCs w:val="17"/>
                <w:color w:val="auto"/>
              </w:rPr>
            </w:pPr>
          </w:p>
        </w:tc>
        <w:tc>
          <w:tcPr>
            <w:tcW w:w="13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Increase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(Decrease) in</w:t>
            </w:r>
          </w:p>
        </w:tc>
        <w:tc>
          <w:tcPr>
            <w:tcW w:w="14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rPr>
              <w:t>(Decrease) in</w:t>
            </w:r>
          </w:p>
        </w:tc>
        <w:tc>
          <w:tcPr>
            <w:tcW w:w="140" w:type="dxa"/>
            <w:vAlign w:val="bottom"/>
          </w:tcPr>
          <w:p>
            <w:pPr>
              <w:spacing w:after="0"/>
              <w:rPr>
                <w:sz w:val="15"/>
                <w:szCs w:val="15"/>
                <w:color w:val="auto"/>
              </w:rPr>
            </w:pPr>
          </w:p>
        </w:tc>
        <w:tc>
          <w:tcPr>
            <w:tcW w:w="13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(Decrease) in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Gain (Loss)</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Principal</w:t>
            </w:r>
          </w:p>
        </w:tc>
        <w:tc>
          <w:tcPr>
            <w:tcW w:w="144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w w:val="99"/>
              </w:rPr>
              <w:t>Carrying Value</w:t>
            </w:r>
          </w:p>
        </w:tc>
        <w:tc>
          <w:tcPr>
            <w:tcW w:w="14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Cash</w:t>
            </w:r>
          </w:p>
        </w:tc>
        <w:tc>
          <w:tcPr>
            <w:tcW w:w="80" w:type="dxa"/>
            <w:vAlign w:val="bottom"/>
            <w:tcBorders>
              <w:bottom w:val="single" w:sz="8" w:color="0090DA"/>
            </w:tcBorders>
          </w:tcPr>
          <w:p>
            <w:pPr>
              <w:spacing w:after="0"/>
              <w:rPr>
                <w:sz w:val="19"/>
                <w:szCs w:val="19"/>
                <w:color w:val="auto"/>
              </w:rPr>
            </w:pPr>
          </w:p>
        </w:tc>
        <w:tc>
          <w:tcPr>
            <w:tcW w:w="8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Issuances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2032 Green Bonds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994</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ind w:left="8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4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2041 Notes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center"/>
              <w:ind w:left="8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2051 Notes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ind w:left="8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Prepayments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2023 Notes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(1,247)</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29"/>
        </w:trPr>
        <w:tc>
          <w:tcPr>
            <w:tcW w:w="54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2024 Notes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(647)</w:t>
            </w:r>
          </w:p>
        </w:tc>
        <w:tc>
          <w:tcPr>
            <w:tcW w:w="8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center"/>
              <w:ind w:left="830"/>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99"/>
              </w:rPr>
              <w:t>(83)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Senior Unsecured Notes</w:t>
      </w:r>
    </w:p>
    <w:p>
      <w:pPr>
        <w:spacing w:after="0" w:line="265"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On November 1, 2021, we issued $ 2.00 billion aggregate principal amount of unsecured 2032 Green Bonds, 2041 Notes, and 2051 Notes in a public offering. Issuance costs for these notes were $14 million.</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may redeem our 2026 Notes, 2027 Notes, 2029 Notes, 2030 Notes, 2032 Green Bonds, 2041 Notes, and 2051 Notes (the “Senior Unsecured Notes”), in whole or in part, at our option prior to their respective maturity date at a redemption price equal to the greater of (i) 100% of the principal amount of the notes to be redeemed and (ii) the present value of the remaining scheduled payments of principal, in each case plus accrued interest. We may also redeem any series of our Senior Unsecured Notes, in whole or in part, at a price equal to par between two and six months prior to maturity in accordance with the respective terms of such series.</w:t>
      </w:r>
    </w:p>
    <w:p>
      <w:pPr>
        <w:spacing w:after="0" w:line="232"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Each series of Senior Unsecured Notes contains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such notes) to (1) create or incur certain liens; (2) enter into certain sale and lease-back transactions; and (3) consolidate with or merge with or into, or convey, transfer, or lease all or substantially all of our properties and assets, to another entity. These covenants are subject to a number of limitations and exceptions. Additionally, if a change of control triggering event occurs, as defined in the indentures governing our Senior Unsecured Notes, we will be required to offer to purchase such notes at 101% of the outstanding aggregate principal amount plus accrued interest up to the purchase date.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Revolving Credit Facility</w:t>
      </w:r>
    </w:p>
    <w:p>
      <w:pPr>
        <w:spacing w:after="0" w:line="2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December 2, 2021, $2.50 billion was available to us under the Revolving Credit Facility and no amounts were outstanding. Any amounts outstanding under the Revolving Credit Facility would mature in May 2026 and amounts borrowed may be prepaid any time without penalty. Any amounts drawn under the Revolving Credit Facility would generally bear interest at a rate equal to LIBOR plus 1.00% to 1.75%, depending on our corporate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440" w:type="dxa"/>
            <w:vAlign w:val="bottom"/>
            <w:gridSpan w:val="3"/>
          </w:tcPr>
          <w:p>
            <w:pPr>
              <w:jc w:val="right"/>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r>
      <w:tr>
        <w:trPr>
          <w:trHeight w:val="894"/>
        </w:trPr>
        <w:tc>
          <w:tcPr>
            <w:tcW w:w="9800" w:type="dxa"/>
            <w:vAlign w:val="bottom"/>
          </w:tcPr>
          <w:p>
            <w:pPr>
              <w:spacing w:after="0"/>
              <w:rPr>
                <w:sz w:val="20"/>
                <w:szCs w:val="20"/>
                <w:color w:val="auto"/>
              </w:rPr>
            </w:pPr>
            <w:r>
              <w:rPr>
                <w:rFonts w:ascii="Arial" w:cs="Arial" w:eastAsia="Arial" w:hAnsi="Arial"/>
                <w:sz w:val="22"/>
                <w:szCs w:val="22"/>
                <w:b w:val="1"/>
                <w:bCs w:val="1"/>
                <w:color w:val="0090DA"/>
              </w:rPr>
              <w:t>Maturities of Notes Payable</w:t>
            </w:r>
          </w:p>
        </w:tc>
        <w:tc>
          <w:tcPr>
            <w:tcW w:w="80" w:type="dxa"/>
            <w:vAlign w:val="bottom"/>
          </w:tcPr>
          <w:p>
            <w:pPr>
              <w:spacing w:after="0"/>
              <w:rPr>
                <w:sz w:val="24"/>
                <w:szCs w:val="24"/>
                <w:color w:val="auto"/>
              </w:rPr>
            </w:pPr>
          </w:p>
        </w:tc>
        <w:tc>
          <w:tcPr>
            <w:tcW w:w="440" w:type="dxa"/>
            <w:vAlign w:val="bottom"/>
            <w:tcBorders>
              <w:top w:val="single" w:sz="8" w:color="0090DA"/>
            </w:tcBorders>
          </w:tcPr>
          <w:p>
            <w:pPr>
              <w:spacing w:after="0"/>
              <w:rPr>
                <w:sz w:val="24"/>
                <w:szCs w:val="24"/>
                <w:color w:val="auto"/>
              </w:rPr>
            </w:pPr>
          </w:p>
        </w:tc>
        <w:tc>
          <w:tcPr>
            <w:tcW w:w="920" w:type="dxa"/>
            <w:vAlign w:val="bottom"/>
            <w:tcBorders>
              <w:top w:val="single" w:sz="8" w:color="0090DA"/>
            </w:tcBorders>
          </w:tcPr>
          <w:p>
            <w:pPr>
              <w:spacing w:after="0"/>
              <w:rPr>
                <w:sz w:val="24"/>
                <w:szCs w:val="24"/>
                <w:color w:val="auto"/>
              </w:rPr>
            </w:pPr>
          </w:p>
        </w:tc>
      </w:tr>
      <w:tr>
        <w:trPr>
          <w:trHeight w:val="449"/>
        </w:trPr>
        <w:tc>
          <w:tcPr>
            <w:tcW w:w="9800" w:type="dxa"/>
            <w:vAlign w:val="bottom"/>
          </w:tcPr>
          <w:p>
            <w:pPr>
              <w:spacing w:after="0"/>
              <w:rPr>
                <w:sz w:val="20"/>
                <w:szCs w:val="20"/>
                <w:color w:val="auto"/>
              </w:rPr>
            </w:pPr>
            <w:r>
              <w:rPr>
                <w:rFonts w:ascii="Arial" w:cs="Arial" w:eastAsia="Arial" w:hAnsi="Arial"/>
                <w:sz w:val="18"/>
                <w:szCs w:val="18"/>
                <w:color w:val="auto"/>
              </w:rPr>
              <w:t>As of December 2, 2021, maturities of notes payable were as follows:</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98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2022</w:t>
            </w:r>
          </w:p>
        </w:tc>
        <w:tc>
          <w:tcPr>
            <w:tcW w:w="520" w:type="dxa"/>
            <w:vAlign w:val="bottom"/>
            <w:gridSpan w:val="2"/>
            <w:shd w:val="clear" w:color="auto" w:fill="D1D2D4"/>
          </w:tcPr>
          <w:p>
            <w:pPr>
              <w:jc w:val="right"/>
              <w:ind w:right="4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4,450</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Unamortized discounts</w:t>
            </w:r>
          </w:p>
        </w:tc>
        <w:tc>
          <w:tcPr>
            <w:tcW w:w="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98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Hedge accounting fair value adjustment</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9800" w:type="dxa"/>
            <w:vAlign w:val="bottom"/>
            <w:tcBorders>
              <w:bottom w:val="single" w:sz="8" w:color="D1D2D4"/>
            </w:tcBorders>
            <w:shd w:val="clear" w:color="auto" w:fill="D1D2D4"/>
          </w:tcPr>
          <w:p>
            <w:pPr>
              <w:spacing w:after="0"/>
              <w:rPr>
                <w:sz w:val="21"/>
                <w:szCs w:val="21"/>
                <w:color w:val="auto"/>
              </w:rPr>
            </w:pPr>
          </w:p>
        </w:tc>
        <w:tc>
          <w:tcPr>
            <w:tcW w:w="520" w:type="dxa"/>
            <w:vAlign w:val="bottom"/>
            <w:tcBorders>
              <w:bottom w:val="single" w:sz="8" w:color="auto"/>
            </w:tcBorders>
            <w:gridSpan w:val="2"/>
            <w:shd w:val="clear" w:color="auto" w:fill="D1D2D4"/>
          </w:tcPr>
          <w:p>
            <w:pPr>
              <w:jc w:val="right"/>
              <w:ind w:right="4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6,096</w:t>
            </w:r>
          </w:p>
        </w:tc>
      </w:tr>
      <w:tr>
        <w:trPr>
          <w:trHeight w:val="20"/>
        </w:trPr>
        <w:tc>
          <w:tcPr>
            <w:tcW w:w="9800" w:type="dxa"/>
            <w:vAlign w:val="bottom"/>
            <w:tcBorders>
              <w:top w:val="single" w:sz="8" w:color="D1D2D4"/>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440" w:type="dxa"/>
            <w:vAlign w:val="bottom"/>
            <w:tcBorders>
              <w:top w:val="single" w:sz="8" w:color="D1D2D4"/>
              <w:bottom w:val="single" w:sz="8" w:color="auto"/>
            </w:tcBorders>
          </w:tcPr>
          <w:p>
            <w:pPr>
              <w:spacing w:after="0" w:line="20" w:lineRule="exact"/>
              <w:rPr>
                <w:sz w:val="1"/>
                <w:szCs w:val="1"/>
                <w:color w:val="auto"/>
              </w:rPr>
            </w:pPr>
          </w:p>
        </w:tc>
        <w:tc>
          <w:tcPr>
            <w:tcW w:w="92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Patent Matters</w:t>
      </w:r>
    </w:p>
    <w:p>
      <w:pPr>
        <w:spacing w:after="0" w:line="26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225"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On August 12, 2014, MLC Intellectual Property, LLC filed a patent infringement action against Micron in the U.S. District Court for the Northern District of California. The complaint alleges that Micron infringes a single U.S. patent and seeks damages, attorneys’ fees, and costs. On November 5, 2021, the District Court dismissed MLC’s claims with prejudice pursuant to a stipulation of dismissal filed by the parties.</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December 15, 2014, Innovative Memory Solutions, Inc. filed a patent infringement action against Micron in the U.S. District Court for the District of Delaware. The complaint alleges that a variety of our NAND products infringe eight U.S. patents and seeks damages, attorneys’ fees, and costs. Subsequently, six patents were invalidated or withdrawn, leaving two asserted patents in the District Court.</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 On November 26, 2021, pursuant to a settlement agreement between UMC and Micron, UMC filed an application to the Fuzhou Court to withdraw its complaints against MXA and MSS.</w:t>
      </w:r>
    </w:p>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April 3, 2018, MSS was served with another patent infringement complaint filed by Jinhua and an additional complaint filed by UMC in the Fuzhou Court. The additional complaints allege that MSS infringes two Chinese patents by manufacturing and selling certain Crucial MX300 SSDs. The complaint filed by UMC seeks an order requiring MSS to destroy inventory of the accused products and equipment for manufacturing the accused products in China; to stop manufacturing, using, selling, and offering for sale the accused products in China; and to pay damages of 90 million Chinese yuan plus court fees incurred. The complaint filed by Jinhua seeks an order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November 26, 2021, pursuant to a settlement agreement between UMC and Micron, UMC filed an application to the Fuzhou Court to withdraw its complaint against MSS.</w:t>
      </w:r>
    </w:p>
    <w:p>
      <w:pPr>
        <w:spacing w:after="0" w:line="2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The affected products made up slightly more than 1% of our annualized revenue in 2018. We are complying with the ruling and have requested the Fuzhou Court to reconsider or stay its decision.</w:t>
      </w: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May 4, 2020, Flash-Control, LLC filed a patent infringement action against Micron in the U.S. District Court for the Western District of Texas. The complaint alleges that four U.S. patents are infringed by unspecified DDR4 SDRAM, NVRDIMM, NVDIMM, 3D XPoint, and/or SSD products that incorporate memory controllers and flash memory. The complaint seeks damages, attorneys’ fees, and costs. On July 21, 2020, in a separate matter, the District Court ruled that two of the four asserted patents are invalid, and on July 14, 2021, the U.S. Court of Appeals for the Federal Circuit affirmed the ruling of invalidity.</w:t>
      </w:r>
    </w:p>
    <w:p>
      <w:pPr>
        <w:spacing w:after="0" w:line="23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On April 28, 2021, Netlist, Inc. filed two patent infringement actions against Micron, Micron Semiconductor Products, Inc. and Micron Technology Texas, LLC in the U.S. District Court for the Western District of Texas. The first complaint alleges that a single U.S. patent is infringed by certain of our non-volatile dual in-line memory modules. The second complaint alleges that three U.S. patents are infringed by certain of our load-reduced dual in-line memory modules. Each complaint seeks injunctive relief, damages, attorneys’ fees, and costs.</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May 10, 2021, Vervain, LLC filed a patent infringement action against Micron, Micron Semiconductor Products, Inc., and Micron Technology Texas, LLC in the U.S. District Court for the Western District of Texas. The complaint alleges that four U.S. patents are infringed by certain SSD products. The complaint seeks injunctive relief, damages, attorneys’ fees, and costs.</w:t>
      </w:r>
    </w:p>
    <w:p>
      <w:pPr>
        <w:spacing w:after="0" w:line="229"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substantially all of our revenue.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Qimonda</w:t>
      </w:r>
    </w:p>
    <w:p>
      <w:pPr>
        <w:spacing w:after="0" w:line="26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32"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ind w:right="140" w:firstLine="8"/>
        <w:spacing w:after="0" w:line="252"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has been able to continue to operate with full control of the Inotera Shares subject to further</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developments in the case. On April 17, 2014, Micron and Micron B.V. filed a notice of appeal with the German Appeals Court challenging the District Court’s decision. After opening briefs, the Appeals Court held a hearing on the matter on July 9, 2015, and thereafter appointed an independent expert to perform an evaluation of Dr. Jaffé’s claims that the amount Micron paid for Qimonda was less than fair market value. On January 25, 2018, the court-appointed expert issued a report concluding that the amount paid by Micron was within an acceptable fair-value range. The Appeals Court held a subsequent hearing on April 30, 2019, and on May 28, 2019, the Appeals Court remanded the case to the expert for supplemental expert opinion. On March 31, 2020, the expert presented a revised opinion to the Appeals Court which reaffirmed the earlier view that the amount paid by Micron was still within an acceptable range of fair value. On March 4, 2021, the Appeals Court issued an order setting forth a new legal view that whether the 2008 sale of Inotera Shares is voidable depends on the question whether, in October 2008, Qimonda had a restructuring plan in place, and whether Micron was aware of and reasonably relied on that restructuring plan sufficient to form a belief that Qimonda was not imminently illiquid.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Antitrust Matters</w:t>
      </w:r>
    </w:p>
    <w:p>
      <w:pPr>
        <w:spacing w:after="0" w:line="26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the plaintiffs the opportunity to file a consolidated, amended complaint. On October 28, 2019, the plaintiffs filed a consolidated, amended complaint that purported to be on behalf of a nationwide class of indirect purchasers of DRAM products. The amended complaint asserted claims based on alleged price-fixing of DRAM products under federal and state law during the period from June 1, 2016 to at least February 1, 2018, and sought treble monetary damages, costs, interest, attorneys’ fees, and other injunctive and equitable relief. On December 21, 2020, the District Court dismissed the plaintiffs’ claims and entered judgment against them. On January 19, 2021, the plaintiffs filed a notice of appeal to the U.S. Court of Appeals for the Ninth Circuit. On May 3, 2021, several plaintiffs filed a substantially identical complaint in the U.S. District Court for the Northern District of California purportedly on behalf of a nationwide class of indirect purchasers of DRAM products. On July 19, 2021, the District Court dismissed the May 3, 2021 complaint pursuant to an agreement between the plaintiffs and Micron providing that the plaintiffs may refile the complaint if the District Court’s December 21, 2020 dismissal order is not affirmed on appeal.</w:t>
      </w:r>
    </w:p>
    <w:p>
      <w:pPr>
        <w:spacing w:after="0" w:line="23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purported to be on behalf of a nationwide class of direct purchasers of DRAM products. The consolidated complaint asserted claims based on alleged price-fixing of DRAM products under federal and state law during the period from June 1, 2016 through at least February 1, 2018, and sought treble monetary damages, costs, interest, attorneys’ fees, and other injunctive and equitable relief. On December 21, 2020, the District Court granted Micron’s motion to dismiss and granted the plaintiffs permission to file a further amended complaint. On January 11, 2021, the plaintiffs filed a further amended complaint asserting substantially the same claims and seeking the same relief. On September 3, 2021, the District Court granted Micron’s motion to dismiss the further amended complaint with prejudice. On October 1, 2021, the plaintiffs filed a notice of appeal to the U.S. Court of Appeals for the Ninth Circuit.</w:t>
      </w:r>
    </w:p>
    <w:p>
      <w:pPr>
        <w:spacing w:after="0" w:line="23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Additionally, six cases have been filed in the following Canadian courts on the dates indicated: Superior Court of Quebec (April 30, 2018 and May 3, 2018), the Federal Court of Canada (May 2, 2018), the Ontario Superior Court of Justice (May 15, 2018), and the Supreme Court of British Columbia (May 10, 2018). The plaintiffs in these cases are individuals seeking certification of class actions on behalf of direct and indirect purchasers of DRAM in Canada (or regions of Canada) between June 1, 2016 and February 1, 2018. The substantive allegations in these cases are similar to those asserted in the cases filed in the United States.</w:t>
      </w:r>
    </w:p>
    <w:p>
      <w:pPr>
        <w:spacing w:after="0" w:line="23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Securities Matters</w:t>
      </w:r>
    </w:p>
    <w:p>
      <w:pPr>
        <w:spacing w:after="0" w:line="2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5, 2019, a derivative complaint was filed by a shareholder against certain current and former officers and directors of Micron, allegedly on behalf of and for the benefit of Micron, in the U.S. District Court for the District of Delaware alleging securities fraud, breaches of fiduciary duties, and other violations of law involving misrepresentations about purported anticompetitive behavior in the DRAM industry. The complaint seeks damages, fees, interest, costs, and other appropriate relief.</w:t>
      </w:r>
    </w:p>
    <w:p>
      <w:pPr>
        <w:spacing w:after="0" w:line="23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On February 9, 2021, a derivative complaint was filed by a shareholder against Sanjay Mehrotra and other current and former directors of Micron, allegedly on behalf of and for the benefit of Micron, in the U.S. District Court for the District of Delaware alleging violations of securities laws, breaches of fiduciary duties, and other violations of law involving allegedly false and misleading statements about Micron’s commitment to diversity and progress in diversifying its workforce, executive leadership, and Board of Directors. The complaint seeks damages, fees, interest, costs, and an order requiring Micron to take various actions to allegedly improve its corporate governance and internal procedures.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Other</w:t>
      </w:r>
    </w:p>
    <w:p>
      <w:pPr>
        <w:spacing w:after="0" w:line="26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December 5, 2017, Micron filed a complaint against UMC and Jinhua in the U.S. District Court for the Northern District of California. The complaint alleged that UMC and Jinhua violated the Defend Trade Secrets Act, the civil provisions of the Racketeer Influenced and Corrupt Organizations Act, and California’s Uniform Trade Secrets Act by misappropriating Micron’s trade secrets and other misconduct. Micron’s complaint sought damages, restitution, disgorgement of profits, injunctive relief, and other appropriate relief. On January 3, 2022, pursuant to a settlement agreement between UMC and Micron, the District Court dismissed Micron's claims against UMC.</w:t>
      </w:r>
    </w:p>
    <w:p>
      <w:pPr>
        <w:spacing w:after="0" w:line="2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June 13, 2019, current Micron employee, Chris Manning, filed a putative class action lawsuit on behalf of Micron employees subject to the Idaho Wage Claim Act who earned a performance-based bonus after the conclusion of 2018 whose performance rating was calculated based upon a mandatory percentage distribution range of performance ratings. On July 12, 2019, Manning and three other Company employees filed an amended complaint as putative class action representatives. On behalf of themselves and the putative class, Manning and the three other plaintiffs assert claims for violation of the Idaho Wage Claim Act, breach of contract, breach of the covenant of good faith and fair dealing, and fraud. On June 24, 2020, the court entered judgment in favor of Micron based on the statute of limitations, and the plaintiffs filed a notice of appeal on July 23, 2020.</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July 31, 2020, Micron and Intel entered into a binding arbitration agreement under which the parties agreed to present to an arbitral panel various financial disputes related to the IMFT joint venture between Micron and Intel, which ended October 31, 2019, and to other agreements relating to the joint development, production, and sale of non-volatile memory products. Each party alleges that the other owes damages relating to allegations of breach of one or more agreements.</w:t>
      </w:r>
    </w:p>
    <w:p>
      <w:pPr>
        <w:spacing w:after="0" w:line="23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On July 13, 2015, Allied Telesis, Inc. and Allied Telesis International (Asia) Pte Ltd. filed a complaint against Micron in the Superior Court of California in Santa Clara alleging breach of implied and express warranties and fraudulent inducement to contract arising from plaintiffs’ purchase of certain allegedly defective DDR1 products between 2008 and 2010. Through subsequent amendments to the complaint, the plaintiffs substituted Allied Telesis K.K. as plaintiff, withdrew the warranty claims, and added claims of fraudulent concealment, negligent misrepresentation, negligence, and strict products liability. The plaintiff’s amended complaint seeks an unspecified award of damages, including punitive damages and lost profits. On September 3, 2020, the Superior Court granted summary judgment dismissing the claims for negligence and strict products liability and denied summary judgment as to the claims for negligent misrepresentation, fraudulent concealment, and fraudulent inducement to contract. On November 15, 2021, the Superior Court granted summary judgment dismissing the claims for negligent misrepresentation and fraudulent inducement to contract. A trial regarding plaintiff’s claim for fraudulent concealment is scheduled to begin on January 10, 2022.</w:t>
      </w:r>
    </w:p>
    <w:p>
      <w:pPr>
        <w:spacing w:after="0" w:line="23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unable to predict the outcome of the patent matters, Qimonda matter, antitrust matters, securities matters, binding arbitration with Intel, or any other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are currently a party to legal actions other than those described in this note arising from the normal course of business, none of which are expected to have a material adverse effect on our business, results of operations, or financial condition.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Micron Shareholders’ Equity</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In the first quarter of 2022, we repurchased 3.6 million shares of our common stock for $259 million. Through December 2, 2021, we had repurchased an aggregate of $4.30 billion under the authorization. The shares repurchased were recorded as treasury stock.</w:t>
      </w:r>
    </w:p>
    <w:p>
      <w:pPr>
        <w:spacing w:after="0" w:line="20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first quarter of 2022, we paid dividends of $112 million ($0.10 per share) that were declared in the fourth quarter of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December 17, 2021, our Board of Directors declared a quarterly dividend of $0.10 per share, payable in cash on January 18, 2022, to shareholders of record as of the close of business on January 3, 2022.</w:t>
      </w:r>
    </w:p>
    <w:p>
      <w:pPr>
        <w:spacing w:after="0" w:line="198"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b w:val="1"/>
          <w:bCs w:val="1"/>
          <w:i w:val="1"/>
          <w:iCs w:val="1"/>
          <w:color w:val="auto"/>
        </w:rPr>
        <w:t>Accumulated Other Comprehensive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accumulated other comprehensive income by component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2, 2021 were as follows:</w:t>
      </w: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Unrealized</w:t>
            </w:r>
          </w:p>
        </w:tc>
        <w:tc>
          <w:tcPr>
            <w:tcW w:w="140" w:type="dxa"/>
            <w:vAlign w:val="bottom"/>
          </w:tcPr>
          <w:p>
            <w:pPr>
              <w:spacing w:after="0"/>
              <w:rPr>
                <w:sz w:val="16"/>
                <w:szCs w:val="16"/>
                <w:color w:val="auto"/>
              </w:rPr>
            </w:pPr>
          </w:p>
        </w:tc>
        <w:tc>
          <w:tcPr>
            <w:tcW w:w="1160" w:type="dxa"/>
            <w:vAlign w:val="bottom"/>
          </w:tcPr>
          <w:p>
            <w:pPr>
              <w:jc w:val="center"/>
              <w:ind w:right="10"/>
              <w:spacing w:after="0" w:line="187" w:lineRule="exact"/>
              <w:rPr>
                <w:sz w:val="20"/>
                <w:szCs w:val="20"/>
                <w:color w:val="auto"/>
              </w:rPr>
            </w:pPr>
            <w:r>
              <w:rPr>
                <w:rFonts w:ascii="Arial" w:cs="Arial" w:eastAsia="Arial" w:hAnsi="Arial"/>
                <w:sz w:val="18"/>
                <w:szCs w:val="18"/>
                <w:b w:val="1"/>
                <w:bCs w:val="1"/>
                <w:color w:val="auto"/>
              </w:rPr>
              <w:t>Cumulative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Gains (Losses)</w:t>
            </w:r>
          </w:p>
        </w:tc>
        <w:tc>
          <w:tcPr>
            <w:tcW w:w="120" w:type="dxa"/>
            <w:vAlign w:val="bottom"/>
          </w:tcPr>
          <w:p>
            <w:pPr>
              <w:spacing w:after="0"/>
              <w:rPr>
                <w:sz w:val="15"/>
                <w:szCs w:val="15"/>
                <w:color w:val="auto"/>
              </w:rPr>
            </w:pP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Pension</w:t>
            </w:r>
          </w:p>
        </w:tc>
        <w:tc>
          <w:tcPr>
            <w:tcW w:w="1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9"/>
              </w:rPr>
              <w:t>Foreign</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Gains (Losses)</w:t>
            </w:r>
          </w:p>
        </w:tc>
        <w:tc>
          <w:tcPr>
            <w:tcW w:w="140" w:type="dxa"/>
            <w:vAlign w:val="bottom"/>
          </w:tcPr>
          <w:p>
            <w:pPr>
              <w:spacing w:after="0"/>
              <w:rPr>
                <w:sz w:val="15"/>
                <w:szCs w:val="15"/>
                <w:color w:val="auto"/>
              </w:rPr>
            </w:pPr>
          </w:p>
        </w:tc>
        <w:tc>
          <w:tcPr>
            <w:tcW w:w="11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8"/>
              </w:rPr>
              <w:t>Currency</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320" w:type="dxa"/>
            <w:vAlign w:val="bottom"/>
            <w:gridSpan w:val="2"/>
          </w:tcPr>
          <w:p>
            <w:pPr>
              <w:jc w:val="right"/>
              <w:ind w:right="10"/>
              <w:spacing w:after="0" w:line="176" w:lineRule="exact"/>
              <w:rPr>
                <w:sz w:val="20"/>
                <w:szCs w:val="20"/>
                <w:color w:val="auto"/>
              </w:rPr>
            </w:pPr>
            <w:r>
              <w:rPr>
                <w:rFonts w:ascii="Arial" w:cs="Arial" w:eastAsia="Arial" w:hAnsi="Arial"/>
                <w:sz w:val="18"/>
                <w:szCs w:val="18"/>
                <w:b w:val="1"/>
                <w:bCs w:val="1"/>
                <w:color w:val="auto"/>
              </w:rPr>
              <w:t>on Derivative</w:t>
            </w:r>
          </w:p>
        </w:tc>
        <w:tc>
          <w:tcPr>
            <w:tcW w:w="12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Liability</w:t>
            </w:r>
          </w:p>
        </w:tc>
        <w:tc>
          <w:tcPr>
            <w:tcW w:w="16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on</w:t>
            </w:r>
          </w:p>
        </w:tc>
        <w:tc>
          <w:tcPr>
            <w:tcW w:w="140" w:type="dxa"/>
            <w:vAlign w:val="bottom"/>
          </w:tcPr>
          <w:p>
            <w:pPr>
              <w:spacing w:after="0"/>
              <w:rPr>
                <w:sz w:val="15"/>
                <w:szCs w:val="15"/>
                <w:color w:val="auto"/>
              </w:rPr>
            </w:pPr>
          </w:p>
        </w:tc>
        <w:tc>
          <w:tcPr>
            <w:tcW w:w="11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32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16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rPr>
              <w:t>Investments</w:t>
            </w:r>
          </w:p>
        </w:tc>
        <w:tc>
          <w:tcPr>
            <w:tcW w:w="14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8"/>
              </w:rPr>
              <w:t>Adjustment</w:t>
            </w:r>
          </w:p>
        </w:tc>
        <w:tc>
          <w:tcPr>
            <w:tcW w:w="32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2, 2021</w:t>
            </w:r>
          </w:p>
        </w:tc>
        <w:tc>
          <w:tcPr>
            <w:tcW w:w="120" w:type="dxa"/>
            <w:vAlign w:val="bottom"/>
            <w:tcBorders>
              <w:bottom w:val="single" w:sz="8" w:color="auto"/>
            </w:tcBorders>
            <w:shd w:val="clear" w:color="auto" w:fill="D1D2D4"/>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8"/>
        </w:trPr>
        <w:tc>
          <w:tcPr>
            <w:tcW w:w="4580" w:type="dxa"/>
            <w:vAlign w:val="bottom"/>
            <w:shd w:val="clear" w:color="auto" w:fill="D1D2D4"/>
          </w:tcPr>
          <w:p>
            <w:pPr>
              <w:ind w:left="240"/>
              <w:spacing w:after="0" w:line="189" w:lineRule="exact"/>
              <w:rPr>
                <w:sz w:val="20"/>
                <w:szCs w:val="20"/>
                <w:color w:val="auto"/>
              </w:rPr>
            </w:pPr>
            <w:r>
              <w:rPr>
                <w:rFonts w:ascii="Arial" w:cs="Arial" w:eastAsia="Arial" w:hAnsi="Arial"/>
                <w:sz w:val="18"/>
                <w:szCs w:val="18"/>
                <w:color w:val="auto"/>
              </w:rPr>
              <w:t>Amount reclassified out of accumulated other</w:t>
            </w:r>
          </w:p>
        </w:tc>
        <w:tc>
          <w:tcPr>
            <w:tcW w:w="12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160" w:type="dxa"/>
            <w:vAlign w:val="bottom"/>
            <w:shd w:val="clear" w:color="auto" w:fill="D1D2D4"/>
          </w:tcPr>
          <w:p>
            <w:pPr>
              <w:spacing w:after="0"/>
              <w:rPr>
                <w:sz w:val="16"/>
                <w:szCs w:val="16"/>
                <w:color w:val="auto"/>
              </w:rPr>
            </w:pPr>
          </w:p>
        </w:tc>
        <w:tc>
          <w:tcPr>
            <w:tcW w:w="32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D1D2D4"/>
          </w:tcPr>
          <w:p>
            <w:pPr>
              <w:spacing w:after="0"/>
              <w:rPr>
                <w:sz w:val="18"/>
                <w:szCs w:val="18"/>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1D2D4"/>
          </w:tcPr>
          <w:p>
            <w:pPr>
              <w:spacing w:after="0"/>
              <w:rPr>
                <w:sz w:val="18"/>
                <w:szCs w:val="18"/>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8"/>
                <w:szCs w:val="18"/>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8"/>
                <w:szCs w:val="18"/>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 of December 2, 2021</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gridSpan w:val="4"/>
          </w:tcPr>
          <w:p>
            <w:pPr>
              <w:jc w:val="center"/>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1124"/>
        </w:trPr>
        <w:tc>
          <w:tcPr>
            <w:tcW w:w="5800" w:type="dxa"/>
            <w:vAlign w:val="bottom"/>
          </w:tcPr>
          <w:p>
            <w:pPr>
              <w:spacing w:after="0"/>
              <w:rPr>
                <w:sz w:val="20"/>
                <w:szCs w:val="20"/>
                <w:color w:val="auto"/>
              </w:rPr>
            </w:pPr>
            <w:r>
              <w:rPr>
                <w:rFonts w:ascii="Arial" w:cs="Arial" w:eastAsia="Arial" w:hAnsi="Arial"/>
                <w:sz w:val="40"/>
                <w:szCs w:val="40"/>
                <w:b w:val="1"/>
                <w:bCs w:val="1"/>
                <w:color w:val="auto"/>
              </w:rPr>
              <w:t>Fair Value Measurements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0090DA"/>
            </w:tcBorders>
          </w:tcPr>
          <w:p>
            <w:pPr>
              <w:spacing w:after="0"/>
              <w:rPr>
                <w:sz w:val="24"/>
                <w:szCs w:val="24"/>
                <w:color w:val="auto"/>
              </w:rPr>
            </w:pPr>
          </w:p>
        </w:tc>
        <w:tc>
          <w:tcPr>
            <w:tcW w:w="1120" w:type="dxa"/>
            <w:vAlign w:val="bottom"/>
            <w:tcBorders>
              <w:top w:val="single" w:sz="8" w:color="0090D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560" w:type="dxa"/>
            <w:vAlign w:val="bottom"/>
            <w:gridSpan w:val="5"/>
          </w:tcPr>
          <w:p>
            <w:pPr>
              <w:spacing w:after="0"/>
              <w:rPr>
                <w:sz w:val="20"/>
                <w:szCs w:val="20"/>
                <w:color w:val="auto"/>
              </w:rPr>
            </w:pPr>
            <w:r>
              <w:rPr>
                <w:rFonts w:ascii="Arial" w:cs="Arial" w:eastAsia="Arial" w:hAnsi="Arial"/>
                <w:sz w:val="18"/>
                <w:szCs w:val="18"/>
                <w:color w:val="auto"/>
              </w:rPr>
              <w:t>The estimated fair values and carrying values of our outstanding debt instruments were as follows: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80" w:type="dxa"/>
            <w:vAlign w:val="bottom"/>
            <w:gridSpan w:val="3"/>
          </w:tcPr>
          <w:p>
            <w:pPr>
              <w:ind w:left="280"/>
              <w:spacing w:after="0"/>
              <w:rPr>
                <w:sz w:val="20"/>
                <w:szCs w:val="20"/>
                <w:color w:val="auto"/>
              </w:rPr>
            </w:pPr>
            <w:r>
              <w:rPr>
                <w:rFonts w:ascii="Arial" w:cs="Arial" w:eastAsia="Arial" w:hAnsi="Arial"/>
                <w:sz w:val="18"/>
                <w:szCs w:val="18"/>
                <w:b w:val="1"/>
                <w:bCs w:val="1"/>
                <w:color w:val="auto"/>
              </w:rPr>
              <w:t>December 2, 2021</w:t>
            </w:r>
          </w:p>
        </w:tc>
        <w:tc>
          <w:tcPr>
            <w:tcW w:w="280" w:type="dxa"/>
            <w:vAlign w:val="bottom"/>
          </w:tcPr>
          <w:p>
            <w:pPr>
              <w:spacing w:after="0"/>
              <w:rPr>
                <w:sz w:val="22"/>
                <w:szCs w:val="22"/>
                <w:color w:val="auto"/>
              </w:rPr>
            </w:pPr>
          </w:p>
        </w:tc>
        <w:tc>
          <w:tcPr>
            <w:tcW w:w="2420" w:type="dxa"/>
            <w:vAlign w:val="bottom"/>
            <w:gridSpan w:val="5"/>
          </w:tcPr>
          <w:p>
            <w:pPr>
              <w:ind w:left="280"/>
              <w:spacing w:after="0"/>
              <w:rPr>
                <w:sz w:val="20"/>
                <w:szCs w:val="20"/>
                <w:color w:val="auto"/>
              </w:rPr>
            </w:pPr>
            <w:r>
              <w:rPr>
                <w:rFonts w:ascii="Arial" w:cs="Arial" w:eastAsia="Arial" w:hAnsi="Arial"/>
                <w:sz w:val="18"/>
                <w:szCs w:val="18"/>
                <w:b w:val="1"/>
                <w:bCs w:val="1"/>
                <w:color w:val="auto"/>
              </w:rPr>
              <w:t>September 2, 2021</w:t>
            </w:r>
          </w:p>
        </w:tc>
        <w:tc>
          <w:tcPr>
            <w:tcW w:w="0" w:type="dxa"/>
            <w:vAlign w:val="bottom"/>
          </w:tcPr>
          <w:p>
            <w:pPr>
              <w:spacing w:after="0"/>
              <w:rPr>
                <w:sz w:val="1"/>
                <w:szCs w:val="1"/>
                <w:color w:val="auto"/>
              </w:rPr>
            </w:pPr>
          </w:p>
        </w:tc>
      </w:tr>
      <w:tr>
        <w:trPr>
          <w:trHeight w:val="169"/>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Borders>
              <w:top w:val="single" w:sz="8" w:color="0090DA"/>
            </w:tcBorders>
          </w:tcPr>
          <w:p>
            <w:pPr>
              <w:spacing w:after="0"/>
              <w:rPr>
                <w:sz w:val="14"/>
                <w:szCs w:val="14"/>
                <w:color w:val="auto"/>
              </w:rPr>
            </w:pPr>
          </w:p>
        </w:tc>
        <w:tc>
          <w:tcPr>
            <w:tcW w:w="1260" w:type="dxa"/>
            <w:vAlign w:val="bottom"/>
            <w:tcBorders>
              <w:top w:val="single" w:sz="8" w:color="0090DA"/>
            </w:tcBorders>
          </w:tcPr>
          <w:p>
            <w:pPr>
              <w:jc w:val="center"/>
              <w:ind w:right="410"/>
              <w:spacing w:after="0" w:line="169" w:lineRule="exact"/>
              <w:rPr>
                <w:sz w:val="20"/>
                <w:szCs w:val="20"/>
                <w:color w:val="auto"/>
              </w:rPr>
            </w:pPr>
            <w:r>
              <w:rPr>
                <w:rFonts w:ascii="Arial" w:cs="Arial" w:eastAsia="Arial" w:hAnsi="Arial"/>
                <w:sz w:val="18"/>
                <w:szCs w:val="18"/>
                <w:b w:val="1"/>
                <w:bCs w:val="1"/>
                <w:color w:val="auto"/>
                <w:w w:val="96"/>
              </w:rPr>
              <w:t>Fair</w:t>
            </w:r>
          </w:p>
        </w:tc>
        <w:tc>
          <w:tcPr>
            <w:tcW w:w="1120" w:type="dxa"/>
            <w:vAlign w:val="bottom"/>
            <w:tcBorders>
              <w:top w:val="single" w:sz="8" w:color="0090DA"/>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4"/>
                <w:szCs w:val="14"/>
                <w:color w:val="auto"/>
              </w:rPr>
            </w:pPr>
          </w:p>
        </w:tc>
        <w:tc>
          <w:tcPr>
            <w:tcW w:w="280" w:type="dxa"/>
            <w:vAlign w:val="bottom"/>
            <w:tcBorders>
              <w:top w:val="single" w:sz="8" w:color="0090DA"/>
            </w:tcBorders>
          </w:tcPr>
          <w:p>
            <w:pPr>
              <w:spacing w:after="0"/>
              <w:rPr>
                <w:sz w:val="14"/>
                <w:szCs w:val="14"/>
                <w:color w:val="auto"/>
              </w:rPr>
            </w:pPr>
          </w:p>
        </w:tc>
        <w:tc>
          <w:tcPr>
            <w:tcW w:w="1020" w:type="dxa"/>
            <w:vAlign w:val="bottom"/>
            <w:tcBorders>
              <w:top w:val="single" w:sz="8" w:color="0090DA"/>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6"/>
              </w:rPr>
              <w:t>Fair</w:t>
            </w:r>
          </w:p>
        </w:tc>
        <w:tc>
          <w:tcPr>
            <w:tcW w:w="20" w:type="dxa"/>
            <w:vAlign w:val="bottom"/>
            <w:tcBorders>
              <w:top w:val="single" w:sz="8" w:color="0090DA"/>
            </w:tcBorders>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20" w:type="dxa"/>
            <w:vAlign w:val="bottom"/>
            <w:tcBorders>
              <w:top w:val="single" w:sz="8" w:color="0090DA"/>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9"/>
              </w:rPr>
              <w:t>Carrying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center"/>
              <w:ind w:right="410"/>
              <w:spacing w:after="0"/>
              <w:rPr>
                <w:sz w:val="20"/>
                <w:szCs w:val="20"/>
                <w:color w:val="auto"/>
              </w:rPr>
            </w:pPr>
            <w:r>
              <w:rPr>
                <w:rFonts w:ascii="Arial" w:cs="Arial" w:eastAsia="Arial" w:hAnsi="Arial"/>
                <w:sz w:val="18"/>
                <w:szCs w:val="18"/>
                <w:b w:val="1"/>
                <w:bCs w:val="1"/>
                <w:color w:val="auto"/>
                <w:w w:val="99"/>
              </w:rPr>
              <w:t>Value</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Value</w:t>
            </w:r>
          </w:p>
        </w:tc>
        <w:tc>
          <w:tcPr>
            <w:tcW w:w="28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Value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34"/>
        </w:trPr>
        <w:tc>
          <w:tcPr>
            <w:tcW w:w="580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26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2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6,550 $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6,096</w:t>
            </w:r>
          </w:p>
        </w:tc>
        <w:tc>
          <w:tcPr>
            <w:tcW w:w="100" w:type="dxa"/>
            <w:vAlign w:val="bottom"/>
            <w:shd w:val="clear" w:color="auto" w:fill="D1D2D4"/>
          </w:tcPr>
          <w:p>
            <w:pPr>
              <w:spacing w:after="0"/>
              <w:rPr>
                <w:sz w:val="19"/>
                <w:szCs w:val="19"/>
                <w:color w:val="auto"/>
              </w:rPr>
            </w:pP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6,584</w:t>
            </w:r>
          </w:p>
        </w:tc>
        <w:tc>
          <w:tcPr>
            <w:tcW w:w="260" w:type="dxa"/>
            <w:vAlign w:val="bottom"/>
            <w:gridSpan w:val="2"/>
            <w:shd w:val="clear" w:color="auto" w:fill="D1D2D4"/>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Derivative Instruments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b w:val="1"/>
                <w:bCs w:val="1"/>
                <w:color w:val="auto"/>
                <w:w w:val="98"/>
              </w:rPr>
              <w:t>Notional or</w:t>
            </w:r>
          </w:p>
        </w:tc>
        <w:tc>
          <w:tcPr>
            <w:tcW w:w="220" w:type="dxa"/>
            <w:vAlign w:val="bottom"/>
          </w:tcPr>
          <w:p>
            <w:pPr>
              <w:spacing w:after="0"/>
              <w:rPr>
                <w:sz w:val="19"/>
                <w:szCs w:val="19"/>
                <w:color w:val="auto"/>
              </w:rPr>
            </w:pPr>
          </w:p>
        </w:tc>
        <w:tc>
          <w:tcPr>
            <w:tcW w:w="26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restart"/>
          </w:tcPr>
          <w:p>
            <w:pPr>
              <w:jc w:val="center"/>
              <w:ind w:right="112"/>
              <w:spacing w:after="0" w:line="135" w:lineRule="exact"/>
              <w:rPr>
                <w:sz w:val="20"/>
                <w:szCs w:val="20"/>
                <w:color w:val="auto"/>
              </w:rPr>
            </w:pPr>
            <w:r>
              <w:rPr>
                <w:rFonts w:ascii="Arial" w:cs="Arial" w:eastAsia="Arial" w:hAnsi="Arial"/>
                <w:sz w:val="15"/>
                <w:szCs w:val="15"/>
                <w:b w:val="1"/>
                <w:bCs w:val="1"/>
                <w:color w:val="auto"/>
              </w:rPr>
              <w:t>Contractual</w:t>
            </w:r>
          </w:p>
        </w:tc>
        <w:tc>
          <w:tcPr>
            <w:tcW w:w="220" w:type="dxa"/>
            <w:vAlign w:val="bottom"/>
            <w:tcBorders>
              <w:bottom w:val="single" w:sz="8" w:color="0090DA"/>
            </w:tcBorders>
          </w:tcPr>
          <w:p>
            <w:pPr>
              <w:spacing w:after="0"/>
              <w:rPr>
                <w:sz w:val="4"/>
                <w:szCs w:val="4"/>
                <w:color w:val="auto"/>
              </w:rPr>
            </w:pPr>
          </w:p>
        </w:tc>
        <w:tc>
          <w:tcPr>
            <w:tcW w:w="1180" w:type="dxa"/>
            <w:vAlign w:val="bottom"/>
            <w:tcBorders>
              <w:bottom w:val="single" w:sz="8" w:color="0090DA"/>
            </w:tcBorders>
          </w:tcPr>
          <w:p>
            <w:pPr>
              <w:spacing w:after="0"/>
              <w:rPr>
                <w:sz w:val="4"/>
                <w:szCs w:val="4"/>
                <w:color w:val="auto"/>
              </w:rPr>
            </w:pPr>
          </w:p>
        </w:tc>
        <w:tc>
          <w:tcPr>
            <w:tcW w:w="220" w:type="dxa"/>
            <w:vAlign w:val="bottom"/>
            <w:tcBorders>
              <w:bottom w:val="single" w:sz="8" w:color="0090DA"/>
            </w:tcBorders>
          </w:tcPr>
          <w:p>
            <w:pPr>
              <w:spacing w:after="0"/>
              <w:rPr>
                <w:sz w:val="4"/>
                <w:szCs w:val="4"/>
                <w:color w:val="auto"/>
              </w:rPr>
            </w:pPr>
          </w:p>
        </w:tc>
        <w:tc>
          <w:tcPr>
            <w:tcW w:w="1260" w:type="dxa"/>
            <w:vAlign w:val="bottom"/>
            <w:tcBorders>
              <w:bottom w:val="single" w:sz="8" w:color="0090DA"/>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(1)</w:t>
            </w:r>
          </w:p>
        </w:tc>
        <w:tc>
          <w:tcPr>
            <w:tcW w:w="220" w:type="dxa"/>
            <w:vAlign w:val="bottom"/>
          </w:tcPr>
          <w:p>
            <w:pPr>
              <w:spacing w:after="0"/>
              <w:rPr>
                <w:sz w:val="5"/>
                <w:szCs w:val="5"/>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center"/>
              <w:ind w:right="11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December 2, 2021</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5,469</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1,858</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2, 2021</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3,601</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240" w:hanging="232"/>
        <w:spacing w:after="0"/>
        <w:tabs>
          <w:tab w:leader="none" w:pos="240" w:val="left"/>
        </w:tabs>
        <w:numPr>
          <w:ilvl w:val="0"/>
          <w:numId w:val="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and other noncurrent assets.</w:t>
      </w:r>
    </w:p>
    <w:p>
      <w:pPr>
        <w:ind w:left="240" w:hanging="232"/>
        <w:spacing w:after="0" w:line="196" w:lineRule="auto"/>
        <w:tabs>
          <w:tab w:leader="none" w:pos="240" w:val="left"/>
        </w:tabs>
        <w:numPr>
          <w:ilvl w:val="0"/>
          <w:numId w:val="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and other noncurrent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 Hedge Accounting Designation</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forward and swap contracts that generally mature within two years designated as cash flow hedges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exposure to changes in currency exchange rates or commodity prices for certain capital expenditures and manufacturing costs. Forward and swap contracts are measured at fair value based on market-based observable inputs including market spot and forward rates, interest rates, and credit-risk spreads (Level 2). We do not use derivative instruments for speculative purposes. We recognized losses of $100 million and gains of $47 million for the first quarters of 2022 and 2021, respectively, in accumulated other comprehensive income from cash flow hedges. As of December 2, 2021, we expect to reclassify $59 million of pre-tax losses related to cash flow hedges from accumulated other comprehensive income into earnings in the next 12 months.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fixed-to-floating interest rate swaps designated as fair value hedges to minimize certain exposures to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fair value of fixed-rate debt that result from fluctuations in benchmark interest rates. Interest rate swaps are measured at fair value based on market-based observable inputs including interest rates and credit-risk spreads (Level 2). The changes in the fair values of derivatives designated as fair value hedges and the offsetting changes in the underlying fair values of the hedged items are both recognized in earnings. When a derivative is no longer designated as a fair value hedge for any reason, including termination and maturity, the remaining unamortized difference between the carrying value of the hedged item at that time and the face value of the hedged item is amortized to earnings over the remaining life of the hedged item, or immediately if the hedged item has matured or been extinguished. The effects of fair value hedges on our consolidated statements of operations, recognized in interest expense, were not significant for the periods presented.</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without Hedge Accounting Designation</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significant for the periods presented.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Plans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 2021, 98 million shares of our common stock were available for future awards under our equity plans.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Restricted Stock and Restricted Stock Units (“Restricted Stock Awards”)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2022, our Board of Directors approved dividend equivalent rights for unvested restricted stock units awarded on or after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13, 2021. Restricted Stock Awards activity is summarized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28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2,</w:t>
            </w:r>
          </w:p>
        </w:tc>
        <w:tc>
          <w:tcPr>
            <w:tcW w:w="16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December 3,</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0090DA"/>
            </w:tcBorders>
            <w:vMerge w:val="continue"/>
          </w:tcPr>
          <w:p>
            <w:pPr>
              <w:spacing w:after="0"/>
              <w:rPr>
                <w:sz w:val="19"/>
                <w:szCs w:val="19"/>
                <w:color w:val="auto"/>
              </w:rPr>
            </w:pPr>
          </w:p>
        </w:tc>
        <w:tc>
          <w:tcPr>
            <w:tcW w:w="228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0090DA"/>
            </w:tcBorders>
          </w:tcPr>
          <w:p>
            <w:pPr>
              <w:spacing w:after="0"/>
              <w:rPr>
                <w:sz w:val="19"/>
                <w:szCs w:val="19"/>
                <w:color w:val="auto"/>
              </w:rPr>
            </w:pPr>
          </w:p>
        </w:tc>
        <w:tc>
          <w:tcPr>
            <w:tcW w:w="1340" w:type="dxa"/>
            <w:vAlign w:val="bottom"/>
            <w:tcBorders>
              <w:bottom w:val="single" w:sz="8" w:color="0090DA"/>
            </w:tcBorders>
          </w:tcPr>
          <w:p>
            <w:pPr>
              <w:jc w:val="right"/>
              <w:ind w:right="452"/>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228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D1D2D4"/>
          </w:tcPr>
          <w:p>
            <w:pPr>
              <w:spacing w:after="0"/>
              <w:rPr>
                <w:sz w:val="19"/>
                <w:szCs w:val="19"/>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70.42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6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121"/>
        </w:trPr>
        <w:tc>
          <w:tcPr>
            <w:tcW w:w="60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-334010</wp:posOffset>
            </wp:positionV>
            <wp:extent cx="643255"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3255"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Stock-based Compensation Expense</w:t>
      </w:r>
    </w:p>
    <w:p>
      <w:pPr>
        <w:spacing w:after="0" w:line="26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Stock based compensation expense recognized in our statements of operations is presented below. Stock-based compensation expense of $36 million and $30 million was capitalized and remained in inventory as of December 2, 2021 and September 2, 2021, respectively.</w:t>
      </w:r>
    </w:p>
    <w:tbl>
      <w:tblPr>
        <w:tblLayout w:type="fixed"/>
        <w:tblInd w:w="0" w:type="dxa"/>
        <w:tblCellMar>
          <w:top w:w="0" w:type="dxa"/>
          <w:left w:w="0" w:type="dxa"/>
          <w:bottom w:w="0" w:type="dxa"/>
          <w:right w:w="0" w:type="dxa"/>
        </w:tblCellMar>
      </w:tblPr>
      <w:tr>
        <w:trPr>
          <w:trHeight w:val="185"/>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6"/>
                <w:szCs w:val="16"/>
                <w:color w:val="auto"/>
              </w:rPr>
            </w:pPr>
          </w:p>
        </w:tc>
        <w:tc>
          <w:tcPr>
            <w:tcW w:w="1300" w:type="dxa"/>
            <w:vAlign w:val="bottom"/>
          </w:tcPr>
          <w:p>
            <w:pPr>
              <w:jc w:val="right"/>
              <w:ind w:right="110"/>
              <w:spacing w:after="0" w:line="185" w:lineRule="exact"/>
              <w:rPr>
                <w:sz w:val="20"/>
                <w:szCs w:val="20"/>
                <w:color w:val="auto"/>
              </w:rPr>
            </w:pPr>
            <w:r>
              <w:rPr>
                <w:rFonts w:ascii="Arial" w:cs="Arial" w:eastAsia="Arial" w:hAnsi="Arial"/>
                <w:sz w:val="18"/>
                <w:szCs w:val="18"/>
                <w:b w:val="1"/>
                <w:bCs w:val="1"/>
                <w:color w:val="auto"/>
              </w:rPr>
              <w:t>December 2,</w:t>
            </w:r>
          </w:p>
        </w:tc>
        <w:tc>
          <w:tcPr>
            <w:tcW w:w="140" w:type="dxa"/>
            <w:vAlign w:val="bottom"/>
          </w:tcPr>
          <w:p>
            <w:pPr>
              <w:spacing w:after="0"/>
              <w:rPr>
                <w:sz w:val="16"/>
                <w:szCs w:val="16"/>
                <w:color w:val="auto"/>
              </w:rPr>
            </w:pPr>
          </w:p>
        </w:tc>
        <w:tc>
          <w:tcPr>
            <w:tcW w:w="1300" w:type="dxa"/>
            <w:vAlign w:val="bottom"/>
          </w:tcPr>
          <w:p>
            <w:pPr>
              <w:jc w:val="right"/>
              <w:ind w:right="90"/>
              <w:spacing w:after="0" w:line="185" w:lineRule="exact"/>
              <w:rPr>
                <w:sz w:val="20"/>
                <w:szCs w:val="20"/>
                <w:color w:val="auto"/>
              </w:rPr>
            </w:pPr>
            <w:r>
              <w:rPr>
                <w:rFonts w:ascii="Arial" w:cs="Arial" w:eastAsia="Arial" w:hAnsi="Arial"/>
                <w:sz w:val="18"/>
                <w:szCs w:val="18"/>
                <w:b w:val="1"/>
                <w:bCs w:val="1"/>
                <w:color w:val="auto"/>
              </w:rPr>
              <w:t>December 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Restricted stock awards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ESPP</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760"/>
        <w:spacing w:after="0" w:line="291" w:lineRule="auto"/>
        <w:rPr>
          <w:sz w:val="20"/>
          <w:szCs w:val="20"/>
          <w:color w:val="auto"/>
        </w:rPr>
      </w:pPr>
      <w:r>
        <w:rPr>
          <w:rFonts w:ascii="Arial" w:cs="Arial" w:eastAsia="Arial" w:hAnsi="Arial"/>
          <w:sz w:val="17"/>
          <w:szCs w:val="17"/>
          <w:color w:val="auto"/>
        </w:rPr>
        <w:t>As of December 2, 2021, $1.21 billion of total unrecognized compensation costs for unvested awards, before the effect of any future forfeitures, was expected to be recognized through the first quarter of 2026, resulting in a weighted-average period of 1.5 years.</w:t>
      </w:r>
    </w:p>
    <w:p>
      <w:pPr>
        <w:spacing w:after="0" w:line="1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 and Customer Contract Liabilities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Technology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2,</w:t>
            </w:r>
          </w:p>
        </w:tc>
        <w:tc>
          <w:tcPr>
            <w:tcW w:w="18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5,587</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NAND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1,878</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3D XPoint memory and NOR)</w:t>
            </w:r>
          </w:p>
        </w:tc>
        <w:tc>
          <w:tcPr>
            <w:tcW w:w="14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“Segment and Other Information” for disclosure of disaggregated revenue by market segment.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Customer Contract Liabilities</w:t>
      </w:r>
    </w:p>
    <w:p>
      <w:pPr>
        <w:spacing w:after="0" w:line="26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Contract liabilities from customer advance payments made to secure product in future periods were $74 million as of December 2, 2021 and as of September 2, 2021, and were reported within other current liabilities. Revenue recognized during the first quarter of 2022 from the ending balance of 2021 was $63 million from meeting performance obligations by shipping against customer advances.</w:t>
      </w:r>
    </w:p>
    <w:p>
      <w:pPr>
        <w:spacing w:after="0" w:line="2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December 2, 2021, our future performance obligations beyond one year were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As of December 2, 2021 and September 2, 2021, other current liabilities included $ 824 million and $846 million for estimates of consideration payable to customers, respectively, including estimates for pricing adjustments and returns.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Restructure and Asset Impairments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900" w:type="dxa"/>
            <w:vAlign w:val="bottom"/>
          </w:tcPr>
          <w:p>
            <w:pPr>
              <w:spacing w:after="0"/>
              <w:rPr>
                <w:sz w:val="17"/>
                <w:szCs w:val="17"/>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December 2,</w:t>
            </w:r>
          </w:p>
        </w:tc>
        <w:tc>
          <w:tcPr>
            <w:tcW w:w="180" w:type="dxa"/>
            <w:vAlign w:val="bottom"/>
          </w:tcPr>
          <w:p>
            <w:pPr>
              <w:spacing w:after="0"/>
              <w:rPr>
                <w:sz w:val="17"/>
                <w:szCs w:val="17"/>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December 3,</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0090DA"/>
            </w:tcBorders>
            <w:vMerge w:val="continue"/>
          </w:tcPr>
          <w:p>
            <w:pPr>
              <w:spacing w:after="0"/>
              <w:rPr>
                <w:sz w:val="19"/>
                <w:szCs w:val="19"/>
                <w:color w:val="auto"/>
              </w:rPr>
            </w:pPr>
          </w:p>
        </w:tc>
        <w:tc>
          <w:tcPr>
            <w:tcW w:w="290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55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Restructure and asset impairments for the first quarter of 2022 primarily related to the sale of our Lehi, Utah facility. See “Lehi, Utah Fab and 3D XPoint.”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Non-Operating Income (Expense), Net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2,</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 (loss) on investments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Gain (loss) on debt repurchases and conversions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Income Taxes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2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2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6"/>
        </w:trPr>
        <w:tc>
          <w:tcPr>
            <w:tcW w:w="64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4780" w:type="dxa"/>
            <w:vAlign w:val="bottom"/>
            <w:tcBorders>
              <w:bottom w:val="single" w:sz="8" w:color="0090DA"/>
            </w:tcBorders>
            <w:gridSpan w:val="4"/>
          </w:tcPr>
          <w:p>
            <w:pPr>
              <w:ind w:left="1620"/>
              <w:spacing w:after="0"/>
              <w:rPr>
                <w:sz w:val="20"/>
                <w:szCs w:val="20"/>
                <w:color w:val="auto"/>
              </w:rPr>
            </w:pPr>
            <w:r>
              <w:rPr>
                <w:rFonts w:ascii="Arial" w:cs="Arial" w:eastAsia="Arial" w:hAnsi="Arial"/>
                <w:sz w:val="18"/>
                <w:szCs w:val="18"/>
                <w:b w:val="1"/>
                <w:bCs w:val="1"/>
                <w:color w:val="auto"/>
              </w:rPr>
              <w:t>December 2, 2021 December 3, 2020</w:t>
            </w:r>
          </w:p>
        </w:tc>
      </w:tr>
      <w:tr>
        <w:trPr>
          <w:trHeight w:val="34"/>
        </w:trPr>
        <w:tc>
          <w:tcPr>
            <w:tcW w:w="6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6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before taxes</w:t>
            </w:r>
          </w:p>
        </w:tc>
        <w:tc>
          <w:tcPr>
            <w:tcW w:w="2100" w:type="dxa"/>
            <w:vAlign w:val="bottom"/>
            <w:shd w:val="clear" w:color="auto" w:fill="D1D2D4"/>
          </w:tcPr>
          <w:p>
            <w:pPr>
              <w:ind w:left="1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2,521</w:t>
            </w:r>
          </w:p>
        </w:tc>
        <w:tc>
          <w:tcPr>
            <w:tcW w:w="600" w:type="dxa"/>
            <w:vAlign w:val="bottom"/>
            <w:shd w:val="clear" w:color="auto" w:fill="D1D2D4"/>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841</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10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(219)</w:t>
            </w:r>
          </w:p>
        </w:tc>
        <w:tc>
          <w:tcPr>
            <w:tcW w:w="6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(51)</w:t>
            </w:r>
          </w:p>
        </w:tc>
      </w:tr>
      <w:tr>
        <w:trPr>
          <w:trHeight w:val="230"/>
        </w:trPr>
        <w:tc>
          <w:tcPr>
            <w:tcW w:w="6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210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8.7 %</w:t>
            </w:r>
          </w:p>
        </w:tc>
        <w:tc>
          <w:tcPr>
            <w:tcW w:w="6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6.1 %</w:t>
            </w:r>
          </w:p>
        </w:tc>
      </w:tr>
    </w:tbl>
    <w:p>
      <w:pPr>
        <w:spacing w:after="0" w:line="33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$290 million (benefiting our diluted earnings per share by $0.26) for the first quarter of 2022, and by $56 million ($0.05 per diluted share) for the first quarter of 2021.</w:t>
      </w:r>
    </w:p>
    <w:p>
      <w:pPr>
        <w:spacing w:after="0" w:line="23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As of December 2, 2021, gross unrecognized tax benefits were $680 million, substantially all of which would affect our effective tax rate in the future, if recognized. Amounts accrued for interest and penalties related to uncertain tax positions were not significant for any period presented. We are currently under audit by the U.S. Internal Revenue Service for our 2018 and 2019 tax years. We believe that adequate amounts of taxes and related interest and penalties have been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gridSpan w:val="3"/>
          </w:tcPr>
          <w:p>
            <w:pPr>
              <w:jc w:val="right"/>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1124"/>
        </w:trPr>
        <w:tc>
          <w:tcPr>
            <w:tcW w:w="8360" w:type="dxa"/>
            <w:vAlign w:val="bottom"/>
          </w:tcPr>
          <w:p>
            <w:pPr>
              <w:spacing w:after="0"/>
              <w:rPr>
                <w:sz w:val="20"/>
                <w:szCs w:val="20"/>
                <w:color w:val="auto"/>
              </w:rPr>
            </w:pPr>
            <w:r>
              <w:rPr>
                <w:rFonts w:ascii="Arial" w:cs="Arial" w:eastAsia="Arial" w:hAnsi="Arial"/>
                <w:sz w:val="40"/>
                <w:szCs w:val="40"/>
                <w:b w:val="1"/>
                <w:bCs w:val="1"/>
                <w:color w:val="auto"/>
              </w:rPr>
              <w:t>Earnings Per Share</w:t>
            </w:r>
          </w:p>
        </w:tc>
        <w:tc>
          <w:tcPr>
            <w:tcW w:w="140" w:type="dxa"/>
            <w:vAlign w:val="bottom"/>
          </w:tcPr>
          <w:p>
            <w:pPr>
              <w:spacing w:after="0"/>
              <w:rPr>
                <w:sz w:val="24"/>
                <w:szCs w:val="24"/>
                <w:color w:val="auto"/>
              </w:rPr>
            </w:pP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December 2,</w:t>
            </w:r>
          </w:p>
        </w:tc>
        <w:tc>
          <w:tcPr>
            <w:tcW w:w="12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vMerge w:val="restart"/>
          </w:tcPr>
          <w:p>
            <w:pPr>
              <w:jc w:val="right"/>
              <w:ind w:right="90"/>
              <w:spacing w:after="0"/>
              <w:rPr>
                <w:sz w:val="20"/>
                <w:szCs w:val="20"/>
                <w:color w:val="auto"/>
              </w:rPr>
            </w:pPr>
            <w:r>
              <w:rPr>
                <w:rFonts w:ascii="Arial" w:cs="Arial" w:eastAsia="Arial" w:hAnsi="Arial"/>
                <w:sz w:val="18"/>
                <w:szCs w:val="18"/>
                <w:b w:val="1"/>
                <w:bCs w:val="1"/>
                <w:color w:val="auto"/>
              </w:rPr>
              <w:t>December 3,</w:t>
            </w:r>
          </w:p>
        </w:tc>
        <w:tc>
          <w:tcPr>
            <w:tcW w:w="0" w:type="dxa"/>
            <w:vAlign w:val="bottom"/>
          </w:tcPr>
          <w:p>
            <w:pPr>
              <w:spacing w:after="0"/>
              <w:rPr>
                <w:sz w:val="1"/>
                <w:szCs w:val="1"/>
                <w:color w:val="auto"/>
              </w:rPr>
            </w:pPr>
          </w:p>
        </w:tc>
      </w:tr>
      <w:tr>
        <w:trPr>
          <w:trHeight w:val="179"/>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0090DA"/>
            </w:tcBorders>
          </w:tcPr>
          <w:p>
            <w:pPr>
              <w:spacing w:after="0"/>
              <w:rPr>
                <w:sz w:val="19"/>
                <w:szCs w:val="19"/>
                <w:color w:val="auto"/>
              </w:rPr>
            </w:pPr>
          </w:p>
        </w:tc>
        <w:tc>
          <w:tcPr>
            <w:tcW w:w="6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Basic and Diluted</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2,306</w:t>
            </w:r>
          </w:p>
        </w:tc>
        <w:tc>
          <w:tcPr>
            <w:tcW w:w="1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plans and convertible notes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40" w:type="dxa"/>
            <w:vAlign w:val="bottom"/>
            <w:tcBorders>
              <w:bottom w:val="single" w:sz="8" w:color="auto"/>
            </w:tcBorders>
            <w:shd w:val="clear" w:color="auto" w:fill="D1D2D4"/>
          </w:tcPr>
          <w:p>
            <w:pPr>
              <w:spacing w:after="0"/>
              <w:rPr>
                <w:sz w:val="21"/>
                <w:szCs w:val="21"/>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auto"/>
            </w:tcBorders>
            <w:shd w:val="clear" w:color="auto" w:fill="D1D2D4"/>
          </w:tcPr>
          <w:p>
            <w:pPr>
              <w:spacing w:after="0"/>
              <w:rPr>
                <w:sz w:val="21"/>
                <w:szCs w:val="21"/>
                <w:color w:val="auto"/>
              </w:rPr>
            </w:pPr>
          </w:p>
        </w:tc>
        <w:tc>
          <w:tcPr>
            <w:tcW w:w="60" w:type="dxa"/>
            <w:vAlign w:val="bottom"/>
            <w:tcBorders>
              <w:bottom w:val="single" w:sz="8" w:color="auto"/>
            </w:tcBorders>
            <w:shd w:val="clear" w:color="auto" w:fill="D1D2D4"/>
          </w:tcPr>
          <w:p>
            <w:pPr>
              <w:spacing w:after="0"/>
              <w:rPr>
                <w:sz w:val="21"/>
                <w:szCs w:val="21"/>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30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Antidilutive potential common stock shares that could dilute basic earnings per share in the future were 3 million and 2 million for the first quarters of 2022 and 2021, respectively.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8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203" w:lineRule="exact"/>
        <w:rPr>
          <w:sz w:val="20"/>
          <w:szCs w:val="20"/>
          <w:color w:val="auto"/>
        </w:rPr>
      </w:pPr>
    </w:p>
    <w:p>
      <w:pPr>
        <w:ind w:left="340" w:right="380" w:hanging="323"/>
        <w:spacing w:after="0" w:line="263"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client, cloud server, enterprise,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w:t>
      </w: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smartphone and other mobile-device markets.</w:t>
      </w:r>
    </w:p>
    <w:p>
      <w:pPr>
        <w:spacing w:after="0" w:line="9" w:lineRule="exact"/>
        <w:rPr>
          <w:sz w:val="20"/>
          <w:szCs w:val="20"/>
          <w:color w:val="auto"/>
        </w:rPr>
      </w:pPr>
    </w:p>
    <w:p>
      <w:pPr>
        <w:ind w:left="340" w:hanging="323"/>
        <w:spacing w:after="0" w:line="250"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and other discrete storage products sold in component and wafer form.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gridSpan w:val="3"/>
          </w:tcPr>
          <w:p>
            <w:pPr>
              <w:jc w:val="right"/>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831"/>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2,</w:t>
            </w:r>
          </w:p>
        </w:tc>
        <w:tc>
          <w:tcPr>
            <w:tcW w:w="8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tcPr>
          <w:p>
            <w:pPr>
              <w:jc w:val="right"/>
              <w:ind w:right="90"/>
              <w:spacing w:after="0"/>
              <w:rPr>
                <w:sz w:val="20"/>
                <w:szCs w:val="20"/>
                <w:color w:val="auto"/>
              </w:rPr>
            </w:pPr>
            <w:r>
              <w:rPr>
                <w:rFonts w:ascii="Arial" w:cs="Arial" w:eastAsia="Arial" w:hAnsi="Arial"/>
                <w:sz w:val="18"/>
                <w:szCs w:val="18"/>
                <w:b w:val="1"/>
                <w:bCs w:val="1"/>
                <w:color w:val="auto"/>
              </w:rPr>
              <w:t>December 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0090DA"/>
            </w:tcBorders>
          </w:tcPr>
          <w:p>
            <w:pPr>
              <w:spacing w:after="0"/>
              <w:rPr>
                <w:sz w:val="19"/>
                <w:szCs w:val="19"/>
                <w:color w:val="auto"/>
              </w:rPr>
            </w:pPr>
          </w:p>
        </w:tc>
        <w:tc>
          <w:tcPr>
            <w:tcW w:w="6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CNBU</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3,406</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1,907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SBU</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1,220</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7,687</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CNBU</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1,524</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SBU</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422</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2,725</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2,631</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Certain Concentrations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Revenue from Kingston Technology Company, Inc. was 10% of total revenue for the first three months of 2022.</w:t>
      </w:r>
    </w:p>
    <w:p>
      <w:pPr>
        <w:spacing w:after="0" w:line="200" w:lineRule="exact"/>
        <w:rPr>
          <w:sz w:val="20"/>
          <w:szCs w:val="20"/>
          <w:color w:val="auto"/>
        </w:rPr>
      </w:pPr>
    </w:p>
    <w:p>
      <w:pPr>
        <w:spacing w:after="0" w:line="265" w:lineRule="exact"/>
        <w:rPr>
          <w:sz w:val="20"/>
          <w:szCs w:val="20"/>
          <w:color w:val="auto"/>
        </w:rPr>
      </w:pPr>
    </w:p>
    <w:p>
      <w:pPr>
        <w:ind w:right="700"/>
        <w:spacing w:after="0" w:line="28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5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included in our Annual report on Form 10-K for the year ended September 2, 2021. All period references are to our fiscal periods unless otherwise indicated. Our fiscal year is the 52 or 53-week period ending on the Thursday closest to August 31. Fiscal years 2022 and 2021 each contain 52 weeks. All tabular dollar amounts are in millions, except per share amounts.</w:t>
      </w:r>
    </w:p>
    <w:p>
      <w:pPr>
        <w:spacing w:after="0" w:line="19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Micron Technology, Inc., including its consolidated subsidiaries, is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manufacture our products at wholly-owned facilities and also utilize subcontractors to perform certain manufacturing processes. We make significant investments to develop proprietary product and process technology, which are implemented in our manufacturing facilities. Advancements in product and process technology generally increase the density per wafer and reduce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2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introduction of 176-layer NAND and 1α (1-alpha) DRAM represent major technology breakthroughs for our company and the first time in our history that we have achieved industry leadership across these two flagship technologies. In 2021, we introduced our industry leading 1α memory node, the world’s most advanced memory node in high-volume production. This advancement has been realized across our standard compute DRAM and LPDRAM product lines. We also launched 176-layer NAND-based solutions into the market in 2021. Our managed NAND and SSD products incorporate NAND, a controller, firmware, and in some cases, DRAM. An increasing portion of our SSDs incorporate proprietary controllers and firmware that we have developed. We are shipping these new memory and storage products in volume, and we have partnered with customers to provide value-added innovation, speed market adoption of our new solutions, and prepare the ecosystem for broad adoption of our offerings across markets. Development of advanced technologies enables us to diversify our product portfolio toward a richer mix of differentiated, high-value solutions and to target high-growth markets and specific customer requirements across data center, intelligent edge, client, and mobile environments.</w:t>
      </w:r>
    </w:p>
    <w:p>
      <w:pPr>
        <w:spacing w:after="0" w:line="2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Our success is largely dependent on obtaining returns on our research and development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Lehi, Utah Fab and 3D XPoint</w:t>
      </w:r>
    </w:p>
    <w:p>
      <w:pPr>
        <w:spacing w:after="0" w:line="2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with potential buyers for the sale of our facility located in Lehi, Utah that was dedicated to 3D XPoint production. As a result, we classified the property, plant, and equipment as held for sale as of the second quarter of 2021 and ceased depreciating the assets. On June 30, 2021, we announced a definitive agreement to sell our Lehi facility to TI and closed the sale on October 22, 2021.</w:t>
      </w:r>
    </w:p>
    <w:p>
      <w:pPr>
        <w:spacing w:after="0" w:line="2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the first quarter of 2022, we received $893 million from TI for the sale of the Lehi facility and disposed of $918 million of net assets, consisting primarily of property, plant, and equipment of $ 921 million; $55 million of other assets, consisting primarily of a receivable for reimbursement of property taxes, equipment spare parts, and raw materials; and $58 million of liabilities, consisting primarily of a finance lease obligation. As a result of the disposition of the Lehi facility and other related adjustments, we recognized a loss of $23 million included in restructure and asset impairments in the first quarter of 2022.</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third quarter of 2021, we recognized a charge of $435 million included in restructure and asset impairments in connection with the definitive agreement with TI (and a tax benefit of $104 million included in income tax (provision) benefit) to write down the assets held for sale to the expected consideration, net of estimated selling costs. In the second quarter of 2021, we also recognized a charge of $49 million in cost of goods sold to write down 3D XPoint inventory in connection with our decision to cease further development of this technology.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Impact of COVID-19 on Our Business</w:t>
      </w:r>
    </w:p>
    <w:p>
      <w:pPr>
        <w:spacing w:after="0" w:line="2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Events surrounding the ongoing COVID-19 pandemic initially resulted in a reduction in economic activity across the globe, and the timing and extent of the ongoing economic recovery remains uncertain. As a result, we have experienced volatility in the markets that our products are sold into, driven by the move to a stay-at-home economy and fluctuations in consumer and business spending, which has affected demand for certain of our products. The</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ultimate extent to which COVID-19 will impact our business depends on future developments, which are highly uncertain and very difficult to predict, including the effectiveness and utilization of vaccines for COVID-19 and its variants, the severity of COVID-19 and its variants, and the effectiveness of the actions to contain or limit their spread.</w:t>
      </w:r>
    </w:p>
    <w:p>
      <w:pPr>
        <w:spacing w:after="0" w:line="22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From the start of the COVID-19 pandemic, we proactively implemented preventative protocols, which we continuously assess and update for changes in conditions and emerging trends. These preventative protocols are intended to safeguard our team members, contractors, suppliers, customers, distributors, and communities, and to ensure business continuity. Government restrictions or severe outbreaks can impact our operations at certain sites. For example, our Xi’an, China facility and the facility of our subcontractor in Xi’an have recently been required to operate at reduced staffing and capacity levels due to COVID-19 quarantines and other public health protocols, though we expect to return to normal staffing and production levels as the situation in Xi’an improves. While our other global manufacturing sites are currently operating with close to full staff and at normal capacity levels, our facilities or those of our subcontractors could be required to temporarily curtail production levels or temporarily cease operations based on government mandates or our health and safety protocols. We may be required, or deem it to be in the best interest of our employees, customers, partners, suppliers, and stakeholders, to alter our business operations in order to maintain a healthy and safe environment. It is not clear what potential effects any such alterations or modifications may have on our business, including effects on our customers, employees, or on our financial results. We are following government policies and recommendations designed to slow the spread of COVID-19 and remain committed to the health and safety of our team members, contractors, suppliers, customers, distributors, and communities.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continuously assess our efforts to respond to the COVID-19 pandemic, which have included the following:</w:t>
      </w:r>
    </w:p>
    <w:p>
      <w:pPr>
        <w:spacing w:after="0" w:line="252" w:lineRule="exact"/>
        <w:rPr>
          <w:sz w:val="20"/>
          <w:szCs w:val="20"/>
          <w:color w:val="auto"/>
        </w:rPr>
      </w:pPr>
    </w:p>
    <w:p>
      <w:pPr>
        <w:ind w:left="660" w:right="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locations experiencing continued community COVID-19 infections, we prohibit onsite visitors and are generally requiring team members to work from home where possible or practical. Where work from home is not possible, all on-site team members must complete health questionnaires, pass through thermal scanning equipment to ensure they do not have an elevated body temperature, and adhere to physical distancing requirements, mask protocols, and team member separation protocols. We have also enhanced our contact tracing, significantly decreased business travel, and where possible, made ventilation and other health and safety enhancements at our facilities, and provided COVID-19 testing and vaccinations for our team members.</w:t>
      </w:r>
    </w:p>
    <w:p>
      <w:pPr>
        <w:spacing w:after="0" w:line="2"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required that all U.S. employees and, in addition, contractors that enter our U.S. buildings and certain other locations, be fully vaccinated against COVID-19, subject to disability and religious exemptions.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continue to work closely with our customer base to best match our supply to changing market conditions.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evaluate our supply chain and communicate with our suppliers to identify supply gaps and have taken steps to provide continuity, to the extent possible. In some cases, we have added alternative suppliers, executed long-term supply agreements, and increased our on-hand inventory of raw materials needed in our operations.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added assembly and test capacity to provide redundant manufacturing capability through our network of captive operations and external partners.</w:t>
      </w:r>
    </w:p>
    <w:p>
      <w:pPr>
        <w:ind w:left="660" w:right="2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evaluated all our construction projects across our global manufacturing operations and enacted protocols to enhance the safety of our team members, suppliers, and contractors.</w:t>
      </w:r>
    </w:p>
    <w:p>
      <w:pPr>
        <w:ind w:left="660" w:right="78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developed strategies and implemented measures to respond to a variety of potential economic scenarios, such as limitations on new hiring and business travel and reductions of discretionary spending.</w:t>
      </w:r>
    </w:p>
    <w:p>
      <w:pPr>
        <w:ind w:left="660" w:right="24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working with government authorities in the jurisdictions where we operate and continuing to monitor our operations in an effort to ensure we follow government requirements, relevant regulations, industry standards, and best practices to help safeguard our team members, while safely continuing operations at our sites across the globe.</w:t>
      </w:r>
    </w:p>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believe these actions are appropriate and prudent to safeguard our team members, contractors, suppliers, customers, and communities, while allowing us to safely continue operations. We cannot predict how the steps we, our team members, government entities, suppliers, or customers take in response to the COVID-19 pandemic will ultimately impact our business, outlook, or results of operations.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Technologies</w:t>
      </w:r>
    </w:p>
    <w:p>
      <w:pPr>
        <w:spacing w:after="0" w:line="26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product portfolio of memory and storage solutions, is based on our high-performance semiconductor memory and storage technologies, including DRAM, NAND, and NOR. We sell our products into various markets through our business units in numerous forms, including wafers, components, modules, SSDs, managed NAND, and MCP products. Our system-level solutions, including SSDs and managed NAND, combine NAND, a controller, firmware, and in some cases DRAM.</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DRAM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client, cloud server, enterprise, networking, graphics, industrial, and automotive markets. LPDRAM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pacing w:after="0" w:line="206"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NAND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NAND products are non-volatile, re-writeable semiconductor storage devices that provide high-capacity, low-cost storage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reliable code storage (e.g., boot, application, operating system, and execute-in-place code in an embedded system) and for frequently changing small data storage and is ideal for automotive, industrial, and consumer applications.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Results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9"/>
              </w:rPr>
              <w:t>First Quarter</w:t>
            </w:r>
          </w:p>
        </w:tc>
        <w:tc>
          <w:tcPr>
            <w:tcW w:w="160" w:type="dxa"/>
            <w:vAlign w:val="bottom"/>
          </w:tcPr>
          <w:p>
            <w:pPr>
              <w:spacing w:after="0"/>
              <w:rPr>
                <w:sz w:val="19"/>
                <w:szCs w:val="19"/>
                <w:color w:val="auto"/>
              </w:rPr>
            </w:pPr>
          </w:p>
        </w:tc>
        <w:tc>
          <w:tcPr>
            <w:tcW w:w="15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9"/>
              </w:rPr>
              <w:t>Fourth Quarter</w:t>
            </w:r>
          </w:p>
        </w:tc>
        <w:tc>
          <w:tcPr>
            <w:tcW w:w="220" w:type="dxa"/>
            <w:vAlign w:val="bottom"/>
          </w:tcPr>
          <w:p>
            <w:pPr>
              <w:spacing w:after="0"/>
              <w:rPr>
                <w:sz w:val="19"/>
                <w:szCs w:val="19"/>
                <w:color w:val="auto"/>
              </w:rPr>
            </w:pPr>
          </w:p>
        </w:tc>
        <w:tc>
          <w:tcPr>
            <w:tcW w:w="14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9"/>
              </w:rPr>
              <w:t>First Quarter</w:t>
            </w:r>
          </w:p>
        </w:tc>
      </w:tr>
      <w:tr>
        <w:trPr>
          <w:trHeight w:val="239"/>
        </w:trPr>
        <w:tc>
          <w:tcPr>
            <w:tcW w:w="622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84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0090DA"/>
            </w:tcBorders>
          </w:tcPr>
          <w:p>
            <w:pPr>
              <w:spacing w:after="0"/>
              <w:rPr>
                <w:sz w:val="20"/>
                <w:szCs w:val="20"/>
                <w:color w:val="auto"/>
              </w:rPr>
            </w:pPr>
          </w:p>
        </w:tc>
        <w:tc>
          <w:tcPr>
            <w:tcW w:w="160" w:type="dxa"/>
            <w:vAlign w:val="bottom"/>
            <w:tcBorders>
              <w:bottom w:val="single" w:sz="8" w:color="0090DA"/>
            </w:tcBorders>
          </w:tcPr>
          <w:p>
            <w:pPr>
              <w:spacing w:after="0"/>
              <w:rPr>
                <w:sz w:val="20"/>
                <w:szCs w:val="20"/>
                <w:color w:val="auto"/>
              </w:rPr>
            </w:pPr>
          </w:p>
        </w:tc>
        <w:tc>
          <w:tcPr>
            <w:tcW w:w="88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84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0090DA"/>
            </w:tcBorders>
          </w:tcPr>
          <w:p>
            <w:pPr>
              <w:spacing w:after="0"/>
              <w:rPr>
                <w:sz w:val="20"/>
                <w:szCs w:val="20"/>
                <w:color w:val="auto"/>
              </w:rPr>
            </w:pPr>
          </w:p>
        </w:tc>
      </w:tr>
      <w:tr>
        <w:trPr>
          <w:trHeight w:val="34"/>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9"/>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7,687</w:t>
            </w:r>
          </w:p>
        </w:tc>
        <w:tc>
          <w:tcPr>
            <w:tcW w:w="160" w:type="dxa"/>
            <w:vAlign w:val="bottom"/>
            <w:shd w:val="clear" w:color="auto" w:fill="D1D2D4"/>
          </w:tcPr>
          <w:p>
            <w:pPr>
              <w:spacing w:after="0"/>
              <w:rPr>
                <w:sz w:val="19"/>
                <w:szCs w:val="19"/>
                <w:color w:val="auto"/>
              </w:rPr>
            </w:pPr>
          </w:p>
        </w:tc>
        <w:tc>
          <w:tcPr>
            <w:tcW w:w="64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100%</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8,274</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100%</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5,773</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100%</w:t>
            </w:r>
          </w:p>
        </w:tc>
      </w:tr>
      <w:tr>
        <w:trPr>
          <w:trHeight w:val="230"/>
        </w:trPr>
        <w:tc>
          <w:tcPr>
            <w:tcW w:w="62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160" w:type="dxa"/>
            <w:vAlign w:val="bottom"/>
            <w:tcBorders>
              <w:bottom w:val="single" w:sz="8" w:color="D1D2D4"/>
            </w:tcBorders>
          </w:tcPr>
          <w:p>
            <w:pPr>
              <w:spacing w:after="0"/>
              <w:rPr>
                <w:sz w:val="19"/>
                <w:szCs w:val="19"/>
                <w:color w:val="auto"/>
              </w:rPr>
            </w:pPr>
          </w:p>
        </w:tc>
        <w:tc>
          <w:tcPr>
            <w:tcW w:w="640" w:type="dxa"/>
            <w:vAlign w:val="bottom"/>
            <w:tcBorders>
              <w:bottom w:val="single" w:sz="8" w:color="D1D2D4"/>
            </w:tcBorders>
          </w:tcPr>
          <w:p>
            <w:pPr>
              <w:jc w:val="center"/>
              <w:ind w:right="70"/>
              <w:spacing w:after="0"/>
              <w:rPr>
                <w:sz w:val="20"/>
                <w:szCs w:val="20"/>
                <w:color w:val="auto"/>
              </w:rPr>
            </w:pPr>
            <w:r>
              <w:rPr>
                <w:rFonts w:ascii="Arial" w:cs="Arial" w:eastAsia="Arial" w:hAnsi="Arial"/>
                <w:sz w:val="18"/>
                <w:szCs w:val="18"/>
                <w:color w:val="auto"/>
                <w:w w:val="99"/>
              </w:rPr>
              <w:t>54%</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16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center"/>
              <w:ind w:right="50"/>
              <w:spacing w:after="0"/>
              <w:rPr>
                <w:sz w:val="20"/>
                <w:szCs w:val="20"/>
                <w:color w:val="auto"/>
              </w:rPr>
            </w:pPr>
            <w:r>
              <w:rPr>
                <w:rFonts w:ascii="Arial" w:cs="Arial" w:eastAsia="Arial" w:hAnsi="Arial"/>
                <w:sz w:val="18"/>
                <w:szCs w:val="18"/>
                <w:color w:val="auto"/>
                <w:w w:val="99"/>
              </w:rPr>
              <w:t>53%</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16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center"/>
              <w:ind w:right="90"/>
              <w:spacing w:after="0"/>
              <w:rPr>
                <w:sz w:val="20"/>
                <w:szCs w:val="20"/>
                <w:color w:val="auto"/>
              </w:rPr>
            </w:pPr>
            <w:r>
              <w:rPr>
                <w:rFonts w:ascii="Arial" w:cs="Arial" w:eastAsia="Arial" w:hAnsi="Arial"/>
                <w:sz w:val="18"/>
                <w:szCs w:val="18"/>
                <w:color w:val="auto"/>
                <w:w w:val="99"/>
              </w:rPr>
              <w:t>70%</w:t>
            </w:r>
          </w:p>
        </w:tc>
      </w:tr>
      <w:tr>
        <w:trPr>
          <w:trHeight w:val="223"/>
        </w:trPr>
        <w:tc>
          <w:tcPr>
            <w:tcW w:w="62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3,565</w:t>
            </w:r>
          </w:p>
        </w:tc>
        <w:tc>
          <w:tcPr>
            <w:tcW w:w="160" w:type="dxa"/>
            <w:vAlign w:val="bottom"/>
            <w:shd w:val="clear" w:color="auto" w:fill="D1D2D4"/>
          </w:tcPr>
          <w:p>
            <w:pPr>
              <w:spacing w:after="0"/>
              <w:rPr>
                <w:sz w:val="19"/>
                <w:szCs w:val="19"/>
                <w:color w:val="auto"/>
              </w:rPr>
            </w:pPr>
          </w:p>
        </w:tc>
        <w:tc>
          <w:tcPr>
            <w:tcW w:w="64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46%</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3,912</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47%</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1,736</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30%</w:t>
            </w:r>
          </w:p>
        </w:tc>
      </w:tr>
      <w:tr>
        <w:trPr>
          <w:trHeight w:val="257"/>
        </w:trPr>
        <w:tc>
          <w:tcPr>
            <w:tcW w:w="6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0"/>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D1D2D4"/>
          </w:tcPr>
          <w:p>
            <w:pPr>
              <w:spacing w:after="0"/>
              <w:rPr>
                <w:sz w:val="19"/>
                <w:szCs w:val="19"/>
                <w:color w:val="auto"/>
              </w:rPr>
            </w:pPr>
          </w:p>
        </w:tc>
        <w:tc>
          <w:tcPr>
            <w:tcW w:w="64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9%</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705</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9%</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11%</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9"/>
                <w:szCs w:val="19"/>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9"/>
                <w:szCs w:val="19"/>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9"/>
                <w:szCs w:val="19"/>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99"/>
              </w:rPr>
              <w:t>4%</w:t>
            </w:r>
          </w:p>
        </w:tc>
      </w:tr>
      <w:tr>
        <w:trPr>
          <w:trHeight w:val="230"/>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D1D2D4"/>
          </w:tcPr>
          <w:p>
            <w:pPr>
              <w:spacing w:after="0"/>
              <w:rPr>
                <w:sz w:val="19"/>
                <w:szCs w:val="19"/>
                <w:color w:val="auto"/>
              </w:rPr>
            </w:pPr>
          </w:p>
        </w:tc>
        <w:tc>
          <w:tcPr>
            <w:tcW w:w="64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w:t>
            </w:r>
          </w:p>
        </w:tc>
      </w:tr>
      <w:tr>
        <w:trPr>
          <w:trHeight w:val="230"/>
        </w:trPr>
        <w:tc>
          <w:tcPr>
            <w:tcW w:w="62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D1D2D4"/>
            </w:tcBorders>
          </w:tcPr>
          <w:p>
            <w:pPr>
              <w:spacing w:after="0"/>
              <w:rPr>
                <w:sz w:val="19"/>
                <w:szCs w:val="19"/>
                <w:color w:val="auto"/>
              </w:rPr>
            </w:pPr>
          </w:p>
        </w:tc>
        <w:tc>
          <w:tcPr>
            <w:tcW w:w="640" w:type="dxa"/>
            <w:vAlign w:val="bottom"/>
            <w:tcBorders>
              <w:bottom w:val="single" w:sz="8" w:color="D1D2D4"/>
            </w:tcBorders>
          </w:tcPr>
          <w:p>
            <w:pPr>
              <w:jc w:val="center"/>
              <w:ind w:right="50"/>
              <w:spacing w:after="0"/>
              <w:rPr>
                <w:sz w:val="20"/>
                <w:szCs w:val="20"/>
                <w:color w:val="auto"/>
              </w:rPr>
            </w:pPr>
            <w:r>
              <w:rPr>
                <w:rFonts w:ascii="Arial" w:cs="Arial" w:eastAsia="Arial" w:hAnsi="Arial"/>
                <w:sz w:val="18"/>
                <w:szCs w:val="18"/>
                <w:color w:val="auto"/>
                <w:w w:val="99"/>
              </w:rPr>
              <w:t>(1)%</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center"/>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center"/>
              <w:ind w:right="70"/>
              <w:spacing w:after="0"/>
              <w:rPr>
                <w:sz w:val="20"/>
                <w:szCs w:val="20"/>
                <w:color w:val="auto"/>
              </w:rPr>
            </w:pPr>
            <w:r>
              <w:rPr>
                <w:rFonts w:ascii="Arial" w:cs="Arial" w:eastAsia="Arial" w:hAnsi="Arial"/>
                <w:sz w:val="18"/>
                <w:szCs w:val="18"/>
                <w:color w:val="auto"/>
                <w:w w:val="99"/>
              </w:rPr>
              <w:t>—%</w:t>
            </w:r>
          </w:p>
        </w:tc>
      </w:tr>
      <w:tr>
        <w:trPr>
          <w:trHeight w:val="223"/>
        </w:trPr>
        <w:tc>
          <w:tcPr>
            <w:tcW w:w="62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2,631</w:t>
            </w:r>
          </w:p>
        </w:tc>
        <w:tc>
          <w:tcPr>
            <w:tcW w:w="160" w:type="dxa"/>
            <w:vAlign w:val="bottom"/>
            <w:shd w:val="clear" w:color="auto" w:fill="D1D2D4"/>
          </w:tcPr>
          <w:p>
            <w:pPr>
              <w:spacing w:after="0"/>
              <w:rPr>
                <w:sz w:val="19"/>
                <w:szCs w:val="19"/>
                <w:color w:val="auto"/>
              </w:rPr>
            </w:pPr>
          </w:p>
        </w:tc>
        <w:tc>
          <w:tcPr>
            <w:tcW w:w="64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34%</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2,955</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36%</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15%</w:t>
            </w:r>
          </w:p>
        </w:tc>
      </w:tr>
      <w:tr>
        <w:trPr>
          <w:trHeight w:val="257"/>
        </w:trPr>
        <w:tc>
          <w:tcPr>
            <w:tcW w:w="6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9"/>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D1D2D4"/>
          </w:tcPr>
          <w:p>
            <w:pPr>
              <w:spacing w:after="0"/>
              <w:rPr>
                <w:sz w:val="19"/>
                <w:szCs w:val="19"/>
                <w:color w:val="auto"/>
              </w:rPr>
            </w:pPr>
          </w:p>
        </w:tc>
        <w:tc>
          <w:tcPr>
            <w:tcW w:w="64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9"/>
                <w:szCs w:val="19"/>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r>
      <w:tr>
        <w:trPr>
          <w:trHeight w:val="230"/>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D1D2D4"/>
          </w:tcPr>
          <w:p>
            <w:pPr>
              <w:spacing w:after="0"/>
              <w:rPr>
                <w:sz w:val="19"/>
                <w:szCs w:val="19"/>
                <w:color w:val="auto"/>
              </w:rPr>
            </w:pPr>
          </w:p>
        </w:tc>
        <w:tc>
          <w:tcPr>
            <w:tcW w:w="64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w:t>
            </w:r>
          </w:p>
        </w:tc>
      </w:tr>
      <w:tr>
        <w:trPr>
          <w:trHeight w:val="230"/>
        </w:trPr>
        <w:tc>
          <w:tcPr>
            <w:tcW w:w="62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D1D2D4"/>
            </w:tcBorders>
          </w:tcPr>
          <w:p>
            <w:pPr>
              <w:spacing w:after="0"/>
              <w:rPr>
                <w:sz w:val="19"/>
                <w:szCs w:val="19"/>
                <w:color w:val="auto"/>
              </w:rPr>
            </w:pPr>
          </w:p>
        </w:tc>
        <w:tc>
          <w:tcPr>
            <w:tcW w:w="640" w:type="dxa"/>
            <w:vAlign w:val="bottom"/>
            <w:tcBorders>
              <w:bottom w:val="single" w:sz="8" w:color="D1D2D4"/>
            </w:tcBorders>
          </w:tcPr>
          <w:p>
            <w:pPr>
              <w:jc w:val="center"/>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center"/>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center"/>
              <w:ind w:right="70"/>
              <w:spacing w:after="0"/>
              <w:rPr>
                <w:sz w:val="20"/>
                <w:szCs w:val="20"/>
                <w:color w:val="auto"/>
              </w:rPr>
            </w:pPr>
            <w:r>
              <w:rPr>
                <w:rFonts w:ascii="Arial" w:cs="Arial" w:eastAsia="Arial" w:hAnsi="Arial"/>
                <w:sz w:val="18"/>
                <w:szCs w:val="18"/>
                <w:color w:val="auto"/>
                <w:w w:val="99"/>
              </w:rPr>
              <w:t>—%</w:t>
            </w:r>
          </w:p>
        </w:tc>
      </w:tr>
      <w:tr>
        <w:trPr>
          <w:trHeight w:val="248"/>
        </w:trPr>
        <w:tc>
          <w:tcPr>
            <w:tcW w:w="6220" w:type="dxa"/>
            <w:vAlign w:val="bottom"/>
            <w:tcBorders>
              <w:bottom w:val="single" w:sz="8" w:color="D1D2D4"/>
            </w:tcBorders>
            <w:shd w:val="clear" w:color="auto" w:fill="D1D2D4"/>
          </w:tcPr>
          <w:p>
            <w:pPr>
              <w:ind w:left="40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2,306</w:t>
            </w:r>
          </w:p>
        </w:tc>
        <w:tc>
          <w:tcPr>
            <w:tcW w:w="160" w:type="dxa"/>
            <w:vAlign w:val="bottom"/>
            <w:tcBorders>
              <w:bottom w:val="single" w:sz="8" w:color="D1D2D4"/>
            </w:tcBorders>
            <w:shd w:val="clear" w:color="auto" w:fill="D1D2D4"/>
          </w:tcPr>
          <w:p>
            <w:pPr>
              <w:spacing w:after="0"/>
              <w:rPr>
                <w:sz w:val="21"/>
                <w:szCs w:val="21"/>
                <w:color w:val="auto"/>
              </w:rPr>
            </w:pPr>
          </w:p>
        </w:tc>
        <w:tc>
          <w:tcPr>
            <w:tcW w:w="640" w:type="dxa"/>
            <w:vAlign w:val="bottom"/>
            <w:tcBorders>
              <w:bottom w:val="single" w:sz="8" w:color="D1D2D4"/>
            </w:tcBorders>
            <w:shd w:val="clear" w:color="auto" w:fill="D1D2D4"/>
          </w:tcPr>
          <w:p>
            <w:pPr>
              <w:jc w:val="center"/>
              <w:ind w:right="70"/>
              <w:spacing w:after="0"/>
              <w:rPr>
                <w:sz w:val="20"/>
                <w:szCs w:val="20"/>
                <w:color w:val="auto"/>
              </w:rPr>
            </w:pPr>
            <w:r>
              <w:rPr>
                <w:rFonts w:ascii="Arial" w:cs="Arial" w:eastAsia="Arial" w:hAnsi="Arial"/>
                <w:sz w:val="18"/>
                <w:szCs w:val="18"/>
                <w:color w:val="auto"/>
                <w:w w:val="99"/>
              </w:rPr>
              <w:t>30%</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2,720</w:t>
            </w:r>
          </w:p>
        </w:tc>
        <w:tc>
          <w:tcPr>
            <w:tcW w:w="160" w:type="dxa"/>
            <w:vAlign w:val="bottom"/>
            <w:tcBorders>
              <w:bottom w:val="single" w:sz="8" w:color="D1D2D4"/>
            </w:tcBorders>
            <w:shd w:val="clear" w:color="auto" w:fill="D1D2D4"/>
          </w:tcPr>
          <w:p>
            <w:pPr>
              <w:spacing w:after="0"/>
              <w:rPr>
                <w:sz w:val="21"/>
                <w:szCs w:val="21"/>
                <w:color w:val="auto"/>
              </w:rPr>
            </w:pPr>
          </w:p>
        </w:tc>
        <w:tc>
          <w:tcPr>
            <w:tcW w:w="620" w:type="dxa"/>
            <w:vAlign w:val="bottom"/>
            <w:tcBorders>
              <w:bottom w:val="single" w:sz="8" w:color="D1D2D4"/>
            </w:tcBorders>
            <w:shd w:val="clear" w:color="auto" w:fill="D1D2D4"/>
          </w:tcPr>
          <w:p>
            <w:pPr>
              <w:jc w:val="center"/>
              <w:ind w:right="50"/>
              <w:spacing w:after="0"/>
              <w:rPr>
                <w:sz w:val="20"/>
                <w:szCs w:val="20"/>
                <w:color w:val="auto"/>
              </w:rPr>
            </w:pPr>
            <w:r>
              <w:rPr>
                <w:rFonts w:ascii="Arial" w:cs="Arial" w:eastAsia="Arial" w:hAnsi="Arial"/>
                <w:sz w:val="18"/>
                <w:szCs w:val="18"/>
                <w:color w:val="auto"/>
                <w:w w:val="99"/>
              </w:rPr>
              <w:t>33%</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Borders>
              <w:bottom w:val="single" w:sz="8" w:color="D1D2D4"/>
            </w:tcBorders>
            <w:shd w:val="clear" w:color="auto" w:fill="D1D2D4"/>
          </w:tcPr>
          <w:p>
            <w:pPr>
              <w:spacing w:after="0"/>
              <w:rPr>
                <w:sz w:val="21"/>
                <w:szCs w:val="21"/>
                <w:color w:val="auto"/>
              </w:rPr>
            </w:pPr>
          </w:p>
        </w:tc>
        <w:tc>
          <w:tcPr>
            <w:tcW w:w="620" w:type="dxa"/>
            <w:vAlign w:val="bottom"/>
            <w:tcBorders>
              <w:bottom w:val="single" w:sz="8" w:color="D1D2D4"/>
            </w:tcBorders>
            <w:shd w:val="clear" w:color="auto" w:fill="D1D2D4"/>
          </w:tcPr>
          <w:p>
            <w:pPr>
              <w:jc w:val="center"/>
              <w:ind w:right="90"/>
              <w:spacing w:after="0"/>
              <w:rPr>
                <w:sz w:val="20"/>
                <w:szCs w:val="20"/>
                <w:color w:val="auto"/>
              </w:rPr>
            </w:pPr>
            <w:r>
              <w:rPr>
                <w:rFonts w:ascii="Arial" w:cs="Arial" w:eastAsia="Arial" w:hAnsi="Arial"/>
                <w:sz w:val="18"/>
                <w:szCs w:val="18"/>
                <w:color w:val="auto"/>
                <w:w w:val="99"/>
              </w:rPr>
              <w:t>14%</w:t>
            </w:r>
          </w:p>
        </w:tc>
      </w:tr>
      <w:tr>
        <w:trPr>
          <w:trHeight w:val="20"/>
        </w:trPr>
        <w:tc>
          <w:tcPr>
            <w:tcW w:w="622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tcBorders>
          </w:tcPr>
          <w:p>
            <w:pPr>
              <w:spacing w:after="0" w:line="20" w:lineRule="exact"/>
              <w:rPr>
                <w:sz w:val="1"/>
                <w:szCs w:val="1"/>
                <w:color w:val="auto"/>
              </w:rPr>
            </w:pPr>
          </w:p>
        </w:tc>
        <w:tc>
          <w:tcPr>
            <w:tcW w:w="64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Total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for the first quarter of 2022 decreased 7% as compared to the fourth quarter of 2021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decreases in both DRAM and NAND sales. Sales of DRAM products for the first quarter of 2022 decreased 8% as compared to the fourth quarter of 2021 primarily due to a mid-single-digit percent decrease in bit shipments and a low-single-digit percent decline in average selling prices. Sales of NAND products for the first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quarter of 2022 decreased 5% as compared to the fourth quarter of 2021 primarily due to a mid-single-digit percent decline in average selling prices. For the first quarter of 2022, DRAM and NAND bit shipments were adversely impacted by weakness in demand from some customers due to their shortages of non-memory components.</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Total revenue for the first quarter of 2022 increased 33% as compared to the first quarter of 2021 primarily due to increases in both DRAM and NAND sales. Sales of DRAM products for the first quarter of 2022 increased 38% as compared to the first quarter of 2021 primarily due to a mid-20% increase in average selling prices and increases in bit shipments in the low-10% range. Sales of NAND products for the first quarter of 2022 increased 19% as compared to the first quarter of 2021 primarily due to increases in bit shipments in the mid-10% range and a mid-single-digit percent increase in average selling prices.</w:t>
      </w:r>
    </w:p>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Overall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overall gross margin percentage decreased to 46% for the first quarter of 2022 from 47% for the fourth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primarily due to decreases in DRAM and NAND average selling prices partially offset by cost reductions resulting from strong execution in delivering products featuring advanced technologies.</w:t>
      </w:r>
    </w:p>
    <w:p>
      <w:pPr>
        <w:spacing w:after="0" w:line="22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overall gross margin percentage increased to 46% for the first quarter of 2022 from 30% for the first quarter of 2021, primarily due to increases in average selling prices and cost reductions. Our gross margins in the first quarter of 2021 included an approximate 2% adverse impact from MTU underutilization costs. MTU underutilization costs adversely affected gross margins by less than 1% in each of the fourth quarter of 2021 and the first quarter of 2022 due to cessation of depreciation on MTU assets. See “Item 1. Financial Statements – Notes to Consolidated Financial Statements – Lehi, Utah Fab and 3D XPoint.”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9"/>
              </w:rPr>
              <w:t>First Quarter</w:t>
            </w:r>
          </w:p>
        </w:tc>
        <w:tc>
          <w:tcPr>
            <w:tcW w:w="160" w:type="dxa"/>
            <w:vAlign w:val="bottom"/>
          </w:tcPr>
          <w:p>
            <w:pPr>
              <w:spacing w:after="0"/>
              <w:rPr>
                <w:sz w:val="19"/>
                <w:szCs w:val="19"/>
                <w:color w:val="auto"/>
              </w:rPr>
            </w:pPr>
          </w:p>
        </w:tc>
        <w:tc>
          <w:tcPr>
            <w:tcW w:w="15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9"/>
              </w:rPr>
              <w:t>Fourth Quarter</w:t>
            </w:r>
          </w:p>
        </w:tc>
        <w:tc>
          <w:tcPr>
            <w:tcW w:w="220" w:type="dxa"/>
            <w:vAlign w:val="bottom"/>
          </w:tcPr>
          <w:p>
            <w:pPr>
              <w:spacing w:after="0"/>
              <w:rPr>
                <w:sz w:val="19"/>
                <w:szCs w:val="19"/>
                <w:color w:val="auto"/>
              </w:rPr>
            </w:pPr>
          </w:p>
        </w:tc>
        <w:tc>
          <w:tcPr>
            <w:tcW w:w="14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9"/>
              </w:rPr>
              <w:t>First Quarter</w:t>
            </w:r>
          </w:p>
        </w:tc>
      </w:tr>
      <w:tr>
        <w:trPr>
          <w:trHeight w:val="239"/>
        </w:trPr>
        <w:tc>
          <w:tcPr>
            <w:tcW w:w="622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86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0090DA"/>
            </w:tcBorders>
          </w:tcPr>
          <w:p>
            <w:pPr>
              <w:spacing w:after="0"/>
              <w:rPr>
                <w:sz w:val="20"/>
                <w:szCs w:val="20"/>
                <w:color w:val="auto"/>
              </w:rPr>
            </w:pPr>
          </w:p>
        </w:tc>
        <w:tc>
          <w:tcPr>
            <w:tcW w:w="160" w:type="dxa"/>
            <w:vAlign w:val="bottom"/>
            <w:tcBorders>
              <w:bottom w:val="single" w:sz="8" w:color="0090DA"/>
            </w:tcBorders>
          </w:tcPr>
          <w:p>
            <w:pPr>
              <w:spacing w:after="0"/>
              <w:rPr>
                <w:sz w:val="20"/>
                <w:szCs w:val="20"/>
                <w:color w:val="auto"/>
              </w:rPr>
            </w:pPr>
          </w:p>
        </w:tc>
        <w:tc>
          <w:tcPr>
            <w:tcW w:w="90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86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0090DA"/>
            </w:tcBorders>
          </w:tcPr>
          <w:p>
            <w:pPr>
              <w:spacing w:after="0"/>
              <w:rPr>
                <w:sz w:val="20"/>
                <w:szCs w:val="20"/>
                <w:color w:val="auto"/>
              </w:rPr>
            </w:pPr>
          </w:p>
        </w:tc>
      </w:tr>
      <w:tr>
        <w:trPr>
          <w:trHeight w:val="34"/>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0"/>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3,406</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44%</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3,794</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46%</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2,546</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110"/>
              <w:spacing w:after="0"/>
              <w:rPr>
                <w:sz w:val="20"/>
                <w:szCs w:val="20"/>
                <w:color w:val="auto"/>
              </w:rPr>
            </w:pPr>
            <w:r>
              <w:rPr>
                <w:rFonts w:ascii="Arial" w:cs="Arial" w:eastAsia="Arial" w:hAnsi="Arial"/>
                <w:sz w:val="18"/>
                <w:szCs w:val="18"/>
                <w:color w:val="auto"/>
                <w:w w:val="99"/>
              </w:rPr>
              <w:t>44%</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MBU</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1,907</w:t>
            </w:r>
          </w:p>
        </w:tc>
        <w:tc>
          <w:tcPr>
            <w:tcW w:w="180" w:type="dxa"/>
            <w:vAlign w:val="bottom"/>
          </w:tcPr>
          <w:p>
            <w:pPr>
              <w:spacing w:after="0"/>
              <w:rPr>
                <w:sz w:val="19"/>
                <w:szCs w:val="19"/>
                <w:color w:val="auto"/>
              </w:rPr>
            </w:pPr>
          </w:p>
        </w:tc>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25%</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1,892</w:t>
            </w:r>
          </w:p>
        </w:tc>
        <w:tc>
          <w:tcPr>
            <w:tcW w:w="180" w:type="dxa"/>
            <w:vAlign w:val="bottom"/>
          </w:tcPr>
          <w:p>
            <w:pPr>
              <w:spacing w:after="0"/>
              <w:rPr>
                <w:sz w:val="19"/>
                <w:szCs w:val="19"/>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23%</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1,501</w:t>
            </w:r>
          </w:p>
        </w:tc>
        <w:tc>
          <w:tcPr>
            <w:tcW w:w="180" w:type="dxa"/>
            <w:vAlign w:val="bottom"/>
          </w:tcPr>
          <w:p>
            <w:pPr>
              <w:spacing w:after="0"/>
              <w:rPr>
                <w:sz w:val="19"/>
                <w:szCs w:val="19"/>
                <w:color w:val="auto"/>
              </w:rPr>
            </w:pPr>
          </w:p>
        </w:tc>
        <w:tc>
          <w:tcPr>
            <w:tcW w:w="600" w:type="dxa"/>
            <w:vAlign w:val="bottom"/>
          </w:tcPr>
          <w:p>
            <w:pPr>
              <w:jc w:val="center"/>
              <w:ind w:right="110"/>
              <w:spacing w:after="0"/>
              <w:rPr>
                <w:sz w:val="20"/>
                <w:szCs w:val="20"/>
                <w:color w:val="auto"/>
              </w:rPr>
            </w:pPr>
            <w:r>
              <w:rPr>
                <w:rFonts w:ascii="Arial" w:cs="Arial" w:eastAsia="Arial" w:hAnsi="Arial"/>
                <w:sz w:val="18"/>
                <w:szCs w:val="18"/>
                <w:color w:val="auto"/>
                <w:w w:val="99"/>
              </w:rPr>
              <w:t>26%</w:t>
            </w:r>
          </w:p>
        </w:tc>
      </w:tr>
      <w:tr>
        <w:trPr>
          <w:trHeight w:val="230"/>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15%</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1,203</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15%</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911</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110"/>
              <w:spacing w:after="0"/>
              <w:rPr>
                <w:sz w:val="20"/>
                <w:szCs w:val="20"/>
                <w:color w:val="auto"/>
              </w:rPr>
            </w:pPr>
            <w:r>
              <w:rPr>
                <w:rFonts w:ascii="Arial" w:cs="Arial" w:eastAsia="Arial" w:hAnsi="Arial"/>
                <w:sz w:val="18"/>
                <w:szCs w:val="18"/>
                <w:color w:val="auto"/>
                <w:w w:val="99"/>
              </w:rPr>
              <w:t>16%</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EBU</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1,220</w:t>
            </w:r>
          </w:p>
        </w:tc>
        <w:tc>
          <w:tcPr>
            <w:tcW w:w="180" w:type="dxa"/>
            <w:vAlign w:val="bottom"/>
          </w:tcPr>
          <w:p>
            <w:pPr>
              <w:spacing w:after="0"/>
              <w:rPr>
                <w:sz w:val="19"/>
                <w:szCs w:val="19"/>
                <w:color w:val="auto"/>
              </w:rPr>
            </w:pPr>
          </w:p>
        </w:tc>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16%</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1,360</w:t>
            </w:r>
          </w:p>
        </w:tc>
        <w:tc>
          <w:tcPr>
            <w:tcW w:w="180" w:type="dxa"/>
            <w:vAlign w:val="bottom"/>
          </w:tcPr>
          <w:p>
            <w:pPr>
              <w:spacing w:after="0"/>
              <w:rPr>
                <w:sz w:val="19"/>
                <w:szCs w:val="19"/>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16%</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809</w:t>
            </w:r>
          </w:p>
        </w:tc>
        <w:tc>
          <w:tcPr>
            <w:tcW w:w="180" w:type="dxa"/>
            <w:vAlign w:val="bottom"/>
          </w:tcPr>
          <w:p>
            <w:pPr>
              <w:spacing w:after="0"/>
              <w:rPr>
                <w:sz w:val="19"/>
                <w:szCs w:val="19"/>
                <w:color w:val="auto"/>
              </w:rPr>
            </w:pPr>
          </w:p>
        </w:tc>
        <w:tc>
          <w:tcPr>
            <w:tcW w:w="600" w:type="dxa"/>
            <w:vAlign w:val="bottom"/>
          </w:tcPr>
          <w:p>
            <w:pPr>
              <w:jc w:val="center"/>
              <w:ind w:right="110"/>
              <w:spacing w:after="0"/>
              <w:rPr>
                <w:sz w:val="20"/>
                <w:szCs w:val="20"/>
                <w:color w:val="auto"/>
              </w:rPr>
            </w:pPr>
            <w:r>
              <w:rPr>
                <w:rFonts w:ascii="Arial" w:cs="Arial" w:eastAsia="Arial" w:hAnsi="Arial"/>
                <w:sz w:val="18"/>
                <w:szCs w:val="18"/>
                <w:color w:val="auto"/>
                <w:w w:val="99"/>
              </w:rPr>
              <w:t>14%</w:t>
            </w:r>
          </w:p>
        </w:tc>
      </w:tr>
      <w:tr>
        <w:trPr>
          <w:trHeight w:val="230"/>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w:t>
            </w:r>
          </w:p>
        </w:tc>
      </w:tr>
      <w:tr>
        <w:trPr>
          <w:trHeight w:val="223"/>
        </w:trPr>
        <w:tc>
          <w:tcPr>
            <w:tcW w:w="62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8,274</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first quarter of 2022 as compared to the fourth quarter of 2021 were as follows:</w:t>
      </w:r>
    </w:p>
    <w:p>
      <w:pPr>
        <w:spacing w:after="0" w:line="252" w:lineRule="exact"/>
        <w:rPr>
          <w:sz w:val="20"/>
          <w:szCs w:val="20"/>
          <w:color w:val="auto"/>
        </w:rPr>
      </w:pPr>
    </w:p>
    <w:p>
      <w:pPr>
        <w:ind w:left="660" w:right="18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CNBU revenue decreased 10% primarily due to declines in average selling prices for DRAM and decreases in bit shipments due to lower sales to client markets.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MBU revenue increased 1% primarily due to a slight increase in mobile DRAM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SBU revenue decreased 4% primarily due to decreases in bit shipments of component products.</w:t>
      </w:r>
    </w:p>
    <w:p>
      <w:pPr>
        <w:spacing w:after="0" w:line="9" w:lineRule="exact"/>
        <w:rPr>
          <w:rFonts w:ascii="Arial" w:cs="Arial" w:eastAsia="Arial" w:hAnsi="Arial"/>
          <w:sz w:val="18"/>
          <w:szCs w:val="18"/>
          <w:color w:val="auto"/>
        </w:rPr>
      </w:pPr>
    </w:p>
    <w:p>
      <w:pPr>
        <w:ind w:left="660" w:right="78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EBU revenue decreased 10% primarily due to decreases in bit shipments as a result of customer shortages of non-memory components and other supply constraints.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first quarter of 2022 as compared to the first quarter of 2021 were as follows:</w:t>
      </w:r>
    </w:p>
    <w:p>
      <w:pPr>
        <w:spacing w:after="0" w:line="252" w:lineRule="exact"/>
        <w:rPr>
          <w:sz w:val="20"/>
          <w:szCs w:val="20"/>
          <w:color w:val="auto"/>
        </w:rPr>
      </w:pPr>
    </w:p>
    <w:p>
      <w:pPr>
        <w:ind w:left="660" w:right="14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CNBU revenue increased 34% primarily due to higher average selling prices for DRAM and broad-based increases in bit shipments across markets.</w:t>
      </w:r>
    </w:p>
    <w:p>
      <w:pPr>
        <w:ind w:left="660" w:right="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MBU revenue increased 27% primarily due to higher average selling prices for mobile DRAM and increases in bit shipments for high-value mobile MCP products.</w:t>
      </w:r>
    </w:p>
    <w:p>
      <w:pPr>
        <w:ind w:left="660" w:right="3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SBU revenue increased 26% primarily due to increases in bit shipments for NAND products and higher average selling prices for NAND.</w:t>
      </w:r>
    </w:p>
    <w:p>
      <w:pPr>
        <w:ind w:left="660" w:right="2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EBU revenue increased 51% primarily due to increases in bit shipments driven by strong demand growth in automotive, industrial, and consumer markets and improved pricing in industrial and consumer markets.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Income (Loss)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9"/>
              </w:rPr>
              <w:t>First Quarter</w:t>
            </w:r>
          </w:p>
        </w:tc>
        <w:tc>
          <w:tcPr>
            <w:tcW w:w="160" w:type="dxa"/>
            <w:vAlign w:val="bottom"/>
          </w:tcPr>
          <w:p>
            <w:pPr>
              <w:spacing w:after="0"/>
              <w:rPr>
                <w:sz w:val="19"/>
                <w:szCs w:val="19"/>
                <w:color w:val="auto"/>
              </w:rPr>
            </w:pPr>
          </w:p>
        </w:tc>
        <w:tc>
          <w:tcPr>
            <w:tcW w:w="15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9"/>
              </w:rPr>
              <w:t>Fourth Quarter</w:t>
            </w:r>
          </w:p>
        </w:tc>
        <w:tc>
          <w:tcPr>
            <w:tcW w:w="220" w:type="dxa"/>
            <w:vAlign w:val="bottom"/>
          </w:tcPr>
          <w:p>
            <w:pPr>
              <w:spacing w:after="0"/>
              <w:rPr>
                <w:sz w:val="19"/>
                <w:szCs w:val="19"/>
                <w:color w:val="auto"/>
              </w:rPr>
            </w:pPr>
          </w:p>
        </w:tc>
        <w:tc>
          <w:tcPr>
            <w:tcW w:w="14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9"/>
              </w:rPr>
              <w:t>First Quarter</w:t>
            </w:r>
          </w:p>
        </w:tc>
      </w:tr>
      <w:tr>
        <w:trPr>
          <w:trHeight w:val="239"/>
        </w:trPr>
        <w:tc>
          <w:tcPr>
            <w:tcW w:w="622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86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0090DA"/>
            </w:tcBorders>
          </w:tcPr>
          <w:p>
            <w:pPr>
              <w:spacing w:after="0"/>
              <w:rPr>
                <w:sz w:val="20"/>
                <w:szCs w:val="20"/>
                <w:color w:val="auto"/>
              </w:rPr>
            </w:pPr>
          </w:p>
        </w:tc>
        <w:tc>
          <w:tcPr>
            <w:tcW w:w="160" w:type="dxa"/>
            <w:vAlign w:val="bottom"/>
            <w:tcBorders>
              <w:bottom w:val="single" w:sz="8" w:color="0090DA"/>
            </w:tcBorders>
          </w:tcPr>
          <w:p>
            <w:pPr>
              <w:spacing w:after="0"/>
              <w:rPr>
                <w:sz w:val="20"/>
                <w:szCs w:val="20"/>
                <w:color w:val="auto"/>
              </w:rPr>
            </w:pPr>
          </w:p>
        </w:tc>
        <w:tc>
          <w:tcPr>
            <w:tcW w:w="90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86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0090DA"/>
            </w:tcBorders>
          </w:tcPr>
          <w:p>
            <w:pPr>
              <w:spacing w:after="0"/>
              <w:rPr>
                <w:sz w:val="20"/>
                <w:szCs w:val="20"/>
                <w:color w:val="auto"/>
              </w:rPr>
            </w:pPr>
          </w:p>
        </w:tc>
      </w:tr>
      <w:tr>
        <w:trPr>
          <w:trHeight w:val="34"/>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0"/>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1,524</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1,761</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483</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110"/>
              <w:spacing w:after="0"/>
              <w:rPr>
                <w:sz w:val="20"/>
                <w:szCs w:val="20"/>
                <w:color w:val="auto"/>
              </w:rPr>
            </w:pPr>
            <w:r>
              <w:rPr>
                <w:rFonts w:ascii="Arial" w:cs="Arial" w:eastAsia="Arial" w:hAnsi="Arial"/>
                <w:sz w:val="18"/>
                <w:szCs w:val="18"/>
                <w:color w:val="auto"/>
                <w:w w:val="99"/>
              </w:rPr>
              <w:t>19%</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MBU</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624</w:t>
            </w:r>
          </w:p>
        </w:tc>
        <w:tc>
          <w:tcPr>
            <w:tcW w:w="18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9"/>
                <w:szCs w:val="19"/>
                <w:color w:val="auto"/>
              </w:rPr>
            </w:pPr>
          </w:p>
        </w:tc>
        <w:tc>
          <w:tcPr>
            <w:tcW w:w="600" w:type="dxa"/>
            <w:vAlign w:val="bottom"/>
          </w:tcPr>
          <w:p>
            <w:pPr>
              <w:jc w:val="center"/>
              <w:ind w:right="110"/>
              <w:spacing w:after="0"/>
              <w:rPr>
                <w:sz w:val="20"/>
                <w:szCs w:val="20"/>
                <w:color w:val="auto"/>
              </w:rPr>
            </w:pPr>
            <w:r>
              <w:rPr>
                <w:rFonts w:ascii="Arial" w:cs="Arial" w:eastAsia="Arial" w:hAnsi="Arial"/>
                <w:sz w:val="18"/>
                <w:szCs w:val="18"/>
                <w:color w:val="auto"/>
                <w:w w:val="99"/>
              </w:rPr>
              <w:t>25%</w:t>
            </w:r>
          </w:p>
        </w:tc>
      </w:tr>
      <w:tr>
        <w:trPr>
          <w:trHeight w:val="229"/>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EBU</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600" w:type="dxa"/>
            <w:vAlign w:val="bottom"/>
          </w:tcPr>
          <w:p>
            <w:pPr>
              <w:jc w:val="center"/>
              <w:ind w:right="110"/>
              <w:spacing w:after="0"/>
              <w:rPr>
                <w:sz w:val="20"/>
                <w:szCs w:val="20"/>
                <w:color w:val="auto"/>
              </w:rPr>
            </w:pPr>
            <w:r>
              <w:rPr>
                <w:rFonts w:ascii="Arial" w:cs="Arial" w:eastAsia="Arial" w:hAnsi="Arial"/>
                <w:sz w:val="18"/>
                <w:szCs w:val="18"/>
                <w:color w:val="auto"/>
                <w:w w:val="99"/>
              </w:rPr>
              <w:t>14%</w:t>
            </w:r>
          </w:p>
        </w:tc>
      </w:tr>
      <w:tr>
        <w:trPr>
          <w:trHeight w:val="229"/>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D1D2D4"/>
          </w:tcPr>
          <w:p>
            <w:pPr>
              <w:spacing w:after="0"/>
              <w:rPr>
                <w:sz w:val="19"/>
                <w:szCs w:val="19"/>
                <w:color w:val="auto"/>
              </w:rPr>
            </w:pPr>
          </w:p>
        </w:tc>
        <w:tc>
          <w:tcPr>
            <w:tcW w:w="860" w:type="dxa"/>
            <w:vAlign w:val="bottom"/>
            <w:gridSpan w:val="2"/>
            <w:shd w:val="clear" w:color="auto" w:fill="D1D2D4"/>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w:t>
            </w:r>
          </w:p>
        </w:tc>
      </w:tr>
      <w:tr>
        <w:trPr>
          <w:trHeight w:val="223"/>
        </w:trPr>
        <w:tc>
          <w:tcPr>
            <w:tcW w:w="6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7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Changes in operating income or loss for each business unit for the first quarter of 2022 as compared to the fourth quarter of 2021 were as follows:</w:t>
      </w:r>
    </w:p>
    <w:p>
      <w:pPr>
        <w:spacing w:after="0" w:line="225" w:lineRule="exact"/>
        <w:rPr>
          <w:sz w:val="20"/>
          <w:szCs w:val="20"/>
          <w:color w:val="auto"/>
        </w:rPr>
      </w:pPr>
    </w:p>
    <w:p>
      <w:pPr>
        <w:ind w:left="660" w:right="24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CNBU operating income decreased primarily due to lower average selling prices and decreases in bit shipments, partially offset by manufacturing cost reductions.</w:t>
      </w:r>
    </w:p>
    <w:p>
      <w:pPr>
        <w:ind w:left="660" w:right="6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MBU operating income decreased primarily due to NAND price declines and higher DRAM costs associated with new product transitions, partially offset by NAND cost reductions.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SBU operating income decreased primarily due to decreases in bit shipments.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EBU operating income decreased primarily due to decreases in bit shipments.</w:t>
      </w:r>
    </w:p>
    <w:p>
      <w:pPr>
        <w:spacing w:after="0" w:line="25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Changes in operating income or loss for each business unit for the first quarter of 2022 as compared to the first quarter of 2021 were as follows:</w:t>
      </w:r>
    </w:p>
    <w:p>
      <w:pPr>
        <w:spacing w:after="0" w:line="225" w:lineRule="exact"/>
        <w:rPr>
          <w:sz w:val="20"/>
          <w:szCs w:val="20"/>
          <w:color w:val="auto"/>
        </w:rPr>
      </w:pPr>
    </w:p>
    <w:p>
      <w:pPr>
        <w:ind w:left="660" w:right="4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CNBU operating income increased primarily due to higher average selling prices, increases in bit shipments, manufacturing cost reductions, and lower MTU underutilization costs.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MBU operating income increased primarily due to increases in DRAM average selling prices and increases in bit shipments.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SBU operating income increased primarily due to manufacturing cost reductions, increases in average selling prices, and increases in bit shipments.</w:t>
      </w:r>
    </w:p>
    <w:p>
      <w:pPr>
        <w:ind w:left="660" w:right="50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EBU operating income increased primarily due to improved pricing in industrial and consumer markets, cost reductions from an increasing mix of leading edge bits, and higher bit shipments.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Expenses and Other</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22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R&amp;D expenses for the first quarter of 2022 were relatively unchanged as compared to the fourth quarter of 2021 as increases in employee compensation were substantially offset by reductions in volumes of development and pre-qualification wafers. R&amp;D expenses for the first quarter of 2022 increased 10% as compared to the first quarter of 2021 primarily due to increases in employee compensation and higher volumes of development and prequalification wafers.</w:t>
      </w:r>
    </w:p>
    <w:p>
      <w:pPr>
        <w:spacing w:after="0" w:line="20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expenses for the first quarter of 2022 increased 10% as compared to the fourth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primarily due to increases in employee compensation. SG&amp;A expenses for the first quarter of 2022 increased 21% as compared to the first quarter of 2021 primarily due to increases in employee compensation, legal fees, and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20" w:type="dxa"/>
            <w:vAlign w:val="bottom"/>
          </w:tcPr>
          <w:p>
            <w:pPr>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income tax (provision) benefit consisted of the following:</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7"/>
        </w:trPr>
        <w:tc>
          <w:tcPr>
            <w:tcW w:w="6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First Quarter</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Fourth Quarter</w:t>
            </w:r>
          </w:p>
        </w:tc>
        <w:tc>
          <w:tcPr>
            <w:tcW w:w="18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rPr>
              <w:t>First Quarter</w:t>
            </w:r>
          </w:p>
        </w:tc>
      </w:tr>
      <w:tr>
        <w:trPr>
          <w:trHeight w:val="239"/>
        </w:trPr>
        <w:tc>
          <w:tcPr>
            <w:tcW w:w="6420" w:type="dxa"/>
            <w:vAlign w:val="bottom"/>
            <w:tcBorders>
              <w:bottom w:val="single" w:sz="8" w:color="0090DA"/>
            </w:tcBorders>
          </w:tcPr>
          <w:p>
            <w:pPr>
              <w:spacing w:after="0"/>
              <w:rPr>
                <w:sz w:val="20"/>
                <w:szCs w:val="20"/>
                <w:color w:val="auto"/>
              </w:rPr>
            </w:pPr>
          </w:p>
        </w:tc>
        <w:tc>
          <w:tcPr>
            <w:tcW w:w="440" w:type="dxa"/>
            <w:vAlign w:val="bottom"/>
            <w:tcBorders>
              <w:bottom w:val="single" w:sz="8" w:color="0090DA"/>
            </w:tcBorders>
          </w:tcPr>
          <w:p>
            <w:pPr>
              <w:spacing w:after="0"/>
              <w:rPr>
                <w:sz w:val="20"/>
                <w:szCs w:val="20"/>
                <w:color w:val="auto"/>
              </w:rPr>
            </w:pPr>
          </w:p>
        </w:tc>
        <w:tc>
          <w:tcPr>
            <w:tcW w:w="136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0090DA"/>
            </w:tcBorders>
          </w:tcPr>
          <w:p>
            <w:pPr>
              <w:spacing w:after="0"/>
              <w:rPr>
                <w:sz w:val="20"/>
                <w:szCs w:val="20"/>
                <w:color w:val="auto"/>
              </w:rPr>
            </w:pPr>
          </w:p>
        </w:tc>
        <w:tc>
          <w:tcPr>
            <w:tcW w:w="116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90DA"/>
            </w:tcBorders>
          </w:tcPr>
          <w:p>
            <w:pPr>
              <w:spacing w:after="0"/>
              <w:rPr>
                <w:sz w:val="20"/>
                <w:szCs w:val="20"/>
                <w:color w:val="auto"/>
              </w:rPr>
            </w:pPr>
          </w:p>
        </w:tc>
        <w:tc>
          <w:tcPr>
            <w:tcW w:w="134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34"/>
        </w:trPr>
        <w:tc>
          <w:tcPr>
            <w:tcW w:w="6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0"/>
        </w:trPr>
        <w:tc>
          <w:tcPr>
            <w:tcW w:w="6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before taxes</w:t>
            </w:r>
          </w:p>
        </w:tc>
        <w:tc>
          <w:tcPr>
            <w:tcW w:w="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2,521</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2,936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841</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44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(51)</w:t>
            </w:r>
          </w:p>
        </w:tc>
      </w:tr>
      <w:tr>
        <w:trPr>
          <w:trHeight w:val="229"/>
        </w:trPr>
        <w:tc>
          <w:tcPr>
            <w:tcW w:w="6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44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8.7 %</w:t>
            </w:r>
          </w:p>
        </w:tc>
        <w:tc>
          <w:tcPr>
            <w:tcW w:w="3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7.8 %</w:t>
            </w:r>
          </w:p>
        </w:tc>
        <w:tc>
          <w:tcPr>
            <w:tcW w:w="180" w:type="dxa"/>
            <w:vAlign w:val="bottom"/>
            <w:shd w:val="clear" w:color="auto" w:fill="D1D2D4"/>
          </w:tcPr>
          <w:p>
            <w:pPr>
              <w:spacing w:after="0"/>
              <w:rPr>
                <w:sz w:val="19"/>
                <w:szCs w:val="19"/>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6.1 %</w:t>
            </w:r>
          </w:p>
        </w:tc>
      </w:tr>
    </w:tbl>
    <w:p>
      <w:pPr>
        <w:spacing w:after="0" w:line="33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Our effective tax rate for the first quarter of 2022 increased as compared to the fourth and first quarters of 2021 primarily as a result of the geographic mix of our earnings.</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$290 million (benefiting our diluted earnings per share by $0.26) for the first quarter of 2022, by $381 million ($0.33 per diluted share) for the fourth quarter of 2021, and by $56 million ($0.05 per diluted share) for the first quarter of 2021.</w:t>
      </w:r>
    </w:p>
    <w:p>
      <w:pPr>
        <w:spacing w:after="0" w:line="2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United States government is considering various tax reform proposals that, if enacted, contain provisions that could increase our tax expense. We continue to monitor the legislative process and the potential impact of the proposed legislation to our overall global effective tax rate and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Further discussion of other items can be found in “Item 1. Financial Statements – Notes to Consolidated Financial Statements.”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Liquidity and Capital Resources</w:t>
      </w:r>
    </w:p>
    <w:p>
      <w:pPr>
        <w:spacing w:after="0" w:line="28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As of December 2, 2021, $2.50 billion was available to draw under our Revolving Credit Facility.</w:t>
      </w:r>
    </w:p>
    <w:p>
      <w:pPr>
        <w:spacing w:after="0" w:line="2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Cash and marketable investments totaled $11.40 billion as of December 2, 2021 and $10.40 billion as of September 2, 2021. Our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December 2, 2021, $4.05 billion of our cash and marketable investments was held by our foreign subsidiaries.</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2022 for property, plant, and equipment, net of partner contributions, to be between $11 billion and $12 billion, and we expect the timing of our capital expenditures to be weighted more toward the first half of 2022. Capital expenditures for 2022 are driven by our continued 176-layer NAND transition, pilot line enablement for next generation NAND and DRAM, and continued infrastructure and prepayments to support the introduction of EUV lithography. Actual amounts for 2022 will vary depending on market conditions. As of December 2, 2021, we had purchase obligations of approximately $3.76 billion for the acquisition of property, plant, and equipment, of which approximately $3.57 billion is expected to be paid within one year. For a description of other contractual obligations, such as debt and leases, see “Item 1. Financial Statements – Notes to Consolidated Financial Statements – Leases” and “– Debt.”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November 1, 2021, we issued $1 billion in aggregate principal amount of unsecured 2032 Green Bonds. Over time, we intend to allocate an amount equal to the net proceeds to fund eligible sustainability-focused projects involving renewable energy, green buildings, energy efficiency, water management, pollution control, and a circular economy.</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a Rule 10b5-1 trading plan. The repurchase authorization has no expiration date, does not obligate us to acquire any common stock, and is subject to market conditions and our ongoing determination of the best use of available cash. Through December 2, 2021, we have repurchased an aggregate of $4.30 billion of the authorized amount. See “Item 1. Financial Statements – Notes to Consolidated Financial Statements – Equity.”</w:t>
      </w:r>
    </w:p>
    <w:p>
      <w:pPr>
        <w:spacing w:after="0" w:line="23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December 17, 2021, our Board of Directors declared a quarterly dividend of $0.10 per share, payable in cash on January 18, 2022, to shareholders of record as of the close of business on January 3, 2022.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2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expect that our cash and investments, cash flows from operations, and available financing will be sufficient to meet our requirements at least through the next 12 months and thereafter for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Cash Flows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First Quarter</w:t>
            </w:r>
          </w:p>
        </w:tc>
      </w:tr>
      <w:tr>
        <w:trPr>
          <w:trHeight w:val="239"/>
        </w:trPr>
        <w:tc>
          <w:tcPr>
            <w:tcW w:w="8360" w:type="dxa"/>
            <w:vAlign w:val="bottom"/>
            <w:tcBorders>
              <w:bottom w:val="single" w:sz="8" w:color="0090DA"/>
            </w:tcBorders>
          </w:tcPr>
          <w:p>
            <w:pPr>
              <w:spacing w:after="0"/>
              <w:rPr>
                <w:sz w:val="20"/>
                <w:szCs w:val="20"/>
                <w:color w:val="auto"/>
              </w:rPr>
            </w:pP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3,938</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1,967</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(2,485)</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(3,418)</w:t>
            </w: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(513)</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934</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(1,638)</w:t>
            </w: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reflects net income adjusted for certain non-cash items, including depreciation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amortization of intangible assets, asset impairments, and stock-based compensation, and the effects of changes in operating assets and liabilities. The increase in cash provided by operating activities for the first quarter of 2022 as compared to the first quarter of 2021 was primarily due to higher net income adjusted for non-cash items and less of a decrease in accounts payable and accrued expenses from timing of payments, partially offset by an increase in inventories.</w:t>
      </w:r>
    </w:p>
    <w:p>
      <w:pPr>
        <w:spacing w:after="0" w:line="20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For the first quarter of 2022, net cash used for investing activities consisted primarily of $3.27 billion of expenditures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plant, and equipment; inflows of $55 million of partner contributions for capital expenditures; $893 million of net inflows from the sale of the Lehi, Utah fab; and $91 million of net outflows from purchases, sales, and maturities of available-for-sale securities.</w:t>
      </w: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first quarter of 2021, net cash used for investing activities consisted primarily of $2.74 billion of expenditures for property, plant, and equipment; inflows of $40 million of partner contributions for capital expenditures; and $741 million of net outflows from purchases, sales, and maturities of available-for-sale securities.</w:t>
      </w:r>
    </w:p>
    <w:p>
      <w:pPr>
        <w:spacing w:after="0" w:line="20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For the first quarter of 2022, net cash used for financing activities included $1.95 billion of repayments of debt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redeem the 2023 Notes and 2024 Notes, $259 million for the acquisition of 3.6 million shares of our common stock under our $10 billion share repurchase authorization, $112 million of cash payments of dividends to shareholders, $102 million used for stock repurchases related to tax withholdings for employee equity awards, and $78 million of payments on equipment purchase contracts. Cash used for financing activities was partially offset by aggregate proceeds of $2.00 billion from the issuance of the unsecured 2032 Green Bonds, 2041 Notes, and 2051 Notes. See “Item 1. Financial Statements – Notes to Consolidated Financial Statements – Debt.”</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For the first quarter of 2021, net cash used for financing activities consisted primarily of $97 million for payments on equipment purchase contracts and $84 million for repayments of debt.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Critical Accounting Estimates</w:t>
      </w:r>
    </w:p>
    <w:p>
      <w:pPr>
        <w:spacing w:after="0" w:line="2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a discussion of our critical accounting estimates, see “Part II – Item 7. Management’s Discussion and Analysis of Financial Condition and Results of Operations – Critical Accounting Estimates” of our Annual Report on Form 10-K for the year ended September 2, 2021. There have been no changes to our critical accounting estimates since our Annual Report on Form 10-K for the year ended September 2, 2021.</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8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affected by changes in currency exchange and interest rates. We are exposed to interest rate risk related to our indebtedness and our investment portfolio. As of December 2, 2021 and September 2, 2021, we had fixed-rate debt of $4.0 billion and $3.9 billion, respectively, and as a result, the fair value of our debt fluctuates with changes in market interest rates. In the first quarter of 2022, we issued new debt and repaid other debt, which significantly increased the average remaining maturity of our fixed-rate debt resulting in increased variability of its fair value from interest rate changes. We estimate that, as of December 2, 2021 and September 2, 2021, a decrease in market interest rates of 1% would increase the fair value of our fixed-rate debt by approximately $430 million and $200 million,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about market risk and sensitivity analysis related to changes in currency exchange rates, see “Part II – Item 7A.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Quantitative and Qualitative Disclosures About Market Risk” in our Annual Report on Form 10-K for the year ended September 2, 2021.</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8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3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During the first quarter of 2022,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5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 September 2, 2021 and the sections titled “Part I. Financial Information – Item 1. Financial Statements – Notes to Consolidated Financial Statements – Contingencies” and “Item 1A. Risk Factors”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8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 Factor Summary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3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or improve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and produce new and competitive memory and storage technologies, products, and markets;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dependency on specific customers, concentration of revenue with a select number of customers, and customers who are located internationally;</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availability and quality of materials, supplies, and capital equipment and dependency on third-party service providers for ourselves and our customers;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are incompatible with end uses;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to our manufacturing process from operational issues, natural disasters, or other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breaches of our security systems or products, or those of our customers, suppliers, or business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achieving or maintaining certain performance obligations associated with incentives from various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acquisitions and/or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restructure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responsible sourcing requirements and related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downturn in the worldwide economy.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3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 proceedings and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allegations of anticompetitive conduct;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our former IMFT joint venture with Intel;</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alleged patent infringement complaints in Chinese courts.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3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laws, regulations, or industry standards.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3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debt obligations;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amount and timing of our common stock repurchases and payment of cash dividends and resulting impacts.</w:t>
      </w:r>
    </w:p>
    <w:p>
      <w:pPr>
        <w:spacing w:after="0" w:line="2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effects of the COVID-19 pandemic could adversely affect our business, results of operations, and financial condition.</w:t>
      </w:r>
    </w:p>
    <w:p>
      <w:pPr>
        <w:spacing w:after="0" w:line="27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effects of the public health crisis caused by the COVID-19 pandemic and the measures being taken to limit COVID-19’s spread are uncertain and difficult to predict, but may include, and in some cases, have included and may continue to include:</w:t>
      </w:r>
    </w:p>
    <w:p>
      <w:pPr>
        <w:spacing w:after="0" w:line="225" w:lineRule="exact"/>
        <w:rPr>
          <w:sz w:val="20"/>
          <w:szCs w:val="20"/>
          <w:color w:val="auto"/>
        </w:rPr>
      </w:pPr>
    </w:p>
    <w:p>
      <w:pPr>
        <w:ind w:left="660" w:right="28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short-term and/or long-term demand and/or pricing for our products and global economic volatility that could reduce demand and/or pricing for our products, resulting from the spread of COVID-19 and/or the actions taken by governments, businesses, and/or the general public in an effort to limit exposure to and the spread of COVID-19, such as travel restrictions, quarantines, and business shutdowns or slowdowns;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impacts to our operations, including:</w:t>
      </w:r>
    </w:p>
    <w:p>
      <w:pPr>
        <w:spacing w:after="0" w:line="9" w:lineRule="exact"/>
        <w:rPr>
          <w:rFonts w:ascii="Arial" w:cs="Arial" w:eastAsia="Arial" w:hAnsi="Arial"/>
          <w:sz w:val="18"/>
          <w:szCs w:val="18"/>
          <w:color w:val="auto"/>
        </w:rPr>
      </w:pPr>
    </w:p>
    <w:p>
      <w:pPr>
        <w:ind w:left="1300" w:right="140" w:hanging="320"/>
        <w:spacing w:after="0" w:line="250"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reductions in production levels, R&amp;D activities, product development, technology transitions, yield enhancement activities, and qualification activities with our customers, resulting from our efforts to mitigate the impact of COVID-19 through measures we have enacted at our locations around the world in an effort to protect our employees’ and contractors’ health and well-being, including working from home, limiting the number of meeting attendees, reducing the number of people in certain of our sites at any one time, quarantines of team members, contractors, or vendors who are at risk of contracting, or have contracted, COVID-19, and limiting employee travel;</w:t>
      </w:r>
    </w:p>
    <w:p>
      <w:pPr>
        <w:spacing w:after="0" w:line="2" w:lineRule="exact"/>
        <w:rPr>
          <w:rFonts w:ascii="Arial" w:cs="Arial" w:eastAsia="Arial" w:hAnsi="Arial"/>
          <w:sz w:val="18"/>
          <w:szCs w:val="18"/>
          <w:color w:val="auto"/>
        </w:rPr>
      </w:pPr>
    </w:p>
    <w:p>
      <w:pPr>
        <w:ind w:left="1300" w:right="60" w:hanging="320"/>
        <w:spacing w:after="0" w:line="250"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increased costs resulting from our efforts to mitigate the impact of COVID-19 through physical-distancing measures, working from home, upgrades to our sites, COVID-19 testing and vaccination, enhanced cleaning measures, and the increased use of personal protective equipment at our sites;</w:t>
      </w:r>
    </w:p>
    <w:p>
      <w:pPr>
        <w:spacing w:after="0" w:line="1" w:lineRule="exact"/>
        <w:rPr>
          <w:rFonts w:ascii="Arial" w:cs="Arial" w:eastAsia="Arial" w:hAnsi="Arial"/>
          <w:sz w:val="18"/>
          <w:szCs w:val="18"/>
          <w:color w:val="auto"/>
        </w:rPr>
      </w:pPr>
    </w:p>
    <w:p>
      <w:pPr>
        <w:ind w:left="1300" w:right="80" w:hanging="320"/>
        <w:spacing w:after="0" w:line="250"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increased costs, business disruptions, attrition, and/or reduced employee morale resulting from our requirement that all U.S. employees and, in addition, contractors that enter our U.S. buildings and certain other locations, be fully vaccinated against COVID-19, subject to disability and religious exemptions, as a condition of working for us;</w:t>
      </w:r>
    </w:p>
    <w:p>
      <w:pPr>
        <w:spacing w:after="0" w:line="1" w:lineRule="exact"/>
        <w:rPr>
          <w:rFonts w:ascii="Arial" w:cs="Arial" w:eastAsia="Arial" w:hAnsi="Arial"/>
          <w:sz w:val="18"/>
          <w:szCs w:val="18"/>
          <w:color w:val="auto"/>
        </w:rPr>
      </w:pPr>
    </w:p>
    <w:p>
      <w:pPr>
        <w:ind w:left="1300" w:right="40" w:hanging="320"/>
        <w:spacing w:after="0" w:line="250"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increased costs for, or unavailability of, transportation, raw materials, components, electricity and/or other energy sources, or other inputs necessary for the operation of our business;</w:t>
      </w:r>
    </w:p>
    <w:p>
      <w:pPr>
        <w:ind w:left="1300" w:right="40" w:hanging="320"/>
        <w:spacing w:after="0" w:line="250"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reductions in, or cessation of operations at any site or in any jurisdiction resulting from government restrictions on movement and/or business operations or our measures to prevent and/or mitigate the spread of COVID-19 at one or more of our sites, such as we have experienced at some of our facilities from time to time since the start of the COVID-19 pandemic, including currently at our and our subcontractor’s respective facilities in Xi’an, China;</w:t>
      </w:r>
    </w:p>
    <w:p>
      <w:pPr>
        <w:spacing w:after="0" w:line="1" w:lineRule="exact"/>
        <w:rPr>
          <w:rFonts w:ascii="Arial" w:cs="Arial" w:eastAsia="Arial" w:hAnsi="Arial"/>
          <w:sz w:val="18"/>
          <w:szCs w:val="18"/>
          <w:color w:val="auto"/>
        </w:rPr>
      </w:pPr>
    </w:p>
    <w:p>
      <w:pPr>
        <w:ind w:left="1300" w:right="240" w:hanging="320"/>
        <w:spacing w:after="0" w:line="250"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our inability to continue, or increased costs of, construction projects due to delays in obtaining materials, equipment, labor, engineering services, government permits, or any other essential aspect of projects, which could impact our ability to introduce new technologies, reduce costs, or meet customer demand; and</w:t>
      </w:r>
    </w:p>
    <w:p>
      <w:pPr>
        <w:spacing w:after="0" w:line="1" w:lineRule="exact"/>
        <w:rPr>
          <w:rFonts w:ascii="Arial" w:cs="Arial" w:eastAsia="Arial" w:hAnsi="Arial"/>
          <w:sz w:val="18"/>
          <w:szCs w:val="18"/>
          <w:color w:val="auto"/>
        </w:rPr>
      </w:pPr>
    </w:p>
    <w:p>
      <w:pPr>
        <w:jc w:val="both"/>
        <w:ind w:left="1300" w:right="140" w:hanging="320"/>
        <w:spacing w:after="0" w:line="250"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disruptions to our supply chain in connection with the sourcing and transportation of materials, components, equipment and engineering support, and services from or in geographic areas that have been impacted by COVID-19, by efforts to contain the spread of COVID-19, or by follow-on effects on the worldwide supply chain;</w:t>
      </w:r>
    </w:p>
    <w:p>
      <w:pPr>
        <w:spacing w:after="0" w:line="1" w:lineRule="exact"/>
        <w:rPr>
          <w:rFonts w:ascii="Arial" w:cs="Arial" w:eastAsia="Arial" w:hAnsi="Arial"/>
          <w:sz w:val="18"/>
          <w:szCs w:val="18"/>
          <w:color w:val="auto"/>
        </w:rPr>
      </w:pPr>
    </w:p>
    <w:p>
      <w:pPr>
        <w:ind w:left="660" w:right="20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 result in losses on our holdings of cash and investments due to failures of financial institutions and other parties; or result in a higher rate of losses on our accounts receivable due to credit defaults.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While several COVID-19 vaccines have been approved and are available for use in the United States and certain other countries, we are unable to predict how widely utilized the vaccines ultimately will be, whether they will be effective in preventing the symptoms and spread of COVID-19 (including its variant strains), and when or if normal economic activity and business operations will resume.</w:t>
      </w:r>
    </w:p>
    <w:p>
      <w:pPr>
        <w:spacing w:after="0" w:line="22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or financial condition. The continuation of the pandemic or expanded or recurring outbreaks could exacerbate the adverse impact of such measures.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Volatility in average selling prices for our semiconductor memory and storage products may adversely affect our business.</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Average selling prices for our products that decline faster than our costs could have a material adverse effect on our business, results of operations, or financial condition.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00" w:type="dxa"/>
            <w:vAlign w:val="bottom"/>
          </w:tcPr>
          <w:p>
            <w:pPr>
              <w:spacing w:after="0"/>
              <w:rPr>
                <w:sz w:val="20"/>
                <w:szCs w:val="20"/>
                <w:color w:val="auto"/>
              </w:rPr>
            </w:pPr>
          </w:p>
        </w:tc>
        <w:tc>
          <w:tcPr>
            <w:tcW w:w="1420" w:type="dxa"/>
            <w:vAlign w:val="bottom"/>
            <w:tcBorders>
              <w:bottom w:val="single" w:sz="8" w:color="0090DA"/>
            </w:tcBorders>
          </w:tcPr>
          <w:p>
            <w:pPr>
              <w:ind w:left="760"/>
              <w:spacing w:after="0"/>
              <w:rPr>
                <w:sz w:val="20"/>
                <w:szCs w:val="20"/>
                <w:color w:val="auto"/>
              </w:rPr>
            </w:pPr>
            <w:r>
              <w:rPr>
                <w:rFonts w:ascii="Arial" w:cs="Arial" w:eastAsia="Arial" w:hAnsi="Arial"/>
                <w:sz w:val="18"/>
                <w:szCs w:val="18"/>
                <w:b w:val="1"/>
                <w:bCs w:val="1"/>
                <w:color w:val="auto"/>
              </w:rPr>
              <w:t>DRAM</w:t>
            </w:r>
          </w:p>
        </w:tc>
        <w:tc>
          <w:tcPr>
            <w:tcW w:w="1020" w:type="dxa"/>
            <w:vAlign w:val="bottom"/>
            <w:tcBorders>
              <w:bottom w:val="single" w:sz="8" w:color="0090DA"/>
            </w:tcBorders>
          </w:tcPr>
          <w:p>
            <w:pPr>
              <w:spacing w:after="0"/>
              <w:rPr>
                <w:sz w:val="20"/>
                <w:szCs w:val="20"/>
                <w:color w:val="auto"/>
              </w:rPr>
            </w:pPr>
          </w:p>
        </w:tc>
        <w:tc>
          <w:tcPr>
            <w:tcW w:w="1700" w:type="dxa"/>
            <w:vAlign w:val="bottom"/>
            <w:tcBorders>
              <w:bottom w:val="single" w:sz="8" w:color="0090DA"/>
            </w:tcBorders>
          </w:tcPr>
          <w:p>
            <w:pPr>
              <w:jc w:val="right"/>
              <w:ind w:right="690"/>
              <w:spacing w:after="0"/>
              <w:rPr>
                <w:sz w:val="20"/>
                <w:szCs w:val="20"/>
                <w:color w:val="auto"/>
              </w:rPr>
            </w:pPr>
            <w:r>
              <w:rPr>
                <w:rFonts w:ascii="Arial" w:cs="Arial" w:eastAsia="Arial" w:hAnsi="Arial"/>
                <w:sz w:val="18"/>
                <w:szCs w:val="18"/>
                <w:b w:val="1"/>
                <w:bCs w:val="1"/>
                <w:color w:val="auto"/>
              </w:rPr>
              <w:t>NAND</w:t>
            </w:r>
          </w:p>
        </w:tc>
      </w:tr>
      <w:tr>
        <w:trPr>
          <w:trHeight w:val="223"/>
        </w:trPr>
        <w:tc>
          <w:tcPr>
            <w:tcW w:w="7100" w:type="dxa"/>
            <w:vAlign w:val="bottom"/>
            <w:tcBorders>
              <w:bottom w:val="single" w:sz="8" w:color="0090DA"/>
            </w:tcBorders>
          </w:tcPr>
          <w:p>
            <w:pPr>
              <w:spacing w:after="0"/>
              <w:rPr>
                <w:sz w:val="19"/>
                <w:szCs w:val="19"/>
                <w:color w:val="auto"/>
              </w:rPr>
            </w:pPr>
          </w:p>
        </w:tc>
        <w:tc>
          <w:tcPr>
            <w:tcW w:w="4140" w:type="dxa"/>
            <w:vAlign w:val="bottom"/>
            <w:tcBorders>
              <w:bottom w:val="single" w:sz="8" w:color="0090DA"/>
            </w:tcBorders>
            <w:gridSpan w:val="3"/>
          </w:tcPr>
          <w:p>
            <w:pPr>
              <w:jc w:val="right"/>
              <w:ind w:right="170"/>
              <w:spacing w:after="0"/>
              <w:rPr>
                <w:sz w:val="20"/>
                <w:szCs w:val="20"/>
                <w:color w:val="auto"/>
              </w:rPr>
            </w:pPr>
            <w:r>
              <w:rPr>
                <w:rFonts w:ascii="Arial" w:cs="Arial" w:eastAsia="Arial" w:hAnsi="Arial"/>
                <w:sz w:val="18"/>
                <w:szCs w:val="18"/>
                <w:color w:val="auto"/>
              </w:rPr>
              <w:t>(percentage change in average selling prices)</w:t>
            </w:r>
          </w:p>
        </w:tc>
      </w:tr>
      <w:tr>
        <w:trPr>
          <w:trHeight w:val="34"/>
        </w:trPr>
        <w:tc>
          <w:tcPr>
            <w:tcW w:w="7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2021 from 2020</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8 %</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2020 from 2019</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(34)%</w:t>
            </w:r>
          </w:p>
        </w:tc>
        <w:tc>
          <w:tcPr>
            <w:tcW w:w="1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2019 from 2018</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(30)%</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2018 from 2017</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36 %</w:t>
            </w:r>
          </w:p>
        </w:tc>
        <w:tc>
          <w:tcPr>
            <w:tcW w:w="1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2017 from 2016</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18 %</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be unable to maintain or improve gross margins.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maintain or reduce costs include, but are not limited to, strategic product diversification decisions affecting product mix, the increasing complexity of manufacturing processes, difficulties in transitioning to smaller line-width process technologies or additional 3D memory layers or NAND cell levels, process complexity including number of mask layers and fabrication steps, manufacturing yield, technological barriers, changes in process technologies, new products that may require relatively larger die sizes, start-up or other costs associated with capacity expansion, and higher costs of goods and services due to inflationary pressures or market conditions.</w:t>
      </w:r>
    </w:p>
    <w:p>
      <w:pPr>
        <w:spacing w:after="0" w:line="2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declining selling prices, and changes in supply agreements. A significant portion of our manufacturing costs are fixed and do not vary proportionally with changes in production output. As a result, lower utilization and corresponding increases in our per gigabit manufacturing costs may adversely affect our gross margins, business, results of operations, or financial condition.</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Per gigabit manufacturing costs may also be affected by a broader product portfolio, which may have smaller production quantities and shorter product lifecycles. Our business and the markets we serve are subject to rapid technological changes and material fluctuations in demand based on end-user preferences. As a result, we may have work in process or finished goods inventories that could become obsolete or in amounts that are in excess of our customers’ demand. Consequently, we may incur charges in connection with obsolete or excess inventories. In addition, due to the customized nature of certain of the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addition, if we are unable to supply sufficient quantities of products that meet customer design and performance specifications, we may be required to sell such products at lower average selling prices, which may reduce our gross margins.</w:t>
      </w:r>
    </w:p>
    <w:p>
      <w:pPr>
        <w:spacing w:after="0" w:line="22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inability to maintain or improve gross margins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semiconductor memory and storage markets are highly competitive.</w:t>
      </w:r>
    </w:p>
    <w:p>
      <w:pPr>
        <w:spacing w:after="0" w:line="274"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Samsung Electronics Co., Ltd.; SK hynix Inc.; Kioxia Holdings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 Some of our competitors may use aggressive pricing to obtain market share or take business of our key customers.</w:t>
      </w:r>
    </w:p>
    <w:p>
      <w:pPr>
        <w:spacing w:after="0" w:line="23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and our competitors generally seek to increase wafer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Our future success depends on our ability to develop and produce new and competitive memory and storage technologies.</w:t>
      </w:r>
    </w:p>
    <w:p>
      <w:pPr>
        <w:spacing w:after="0" w:line="27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per-unit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23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00" w:lineRule="exact"/>
        <w:rPr>
          <w:sz w:val="20"/>
          <w:szCs w:val="20"/>
          <w:color w:val="auto"/>
        </w:rPr>
      </w:pPr>
    </w:p>
    <w:p>
      <w:pPr>
        <w:spacing w:after="0" w:line="22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develop and produce advanced memory and storage technologies and there can be no assurance that our efforts to develop and market new product technologies will be successful. Unsuccessful efforts to develop new memory and storage technologies could have a material adverse effect on our business,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significant portion of our revenue is concentrated with a select number of customers.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A meaningful change in the inventory strategy of our customers, particularly those in China, could impact our industry bit demand growth outlook. The loss of, or restrictions on our ability to sell to, one or more of our major customers, such as occurred with our former customer, Huawei Technologies, Co. Ltd. (“Huawei”), or any significant reduction in orders from, or a shift in product mix by, customers could have a material adverse effect on our business, results of operations, or financial condition.</w:t>
      </w:r>
    </w:p>
    <w:p>
      <w:pPr>
        <w:spacing w:after="0" w:line="2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0090DA"/>
        </w:rPr>
        <w:t>We face geopolitical and other risks associated with our international sales and operations that could materially adversely affect our business, results of operations, or financial condition.</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2021, 56% of our revenue was from sales to customers who have headquarters located outside the United States. We ship our products to the locations specified by our customers. Customers with global supply chains and operations may request we deliver products to countries where they own or operate production facilities or to countries where they utilize third-party subcontractors or warehouses. As a result, 89% of our revenue in 2021 was from products shipped to customer locations outside the United States.</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 substantial portion of our operations are conducted in Taiwan, Singapore, Japan, Malaysia, China, and India, and many of our customers, suppliers, and vendors also operate internationally. Our operations, and the global supply chain of the technology industry, are subject to a number of risks, including the effects of actions and policies of various governments across our global operations and supply chain. For example, political, economic, or other actions may adversely affect our operations in Taiwan. A majority of our DRAM production output in 2021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3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addition, the U.S. government has in the past restricted American firms from selling products and software to certain of our customers and may in the future impose similar bans or other restrictions on sales to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while complying with such restrictions.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sales and operations are subject to a variety of risks, including:</w:t>
      </w:r>
    </w:p>
    <w:p>
      <w:pPr>
        <w:spacing w:after="0" w:line="252" w:lineRule="exact"/>
        <w:rPr>
          <w:sz w:val="20"/>
          <w:szCs w:val="20"/>
          <w:color w:val="auto"/>
        </w:rPr>
      </w:pPr>
    </w:p>
    <w:p>
      <w:pPr>
        <w:ind w:left="660" w:right="10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health issues (for example, an outbreak of a contagious disease such as COVID-19, Severe Acute Respiratory Syndrome (“SARS-CoV”), avian and swine influenza, measles, or Ebola);</w:t>
      </w:r>
    </w:p>
    <w:p>
      <w:pPr>
        <w:ind w:left="660" w:right="2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 including the effects of disputes between China and Taiwan;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right="20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including delays in shipping and obtaining products, cancellation of orders, or loss or damage of products;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5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w:t>
      </w:r>
    </w:p>
    <w:p>
      <w:pPr>
        <w:spacing w:after="0" w:line="20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0090DA"/>
        </w:rPr>
        <w:t>Our business, results of operations, or financial condition could be adversely affected by the limited availability and quality of materials, supplies, and capital equipment, or dependency on third-party service providers.</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Various factors could impact the availability of materials or components such as chemicals, silicon wafers, gases, photoresist, controllers, substrates, lead frames, printed circuit boards, targets, and reticle glass blanks.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 carriers, and other service providers. Although we have certain long-term contracts with some of our suppliers, many of these contracts do not provide for long-term capacity commitments. To the extent we do not have firm commitments from our third-party suppliers over a specific time period or for any specific capacity and/or quantity, our suppliers may allocate capacity to their other customers and capacity and/or materials may not be available when we need it or at reasonable prices. Inflationary pressures and shortages, such as those the market is currently experiencing, may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w:t>
      </w:r>
    </w:p>
    <w:p>
      <w:pPr>
        <w:spacing w:after="0" w:line="2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available primarily from China. Trade disputes or other political conditions, economic conditions, or public health issues, such as COVID-19,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and/or our suppliers and service providers could be affected by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3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Similarly, if our customers experience disruptions to their supplies, materials, components, or services, or the extension of their lead times, they may reduce, cancel, or alter the timing of their purchases with us. For example, some PC customers have adjusted their memory and storage purchases due to shortages of non-memory components that are needed to complete PC builds. In addition, recently several automotive manufacturers have experienced shortages of non-memory semiconductor-based components from other suppliers, forcing a curtailment of their production lines and a reduction in memory and storage purchases from us. Reduction, cancellation, or alteration of the timing of customer purchases could have a material adverse effect on our business, results of operations, or financial condition.</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23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significant delays in completion of our construction projects and cost increases, which could have a material adverse effect on our business, results of operations, or financial condition.</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New product and market development may be unsuccessful.</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23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factors may negatively impact our ability to meet anticipated timelines and/or expected or required quality standards with respect to the development of certain of our products. Such factors have included, and may include in the future, the effects of the public health crisis caused by the COVID-19 pandemic and the measures being taken to limit COVID-19’s spread. In addition, some of our components have long lead-times, requiring us to place orders up to a year in advance of anticipated demand. Such long lead-times increase the risk of excess inventory or loss of sales in the event our forecasts vary substantially from actual demand. There can be no assurance that:</w:t>
      </w:r>
    </w:p>
    <w:p>
      <w:pPr>
        <w:spacing w:after="0" w:line="23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 development efforts will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be able to successfully market these products;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accurately predict and design products that meet our customers' specifications;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margins generated from sales of these products will allow us to recover costs of development efforts.</w:t>
      </w:r>
    </w:p>
    <w:p>
      <w:pPr>
        <w:spacing w:after="0" w:line="25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20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0090DA"/>
        </w:rPr>
        <w:t>Increases in sales of system solutions may increase our dependency upon specific customers and our costs to develop, qualify, and manufacture our system solutions.</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If we fail to identify or develop products on a timely basis, or at all, that comply with our customers’ specifications or achieve design wins with our customers, we may experience a significant adverse impact on our revenue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Manufacturing system-level solutions, such as SSDs and managed NAND, typically results in higher per-unit manufacturing costs as compared to other products. 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1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0090DA"/>
        </w:rPr>
        <w:t>Products that fail to meet specifications, are defective, or are otherwise incompatible with end uses could impose significant costs on us.</w:t>
      </w:r>
    </w:p>
    <w:p>
      <w:pPr>
        <w:spacing w:after="0" w:line="20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w:t>
      </w:r>
    </w:p>
    <w:p>
      <w:pPr>
        <w:spacing w:after="0" w:line="200" w:lineRule="exact"/>
        <w:rPr>
          <w:sz w:val="20"/>
          <w:szCs w:val="20"/>
          <w:color w:val="auto"/>
        </w:rPr>
      </w:pPr>
    </w:p>
    <w:p>
      <w:pPr>
        <w:spacing w:after="0" w:line="20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34" w:lineRule="exact"/>
        <w:rPr>
          <w:sz w:val="20"/>
          <w:szCs w:val="20"/>
          <w:color w:val="auto"/>
        </w:rPr>
      </w:pPr>
    </w:p>
    <w:p>
      <w:pPr>
        <w:ind w:left="660" w:right="10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ind w:left="660" w:right="5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2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3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color w:val="0090DA"/>
        </w:rPr>
        <w:t>If our manufacturing process is disrupted by operational issues, natural disasters, or other events, our business, results of operations, or financial condition could be materially adversely affected.</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including droughts, earthquakes, tsunamis, or other occurrences, such as the recent Taiwan drought, that could disrupt operations, resulting in increased costs, or disruptions to our or our suppliers’ or customers’ manufacturing operations. In addition, our suppliers and customers also have operations in such locations. Other events, including political or public health crises, such as an outbreak of contagious diseases like COVID-19, SARS-CoV, avian and swine influenza, measles, or Ebola, may also affect our production capabilities or that of our suppliers, including as a result of quarantines, closures of production facilities, lack of supplies, or delays caused by restrictions on travel or shipping. For example, our facility and a facility operated by one of our subcontractors in Xi’an, China have recently been required to operate at reduced staffing and capacity levels due to COVID-19 quarantines and other public health protocols, which has temporarily reduced output levels from those facilities. In addition, climate change may pose physical risks to our manufacturing facilities or our suppliers’ facilities, including increased extreme weather events that could result in supply delays or disruptions. The events noted above have occurred from time to time and may occur in the future. As a result, in addition to disruptions to operations, our insurance premiums may increase or we may not be able to fully recover any sustained losses through insurance.</w:t>
      </w:r>
    </w:p>
    <w:p>
      <w:pPr>
        <w:spacing w:after="0" w:line="23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0090DA"/>
        </w:rPr>
        <w:t>Breaches of our security systems or products, or those of our customers, suppliers, or business partners, could expose us to losses.</w:t>
      </w:r>
    </w:p>
    <w:p>
      <w:pPr>
        <w:spacing w:after="0" w:line="20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Through cyberattacks of varying degrees on technology infrastructure and systems, unauthorized parties may obtain access to computer systems, networks, and data, including cloud-based platforms. The technology infrastructure and systems of our suppliers, vendors, service providers, cloud solution providers, and partners have in the past experienced, and may in the future experience, such attacks. Cyberattacks can include ransomware, computer denial-of-service attacks, worms,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Globally, cyberattacks are increasing in number and the attackers are increasingly organized and well-financed, or supported by state actors, and are developing increasingly sophisticated systems to not only attack, but also to evade detection. Breaches of our physical security, attacks on our network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w:t>
      </w:r>
    </w:p>
    <w:p>
      <w:pPr>
        <w:spacing w:after="0" w:line="235" w:lineRule="exact"/>
        <w:rPr>
          <w:sz w:val="20"/>
          <w:szCs w:val="20"/>
          <w:color w:val="auto"/>
        </w:rPr>
      </w:pPr>
    </w:p>
    <w:p>
      <w:pPr>
        <w:jc w:val="both"/>
        <w:ind w:right="220"/>
        <w:spacing w:after="0" w:line="250" w:lineRule="auto"/>
        <w:rPr>
          <w:sz w:val="20"/>
          <w:szCs w:val="20"/>
          <w:color w:val="auto"/>
        </w:rPr>
      </w:pPr>
      <w:r>
        <w:rPr>
          <w:rFonts w:ascii="Arial" w:cs="Arial" w:eastAsia="Arial" w:hAnsi="Arial"/>
          <w:sz w:val="18"/>
          <w:szCs w:val="18"/>
          <w:color w:val="auto"/>
        </w:rPr>
        <w:t>Our products are also targets for cyberattacks, including those products utilized in cloud-based environments.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Further, our products contain sophisticated hardware and firmware and applications that may contain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claims, and harm to our reputation.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cybersecurity risks could have a material adverse effect on our business, results of operations, or financial condition.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must attract, retain, and motivate highly skilled employees.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remain competitive, we must attract, retain, and motivate executives and other highly skilled, diverse employees, as well as effectively manage or plan for succession for key employees. Competition for experienced employees in our industry continues to be intense. Hiring and retaining qualified executives, engineers, technical staff, sales representatives, and other employees is critical to our business. If other employers are perceived as offering a greater degree of workplace flexibility or other employment benefits to employees than us, we may experience difficulty in attracting, retaining, and motivating the employees needed for our business operations. Our inability to attract, retain, and motivate executives and other employees or effectively manage or plan for succession of key employees may inhibit our ability to maintain or expand our business operations. In September 2021, we required that all U.S. employees and, in addition, contractors that enter our U.S. buildings and certain other locations, be fully vaccinated against COVID-19, subject to disability and religious exemptions, as a condition of working for us. Like many others in our industry, we are experiencing an increase in undesired attrition and this vaccine requirement, combined with many other factors that are influencing a very tight labor market and competition for talent across our industry, may be contributing to this increase. To the extent we experience significant attrition and are unable to timely replace employees, we could experience a loss of critical skills and reduced employee morale, potentially resulting in business disruptions or increased expenses to address any disruptions. Additionally, changes to immigration policies in the numerous countries in which we operate, including the United States, as well as restrictions on global travel as a result of local or global public health crises requiring quarantines or other precautions to limit exposure to infectious diseases, may limit our ability to hire and/or retain talent in, or transfer talent to, specific locations. If our total compensation programs and workplace culture cease to be viewed as</w:t>
      </w:r>
    </w:p>
    <w:p>
      <w:pPr>
        <w:spacing w:after="0" w:line="200" w:lineRule="exact"/>
        <w:rPr>
          <w:sz w:val="20"/>
          <w:szCs w:val="20"/>
          <w:color w:val="auto"/>
        </w:rPr>
      </w:pPr>
    </w:p>
    <w:p>
      <w:pPr>
        <w:spacing w:after="0" w:line="21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competitive and inclusive, our ability to attract, retain, and motivate employees could be weakened, which could have a material adverse effect on our business, results of operations, or financial condition.</w:t>
      </w:r>
    </w:p>
    <w:p>
      <w:pPr>
        <w:spacing w:after="0" w:line="20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0090DA"/>
        </w:rPr>
        <w:t>Our incentives from various governments are conditional upon achieving or maintaining certain performance obligations and are subject to reduction, termination, or clawback.</w:t>
      </w:r>
    </w:p>
    <w:p>
      <w:pPr>
        <w:spacing w:after="0" w:line="202"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may be unable to obtain significant future incentives to continue to fund a portion of our capital expenditures and operating costs, without which our cost structure would be adversely impacted. We also cannot guarantee that we will successfully achieve performance obligations required to qualify for these incentives or that the granting agencies will provide such funding. These incentive arrangements typically provide the granting agencies with rights to audit our compliance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make future acquisitions and/or alliances, which involve numerous risks.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or restrictions on the conduct of our business or the acquired business;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70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restructuring charges in future periods.</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From time to time, we have,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 For example, we recognized significant restructuring charges in connection with the sale of our Lehi facility. See “Part I. Financial Information – Item 1. Financial Statements – Notes to Consolidated Financial Statements – Lehi, Utah Fab and 3D XPoint.”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1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color w:val="0090DA"/>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22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and many of our customers have adopted responsible sourcing programs that require us to meet certain environmental, social, and governance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 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 effective manner or comply with customers’ responsible sourcing requirements or with any related regulations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downturn in the worldwide economy may harm our business.</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Downturns in the worldwide economy, due to inflation or other factors, have harmed our business in the past and future downturns could also adversely affect our business. Adverse economic conditions affect demand for devices that incorporate our products, such as personal computers, smartphones, automobiles, and servers. Reduced demand for these or other products could result in significant decreases in our average selling prices and product sales. In addition, to the extent our customers or distributors have elevated inventory levels, we may experience a decrease in short-term and/or long-term demand and/or pricing for our products.</w:t>
      </w:r>
    </w:p>
    <w:p>
      <w:pPr>
        <w:spacing w:after="0" w:line="23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 deterioration of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the worldwide economy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63"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color w:val="0090DA"/>
        </w:rPr>
        <w:t>We may be unable to protect our intellectual property or retain key employees who are knowledgeable of and develop our intellectual property.</w:t>
      </w: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2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Legal proceedings and claims could have a material adverse effect on our business, results of operations, or financial condition.</w:t>
      </w:r>
    </w:p>
    <w:p>
      <w:pPr>
        <w:spacing w:after="0" w:line="27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See “Part I. Financial Information – Item 1. Financial Statements – Notes to Consolidated Financial Statements – Contingencies.” Any claim, with or without merit, could result in significant legal fees that could negatively impact our financial results, disrupt our operations, and require significant attention from our management. We may be associated with and subject to litigation, claims, or arbitration disputes arising from, or as a result of:</w:t>
      </w:r>
    </w:p>
    <w:p>
      <w:pPr>
        <w:spacing w:after="0" w:line="232" w:lineRule="exact"/>
        <w:rPr>
          <w:sz w:val="20"/>
          <w:szCs w:val="20"/>
          <w:color w:val="auto"/>
        </w:rPr>
      </w:pPr>
    </w:p>
    <w:p>
      <w:pPr>
        <w:ind w:left="660" w:right="5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relationships with vendors or customers, supply agreements, or contractual obligations with our subcontractors or business partners;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actions of our vendors, subcontractors, or business partners;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our product warranties or from product liability claims.</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allegations of anticompetitive conduct.</w:t>
      </w:r>
    </w:p>
    <w:p>
      <w:pPr>
        <w:spacing w:after="0" w:line="274"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2019, the District Court granted Micron’s motion to dismiss and allowed the plaintiffs the opportunity to file a consolidated, amended complaint. On October 28, 2019, the plaintiffs filed a consolidated, amended complaint that purported to be on behalf of a nationwide class of indirect purchasers of DRAM products. The amended complaint asserted claims based on alleged price-fixing of DRAM products under federal and state law during the period from June 1, 2016 to at least February 1, 2018, and sought treble monetary damages, costs, interest, attorneys’ fees, and other injunctive and equitable relief. On December 21, 2020, the District Court dismissed the plaintiffs’ claims and entered judgment against them. On January 19, 2021, the plaintiffs filed a notice of appeal to the U.S. Court of Appeals for the Ninth Circuit. On May 3, 2021, several plaintiffs filed a substantially identical complaint in the U.S. District Court for the Northern District of California purportedly on behalf of a nationwide class of indirect purchasers of DRAM products. On July 19, 2021, the District Court dismissed the May 3, 2021 complaint pursuant to an agreement between the plaintiffs and Micron providing that the plaintiffs may refile the complaint if the District Court’s December 21, 2020 dismissal order is not affirmed on appeal.</w:t>
      </w:r>
    </w:p>
    <w:p>
      <w:pPr>
        <w:spacing w:after="0" w:line="2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purported to be on behalf of a nationwide class of direct purchasers of DRAM products. The consolidated complaint asserted claims based on alleged price-fixing of DRAM products under federal and state law during the period from June 1, 2016 through at least February 1, 2018, and sought treble monetary damages, costs, interest, attorneys’ fees, and other injunctive and equitable relief. On December 21, 2020, the District Court granted Micron’s motion to dismiss and granted the plaintiffs permission to file a further amended complaint. On January 11, 2021, the plaintiffs filed a further amended complaint asserting substantially the same claims and seeking the same relief. On September 3, 2021, the District Court granted Micron’s motion to dismiss the further amended complaint with prejudice. On October 1, 2021, the plaintiffs filed a notice of appeal to the U.S. Court of Appeals for the Ninth Circuit.</w:t>
      </w:r>
    </w:p>
    <w:p>
      <w:pPr>
        <w:spacing w:after="0" w:line="2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22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face risks associated with our former IMFT joint venture with Intel.</w:t>
      </w:r>
    </w:p>
    <w:p>
      <w:pPr>
        <w:spacing w:after="0" w:line="2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face risks from our arbitration proceeding with Intel in connection with our former IMFT joint venture, in which we and Intel have made claims against each other for damages relating to the joint venture. For information regarding the arbitration proceeding, see “Part I. Financial Information – Item 1. Financial Statements – Notes to Consolidated Financial Statements – Contingencies.” The foregoing could have a material adverse effect on our business, results of operations, or financial condition.</w:t>
      </w:r>
    </w:p>
    <w:p>
      <w:pPr>
        <w:spacing w:after="0" w:line="20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color w:val="0090DA"/>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2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0" w:lineRule="exact"/>
        <w:rPr>
          <w:sz w:val="20"/>
          <w:szCs w:val="20"/>
          <w:color w:val="auto"/>
        </w:rPr>
      </w:pPr>
    </w:p>
    <w:p>
      <w:pPr>
        <w:spacing w:after="0" w:line="20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22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have been served with complaints in Chinese courts alleging patent infringement.</w:t>
      </w:r>
    </w:p>
    <w:p>
      <w:pPr>
        <w:spacing w:after="0" w:line="2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23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are unable to predict the outcome of these assertions of infringement made against us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 have a material adverse effect on our business, results of operations, or financial condition. See “Part I. Financial Information – Item 1. Financial Statements – Notes to Consolidated Financial Statements – Contingencies.”</w:t>
      </w:r>
    </w:p>
    <w:p>
      <w:pPr>
        <w:spacing w:after="0" w:line="21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0090DA"/>
        </w:rPr>
        <w:t>The acquisition of our ownership interest in Inotera from Qimonda AG (“Qimonda”) has been challenged by the administrator of the insolvency proceedings for Qimonda.</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January 2011, Dr. Michael Jaffé, administrator for Qimonda’s insolvency proceedings, filed suit against Micron and Micron Semiconductor B.V. (“Micron B.V.”), in the District Court of Munich, Civil Chamber. The complaint seeks to void a share purchase agreement between Micron B.V. and Qimonda signed in 2008, pursuant to which Micron B.V. purchased substantially all of Qimonda’s shares of Inotera,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a patent cross-license between us and Qimonda entered into at the same time as the share purchase agreement. See “Part I. Financial Information – Item 1. Financial Statements – Notes to Consolidated Financial Statements – Contingencies” for further information regarding the matter.</w:t>
      </w:r>
    </w:p>
    <w:p>
      <w:pPr>
        <w:spacing w:after="0" w:line="2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unable to predict the outcome of the matter and cannot make a reasonable estimate of the potential loss or range of possible losses.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0090DA"/>
        </w:rPr>
        <w:t>Increases in tariffs or other trade restrictions or taxes on our or our customers’ products or equipment and supplies could have an adverse impact on our operations.</w:t>
      </w:r>
    </w:p>
    <w:p>
      <w:pPr>
        <w:spacing w:after="0" w:line="202"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In 2021, 89% of our revenue was from products shipped to customer locations outside the United States. We also purchase a significant portion of equipment and supplies from suppliers outside the United States. Additionally, a significant portion of our facilities are located outside the United States, including in Taiwan, Singapore, Japan, Malaysia, and China.</w:t>
      </w:r>
    </w:p>
    <w:p>
      <w:pPr>
        <w:spacing w:after="0" w:line="22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United States and other countries have levied tariffs and taxes on certain goods. General trade tensions between the United States and China have been escalating, with U.S. tariffs on Chinese goods and retaliatory Chinese tariffs on U.S. goods. Some of our products are included in these tariffs. Higher duties on existing tariffs and further rounds of tariffs have been announced or threatened by U.S. and Chinese leaders. Additionally, the United States has threatened to impose tariffs on goods imported from other countries, which could also impact certain of our customers’ or our operations. If the United States were to impose current or additional tariffs on components that we or our suppliers source, our cost for such components would increase. We may also incur increases in manufacturing costs and supply chain risks due to our efforts to mitigate the impact of tariffs on our customers and our operations. Additionally, tariffs on our customers’ products could impact their sales of such end products, resulting in lower demand for our products.</w:t>
      </w:r>
    </w:p>
    <w:p>
      <w:pPr>
        <w:spacing w:after="0" w:line="2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cannot predict what further actions may ultimately be taken with respect to tariffs or trade relations between the United States and other countries, what products may be subject to such actions, or what actions may be taken by other countries in retaliation.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w:t>
      </w:r>
    </w:p>
    <w:p>
      <w:pPr>
        <w:spacing w:after="0" w:line="21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0090DA"/>
        </w:rPr>
        <w:t>Trade regulations have restricted our ability to sell our products to several customers, could restrict our ability to sell our products to other customers or in certain markets, or could otherwise restrict our ability to conduct operations.</w:t>
      </w:r>
    </w:p>
    <w:p>
      <w:pPr>
        <w:spacing w:after="0" w:line="20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International trade disputes have led, and may continue to lead, to new and increasing trade barriers and other protectionist measures that can increase our manufacturing costs, make our products less competitive, reduce demand for our products, limit our ability to sell to certain customers or markets, limit our ability to procure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w:t>
      </w:r>
    </w:p>
    <w:p>
      <w:pPr>
        <w:spacing w:after="0" w:line="22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Escalating tensions between the United States and China have led to increased trade restrictions and have affected customer ordering patterns. For example, the U.S. Bureau of Industry and Security (“BIS”) enacted broad trade restrictions with respect to Huawei that prevent us and many other companies from shipping products to Huawei. We cannot predict whether the BIS or other U.S. or foreign government entities will enact similar restrictions with respect to other customers, markets, or products. We may not be able to replace the lost revenue opportunities associated with such restrictions.</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United States has also imposed other restrictions on the export of U.S. regulated products and technology to certain Chinese technology companies, including certain of our customers. These restrictions have reduced our sales, and continuing or future restrictions could adversely affect our financial results, result in reputational harm to us due to our relationship with such companies, or lead such companies to develop or adopt technologies that compete with our products. It is difficult to predict what further trade-related actions governments may take, and we may be unable to quickly and effectively react to such actions. For example, U.S. legislation has expanded the power of the U.S. Department of Commerce to restrict the export of “emerging and foundational technologies” yet to be identified, which could impact our current or future products.</w:t>
      </w:r>
    </w:p>
    <w:p>
      <w:pPr>
        <w:spacing w:after="0" w:line="200" w:lineRule="exact"/>
        <w:rPr>
          <w:sz w:val="20"/>
          <w:szCs w:val="20"/>
          <w:color w:val="auto"/>
        </w:rPr>
      </w:pPr>
    </w:p>
    <w:p>
      <w:pPr>
        <w:spacing w:after="0" w:line="21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trade tensions could lead to long-term changes in global trade and technology supply chains, which could adversely affect our business and growth prospects. Trade restrictions that may be imposed by the United States, China, or other countries may impact our business in ways we cannot reasonably quantify, including that some of our customers’ products which incorporate our solutions may also be impacted. In addition, further increases in trade restrictions or barriers may negatively impact our revenue, and any licenses we have received or could receive in the future could be rendered ineffective. Any such changes may have an adverse effect on our business, results of operations, or financial condition.</w:t>
      </w:r>
    </w:p>
    <w:p>
      <w:pPr>
        <w:spacing w:after="0" w:line="23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additional tax expense or become subject to additional tax exposure.</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arrangements, failure to meet performance obligations with respect to tax incentive agreements, expanding our operations in various countries,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change in tax laws in key jurisdictions could materially increase our tax expense.</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are subject to income taxes in the United States and many foreign jurisdictions. 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For example, our effective tax rate increased from 1.2% for 2018 to 9.8% for 2019 primarily as a result of tax reform by the United States. Additionally, various levels of government are increasingly focused on tax reform and other legislative actions to increase tax revenue. The United States government is considering various tax reform proposals that, if enacted, contain provisions that could increase our tax expense. Further changes in the tax laws of foreign jurisdictions could arise as a result of the base erosion and profit shifting project undertaken by the Organisation for Economic Co-operation and Development, which represents a coalition of member countries and recommended changes to numerous long-standing tax principles. If implemented by taxing authorities,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21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color w:val="0090DA"/>
        </w:rPr>
        <w:t>We and others are subject to a variety of laws, regulations, or industry standards, including with respect to climate change, that may have a material adverse effect on our business, results of operations, or financial condition.</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Climate change concerns and the potential resulting environmental impact may result in new environmental, health, and safety laws and regulations that may affect us, our suppliers, and our customers. Such laws or regulations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items detailed in this risk factor, we could experience the following:</w:t>
      </w:r>
    </w:p>
    <w:p>
      <w:pPr>
        <w:spacing w:after="0" w:line="25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5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0090DA"/>
        </w:rPr>
        <w:t>We may be unable to generate sufficient cash flows or obtain access to external financing necessary to fund our operations, make scheduled debt payments, pay our dividend, and make adequate capital investments.</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estimate capital expenditures in 2022 for property, plant, and equipment, net of partner contributions, will be between approximately $11 billion and $12 billion. Investments in capital expenditures may not generate expected returns or cash flows. In addition, we invest our capital in areas that we believe best align with our business strategy and will yield future profitability.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 which could have a material adverse effect on our business, results of operations, or financial condition.</w:t>
      </w: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and general economic conditions, it may be difficult for us to obtain financing on terms acceptable to us or at all. We have experienced volatility in our cash flows and operating results and may continue to experience such volatility in the future, which may negatively affect our credit rating. Our credit rating may also be affected by our liquidity, financial results, economic risk, or other factors, which may increase the cost of future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obligations could adversely affect our financial condition.</w:t>
      </w:r>
    </w:p>
    <w:p>
      <w:pPr>
        <w:spacing w:after="0" w:line="2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restructure of our capital structure. As of December 2, 2021 we had debt with a carrying value of $7.02 billion and $2.50 billion of our Revolving Credit Facility was available to us. Our debt obligations could adversely impact us as follows:</w:t>
      </w:r>
    </w:p>
    <w:p>
      <w:pPr>
        <w:spacing w:after="0" w:line="229" w:lineRule="exact"/>
        <w:rPr>
          <w:sz w:val="20"/>
          <w:szCs w:val="20"/>
          <w:color w:val="auto"/>
        </w:rPr>
      </w:pPr>
    </w:p>
    <w:p>
      <w:pPr>
        <w:ind w:left="660" w:right="32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payment of dividends, and other business activities;</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25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0090DA"/>
        </w:rPr>
        <w:t>Changes in foreign currency exchange rates could materially adversely affect our business, results of operations, or financial condition.</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euro, Malaysian ringgit, Singapore dollar, New Taiwan dollar, and yen.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counterparty default risks.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trading price of our common stock has been and may continue to be volatile.</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23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operating results have fluctuated in the past and will continue to do so, sometimes materially. Many of the matters discussed in this Risk Factors section could impact our operating results in any fiscal quarter or year. If our operating results fall below our forecasts and the expectations of public market analysts and investors, the trading price of our common stock may decline.</w:t>
      </w:r>
    </w:p>
    <w:p>
      <w:pPr>
        <w:spacing w:after="0" w:line="22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09"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color w:val="0090DA"/>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22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amount, timing, and execution of our share repurchases pursuant to our share repurchase authorization may fluctuate based on our operating results, cash flows, and priorities for the use of cash for other purposes. For example, we repurchased 3.6 million shares for $259 million in the first three months of 2022, 15.6 million shares for $1.2 billion in 2021, 3.6 million shares for $176 million in 2020, and 66.4 million shares for $2.66 billion in 2019.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3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There can be no assurance that we will continue to declare cash dividends in any particular amounts or at all.</w:t>
      </w:r>
    </w:p>
    <w:p>
      <w:pPr>
        <w:spacing w:after="0" w:line="2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2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8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number</w:t>
            </w:r>
          </w:p>
        </w:tc>
        <w:tc>
          <w:tcPr>
            <w:tcW w:w="140" w:type="dxa"/>
            <w:vAlign w:val="bottom"/>
          </w:tcPr>
          <w:p>
            <w:pPr>
              <w:spacing w:after="0"/>
              <w:rPr>
                <w:sz w:val="17"/>
                <w:szCs w:val="17"/>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8"/>
              </w:rPr>
              <w:t>Average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 shares</w:t>
            </w: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dollar value of shares</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purchased as part of</w:t>
            </w:r>
          </w:p>
        </w:tc>
        <w:tc>
          <w:tcPr>
            <w:tcW w:w="3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 under</w:t>
            </w:r>
          </w:p>
        </w:tc>
        <w:tc>
          <w:tcPr>
            <w:tcW w:w="0" w:type="dxa"/>
            <w:vAlign w:val="bottom"/>
          </w:tcPr>
          <w:p>
            <w:pPr>
              <w:spacing w:after="0"/>
              <w:rPr>
                <w:sz w:val="1"/>
                <w:szCs w:val="1"/>
                <w:color w:val="auto"/>
              </w:rPr>
            </w:pPr>
          </w:p>
        </w:tc>
      </w:tr>
      <w:tr>
        <w:trPr>
          <w:trHeight w:val="176"/>
        </w:trPr>
        <w:tc>
          <w:tcPr>
            <w:tcW w:w="1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86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of shares</w:t>
            </w:r>
          </w:p>
        </w:tc>
        <w:tc>
          <w:tcPr>
            <w:tcW w:w="100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price paid</w:t>
            </w: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publicly announced</w:t>
            </w:r>
          </w:p>
        </w:tc>
        <w:tc>
          <w:tcPr>
            <w:tcW w:w="3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publicly announced plans or</w:t>
            </w:r>
          </w:p>
        </w:tc>
        <w:tc>
          <w:tcPr>
            <w:tcW w:w="0" w:type="dxa"/>
            <w:vAlign w:val="bottom"/>
          </w:tcPr>
          <w:p>
            <w:pPr>
              <w:spacing w:after="0"/>
              <w:rPr>
                <w:sz w:val="1"/>
                <w:szCs w:val="1"/>
                <w:color w:val="auto"/>
              </w:rPr>
            </w:pPr>
          </w:p>
        </w:tc>
      </w:tr>
      <w:tr>
        <w:trPr>
          <w:trHeight w:val="229"/>
        </w:trPr>
        <w:tc>
          <w:tcPr>
            <w:tcW w:w="1600" w:type="dxa"/>
            <w:vAlign w:val="bottom"/>
            <w:tcBorders>
              <w:bottom w:val="single" w:sz="8" w:color="0090DA"/>
            </w:tcBorders>
            <w:vMerge w:val="continue"/>
          </w:tcPr>
          <w:p>
            <w:pPr>
              <w:spacing w:after="0"/>
              <w:rPr>
                <w:sz w:val="19"/>
                <w:szCs w:val="19"/>
                <w:color w:val="auto"/>
              </w:rPr>
            </w:pPr>
          </w:p>
        </w:tc>
        <w:tc>
          <w:tcPr>
            <w:tcW w:w="1860" w:type="dxa"/>
            <w:vAlign w:val="bottom"/>
            <w:tcBorders>
              <w:bottom w:val="single" w:sz="8" w:color="0090DA"/>
            </w:tcBorders>
          </w:tcPr>
          <w:p>
            <w:pPr>
              <w:spacing w:after="0"/>
              <w:rPr>
                <w:sz w:val="19"/>
                <w:szCs w:val="19"/>
                <w:color w:val="auto"/>
              </w:rPr>
            </w:pPr>
          </w:p>
        </w:tc>
        <w:tc>
          <w:tcPr>
            <w:tcW w:w="13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8"/>
              </w:rPr>
              <w:t>purchased</w:t>
            </w:r>
          </w:p>
        </w:tc>
        <w:tc>
          <w:tcPr>
            <w:tcW w:w="1000" w:type="dxa"/>
            <w:vAlign w:val="bottom"/>
            <w:tcBorders>
              <w:bottom w:val="single" w:sz="8" w:color="0090DA"/>
            </w:tcBorders>
            <w:gridSpan w:val="2"/>
          </w:tcPr>
          <w:p>
            <w:pPr>
              <w:jc w:val="right"/>
              <w:ind w:right="10"/>
              <w:spacing w:after="0"/>
              <w:rPr>
                <w:sz w:val="20"/>
                <w:szCs w:val="20"/>
                <w:color w:val="auto"/>
              </w:rPr>
            </w:pPr>
            <w:r>
              <w:rPr>
                <w:rFonts w:ascii="Arial" w:cs="Arial" w:eastAsia="Arial" w:hAnsi="Arial"/>
                <w:sz w:val="18"/>
                <w:szCs w:val="18"/>
                <w:b w:val="1"/>
                <w:bCs w:val="1"/>
                <w:color w:val="auto"/>
              </w:rPr>
              <w:t>per share</w:t>
            </w:r>
          </w:p>
        </w:tc>
        <w:tc>
          <w:tcPr>
            <w:tcW w:w="22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plans or programs</w:t>
            </w:r>
          </w:p>
        </w:tc>
        <w:tc>
          <w:tcPr>
            <w:tcW w:w="32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 xml:space="preserve">programs </w:t>
            </w:r>
            <w:r>
              <w:rPr>
                <w:rFonts w:ascii="Arial" w:cs="Arial" w:eastAsia="Arial" w:hAnsi="Arial"/>
                <w:sz w:val="18"/>
                <w:szCs w:val="18"/>
                <w:color w:val="auto"/>
                <w:w w:val="99"/>
              </w:rPr>
              <w:t>(in millions)</w:t>
            </w:r>
          </w:p>
        </w:tc>
        <w:tc>
          <w:tcPr>
            <w:tcW w:w="0" w:type="dxa"/>
            <w:vAlign w:val="bottom"/>
          </w:tcPr>
          <w:p>
            <w:pPr>
              <w:spacing w:after="0"/>
              <w:rPr>
                <w:sz w:val="1"/>
                <w:szCs w:val="1"/>
                <w:color w:val="auto"/>
              </w:rPr>
            </w:pPr>
          </w:p>
        </w:tc>
      </w:tr>
      <w:tr>
        <w:trPr>
          <w:trHeight w:val="34"/>
        </w:trPr>
        <w:tc>
          <w:tcPr>
            <w:tcW w:w="1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September 3, 2021</w:t>
            </w:r>
          </w:p>
        </w:tc>
        <w:tc>
          <w:tcPr>
            <w:tcW w:w="1860" w:type="dxa"/>
            <w:vAlign w:val="bottom"/>
            <w:shd w:val="clear" w:color="auto" w:fill="D1D2D4"/>
          </w:tcPr>
          <w:p>
            <w:pPr>
              <w:ind w:left="40"/>
              <w:spacing w:after="0"/>
              <w:rPr>
                <w:sz w:val="20"/>
                <w:szCs w:val="20"/>
                <w:color w:val="auto"/>
              </w:rPr>
            </w:pPr>
            <w:r>
              <w:rPr>
                <w:rFonts w:ascii="Arial" w:cs="Arial" w:eastAsia="Arial" w:hAnsi="Arial"/>
                <w:sz w:val="18"/>
                <w:szCs w:val="18"/>
                <w:color w:val="auto"/>
              </w:rPr>
              <w:t>– October 7, 2021</w:t>
            </w: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863,075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72.97</w:t>
            </w:r>
          </w:p>
        </w:tc>
        <w:tc>
          <w:tcPr>
            <w:tcW w:w="2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863,075</w:t>
            </w:r>
          </w:p>
        </w:tc>
        <w:tc>
          <w:tcPr>
            <w:tcW w:w="32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tcPr>
          <w:p>
            <w:pPr>
              <w:ind w:left="20"/>
              <w:spacing w:after="0"/>
              <w:rPr>
                <w:sz w:val="20"/>
                <w:szCs w:val="20"/>
                <w:color w:val="auto"/>
              </w:rPr>
            </w:pPr>
            <w:r>
              <w:rPr>
                <w:rFonts w:ascii="Arial" w:cs="Arial" w:eastAsia="Arial" w:hAnsi="Arial"/>
                <w:sz w:val="18"/>
                <w:szCs w:val="18"/>
                <w:color w:val="auto"/>
              </w:rPr>
              <w:t>October 8, 2021</w:t>
            </w:r>
          </w:p>
        </w:tc>
        <w:tc>
          <w:tcPr>
            <w:tcW w:w="1860" w:type="dxa"/>
            <w:vAlign w:val="bottom"/>
          </w:tcPr>
          <w:p>
            <w:pPr>
              <w:ind w:left="40"/>
              <w:spacing w:after="0"/>
              <w:rPr>
                <w:sz w:val="20"/>
                <w:szCs w:val="20"/>
                <w:color w:val="auto"/>
              </w:rPr>
            </w:pPr>
            <w:r>
              <w:rPr>
                <w:rFonts w:ascii="Arial" w:cs="Arial" w:eastAsia="Arial" w:hAnsi="Arial"/>
                <w:sz w:val="18"/>
                <w:szCs w:val="18"/>
                <w:color w:val="auto"/>
              </w:rPr>
              <w:t>– November 4, 2021</w:t>
            </w:r>
          </w:p>
        </w:tc>
        <w:tc>
          <w:tcPr>
            <w:tcW w:w="1340" w:type="dxa"/>
            <w:vAlign w:val="bottom"/>
          </w:tcPr>
          <w:p>
            <w:pPr>
              <w:jc w:val="right"/>
              <w:spacing w:after="0"/>
              <w:rPr>
                <w:sz w:val="20"/>
                <w:szCs w:val="20"/>
                <w:color w:val="auto"/>
              </w:rPr>
            </w:pPr>
            <w:r>
              <w:rPr>
                <w:rFonts w:ascii="Arial" w:cs="Arial" w:eastAsia="Arial" w:hAnsi="Arial"/>
                <w:sz w:val="18"/>
                <w:szCs w:val="18"/>
                <w:color w:val="auto"/>
              </w:rPr>
              <w:t>2,022,720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68.76</w:t>
            </w:r>
          </w:p>
        </w:tc>
        <w:tc>
          <w:tcPr>
            <w:tcW w:w="2220" w:type="dxa"/>
            <w:vAlign w:val="bottom"/>
          </w:tcPr>
          <w:p>
            <w:pPr>
              <w:jc w:val="right"/>
              <w:spacing w:after="0"/>
              <w:rPr>
                <w:sz w:val="20"/>
                <w:szCs w:val="20"/>
                <w:color w:val="auto"/>
              </w:rPr>
            </w:pPr>
            <w:r>
              <w:rPr>
                <w:rFonts w:ascii="Arial" w:cs="Arial" w:eastAsia="Arial" w:hAnsi="Arial"/>
                <w:sz w:val="18"/>
                <w:szCs w:val="18"/>
                <w:color w:val="auto"/>
              </w:rPr>
              <w:t>2,022,720</w:t>
            </w: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November 5, 2021</w:t>
            </w:r>
          </w:p>
        </w:tc>
        <w:tc>
          <w:tcPr>
            <w:tcW w:w="1860" w:type="dxa"/>
            <w:vAlign w:val="bottom"/>
            <w:shd w:val="clear" w:color="auto" w:fill="D1D2D4"/>
          </w:tcPr>
          <w:p>
            <w:pPr>
              <w:ind w:left="40"/>
              <w:spacing w:after="0"/>
              <w:rPr>
                <w:sz w:val="20"/>
                <w:szCs w:val="20"/>
                <w:color w:val="auto"/>
              </w:rPr>
            </w:pPr>
            <w:r>
              <w:rPr>
                <w:rFonts w:ascii="Arial" w:cs="Arial" w:eastAsia="Arial" w:hAnsi="Arial"/>
                <w:sz w:val="18"/>
                <w:szCs w:val="18"/>
                <w:color w:val="auto"/>
              </w:rPr>
              <w:t>– December 2, 2021</w:t>
            </w: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729,707</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78.11</w:t>
            </w:r>
          </w:p>
        </w:tc>
        <w:tc>
          <w:tcPr>
            <w:tcW w:w="2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729,707</w:t>
            </w:r>
          </w:p>
        </w:tc>
        <w:tc>
          <w:tcPr>
            <w:tcW w:w="32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3,615,502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71.65</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3,615,502</w:t>
            </w:r>
          </w:p>
        </w:tc>
        <w:tc>
          <w:tcPr>
            <w:tcW w:w="3220" w:type="dxa"/>
            <w:vAlign w:val="bottom"/>
          </w:tcPr>
          <w:p>
            <w:pPr>
              <w:jc w:val="right"/>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required to be disclosed under Item 703 of Regulation S-K and accordingly are excluded from the amounts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552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Description of Exhibit</w:t>
            </w:r>
          </w:p>
        </w:tc>
        <w:tc>
          <w:tcPr>
            <w:tcW w:w="1700" w:type="dxa"/>
            <w:vAlign w:val="bottom"/>
          </w:tcPr>
          <w:p>
            <w:pPr>
              <w:ind w:left="60"/>
              <w:spacing w:after="0"/>
              <w:rPr>
                <w:sz w:val="20"/>
                <w:szCs w:val="20"/>
                <w:color w:val="auto"/>
              </w:rPr>
            </w:pPr>
            <w:r>
              <w:rPr>
                <w:rFonts w:ascii="Arial" w:cs="Arial" w:eastAsia="Arial" w:hAnsi="Arial"/>
                <w:sz w:val="18"/>
                <w:szCs w:val="18"/>
                <w:b w:val="1"/>
                <w:bCs w:val="1"/>
                <w:color w:val="auto"/>
              </w:rPr>
              <w:t>Filed</w:t>
            </w: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30"/>
        </w:trPr>
        <w:tc>
          <w:tcPr>
            <w:tcW w:w="9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Number</w:t>
            </w:r>
          </w:p>
        </w:tc>
        <w:tc>
          <w:tcPr>
            <w:tcW w:w="5520" w:type="dxa"/>
            <w:vAlign w:val="bottom"/>
            <w:tcBorders>
              <w:bottom w:val="single" w:sz="8" w:color="0090DA"/>
            </w:tcBorders>
            <w:gridSpan w:val="12"/>
            <w:vMerge w:val="continue"/>
          </w:tcPr>
          <w:p>
            <w:pPr>
              <w:spacing w:after="0"/>
              <w:rPr>
                <w:sz w:val="19"/>
                <w:szCs w:val="19"/>
                <w:color w:val="auto"/>
              </w:rPr>
            </w:pPr>
          </w:p>
        </w:tc>
        <w:tc>
          <w:tcPr>
            <w:tcW w:w="1700" w:type="dxa"/>
            <w:vAlign w:val="bottom"/>
            <w:tcBorders>
              <w:bottom w:val="single" w:sz="8" w:color="0090DA"/>
            </w:tcBorders>
          </w:tcPr>
          <w:p>
            <w:pPr>
              <w:ind w:left="60"/>
              <w:spacing w:after="0"/>
              <w:rPr>
                <w:sz w:val="20"/>
                <w:szCs w:val="20"/>
                <w:color w:val="auto"/>
              </w:rPr>
            </w:pPr>
            <w:r>
              <w:rPr>
                <w:rFonts w:ascii="Arial" w:cs="Arial" w:eastAsia="Arial" w:hAnsi="Arial"/>
                <w:sz w:val="18"/>
                <w:szCs w:val="18"/>
                <w:b w:val="1"/>
                <w:bCs w:val="1"/>
                <w:color w:val="auto"/>
              </w:rPr>
              <w:t>Herewith   Form</w:t>
            </w:r>
          </w:p>
        </w:tc>
        <w:tc>
          <w:tcPr>
            <w:tcW w:w="940" w:type="dxa"/>
            <w:vAlign w:val="bottom"/>
            <w:tcBorders>
              <w:bottom w:val="single" w:sz="8" w:color="0090DA"/>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0090DA"/>
            </w:tcBorders>
          </w:tcPr>
          <w:p>
            <w:pPr>
              <w:ind w:left="140"/>
              <w:spacing w:after="0"/>
              <w:rPr>
                <w:sz w:val="20"/>
                <w:szCs w:val="20"/>
                <w:color w:val="auto"/>
              </w:rPr>
            </w:pPr>
            <w:r>
              <w:rPr>
                <w:rFonts w:ascii="Arial" w:cs="Arial" w:eastAsia="Arial" w:hAnsi="Arial"/>
                <w:sz w:val="18"/>
                <w:szCs w:val="18"/>
                <w:b w:val="1"/>
                <w:bCs w:val="1"/>
                <w:color w:val="auto"/>
              </w:rPr>
              <w:t>Appendix</w:t>
            </w:r>
          </w:p>
        </w:tc>
        <w:tc>
          <w:tcPr>
            <w:tcW w:w="1020" w:type="dxa"/>
            <w:vAlign w:val="bottom"/>
            <w:tcBorders>
              <w:bottom w:val="single" w:sz="8" w:color="0090DA"/>
            </w:tcBorders>
          </w:tcPr>
          <w:p>
            <w:pPr>
              <w:ind w:left="1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w:t>
            </w:r>
          </w:p>
        </w:tc>
        <w:tc>
          <w:tcPr>
            <w:tcW w:w="5520" w:type="dxa"/>
            <w:vAlign w:val="bottom"/>
            <w:gridSpan w:val="12"/>
            <w:shd w:val="clear" w:color="auto" w:fill="D1D2D4"/>
          </w:tcPr>
          <w:p>
            <w:pPr>
              <w:spacing w:after="0" w:line="189" w:lineRule="exact"/>
              <w:rPr>
                <w:rFonts w:ascii="Arial" w:cs="Arial" w:eastAsia="Arial" w:hAnsi="Arial"/>
                <w:sz w:val="18"/>
                <w:szCs w:val="18"/>
                <w:color w:val="auto"/>
              </w:rPr>
            </w:pPr>
            <w:hyperlink r:id="rId103">
              <w:r>
                <w:rPr>
                  <w:rFonts w:ascii="Arial" w:cs="Arial" w:eastAsia="Arial" w:hAnsi="Arial"/>
                  <w:sz w:val="18"/>
                  <w:szCs w:val="18"/>
                  <w:color w:val="auto"/>
                </w:rPr>
                <w:t>Fourth Supplemental Indenture, dated as of November 1, 2021, by</w:t>
              </w:r>
            </w:hyperlink>
          </w:p>
        </w:tc>
        <w:tc>
          <w:tcPr>
            <w:tcW w:w="1700" w:type="dxa"/>
            <w:vAlign w:val="bottom"/>
            <w:shd w:val="clear" w:color="auto" w:fill="D1D2D4"/>
          </w:tcPr>
          <w:p>
            <w:pPr>
              <w:ind w:left="1080"/>
              <w:spacing w:after="0" w:line="189" w:lineRule="exact"/>
              <w:rPr>
                <w:sz w:val="20"/>
                <w:szCs w:val="20"/>
                <w:color w:val="auto"/>
              </w:rPr>
            </w:pPr>
            <w:r>
              <w:rPr>
                <w:rFonts w:ascii="Arial" w:cs="Arial" w:eastAsia="Arial" w:hAnsi="Arial"/>
                <w:sz w:val="18"/>
                <w:szCs w:val="18"/>
                <w:color w:val="auto"/>
              </w:rPr>
              <w:t>8-K</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ind w:left="140"/>
              <w:spacing w:after="0" w:line="189" w:lineRule="exact"/>
              <w:rPr>
                <w:sz w:val="20"/>
                <w:szCs w:val="20"/>
                <w:color w:val="auto"/>
              </w:rPr>
            </w:pPr>
            <w:r>
              <w:rPr>
                <w:rFonts w:ascii="Arial" w:cs="Arial" w:eastAsia="Arial" w:hAnsi="Arial"/>
                <w:sz w:val="18"/>
                <w:szCs w:val="18"/>
                <w:color w:val="auto"/>
              </w:rPr>
              <w:t>4.2</w:t>
            </w:r>
          </w:p>
        </w:tc>
        <w:tc>
          <w:tcPr>
            <w:tcW w:w="1020" w:type="dxa"/>
            <w:vAlign w:val="bottom"/>
            <w:shd w:val="clear" w:color="auto" w:fill="D1D2D4"/>
          </w:tcPr>
          <w:p>
            <w:pPr>
              <w:ind w:left="12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55"/>
        </w:trPr>
        <w:tc>
          <w:tcPr>
            <w:tcW w:w="980" w:type="dxa"/>
            <w:vAlign w:val="bottom"/>
            <w:tcBorders>
              <w:top w:val="single" w:sz="8" w:color="D1D2D4"/>
            </w:tcBorders>
            <w:shd w:val="clear" w:color="auto" w:fill="D1D2D4"/>
          </w:tcPr>
          <w:p>
            <w:pPr>
              <w:spacing w:after="0"/>
              <w:rPr>
                <w:sz w:val="13"/>
                <w:szCs w:val="13"/>
                <w:color w:val="auto"/>
              </w:rPr>
            </w:pPr>
          </w:p>
        </w:tc>
        <w:tc>
          <w:tcPr>
            <w:tcW w:w="5300" w:type="dxa"/>
            <w:vAlign w:val="bottom"/>
            <w:tcBorders>
              <w:top w:val="single" w:sz="8" w:color="auto"/>
            </w:tcBorders>
            <w:gridSpan w:val="10"/>
            <w:shd w:val="clear" w:color="auto" w:fill="D1D2D4"/>
          </w:tcPr>
          <w:p>
            <w:pPr>
              <w:spacing w:after="0" w:line="156" w:lineRule="exact"/>
              <w:rPr>
                <w:rFonts w:ascii="Arial" w:cs="Arial" w:eastAsia="Arial" w:hAnsi="Arial"/>
                <w:sz w:val="18"/>
                <w:szCs w:val="18"/>
                <w:color w:val="auto"/>
              </w:rPr>
            </w:pPr>
            <w:hyperlink r:id="rId103">
              <w:r>
                <w:rPr>
                  <w:rFonts w:ascii="Arial" w:cs="Arial" w:eastAsia="Arial" w:hAnsi="Arial"/>
                  <w:sz w:val="18"/>
                  <w:szCs w:val="18"/>
                  <w:color w:val="auto"/>
                </w:rPr>
                <w:t>and between Micron Technology, Inc. and U.S. Bank National</w:t>
              </w:r>
            </w:hyperlink>
          </w:p>
        </w:tc>
        <w:tc>
          <w:tcPr>
            <w:tcW w:w="160" w:type="dxa"/>
            <w:vAlign w:val="bottom"/>
            <w:tcBorders>
              <w:top w:val="single" w:sz="8" w:color="D1D2D4"/>
            </w:tcBorders>
            <w:shd w:val="clear" w:color="auto" w:fill="D1D2D4"/>
          </w:tcPr>
          <w:p>
            <w:pPr>
              <w:spacing w:after="0"/>
              <w:rPr>
                <w:sz w:val="13"/>
                <w:szCs w:val="13"/>
                <w:color w:val="auto"/>
              </w:rPr>
            </w:pPr>
          </w:p>
        </w:tc>
        <w:tc>
          <w:tcPr>
            <w:tcW w:w="60" w:type="dxa"/>
            <w:vAlign w:val="bottom"/>
            <w:tcBorders>
              <w:top w:val="single" w:sz="8" w:color="D1D2D4"/>
            </w:tcBorders>
            <w:shd w:val="clear" w:color="auto" w:fill="D1D2D4"/>
          </w:tcPr>
          <w:p>
            <w:pPr>
              <w:spacing w:after="0"/>
              <w:rPr>
                <w:sz w:val="13"/>
                <w:szCs w:val="13"/>
                <w:color w:val="auto"/>
              </w:rPr>
            </w:pPr>
          </w:p>
        </w:tc>
        <w:tc>
          <w:tcPr>
            <w:tcW w:w="1700" w:type="dxa"/>
            <w:vAlign w:val="bottom"/>
            <w:tcBorders>
              <w:top w:val="single" w:sz="8" w:color="D1D2D4"/>
            </w:tcBorders>
            <w:shd w:val="clear" w:color="auto" w:fill="D1D2D4"/>
          </w:tcPr>
          <w:p>
            <w:pPr>
              <w:spacing w:after="0"/>
              <w:rPr>
                <w:sz w:val="13"/>
                <w:szCs w:val="13"/>
                <w:color w:val="auto"/>
              </w:rPr>
            </w:pPr>
          </w:p>
        </w:tc>
        <w:tc>
          <w:tcPr>
            <w:tcW w:w="94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102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tcBorders>
            <w:shd w:val="clear" w:color="auto" w:fill="D1D2D4"/>
          </w:tcPr>
          <w:p>
            <w:pPr>
              <w:spacing w:after="0"/>
              <w:rPr>
                <w:sz w:val="13"/>
                <w:szCs w:val="13"/>
                <w:color w:val="auto"/>
              </w:rPr>
            </w:pPr>
          </w:p>
        </w:tc>
        <w:tc>
          <w:tcPr>
            <w:tcW w:w="4880" w:type="dxa"/>
            <w:vAlign w:val="bottom"/>
            <w:tcBorders>
              <w:top w:val="single" w:sz="8" w:color="auto"/>
            </w:tcBorders>
            <w:gridSpan w:val="6"/>
            <w:shd w:val="clear" w:color="auto" w:fill="D1D2D4"/>
          </w:tcPr>
          <w:p>
            <w:pPr>
              <w:spacing w:after="0" w:line="156" w:lineRule="exact"/>
              <w:rPr>
                <w:rFonts w:ascii="Arial" w:cs="Arial" w:eastAsia="Arial" w:hAnsi="Arial"/>
                <w:sz w:val="18"/>
                <w:szCs w:val="18"/>
                <w:color w:val="auto"/>
              </w:rPr>
            </w:pPr>
            <w:hyperlink r:id="rId103">
              <w:r>
                <w:rPr>
                  <w:rFonts w:ascii="Arial" w:cs="Arial" w:eastAsia="Arial" w:hAnsi="Arial"/>
                  <w:sz w:val="18"/>
                  <w:szCs w:val="18"/>
                  <w:color w:val="auto"/>
                </w:rPr>
                <w:t>Association, as Trustee</w:t>
              </w:r>
            </w:hyperlink>
          </w:p>
        </w:tc>
        <w:tc>
          <w:tcPr>
            <w:tcW w:w="180" w:type="dxa"/>
            <w:vAlign w:val="bottom"/>
            <w:tcBorders>
              <w:top w:val="single" w:sz="8" w:color="D1D2D4"/>
            </w:tcBorders>
            <w:shd w:val="clear" w:color="auto" w:fill="D1D2D4"/>
          </w:tcPr>
          <w:p>
            <w:pPr>
              <w:spacing w:after="0"/>
              <w:rPr>
                <w:sz w:val="13"/>
                <w:szCs w:val="13"/>
                <w:color w:val="auto"/>
              </w:rPr>
            </w:pPr>
          </w:p>
        </w:tc>
        <w:tc>
          <w:tcPr>
            <w:tcW w:w="160" w:type="dxa"/>
            <w:vAlign w:val="bottom"/>
            <w:tcBorders>
              <w:top w:val="single" w:sz="8" w:color="D1D2D4"/>
            </w:tcBorders>
            <w:shd w:val="clear" w:color="auto" w:fill="D1D2D4"/>
          </w:tcPr>
          <w:p>
            <w:pPr>
              <w:spacing w:after="0"/>
              <w:rPr>
                <w:sz w:val="13"/>
                <w:szCs w:val="13"/>
                <w:color w:val="auto"/>
              </w:rPr>
            </w:pPr>
          </w:p>
        </w:tc>
        <w:tc>
          <w:tcPr>
            <w:tcW w:w="60" w:type="dxa"/>
            <w:vAlign w:val="bottom"/>
            <w:tcBorders>
              <w:top w:val="single" w:sz="8" w:color="D1D2D4"/>
            </w:tcBorders>
            <w:shd w:val="clear" w:color="auto" w:fill="D1D2D4"/>
          </w:tcPr>
          <w:p>
            <w:pPr>
              <w:spacing w:after="0"/>
              <w:rPr>
                <w:sz w:val="13"/>
                <w:szCs w:val="13"/>
                <w:color w:val="auto"/>
              </w:rPr>
            </w:pPr>
          </w:p>
        </w:tc>
        <w:tc>
          <w:tcPr>
            <w:tcW w:w="180" w:type="dxa"/>
            <w:vAlign w:val="bottom"/>
            <w:tcBorders>
              <w:top w:val="single" w:sz="8" w:color="D1D2D4"/>
            </w:tcBorders>
            <w:gridSpan w:val="2"/>
            <w:shd w:val="clear" w:color="auto" w:fill="D1D2D4"/>
          </w:tcPr>
          <w:p>
            <w:pPr>
              <w:spacing w:after="0"/>
              <w:rPr>
                <w:sz w:val="13"/>
                <w:szCs w:val="13"/>
                <w:color w:val="auto"/>
              </w:rPr>
            </w:pPr>
          </w:p>
        </w:tc>
        <w:tc>
          <w:tcPr>
            <w:tcW w:w="60" w:type="dxa"/>
            <w:vAlign w:val="bottom"/>
            <w:tcBorders>
              <w:top w:val="single" w:sz="8" w:color="D1D2D4"/>
            </w:tcBorders>
            <w:shd w:val="clear" w:color="auto" w:fill="D1D2D4"/>
          </w:tcPr>
          <w:p>
            <w:pPr>
              <w:spacing w:after="0"/>
              <w:rPr>
                <w:sz w:val="13"/>
                <w:szCs w:val="13"/>
                <w:color w:val="auto"/>
              </w:rPr>
            </w:pPr>
          </w:p>
        </w:tc>
        <w:tc>
          <w:tcPr>
            <w:tcW w:w="1700" w:type="dxa"/>
            <w:vAlign w:val="bottom"/>
            <w:tcBorders>
              <w:top w:val="single" w:sz="8" w:color="D1D2D4"/>
            </w:tcBorders>
            <w:shd w:val="clear" w:color="auto" w:fill="D1D2D4"/>
          </w:tcPr>
          <w:p>
            <w:pPr>
              <w:spacing w:after="0"/>
              <w:rPr>
                <w:sz w:val="13"/>
                <w:szCs w:val="13"/>
                <w:color w:val="auto"/>
              </w:rPr>
            </w:pPr>
          </w:p>
        </w:tc>
        <w:tc>
          <w:tcPr>
            <w:tcW w:w="94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102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D1D2D4"/>
            </w:tcBorders>
            <w:shd w:val="clear" w:color="auto" w:fill="D1D2D4"/>
          </w:tcPr>
          <w:p>
            <w:pPr>
              <w:spacing w:after="0" w:line="20" w:lineRule="exact"/>
              <w:rPr>
                <w:sz w:val="1"/>
                <w:szCs w:val="1"/>
                <w:color w:val="auto"/>
              </w:rPr>
            </w:pPr>
          </w:p>
        </w:tc>
        <w:tc>
          <w:tcPr>
            <w:tcW w:w="190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70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5520" w:type="dxa"/>
            <w:vAlign w:val="bottom"/>
            <w:gridSpan w:val="12"/>
          </w:tcPr>
          <w:p>
            <w:pPr>
              <w:spacing w:after="0" w:line="189" w:lineRule="exact"/>
              <w:rPr>
                <w:rFonts w:ascii="Arial" w:cs="Arial" w:eastAsia="Arial" w:hAnsi="Arial"/>
                <w:sz w:val="18"/>
                <w:szCs w:val="18"/>
                <w:color w:val="auto"/>
                <w:w w:val="99"/>
              </w:rPr>
            </w:pPr>
            <w:hyperlink r:id="rId103">
              <w:r>
                <w:rPr>
                  <w:rFonts w:ascii="Arial" w:cs="Arial" w:eastAsia="Arial" w:hAnsi="Arial"/>
                  <w:sz w:val="18"/>
                  <w:szCs w:val="18"/>
                  <w:color w:val="auto"/>
                  <w:w w:val="99"/>
                </w:rPr>
                <w:t>Form of Note for Micron Technology, Inc.’s 2.703% Senior Notes due</w:t>
              </w:r>
            </w:hyperlink>
          </w:p>
        </w:tc>
        <w:tc>
          <w:tcPr>
            <w:tcW w:w="1700" w:type="dxa"/>
            <w:vAlign w:val="bottom"/>
          </w:tcPr>
          <w:p>
            <w:pPr>
              <w:ind w:left="1080"/>
              <w:spacing w:after="0" w:line="189" w:lineRule="exact"/>
              <w:rPr>
                <w:sz w:val="20"/>
                <w:szCs w:val="20"/>
                <w:color w:val="auto"/>
              </w:rPr>
            </w:pPr>
            <w:r>
              <w:rPr>
                <w:rFonts w:ascii="Arial" w:cs="Arial" w:eastAsia="Arial" w:hAnsi="Arial"/>
                <w:sz w:val="18"/>
                <w:szCs w:val="18"/>
                <w:color w:val="auto"/>
              </w:rPr>
              <w:t>8-K</w:t>
            </w:r>
          </w:p>
        </w:tc>
        <w:tc>
          <w:tcPr>
            <w:tcW w:w="940" w:type="dxa"/>
            <w:vAlign w:val="bottom"/>
          </w:tcPr>
          <w:p>
            <w:pPr>
              <w:spacing w:after="0"/>
              <w:rPr>
                <w:sz w:val="16"/>
                <w:szCs w:val="16"/>
                <w:color w:val="auto"/>
              </w:rPr>
            </w:pPr>
          </w:p>
        </w:tc>
        <w:tc>
          <w:tcPr>
            <w:tcW w:w="1080" w:type="dxa"/>
            <w:vAlign w:val="bottom"/>
          </w:tcPr>
          <w:p>
            <w:pPr>
              <w:ind w:left="140"/>
              <w:spacing w:after="0" w:line="189" w:lineRule="exact"/>
              <w:rPr>
                <w:sz w:val="20"/>
                <w:szCs w:val="20"/>
                <w:color w:val="auto"/>
              </w:rPr>
            </w:pPr>
            <w:r>
              <w:rPr>
                <w:rFonts w:ascii="Arial" w:cs="Arial" w:eastAsia="Arial" w:hAnsi="Arial"/>
                <w:sz w:val="18"/>
                <w:szCs w:val="18"/>
                <w:color w:val="auto"/>
              </w:rPr>
              <w:t>4.3</w:t>
            </w:r>
          </w:p>
        </w:tc>
        <w:tc>
          <w:tcPr>
            <w:tcW w:w="1020" w:type="dxa"/>
            <w:vAlign w:val="bottom"/>
          </w:tcPr>
          <w:p>
            <w:pPr>
              <w:ind w:left="12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460" w:type="dxa"/>
            <w:vAlign w:val="bottom"/>
            <w:tcBorders>
              <w:top w:val="single" w:sz="8" w:color="auto"/>
            </w:tcBorders>
            <w:gridSpan w:val="11"/>
          </w:tcPr>
          <w:p>
            <w:pPr>
              <w:spacing w:after="0" w:line="156" w:lineRule="exact"/>
              <w:rPr>
                <w:rFonts w:ascii="Arial" w:cs="Arial" w:eastAsia="Arial" w:hAnsi="Arial"/>
                <w:sz w:val="18"/>
                <w:szCs w:val="18"/>
                <w:color w:val="auto"/>
              </w:rPr>
            </w:pPr>
            <w:hyperlink r:id="rId103">
              <w:r>
                <w:rPr>
                  <w:rFonts w:ascii="Arial" w:cs="Arial" w:eastAsia="Arial" w:hAnsi="Arial"/>
                  <w:sz w:val="18"/>
                  <w:szCs w:val="18"/>
                  <w:color w:val="auto"/>
                </w:rPr>
                <w:t>2032 (included in Exhibit 4.1)</w:t>
              </w:r>
            </w:hyperlink>
          </w:p>
        </w:tc>
        <w:tc>
          <w:tcPr>
            <w:tcW w:w="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4.3</w:t>
            </w:r>
          </w:p>
        </w:tc>
        <w:tc>
          <w:tcPr>
            <w:tcW w:w="5520" w:type="dxa"/>
            <w:vAlign w:val="bottom"/>
            <w:gridSpan w:val="12"/>
            <w:shd w:val="clear" w:color="auto" w:fill="D1D2D4"/>
          </w:tcPr>
          <w:p>
            <w:pPr>
              <w:spacing w:after="0" w:line="189" w:lineRule="exact"/>
              <w:rPr>
                <w:rFonts w:ascii="Arial" w:cs="Arial" w:eastAsia="Arial" w:hAnsi="Arial"/>
                <w:sz w:val="18"/>
                <w:szCs w:val="18"/>
                <w:color w:val="auto"/>
                <w:w w:val="99"/>
              </w:rPr>
            </w:pPr>
            <w:hyperlink r:id="rId103">
              <w:r>
                <w:rPr>
                  <w:rFonts w:ascii="Arial" w:cs="Arial" w:eastAsia="Arial" w:hAnsi="Arial"/>
                  <w:sz w:val="18"/>
                  <w:szCs w:val="18"/>
                  <w:color w:val="auto"/>
                  <w:w w:val="99"/>
                </w:rPr>
                <w:t>Form of Note for Micron Technology, Inc.’s 3.366% Senior Notes due</w:t>
              </w:r>
            </w:hyperlink>
          </w:p>
        </w:tc>
        <w:tc>
          <w:tcPr>
            <w:tcW w:w="1700" w:type="dxa"/>
            <w:vAlign w:val="bottom"/>
            <w:shd w:val="clear" w:color="auto" w:fill="D1D2D4"/>
          </w:tcPr>
          <w:p>
            <w:pPr>
              <w:ind w:left="1080"/>
              <w:spacing w:after="0" w:line="189" w:lineRule="exact"/>
              <w:rPr>
                <w:sz w:val="20"/>
                <w:szCs w:val="20"/>
                <w:color w:val="auto"/>
              </w:rPr>
            </w:pPr>
            <w:r>
              <w:rPr>
                <w:rFonts w:ascii="Arial" w:cs="Arial" w:eastAsia="Arial" w:hAnsi="Arial"/>
                <w:sz w:val="18"/>
                <w:szCs w:val="18"/>
                <w:color w:val="auto"/>
              </w:rPr>
              <w:t>8-K</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ind w:left="140"/>
              <w:spacing w:after="0" w:line="189" w:lineRule="exact"/>
              <w:rPr>
                <w:sz w:val="20"/>
                <w:szCs w:val="20"/>
                <w:color w:val="auto"/>
              </w:rPr>
            </w:pPr>
            <w:r>
              <w:rPr>
                <w:rFonts w:ascii="Arial" w:cs="Arial" w:eastAsia="Arial" w:hAnsi="Arial"/>
                <w:sz w:val="18"/>
                <w:szCs w:val="18"/>
                <w:color w:val="auto"/>
              </w:rPr>
              <w:t>4.4</w:t>
            </w:r>
          </w:p>
        </w:tc>
        <w:tc>
          <w:tcPr>
            <w:tcW w:w="1020" w:type="dxa"/>
            <w:vAlign w:val="bottom"/>
            <w:shd w:val="clear" w:color="auto" w:fill="D1D2D4"/>
          </w:tcPr>
          <w:p>
            <w:pPr>
              <w:ind w:left="12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tcBorders>
            <w:shd w:val="clear" w:color="auto" w:fill="D1D2D4"/>
          </w:tcPr>
          <w:p>
            <w:pPr>
              <w:spacing w:after="0"/>
              <w:rPr>
                <w:sz w:val="13"/>
                <w:szCs w:val="13"/>
                <w:color w:val="auto"/>
              </w:rPr>
            </w:pPr>
          </w:p>
        </w:tc>
        <w:tc>
          <w:tcPr>
            <w:tcW w:w="5460" w:type="dxa"/>
            <w:vAlign w:val="bottom"/>
            <w:tcBorders>
              <w:top w:val="single" w:sz="8" w:color="auto"/>
            </w:tcBorders>
            <w:gridSpan w:val="11"/>
            <w:shd w:val="clear" w:color="auto" w:fill="D1D2D4"/>
          </w:tcPr>
          <w:p>
            <w:pPr>
              <w:spacing w:after="0" w:line="156" w:lineRule="exact"/>
              <w:rPr>
                <w:rFonts w:ascii="Arial" w:cs="Arial" w:eastAsia="Arial" w:hAnsi="Arial"/>
                <w:sz w:val="18"/>
                <w:szCs w:val="18"/>
                <w:color w:val="auto"/>
              </w:rPr>
            </w:pPr>
            <w:hyperlink r:id="rId103">
              <w:r>
                <w:rPr>
                  <w:rFonts w:ascii="Arial" w:cs="Arial" w:eastAsia="Arial" w:hAnsi="Arial"/>
                  <w:sz w:val="18"/>
                  <w:szCs w:val="18"/>
                  <w:color w:val="auto"/>
                </w:rPr>
                <w:t>2041 (included in Exhibit 4.1)</w:t>
              </w:r>
            </w:hyperlink>
          </w:p>
        </w:tc>
        <w:tc>
          <w:tcPr>
            <w:tcW w:w="60" w:type="dxa"/>
            <w:vAlign w:val="bottom"/>
            <w:tcBorders>
              <w:top w:val="single" w:sz="8" w:color="D1D2D4"/>
            </w:tcBorders>
            <w:shd w:val="clear" w:color="auto" w:fill="D1D2D4"/>
          </w:tcPr>
          <w:p>
            <w:pPr>
              <w:spacing w:after="0"/>
              <w:rPr>
                <w:sz w:val="13"/>
                <w:szCs w:val="13"/>
                <w:color w:val="auto"/>
              </w:rPr>
            </w:pPr>
          </w:p>
        </w:tc>
        <w:tc>
          <w:tcPr>
            <w:tcW w:w="1700" w:type="dxa"/>
            <w:vAlign w:val="bottom"/>
            <w:tcBorders>
              <w:top w:val="single" w:sz="8" w:color="D1D2D4"/>
            </w:tcBorders>
            <w:shd w:val="clear" w:color="auto" w:fill="D1D2D4"/>
          </w:tcPr>
          <w:p>
            <w:pPr>
              <w:spacing w:after="0"/>
              <w:rPr>
                <w:sz w:val="13"/>
                <w:szCs w:val="13"/>
                <w:color w:val="auto"/>
              </w:rPr>
            </w:pPr>
          </w:p>
        </w:tc>
        <w:tc>
          <w:tcPr>
            <w:tcW w:w="94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102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90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70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4.4</w:t>
            </w:r>
          </w:p>
        </w:tc>
        <w:tc>
          <w:tcPr>
            <w:tcW w:w="5520" w:type="dxa"/>
            <w:vAlign w:val="bottom"/>
            <w:gridSpan w:val="12"/>
          </w:tcPr>
          <w:p>
            <w:pPr>
              <w:spacing w:after="0" w:line="189" w:lineRule="exact"/>
              <w:rPr>
                <w:rFonts w:ascii="Arial" w:cs="Arial" w:eastAsia="Arial" w:hAnsi="Arial"/>
                <w:sz w:val="18"/>
                <w:szCs w:val="18"/>
                <w:color w:val="auto"/>
                <w:w w:val="99"/>
              </w:rPr>
            </w:pPr>
            <w:hyperlink r:id="rId103">
              <w:r>
                <w:rPr>
                  <w:rFonts w:ascii="Arial" w:cs="Arial" w:eastAsia="Arial" w:hAnsi="Arial"/>
                  <w:sz w:val="18"/>
                  <w:szCs w:val="18"/>
                  <w:color w:val="auto"/>
                  <w:w w:val="99"/>
                </w:rPr>
                <w:t>Form of Note for Micron Technology, Inc.’s 3.477% Senior Notes due</w:t>
              </w:r>
            </w:hyperlink>
          </w:p>
        </w:tc>
        <w:tc>
          <w:tcPr>
            <w:tcW w:w="1700" w:type="dxa"/>
            <w:vAlign w:val="bottom"/>
          </w:tcPr>
          <w:p>
            <w:pPr>
              <w:ind w:left="1080"/>
              <w:spacing w:after="0" w:line="189" w:lineRule="exact"/>
              <w:rPr>
                <w:sz w:val="20"/>
                <w:szCs w:val="20"/>
                <w:color w:val="auto"/>
              </w:rPr>
            </w:pPr>
            <w:r>
              <w:rPr>
                <w:rFonts w:ascii="Arial" w:cs="Arial" w:eastAsia="Arial" w:hAnsi="Arial"/>
                <w:sz w:val="18"/>
                <w:szCs w:val="18"/>
                <w:color w:val="auto"/>
              </w:rPr>
              <w:t>8-K</w:t>
            </w:r>
          </w:p>
        </w:tc>
        <w:tc>
          <w:tcPr>
            <w:tcW w:w="940" w:type="dxa"/>
            <w:vAlign w:val="bottom"/>
          </w:tcPr>
          <w:p>
            <w:pPr>
              <w:spacing w:after="0"/>
              <w:rPr>
                <w:sz w:val="16"/>
                <w:szCs w:val="16"/>
                <w:color w:val="auto"/>
              </w:rPr>
            </w:pPr>
          </w:p>
        </w:tc>
        <w:tc>
          <w:tcPr>
            <w:tcW w:w="1080" w:type="dxa"/>
            <w:vAlign w:val="bottom"/>
          </w:tcPr>
          <w:p>
            <w:pPr>
              <w:ind w:left="140"/>
              <w:spacing w:after="0" w:line="189" w:lineRule="exact"/>
              <w:rPr>
                <w:sz w:val="20"/>
                <w:szCs w:val="20"/>
                <w:color w:val="auto"/>
              </w:rPr>
            </w:pPr>
            <w:r>
              <w:rPr>
                <w:rFonts w:ascii="Arial" w:cs="Arial" w:eastAsia="Arial" w:hAnsi="Arial"/>
                <w:sz w:val="18"/>
                <w:szCs w:val="18"/>
                <w:color w:val="auto"/>
              </w:rPr>
              <w:t>4.5</w:t>
            </w:r>
          </w:p>
        </w:tc>
        <w:tc>
          <w:tcPr>
            <w:tcW w:w="1020" w:type="dxa"/>
            <w:vAlign w:val="bottom"/>
          </w:tcPr>
          <w:p>
            <w:pPr>
              <w:ind w:left="12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460" w:type="dxa"/>
            <w:vAlign w:val="bottom"/>
            <w:tcBorders>
              <w:top w:val="single" w:sz="8" w:color="auto"/>
            </w:tcBorders>
            <w:gridSpan w:val="11"/>
          </w:tcPr>
          <w:p>
            <w:pPr>
              <w:spacing w:after="0" w:line="156" w:lineRule="exact"/>
              <w:rPr>
                <w:rFonts w:ascii="Arial" w:cs="Arial" w:eastAsia="Arial" w:hAnsi="Arial"/>
                <w:sz w:val="18"/>
                <w:szCs w:val="18"/>
                <w:color w:val="auto"/>
              </w:rPr>
            </w:pPr>
            <w:hyperlink r:id="rId103">
              <w:r>
                <w:rPr>
                  <w:rFonts w:ascii="Arial" w:cs="Arial" w:eastAsia="Arial" w:hAnsi="Arial"/>
                  <w:sz w:val="18"/>
                  <w:szCs w:val="18"/>
                  <w:color w:val="auto"/>
                </w:rPr>
                <w:t>2051 (included in Exhibit 4.1)</w:t>
              </w:r>
            </w:hyperlink>
          </w:p>
        </w:tc>
        <w:tc>
          <w:tcPr>
            <w:tcW w:w="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w:t>
            </w:r>
          </w:p>
        </w:tc>
        <w:tc>
          <w:tcPr>
            <w:tcW w:w="5520" w:type="dxa"/>
            <w:vAlign w:val="bottom"/>
            <w:gridSpan w:val="12"/>
            <w:shd w:val="clear" w:color="auto" w:fill="D1D2D4"/>
          </w:tcPr>
          <w:p>
            <w:pPr>
              <w:spacing w:after="0" w:line="189" w:lineRule="exact"/>
              <w:rPr>
                <w:rFonts w:ascii="Arial" w:cs="Arial" w:eastAsia="Arial" w:hAnsi="Arial"/>
                <w:sz w:val="18"/>
                <w:szCs w:val="18"/>
                <w:color w:val="auto"/>
              </w:rPr>
            </w:pPr>
            <w:hyperlink w:anchor="page59">
              <w:r>
                <w:rPr>
                  <w:rFonts w:ascii="Arial" w:cs="Arial" w:eastAsia="Arial" w:hAnsi="Arial"/>
                  <w:sz w:val="18"/>
                  <w:szCs w:val="18"/>
                  <w:color w:val="auto"/>
                </w:rPr>
                <w:t>2007 Equity Incentive Plan Forms of Agreement and Terms and</w:t>
              </w:r>
            </w:hyperlink>
          </w:p>
        </w:tc>
        <w:tc>
          <w:tcPr>
            <w:tcW w:w="170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860" w:type="dxa"/>
            <w:vAlign w:val="bottom"/>
            <w:tcBorders>
              <w:top w:val="single" w:sz="8" w:color="auto"/>
              <w:bottom w:val="single" w:sz="8" w:color="auto"/>
            </w:tcBorders>
            <w:shd w:val="clear" w:color="auto" w:fill="D1D2D4"/>
          </w:tcPr>
          <w:p>
            <w:pPr>
              <w:spacing w:after="0" w:line="156" w:lineRule="exact"/>
              <w:rPr>
                <w:rFonts w:ascii="Arial" w:cs="Arial" w:eastAsia="Arial" w:hAnsi="Arial"/>
                <w:sz w:val="18"/>
                <w:szCs w:val="18"/>
                <w:color w:val="auto"/>
                <w:w w:val="98"/>
              </w:rPr>
            </w:pPr>
            <w:hyperlink w:anchor="page59">
              <w:r>
                <w:rPr>
                  <w:rFonts w:ascii="Arial" w:cs="Arial" w:eastAsia="Arial" w:hAnsi="Arial"/>
                  <w:sz w:val="18"/>
                  <w:szCs w:val="18"/>
                  <w:color w:val="auto"/>
                  <w:w w:val="98"/>
                </w:rPr>
                <w:t>Conditions</w:t>
              </w:r>
            </w:hyperlink>
          </w:p>
        </w:tc>
        <w:tc>
          <w:tcPr>
            <w:tcW w:w="4200" w:type="dxa"/>
            <w:vAlign w:val="bottom"/>
            <w:tcBorders>
              <w:top w:val="single" w:sz="8" w:color="auto"/>
              <w:bottom w:val="single" w:sz="8" w:color="D1D2D4"/>
            </w:tcBorders>
            <w:gridSpan w:val="6"/>
            <w:shd w:val="clear" w:color="auto" w:fill="D1D2D4"/>
          </w:tcPr>
          <w:p>
            <w:pPr>
              <w:spacing w:after="0"/>
              <w:rPr>
                <w:sz w:val="15"/>
                <w:szCs w:val="15"/>
                <w:color w:val="auto"/>
              </w:rPr>
            </w:pPr>
          </w:p>
        </w:tc>
        <w:tc>
          <w:tcPr>
            <w:tcW w:w="160" w:type="dxa"/>
            <w:vAlign w:val="bottom"/>
            <w:tcBorders>
              <w:top w:val="single" w:sz="8" w:color="D1D2D4"/>
              <w:bottom w:val="single" w:sz="8" w:color="D1D2D4"/>
            </w:tcBorders>
            <w:shd w:val="clear" w:color="auto" w:fill="D1D2D4"/>
          </w:tcPr>
          <w:p>
            <w:pPr>
              <w:spacing w:after="0"/>
              <w:rPr>
                <w:sz w:val="15"/>
                <w:szCs w:val="15"/>
                <w:color w:val="auto"/>
              </w:rPr>
            </w:pPr>
          </w:p>
        </w:tc>
        <w:tc>
          <w:tcPr>
            <w:tcW w:w="60" w:type="dxa"/>
            <w:vAlign w:val="bottom"/>
            <w:tcBorders>
              <w:top w:val="single" w:sz="8" w:color="D1D2D4"/>
              <w:bottom w:val="single" w:sz="8" w:color="D1D2D4"/>
            </w:tcBorders>
            <w:shd w:val="clear" w:color="auto" w:fill="D1D2D4"/>
          </w:tcPr>
          <w:p>
            <w:pPr>
              <w:spacing w:after="0"/>
              <w:rPr>
                <w:sz w:val="15"/>
                <w:szCs w:val="15"/>
                <w:color w:val="auto"/>
              </w:rPr>
            </w:pPr>
          </w:p>
        </w:tc>
        <w:tc>
          <w:tcPr>
            <w:tcW w:w="240" w:type="dxa"/>
            <w:vAlign w:val="bottom"/>
            <w:tcBorders>
              <w:top w:val="single" w:sz="8" w:color="D1D2D4"/>
              <w:bottom w:val="single" w:sz="8" w:color="D1D2D4"/>
            </w:tcBorders>
            <w:gridSpan w:val="3"/>
            <w:shd w:val="clear" w:color="auto" w:fill="D1D2D4"/>
          </w:tcPr>
          <w:p>
            <w:pPr>
              <w:spacing w:after="0"/>
              <w:rPr>
                <w:sz w:val="15"/>
                <w:szCs w:val="15"/>
                <w:color w:val="auto"/>
              </w:rPr>
            </w:pPr>
          </w:p>
        </w:tc>
        <w:tc>
          <w:tcPr>
            <w:tcW w:w="1700" w:type="dxa"/>
            <w:vAlign w:val="bottom"/>
            <w:tcBorders>
              <w:top w:val="single" w:sz="8" w:color="D1D2D4"/>
              <w:bottom w:val="single" w:sz="8" w:color="D1D2D4"/>
            </w:tcBorders>
            <w:shd w:val="clear" w:color="auto" w:fill="D1D2D4"/>
          </w:tcPr>
          <w:p>
            <w:pPr>
              <w:spacing w:after="0"/>
              <w:rPr>
                <w:sz w:val="15"/>
                <w:szCs w:val="15"/>
                <w:color w:val="auto"/>
              </w:rPr>
            </w:pPr>
          </w:p>
        </w:tc>
        <w:tc>
          <w:tcPr>
            <w:tcW w:w="94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102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5520" w:type="dxa"/>
            <w:vAlign w:val="bottom"/>
            <w:gridSpan w:val="12"/>
          </w:tcPr>
          <w:p>
            <w:pPr>
              <w:spacing w:after="0" w:line="189" w:lineRule="exact"/>
              <w:rPr>
                <w:rFonts w:ascii="Arial" w:cs="Arial" w:eastAsia="Arial" w:hAnsi="Arial"/>
                <w:sz w:val="18"/>
                <w:szCs w:val="18"/>
                <w:color w:val="auto"/>
              </w:rPr>
            </w:pPr>
            <w:hyperlink w:anchor="page94">
              <w:r>
                <w:rPr>
                  <w:rFonts w:ascii="Arial" w:cs="Arial" w:eastAsia="Arial" w:hAnsi="Arial"/>
                  <w:sz w:val="18"/>
                  <w:szCs w:val="18"/>
                  <w:color w:val="auto"/>
                </w:rPr>
                <w:t>Rule 13a-14(a) Certification of Chief Executive Officer</w:t>
              </w:r>
            </w:hyperlink>
          </w:p>
        </w:tc>
        <w:tc>
          <w:tcPr>
            <w:tcW w:w="1700" w:type="dxa"/>
            <w:vAlign w:val="bottom"/>
          </w:tcPr>
          <w:p>
            <w:pPr>
              <w:ind w:left="6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31.2</w:t>
            </w:r>
          </w:p>
        </w:tc>
        <w:tc>
          <w:tcPr>
            <w:tcW w:w="5520" w:type="dxa"/>
            <w:vAlign w:val="bottom"/>
            <w:gridSpan w:val="12"/>
            <w:shd w:val="clear" w:color="auto" w:fill="D1D2D4"/>
          </w:tcPr>
          <w:p>
            <w:pPr>
              <w:spacing w:after="0" w:line="189" w:lineRule="exact"/>
              <w:rPr>
                <w:rFonts w:ascii="Arial" w:cs="Arial" w:eastAsia="Arial" w:hAnsi="Arial"/>
                <w:sz w:val="18"/>
                <w:szCs w:val="18"/>
                <w:color w:val="auto"/>
              </w:rPr>
            </w:pPr>
            <w:hyperlink w:anchor="page95">
              <w:r>
                <w:rPr>
                  <w:rFonts w:ascii="Arial" w:cs="Arial" w:eastAsia="Arial" w:hAnsi="Arial"/>
                  <w:sz w:val="18"/>
                  <w:szCs w:val="18"/>
                  <w:color w:val="auto"/>
                </w:rPr>
                <w:t>Rule 13a-14(a) Certification of Chief Financial Officer</w:t>
              </w:r>
            </w:hyperlink>
          </w:p>
        </w:tc>
        <w:tc>
          <w:tcPr>
            <w:tcW w:w="170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900" w:type="dxa"/>
            <w:vAlign w:val="bottom"/>
            <w:tcBorders>
              <w:top w:val="single" w:sz="8" w:color="auto"/>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70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5520" w:type="dxa"/>
            <w:vAlign w:val="bottom"/>
            <w:gridSpan w:val="12"/>
          </w:tcPr>
          <w:p>
            <w:pPr>
              <w:spacing w:after="0" w:line="189" w:lineRule="exact"/>
              <w:rPr>
                <w:rFonts w:ascii="Arial" w:cs="Arial" w:eastAsia="Arial" w:hAnsi="Arial"/>
                <w:sz w:val="18"/>
                <w:szCs w:val="18"/>
                <w:color w:val="auto"/>
              </w:rPr>
            </w:pPr>
            <w:hyperlink w:anchor="page96">
              <w:r>
                <w:rPr>
                  <w:rFonts w:ascii="Arial" w:cs="Arial" w:eastAsia="Arial" w:hAnsi="Arial"/>
                  <w:sz w:val="18"/>
                  <w:szCs w:val="18"/>
                  <w:color w:val="auto"/>
                </w:rPr>
                <w:t>Certification of Chief Executive Officer Pursuant to 18 U.S.C. 1350</w:t>
              </w:r>
            </w:hyperlink>
          </w:p>
        </w:tc>
        <w:tc>
          <w:tcPr>
            <w:tcW w:w="1700" w:type="dxa"/>
            <w:vAlign w:val="bottom"/>
          </w:tcPr>
          <w:p>
            <w:pPr>
              <w:ind w:left="6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32.2</w:t>
            </w:r>
          </w:p>
        </w:tc>
        <w:tc>
          <w:tcPr>
            <w:tcW w:w="5520" w:type="dxa"/>
            <w:vAlign w:val="bottom"/>
            <w:gridSpan w:val="12"/>
            <w:shd w:val="clear" w:color="auto" w:fill="D1D2D4"/>
          </w:tcPr>
          <w:p>
            <w:pPr>
              <w:spacing w:after="0" w:line="189" w:lineRule="exact"/>
              <w:rPr>
                <w:rFonts w:ascii="Arial" w:cs="Arial" w:eastAsia="Arial" w:hAnsi="Arial"/>
                <w:sz w:val="18"/>
                <w:szCs w:val="18"/>
                <w:color w:val="auto"/>
              </w:rPr>
            </w:pPr>
            <w:hyperlink w:anchor="page97">
              <w:r>
                <w:rPr>
                  <w:rFonts w:ascii="Arial" w:cs="Arial" w:eastAsia="Arial" w:hAnsi="Arial"/>
                  <w:sz w:val="18"/>
                  <w:szCs w:val="18"/>
                  <w:color w:val="auto"/>
                </w:rPr>
                <w:t>Certification of Chief Financial Officer Pursuant to 18 U.S.C. 1350</w:t>
              </w:r>
            </w:hyperlink>
          </w:p>
        </w:tc>
        <w:tc>
          <w:tcPr>
            <w:tcW w:w="170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900" w:type="dxa"/>
            <w:vAlign w:val="bottom"/>
            <w:tcBorders>
              <w:top w:val="single" w:sz="8" w:color="auto"/>
            </w:tcBorders>
            <w:shd w:val="clear" w:color="auto" w:fill="D1D2D4"/>
          </w:tcPr>
          <w:p>
            <w:pPr>
              <w:spacing w:after="0" w:line="20" w:lineRule="exact"/>
              <w:rPr>
                <w:sz w:val="1"/>
                <w:szCs w:val="1"/>
                <w:color w:val="auto"/>
              </w:rPr>
            </w:pPr>
          </w:p>
        </w:tc>
        <w:tc>
          <w:tcPr>
            <w:tcW w:w="60" w:type="dxa"/>
            <w:vAlign w:val="bottom"/>
            <w:tcBorders>
              <w:top w:val="single" w:sz="8" w:color="auto"/>
            </w:tcBorders>
            <w:shd w:val="clear" w:color="auto" w:fill="D1D2D4"/>
          </w:tcPr>
          <w:p>
            <w:pPr>
              <w:spacing w:after="0" w:line="20" w:lineRule="exact"/>
              <w:rPr>
                <w:sz w:val="1"/>
                <w:szCs w:val="1"/>
                <w:color w:val="auto"/>
              </w:rPr>
            </w:pPr>
          </w:p>
        </w:tc>
        <w:tc>
          <w:tcPr>
            <w:tcW w:w="60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160" w:type="dxa"/>
            <w:vAlign w:val="bottom"/>
            <w:tcBorders>
              <w:top w:val="single" w:sz="8" w:color="auto"/>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70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101.INS</w:t>
            </w:r>
          </w:p>
        </w:tc>
        <w:tc>
          <w:tcPr>
            <w:tcW w:w="5520" w:type="dxa"/>
            <w:vAlign w:val="bottom"/>
            <w:gridSpan w:val="12"/>
          </w:tcPr>
          <w:p>
            <w:pPr>
              <w:spacing w:after="0" w:line="189" w:lineRule="exact"/>
              <w:rPr>
                <w:sz w:val="20"/>
                <w:szCs w:val="20"/>
                <w:color w:val="auto"/>
              </w:rPr>
            </w:pPr>
            <w:r>
              <w:rPr>
                <w:rFonts w:ascii="Arial" w:cs="Arial" w:eastAsia="Arial" w:hAnsi="Arial"/>
                <w:sz w:val="18"/>
                <w:szCs w:val="18"/>
                <w:color w:val="auto"/>
              </w:rPr>
              <w:t>Inline XBRL Instance Document - the instance document does not</w:t>
            </w:r>
          </w:p>
        </w:tc>
        <w:tc>
          <w:tcPr>
            <w:tcW w:w="1700" w:type="dxa"/>
            <w:vAlign w:val="bottom"/>
          </w:tcPr>
          <w:p>
            <w:pPr>
              <w:ind w:left="6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5520" w:type="dxa"/>
            <w:vAlign w:val="bottom"/>
            <w:gridSpan w:val="12"/>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1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520" w:type="dxa"/>
            <w:vAlign w:val="bottom"/>
            <w:gridSpan w:val="12"/>
          </w:tcPr>
          <w:p>
            <w:pPr>
              <w:spacing w:after="0"/>
              <w:rPr>
                <w:sz w:val="20"/>
                <w:szCs w:val="20"/>
                <w:color w:val="auto"/>
              </w:rPr>
            </w:pPr>
            <w:r>
              <w:rPr>
                <w:rFonts w:ascii="Arial" w:cs="Arial" w:eastAsia="Arial" w:hAnsi="Arial"/>
                <w:sz w:val="18"/>
                <w:szCs w:val="18"/>
                <w:color w:val="auto"/>
              </w:rPr>
              <w:t>embedded within the Inline XBRL document</w:t>
            </w: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101.SCH</w:t>
            </w:r>
          </w:p>
        </w:tc>
        <w:tc>
          <w:tcPr>
            <w:tcW w:w="5520" w:type="dxa"/>
            <w:vAlign w:val="bottom"/>
            <w:gridSpan w:val="12"/>
            <w:shd w:val="clear" w:color="auto" w:fill="D1D2D4"/>
          </w:tcPr>
          <w:p>
            <w:pPr>
              <w:spacing w:after="0"/>
              <w:rPr>
                <w:sz w:val="20"/>
                <w:szCs w:val="20"/>
                <w:color w:val="auto"/>
              </w:rPr>
            </w:pPr>
            <w:r>
              <w:rPr>
                <w:rFonts w:ascii="Arial" w:cs="Arial" w:eastAsia="Arial" w:hAnsi="Arial"/>
                <w:sz w:val="18"/>
                <w:szCs w:val="18"/>
                <w:color w:val="auto"/>
              </w:rPr>
              <w:t>Inline XBRL Taxonomy Extension Schema Document</w:t>
            </w:r>
          </w:p>
        </w:tc>
        <w:tc>
          <w:tcPr>
            <w:tcW w:w="1700" w:type="dxa"/>
            <w:vAlign w:val="bottom"/>
            <w:shd w:val="clear" w:color="auto" w:fill="D1D2D4"/>
          </w:tcPr>
          <w:p>
            <w:pPr>
              <w:ind w:left="60"/>
              <w:spacing w:after="0"/>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101.CAL</w:t>
            </w:r>
          </w:p>
        </w:tc>
        <w:tc>
          <w:tcPr>
            <w:tcW w:w="552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700" w:type="dxa"/>
            <w:vAlign w:val="bottom"/>
          </w:tcPr>
          <w:p>
            <w:pPr>
              <w:ind w:left="6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101.DEF</w:t>
            </w:r>
          </w:p>
        </w:tc>
        <w:tc>
          <w:tcPr>
            <w:tcW w:w="5520" w:type="dxa"/>
            <w:vAlign w:val="bottom"/>
            <w:gridSpan w:val="12"/>
            <w:shd w:val="clear" w:color="auto" w:fill="D1D2D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700" w:type="dxa"/>
            <w:vAlign w:val="bottom"/>
            <w:shd w:val="clear" w:color="auto" w:fill="D1D2D4"/>
          </w:tcPr>
          <w:p>
            <w:pPr>
              <w:ind w:left="60"/>
              <w:spacing w:after="0"/>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101.LAB</w:t>
            </w:r>
          </w:p>
        </w:tc>
        <w:tc>
          <w:tcPr>
            <w:tcW w:w="552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700" w:type="dxa"/>
            <w:vAlign w:val="bottom"/>
          </w:tcPr>
          <w:p>
            <w:pPr>
              <w:ind w:left="6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101.PRE</w:t>
            </w:r>
          </w:p>
        </w:tc>
        <w:tc>
          <w:tcPr>
            <w:tcW w:w="5520" w:type="dxa"/>
            <w:vAlign w:val="bottom"/>
            <w:gridSpan w:val="12"/>
            <w:shd w:val="clear" w:color="auto" w:fill="D1D2D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700" w:type="dxa"/>
            <w:vAlign w:val="bottom"/>
            <w:shd w:val="clear" w:color="auto" w:fill="D1D2D4"/>
          </w:tcPr>
          <w:p>
            <w:pPr>
              <w:ind w:left="60"/>
              <w:spacing w:after="0"/>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5520" w:type="dxa"/>
            <w:vAlign w:val="bottom"/>
            <w:gridSpan w:val="12"/>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w:t>
            </w:r>
          </w:p>
        </w:tc>
        <w:tc>
          <w:tcPr>
            <w:tcW w:w="1700" w:type="dxa"/>
            <w:vAlign w:val="bottom"/>
          </w:tcPr>
          <w:p>
            <w:pPr>
              <w:ind w:left="6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520" w:type="dxa"/>
            <w:vAlign w:val="bottom"/>
            <w:gridSpan w:val="12"/>
          </w:tcPr>
          <w:p>
            <w:pPr>
              <w:spacing w:after="0"/>
              <w:rPr>
                <w:sz w:val="20"/>
                <w:szCs w:val="20"/>
                <w:color w:val="auto"/>
              </w:rPr>
            </w:pPr>
            <w:r>
              <w:rPr>
                <w:rFonts w:ascii="Arial" w:cs="Arial" w:eastAsia="Arial" w:hAnsi="Arial"/>
                <w:sz w:val="18"/>
                <w:szCs w:val="18"/>
                <w:color w:val="auto"/>
              </w:rPr>
              <w:t>contained in Exhibit 101)</w:t>
            </w: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00" w:lineRule="exact"/>
        <w:rPr>
          <w:sz w:val="20"/>
          <w:szCs w:val="20"/>
          <w:color w:val="auto"/>
        </w:rPr>
      </w:pPr>
    </w:p>
    <w:p>
      <w:pPr>
        <w:spacing w:after="0" w:line="22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6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Micron Technology, Inc.</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(Registrant)</w:t>
            </w:r>
          </w:p>
        </w:tc>
      </w:tr>
      <w:tr>
        <w:trPr>
          <w:trHeight w:val="742"/>
        </w:trPr>
        <w:tc>
          <w:tcPr>
            <w:tcW w:w="3500" w:type="dxa"/>
            <w:vAlign w:val="bottom"/>
          </w:tcPr>
          <w:p>
            <w:pPr>
              <w:spacing w:after="0"/>
              <w:rPr>
                <w:sz w:val="20"/>
                <w:szCs w:val="20"/>
                <w:color w:val="auto"/>
              </w:rPr>
            </w:pPr>
            <w:r>
              <w:rPr>
                <w:rFonts w:ascii="Arial" w:cs="Arial" w:eastAsia="Arial" w:hAnsi="Arial"/>
                <w:sz w:val="18"/>
                <w:szCs w:val="18"/>
                <w:color w:val="auto"/>
              </w:rPr>
              <w:t>Date:  January 6, 2022</w:t>
            </w:r>
          </w:p>
        </w:tc>
        <w:tc>
          <w:tcPr>
            <w:tcW w:w="7720" w:type="dxa"/>
            <w:vAlign w:val="bottom"/>
            <w:gridSpan w:val="2"/>
          </w:tcPr>
          <w:p>
            <w:pPr>
              <w:ind w:left="1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David A. Zinsner</w:t>
            </w:r>
          </w:p>
        </w:tc>
      </w:tr>
      <w:tr>
        <w:trPr>
          <w:trHeight w:val="223"/>
        </w:trPr>
        <w:tc>
          <w:tcPr>
            <w:tcW w:w="3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A. Zinsner</w:t>
            </w:r>
          </w:p>
        </w:tc>
      </w:tr>
      <w:tr>
        <w:trPr>
          <w:trHeight w:val="230"/>
        </w:trPr>
        <w:tc>
          <w:tcPr>
            <w:tcW w:w="3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Scott Allen</w:t>
            </w:r>
          </w:p>
        </w:tc>
      </w:tr>
      <w:tr>
        <w:trPr>
          <w:trHeight w:val="223"/>
        </w:trPr>
        <w:tc>
          <w:tcPr>
            <w:tcW w:w="3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Scott Allen</w:t>
            </w:r>
          </w:p>
        </w:tc>
      </w:tr>
      <w:tr>
        <w:trPr>
          <w:trHeight w:val="229"/>
        </w:trPr>
        <w:tc>
          <w:tcPr>
            <w:tcW w:w="3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Corporate Vice President and Chief Accounting Officer</w:t>
            </w:r>
          </w:p>
        </w:tc>
      </w:tr>
      <w:tr>
        <w:trPr>
          <w:trHeight w:val="229"/>
        </w:trPr>
        <w:tc>
          <w:tcPr>
            <w:tcW w:w="3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Q1 10-Q</w:t>
      </w:r>
    </w:p>
    <w:p>
      <w:pPr>
        <w:sectPr>
          <w:pgSz w:w="11900" w:h="16838" w:orient="portrait"/>
          <w:cols w:equalWidth="0" w:num="1">
            <w:col w:w="11240"/>
          </w:cols>
          <w:pgMar w:left="320" w:top="121" w:right="339" w:bottom="1440" w:gutter="0" w:footer="0" w:header="0"/>
        </w:sectPr>
      </w:pPr>
    </w:p>
    <w:bookmarkStart w:id="58" w:name="page59"/>
    <w:bookmarkEnd w:id="58"/>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AMENDED AND RESTATED 2007 EQUITY INCENTIVE PLAN</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 AGREEMENT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NOTICE OF RESTRICTED STOCK UNIT GRANT</w:t>
      </w:r>
    </w:p>
    <w:p>
      <w:pPr>
        <w:spacing w:after="0" w:line="26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Unless otherwise defined herein, the terms defined in the Micron Technology, Inc. Amended and Restated 2007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will have the same defined meanings in this Restricted Stock Unit Agreement which includes the Notice of Restricted Stock Unit Grant (the “</w:t>
      </w:r>
      <w:r>
        <w:rPr>
          <w:rFonts w:ascii="Arial" w:cs="Arial" w:eastAsia="Arial" w:hAnsi="Arial"/>
          <w:sz w:val="19"/>
          <w:szCs w:val="19"/>
          <w:u w:val="single" w:color="auto"/>
          <w:color w:val="auto"/>
        </w:rPr>
        <w:t>Notice of Grant</w:t>
      </w:r>
      <w:r>
        <w:rPr>
          <w:rFonts w:ascii="Arial" w:cs="Arial" w:eastAsia="Arial" w:hAnsi="Arial"/>
          <w:sz w:val="19"/>
          <w:szCs w:val="19"/>
          <w:color w:val="auto"/>
        </w:rPr>
        <w:t xml:space="preserve">”), the Terms and Conditions of Restricted Stock Unit Grant,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and all other exhibits, appendices, and addenda attached hereto (collectively, the “</w:t>
      </w:r>
      <w:r>
        <w:rPr>
          <w:rFonts w:ascii="Arial" w:cs="Arial" w:eastAsia="Arial" w:hAnsi="Arial"/>
          <w:sz w:val="19"/>
          <w:szCs w:val="19"/>
          <w:u w:val="single" w:color="auto"/>
          <w:color w:val="auto"/>
        </w:rPr>
        <w:t>Award Agreement</w:t>
      </w:r>
      <w:r>
        <w:rPr>
          <w:rFonts w:ascii="Arial" w:cs="Arial" w:eastAsia="Arial" w:hAnsi="Arial"/>
          <w:sz w:val="19"/>
          <w:szCs w:val="19"/>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Participant Name:</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Address:</w:t>
      </w:r>
    </w:p>
    <w:p>
      <w:pPr>
        <w:spacing w:after="0" w:line="2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undersigned Participant has been granted the right to receive a Restricted Stock Unit Award, subject to the terms and conditions of the Plan and this Award Agreement, as follows: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Grant Number: ______________________________</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of Grant: ______________________________</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Vesting Commencement Date: ______________________________</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Total Number of Shares Subject to</w:t>
      </w:r>
    </w:p>
    <w:p>
      <w:pPr>
        <w:ind w:left="660"/>
        <w:spacing w:after="0"/>
        <w:rPr>
          <w:sz w:val="20"/>
          <w:szCs w:val="20"/>
          <w:color w:val="auto"/>
        </w:rPr>
      </w:pPr>
      <w:r>
        <w:rPr>
          <w:rFonts w:ascii="Arial" w:cs="Arial" w:eastAsia="Arial" w:hAnsi="Arial"/>
          <w:sz w:val="20"/>
          <w:szCs w:val="20"/>
          <w:color w:val="auto"/>
        </w:rPr>
        <w:t>Restricted Stock Units: ______________________________</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w:t>
      </w:r>
    </w:p>
    <w:p>
      <w:pPr>
        <w:spacing w:after="0" w:line="24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Subject to any acceleration provisions contained in the Plan or set forth below, the Restricted Stock Units will be scheduled to vest in accordance with the following schedule: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Vesting Schedule</w:t>
      </w:r>
      <w:r>
        <w:rPr>
          <w:rFonts w:ascii="Arial" w:cs="Arial" w:eastAsia="Arial" w:hAnsi="Arial"/>
          <w:sz w:val="20"/>
          <w:szCs w:val="20"/>
          <w:color w:val="auto"/>
        </w:rPr>
        <w:t>.]</w:t>
      </w:r>
    </w:p>
    <w:p>
      <w:pPr>
        <w:spacing w:after="0" w:line="26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If Participant’s Continuous Status as a Participant ends for any reason before Participant vests in all or some of the Restricted Stock Units, the unvested Restricted Stock Units and Participant’s right to acquire any Shares hereunder will terminate and never will vest, unless specifically provided otherwise in this Award Agreement or in another written agreement between Participant and Micron Technology, Inc. (the ”</w:t>
      </w:r>
      <w:r>
        <w:rPr>
          <w:rFonts w:ascii="Arial" w:cs="Arial" w:eastAsia="Arial" w:hAnsi="Arial"/>
          <w:sz w:val="20"/>
          <w:szCs w:val="20"/>
          <w:u w:val="single" w:color="auto"/>
          <w:color w:val="auto"/>
        </w:rPr>
        <w:t>Company</w:t>
      </w:r>
      <w:r>
        <w:rPr>
          <w:rFonts w:ascii="Arial" w:cs="Arial" w:eastAsia="Arial" w:hAnsi="Arial"/>
          <w:sz w:val="20"/>
          <w:szCs w:val="20"/>
          <w:color w:val="auto"/>
        </w:rPr>
        <w:t>”) or any of its Subsidiaries or Parents, as applicable (provided that any such other written agreement must have been duly authorized and signed by an officer of the Company or any of its Subsidiaries or Parents).</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By Participant electronically accepting this Agreement or manually signing this Agreement (in either case, as and in the manner specified by the Company), Participant and the Company agree that (1) this Restricted Stock Unit Award is granted under and governed by the terms and conditions of the Plan and this Award Agreement, which constitutes an Award</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8" w:lineRule="exact"/>
        <w:rPr>
          <w:sz w:val="20"/>
          <w:szCs w:val="20"/>
          <w:color w:val="auto"/>
        </w:rPr>
      </w:pPr>
    </w:p>
    <w:p>
      <w:pPr>
        <w:jc w:val="both"/>
        <w:spacing w:after="0"/>
        <w:rPr>
          <w:sz w:val="20"/>
          <w:szCs w:val="20"/>
          <w:color w:val="auto"/>
        </w:rPr>
      </w:pPr>
      <w:r>
        <w:rPr>
          <w:rFonts w:ascii="Arial" w:cs="Arial" w:eastAsia="Arial" w:hAnsi="Arial"/>
          <w:sz w:val="20"/>
          <w:szCs w:val="20"/>
          <w:color w:val="auto"/>
        </w:rPr>
        <w:t>Certificate for purposes of the Plan,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Committee upon any questions relating to the Plan and this Award Agreement.</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rPr>
          <w:sz w:val="20"/>
          <w:szCs w:val="20"/>
          <w:color w:val="auto"/>
        </w:rPr>
      </w:pPr>
      <w:r>
        <w:rPr>
          <w:rFonts w:ascii="Arial" w:cs="Arial" w:eastAsia="Arial" w:hAnsi="Arial"/>
          <w:sz w:val="20"/>
          <w:szCs w:val="20"/>
          <w:color w:val="auto"/>
        </w:rPr>
        <w:t>Signature</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rPr>
          <w:sz w:val="20"/>
          <w:szCs w:val="20"/>
          <w:color w:val="auto"/>
        </w:rPr>
      </w:pPr>
      <w:r>
        <w:rPr>
          <w:rFonts w:ascii="Arial" w:cs="Arial" w:eastAsia="Arial" w:hAnsi="Arial"/>
          <w:sz w:val="20"/>
          <w:szCs w:val="20"/>
          <w:color w:val="auto"/>
        </w:rPr>
        <w:t>Printed Name][Note: delete for electronic acceptance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TERMS AND CONDITIONS OF RESTRICTED STOCK UNIT GRANT</w:t>
      </w:r>
    </w:p>
    <w:p>
      <w:pPr>
        <w:spacing w:after="0" w:line="267" w:lineRule="exact"/>
        <w:rPr>
          <w:sz w:val="20"/>
          <w:szCs w:val="20"/>
          <w:color w:val="auto"/>
        </w:rPr>
      </w:pPr>
    </w:p>
    <w:p>
      <w:pPr>
        <w:jc w:val="both"/>
        <w:ind w:firstLine="656"/>
        <w:spacing w:after="0" w:line="241" w:lineRule="auto"/>
        <w:tabs>
          <w:tab w:leader="none" w:pos="1285"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 Units</w:t>
      </w:r>
      <w:r>
        <w:rPr>
          <w:rFonts w:ascii="Arial" w:cs="Arial" w:eastAsia="Arial" w:hAnsi="Arial"/>
          <w:sz w:val="20"/>
          <w:szCs w:val="20"/>
          <w:color w:val="auto"/>
        </w:rPr>
        <w:t>. The Company hereby grants to the individual (“</w:t>
      </w:r>
      <w:r>
        <w:rPr>
          <w:rFonts w:ascii="Arial" w:cs="Arial" w:eastAsia="Arial" w:hAnsi="Arial"/>
          <w:sz w:val="20"/>
          <w:szCs w:val="20"/>
          <w:u w:val="single" w:color="auto"/>
          <w:color w:val="auto"/>
        </w:rPr>
        <w:t>Participant</w:t>
      </w:r>
      <w:r>
        <w:rPr>
          <w:rFonts w:ascii="Arial" w:cs="Arial" w:eastAsia="Arial" w:hAnsi="Arial"/>
          <w:sz w:val="20"/>
          <w:szCs w:val="20"/>
          <w:color w:val="auto"/>
        </w:rPr>
        <w:t>”) named in the Notice of Restricted Stock Unit Grant of this Award Agreement (the “</w:t>
      </w:r>
      <w:r>
        <w:rPr>
          <w:rFonts w:ascii="Arial" w:cs="Arial" w:eastAsia="Arial" w:hAnsi="Arial"/>
          <w:sz w:val="20"/>
          <w:szCs w:val="20"/>
          <w:u w:val="single" w:color="auto"/>
          <w:color w:val="auto"/>
        </w:rPr>
        <w:t>Notice of Grant</w:t>
      </w:r>
      <w:r>
        <w:rPr>
          <w:rFonts w:ascii="Arial" w:cs="Arial" w:eastAsia="Arial" w:hAnsi="Arial"/>
          <w:sz w:val="20"/>
          <w:szCs w:val="20"/>
          <w:color w:val="auto"/>
        </w:rPr>
        <w:t>”) a Restricted Stock Unit Award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w:t>
      </w:r>
    </w:p>
    <w:p>
      <w:pPr>
        <w:spacing w:after="0" w:line="235" w:lineRule="exact"/>
        <w:rPr>
          <w:rFonts w:ascii="Arial" w:cs="Arial" w:eastAsia="Arial" w:hAnsi="Arial"/>
          <w:sz w:val="20"/>
          <w:szCs w:val="20"/>
          <w:color w:val="auto"/>
        </w:rPr>
      </w:pPr>
    </w:p>
    <w:p>
      <w:pPr>
        <w:jc w:val="both"/>
        <w:ind w:firstLine="656"/>
        <w:spacing w:after="0" w:line="241" w:lineRule="auto"/>
        <w:tabs>
          <w:tab w:leader="none" w:pos="1285"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Company’s Obligation to Pay</w:t>
      </w:r>
      <w:r>
        <w:rPr>
          <w:rFonts w:ascii="Arial" w:cs="Arial" w:eastAsia="Arial" w:hAnsi="Arial"/>
          <w:sz w:val="20"/>
          <w:szCs w:val="20"/>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235" w:lineRule="exact"/>
        <w:rPr>
          <w:rFonts w:ascii="Arial" w:cs="Arial" w:eastAsia="Arial" w:hAnsi="Arial"/>
          <w:sz w:val="20"/>
          <w:szCs w:val="20"/>
          <w:color w:val="auto"/>
        </w:rPr>
      </w:pPr>
    </w:p>
    <w:p>
      <w:pPr>
        <w:jc w:val="both"/>
        <w:ind w:firstLine="656"/>
        <w:spacing w:after="0" w:line="243" w:lineRule="auto"/>
        <w:tabs>
          <w:tab w:leader="none" w:pos="1285"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Except as provided in Section 4, and subject to Section 5, the Restricted Stock Units awarded by this Award Agreement will vest in accordance with the vesting provisions set forth in the Notice of Grant, subject to Participant remaining in Continuous Status as a Participant through the applicable vesting date.</w:t>
      </w:r>
    </w:p>
    <w:p>
      <w:pPr>
        <w:spacing w:after="0" w:line="232"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Payment after Vesting</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1304"/>
        <w:spacing w:after="0"/>
        <w:tabs>
          <w:tab w:leader="none" w:pos="1943" w:val="left"/>
        </w:tabs>
        <w:numPr>
          <w:ilvl w:val="1"/>
          <w:numId w:val="30"/>
        </w:numPr>
        <w:rPr>
          <w:rFonts w:ascii="Arial" w:cs="Arial" w:eastAsia="Arial" w:hAnsi="Arial"/>
          <w:sz w:val="20"/>
          <w:szCs w:val="20"/>
          <w:color w:val="auto"/>
        </w:rPr>
      </w:pPr>
      <w:r>
        <w:rPr>
          <w:rFonts w:ascii="Arial" w:cs="Arial" w:eastAsia="Arial" w:hAnsi="Arial"/>
          <w:sz w:val="20"/>
          <w:szCs w:val="20"/>
          <w:u w:val="single" w:color="auto"/>
          <w:color w:val="auto"/>
        </w:rPr>
        <w:t>General Rule</w:t>
      </w:r>
      <w:r>
        <w:rPr>
          <w:rFonts w:ascii="Arial" w:cs="Arial" w:eastAsia="Arial" w:hAnsi="Arial"/>
          <w:sz w:val="20"/>
          <w:szCs w:val="20"/>
          <w:color w:val="auto"/>
        </w:rPr>
        <w:t>. Subject to Section 8, any Restricted Stock Units that vest will be paid to Participant (or in the event of Participant’s death, to his or her properly designated beneficiary or estate) in Shares. Subject to this Section 4 and Section 9, such vested Restricted Stock Units shall be paid in Shares as soon as administratively practicable after vesting, but in each such case within thirty (30) days following the vesting date (such payment date being the “Settlement Date”). In no event will Participant be permitted, directly or indirectly, to specify the taxable year of payment of any Restricted Stock Units payable under this Award Agreement.</w:t>
      </w:r>
    </w:p>
    <w:p>
      <w:pPr>
        <w:spacing w:after="0" w:line="240" w:lineRule="exact"/>
        <w:rPr>
          <w:rFonts w:ascii="Arial" w:cs="Arial" w:eastAsia="Arial" w:hAnsi="Arial"/>
          <w:sz w:val="20"/>
          <w:szCs w:val="20"/>
          <w:color w:val="auto"/>
        </w:rPr>
      </w:pPr>
    </w:p>
    <w:p>
      <w:pPr>
        <w:ind w:left="1960" w:hanging="656"/>
        <w:spacing w:after="0"/>
        <w:tabs>
          <w:tab w:leader="none" w:pos="1960" w:val="left"/>
        </w:tabs>
        <w:numPr>
          <w:ilvl w:val="1"/>
          <w:numId w:val="30"/>
        </w:numPr>
        <w:rPr>
          <w:rFonts w:ascii="Arial" w:cs="Arial" w:eastAsia="Arial" w:hAnsi="Arial"/>
          <w:sz w:val="20"/>
          <w:szCs w:val="20"/>
          <w:color w:val="auto"/>
        </w:rPr>
      </w:pPr>
      <w:r>
        <w:rPr>
          <w:rFonts w:ascii="Arial" w:cs="Arial" w:eastAsia="Arial" w:hAnsi="Arial"/>
          <w:sz w:val="20"/>
          <w:szCs w:val="20"/>
          <w:u w:val="single" w:color="auto"/>
          <w:color w:val="auto"/>
        </w:rPr>
        <w:t>Acceleration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1952"/>
        <w:spacing w:after="0" w:line="243" w:lineRule="auto"/>
        <w:tabs>
          <w:tab w:leader="none" w:pos="2579" w:val="left"/>
        </w:tabs>
        <w:numPr>
          <w:ilvl w:val="2"/>
          <w:numId w:val="30"/>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If Participant’s Continuous Status as a Participant ends on account of Participant’s death or Participant becoming Disabled, any Restricted Stock Units that both were unexpired and unvested as of the date of cessation of Continuous Status as a Participant, will vest on such date.</w:t>
      </w:r>
    </w:p>
    <w:p>
      <w:pPr>
        <w:spacing w:after="0" w:line="232" w:lineRule="exact"/>
        <w:rPr>
          <w:rFonts w:ascii="Arial" w:cs="Arial" w:eastAsia="Arial" w:hAnsi="Arial"/>
          <w:sz w:val="20"/>
          <w:szCs w:val="20"/>
          <w:color w:val="auto"/>
        </w:rPr>
      </w:pPr>
    </w:p>
    <w:p>
      <w:pPr>
        <w:jc w:val="both"/>
        <w:ind w:firstLine="1952"/>
        <w:spacing w:after="0"/>
        <w:tabs>
          <w:tab w:leader="none" w:pos="2582" w:val="left"/>
        </w:tabs>
        <w:numPr>
          <w:ilvl w:val="2"/>
          <w:numId w:val="30"/>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xml:space="preserve"> If a Change in Control occurs before Participant’s Continuous Status as a Participant ends, any Restricted Stock Units that both were unexpired and unvested as of immediately preceding the Change in Control, will vest upon the consummation of the Change in Control unless, as determined by the Committee (as constituted immediately prior to the Change in Control), such Restricted Stock Units have been assumed by the Surviving Corporation, if any, or otherwise equitably converted or substituted in the Change in Control. For the purposes of this Award Agreement, the Restricted Stock Units will be considered assumed if, following the Change in Control, this Award Agreement confers the right to receive, for each Share subject to the Award Agreement immediately prior to the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8" w:lineRule="exact"/>
        <w:rPr>
          <w:sz w:val="20"/>
          <w:szCs w:val="20"/>
          <w:color w:val="auto"/>
        </w:rPr>
      </w:pPr>
    </w:p>
    <w:p>
      <w:pPr>
        <w:jc w:val="both"/>
        <w:spacing w:after="0"/>
        <w:rPr>
          <w:sz w:val="20"/>
          <w:szCs w:val="20"/>
          <w:color w:val="auto"/>
        </w:rPr>
      </w:pPr>
      <w:r>
        <w:rPr>
          <w:rFonts w:ascii="Arial" w:cs="Arial" w:eastAsia="Arial" w:hAnsi="Arial"/>
          <w:sz w:val="20"/>
          <w:szCs w:val="20"/>
          <w:color w:val="auto"/>
        </w:rPr>
        <w:t>Control, the consideration (whether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shares (or other applicable equity interests) of the Surviving Corporation or its parent, the Committee may, with the consent of the Surviving Corporation, provide for the consideration to be received upon the payout of each Restricted Stock Unit to be solely shares (or other applicable equity interests) of the Surviving Corporation or its parent equal in fair market value at the time of the Change in Control to the per Share consideration received by holders of Shares in the Change in Control.</w:t>
      </w:r>
    </w:p>
    <w:p>
      <w:pPr>
        <w:spacing w:after="0" w:line="239" w:lineRule="exact"/>
        <w:rPr>
          <w:sz w:val="20"/>
          <w:szCs w:val="20"/>
          <w:color w:val="auto"/>
        </w:rPr>
      </w:pPr>
    </w:p>
    <w:p>
      <w:pPr>
        <w:jc w:val="both"/>
        <w:ind w:firstLine="1952"/>
        <w:spacing w:after="0"/>
        <w:tabs>
          <w:tab w:leader="none" w:pos="2585"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Termination following a Change in Control.</w:t>
      </w:r>
      <w:r>
        <w:rPr>
          <w:rFonts w:ascii="Arial" w:cs="Arial" w:eastAsia="Arial" w:hAnsi="Arial"/>
          <w:sz w:val="20"/>
          <w:szCs w:val="20"/>
          <w:color w:val="auto"/>
        </w:rPr>
        <w:t xml:space="preserve"> If (A) a Change in Control occurs before Participant’s Continuous Status as a Participant ends, (B) as determined by the Committee (as constituted immediately prior to the Change in Control), any Restricted Stock Units that, both were unexpired and unvested as of the date of the Change in Control, were assumed by the Surviving Corporation or otherwise equitably converted or substituted in the Change in Control, and (C) Participant’s employment with the Company (or any Surviving Corporation, as applicable) and all Affiliates is terminated by the Company (or any such Surviving Corporation or Affiliate, as applicable) without Cause within one (1) year after the effective date of the Change in Control, then any Restricted Stock Units that both were unexpired and unvested as of immediately preceding the termination of employment, will vest upon the termination of employment.</w:t>
      </w:r>
    </w:p>
    <w:p>
      <w:pPr>
        <w:spacing w:after="0" w:line="239" w:lineRule="exact"/>
        <w:rPr>
          <w:rFonts w:ascii="Arial" w:cs="Arial" w:eastAsia="Arial" w:hAnsi="Arial"/>
          <w:sz w:val="20"/>
          <w:szCs w:val="20"/>
          <w:color w:val="auto"/>
        </w:rPr>
      </w:pPr>
    </w:p>
    <w:p>
      <w:pPr>
        <w:jc w:val="both"/>
        <w:ind w:firstLine="1952"/>
        <w:spacing w:after="0"/>
        <w:tabs>
          <w:tab w:leader="none" w:pos="2583"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Discretionary Acceleration</w:t>
      </w:r>
      <w:r>
        <w:rPr>
          <w:rFonts w:ascii="Arial" w:cs="Arial" w:eastAsia="Arial" w:hAnsi="Arial"/>
          <w:sz w:val="20"/>
          <w:szCs w:val="20"/>
          <w:color w:val="auto"/>
        </w:rPr>
        <w:t>. The Committee,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Committee. If Participant is a U.S. taxpayer, the payment of Shares vesting pursuant to this Section 4(b) shall in all cases be paid at a time or in a manner that is exempt from, or complies with, Code Section 409A (“</w:t>
      </w:r>
      <w:r>
        <w:rPr>
          <w:rFonts w:ascii="Arial" w:cs="Arial" w:eastAsia="Arial" w:hAnsi="Arial"/>
          <w:sz w:val="20"/>
          <w:szCs w:val="20"/>
          <w:u w:val="single" w:color="auto"/>
          <w:color w:val="auto"/>
        </w:rPr>
        <w:t>Section 409A</w:t>
      </w:r>
      <w:r>
        <w:rPr>
          <w:rFonts w:ascii="Arial" w:cs="Arial" w:eastAsia="Arial" w:hAnsi="Arial"/>
          <w:sz w:val="20"/>
          <w:szCs w:val="20"/>
          <w:color w:val="auto"/>
        </w:rPr>
        <w:t>”). The prior sentence may be superseded in a future agreement or amendment to this Award Agreement only by direct and specific reference to such sentence.</w:t>
      </w:r>
    </w:p>
    <w:p>
      <w:pPr>
        <w:spacing w:after="0" w:line="239" w:lineRule="exact"/>
        <w:rPr>
          <w:rFonts w:ascii="Arial" w:cs="Arial" w:eastAsia="Arial" w:hAnsi="Arial"/>
          <w:sz w:val="20"/>
          <w:szCs w:val="20"/>
          <w:color w:val="auto"/>
        </w:rPr>
      </w:pPr>
    </w:p>
    <w:p>
      <w:pPr>
        <w:jc w:val="both"/>
        <w:ind w:firstLine="1952"/>
        <w:spacing w:after="0"/>
        <w:tabs>
          <w:tab w:leader="none" w:pos="25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Notwithstanding anything in the Plan or this Award Agreement or any other agreement (whether entered into before, on, or after the Grant Date), if the vesting of the balance, or some lesser portion of the balance, of the Restricted Stock Units is accelerated in connection with the cessation of Participant’s status as an employee, officer, director or consultant (a “</w:t>
      </w:r>
      <w:r>
        <w:rPr>
          <w:rFonts w:ascii="Arial" w:cs="Arial" w:eastAsia="Arial" w:hAnsi="Arial"/>
          <w:sz w:val="20"/>
          <w:szCs w:val="20"/>
          <w:u w:val="single" w:color="auto"/>
          <w:color w:val="auto"/>
        </w:rPr>
        <w:t>Service Provider</w:t>
      </w:r>
      <w:r>
        <w:rPr>
          <w:rFonts w:ascii="Arial" w:cs="Arial" w:eastAsia="Arial" w:hAnsi="Arial"/>
          <w:sz w:val="20"/>
          <w:szCs w:val="20"/>
          <w:color w:val="auto"/>
        </w:rPr>
        <w:t>”) (provided that such termination is a “separation from service” within the meaning of Section 409A, as determined by the Committee),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8" w:lineRule="exact"/>
        <w:rPr>
          <w:sz w:val="20"/>
          <w:szCs w:val="20"/>
          <w:color w:val="auto"/>
        </w:rPr>
      </w:pPr>
    </w:p>
    <w:p>
      <w:pPr>
        <w:jc w:val="both"/>
        <w:ind w:firstLine="1304"/>
        <w:spacing w:after="0"/>
        <w:tabs>
          <w:tab w:leader="none" w:pos="1932"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239" w:lineRule="exact"/>
        <w:rPr>
          <w:rFonts w:ascii="Arial" w:cs="Arial" w:eastAsia="Arial" w:hAnsi="Arial"/>
          <w:sz w:val="20"/>
          <w:szCs w:val="20"/>
          <w:color w:val="auto"/>
        </w:rPr>
      </w:pPr>
    </w:p>
    <w:p>
      <w:pPr>
        <w:jc w:val="both"/>
        <w:ind w:firstLine="656"/>
        <w:spacing w:after="0"/>
        <w:tabs>
          <w:tab w:leader="none" w:pos="1285"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Forfeiture Upon Cessation of Continuous Status as a Participant</w:t>
      </w:r>
      <w:r>
        <w:rPr>
          <w:rFonts w:ascii="Arial" w:cs="Arial" w:eastAsia="Arial" w:hAnsi="Arial"/>
          <w:sz w:val="20"/>
          <w:szCs w:val="20"/>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Participant’s Continuous Status as a Participant ceases for any or no reason, the then-unvested Restricted Stock Units awarded by this Award Agreement will be forfeited at no cost to the Company and Participant will have no further rights thereunder. The date of forfeiture will be the date of cessation of Continuous Status as a Participant.</w:t>
      </w:r>
    </w:p>
    <w:p>
      <w:pPr>
        <w:spacing w:after="0" w:line="239" w:lineRule="exact"/>
        <w:rPr>
          <w:rFonts w:ascii="Arial" w:cs="Arial" w:eastAsia="Arial" w:hAnsi="Arial"/>
          <w:sz w:val="20"/>
          <w:szCs w:val="20"/>
          <w:color w:val="auto"/>
        </w:rPr>
      </w:pPr>
    </w:p>
    <w:p>
      <w:pPr>
        <w:jc w:val="both"/>
        <w:ind w:firstLine="656"/>
        <w:spacing w:after="0" w:line="241" w:lineRule="auto"/>
        <w:tabs>
          <w:tab w:leader="none" w:pos="1285"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Tax Consequences</w:t>
      </w:r>
      <w:r>
        <w:rPr>
          <w:rFonts w:ascii="Arial" w:cs="Arial" w:eastAsia="Arial" w:hAnsi="Arial"/>
          <w:sz w:val="20"/>
          <w:szCs w:val="20"/>
          <w:color w:val="auto"/>
        </w:rPr>
        <w:t>. Participant has reviewed with Participant’s own tax advisers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235" w:lineRule="exact"/>
        <w:rPr>
          <w:rFonts w:ascii="Arial" w:cs="Arial" w:eastAsia="Arial" w:hAnsi="Arial"/>
          <w:sz w:val="20"/>
          <w:szCs w:val="20"/>
          <w:color w:val="auto"/>
        </w:rPr>
      </w:pPr>
    </w:p>
    <w:p>
      <w:pPr>
        <w:jc w:val="both"/>
        <w:ind w:firstLine="656"/>
        <w:spacing w:after="0"/>
        <w:tabs>
          <w:tab w:leader="none" w:pos="1285"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Any distribution or delivery to be made to Participant under this Award Agreement will, if Participant is then deceased, be made to Participant’s designated beneficiary under such procedures as the Committee may specify from time to time or, if the Committee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240" w:lineRule="exact"/>
        <w:rPr>
          <w:rFonts w:ascii="Arial" w:cs="Arial" w:eastAsia="Arial" w:hAnsi="Arial"/>
          <w:sz w:val="20"/>
          <w:szCs w:val="20"/>
          <w:color w:val="auto"/>
        </w:rPr>
      </w:pPr>
    </w:p>
    <w:p>
      <w:pPr>
        <w:ind w:left="1300" w:hanging="644"/>
        <w:spacing w:after="0"/>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Tax Obligations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1304"/>
        <w:spacing w:after="0"/>
        <w:tabs>
          <w:tab w:leader="none" w:pos="1943"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Participant acknowledges that, regardless of any action taken by the Company or, if different, Participant’s employer (the “</w:t>
      </w:r>
      <w:r>
        <w:rPr>
          <w:rFonts w:ascii="Arial" w:cs="Arial" w:eastAsia="Arial" w:hAnsi="Arial"/>
          <w:sz w:val="20"/>
          <w:szCs w:val="20"/>
          <w:u w:val="single" w:color="auto"/>
          <w:color w:val="auto"/>
        </w:rPr>
        <w:t>Employer</w:t>
      </w:r>
      <w:r>
        <w:rPr>
          <w:rFonts w:ascii="Arial" w:cs="Arial" w:eastAsia="Arial" w:hAnsi="Arial"/>
          <w:sz w:val="20"/>
          <w:szCs w:val="20"/>
          <w:color w:val="auto"/>
        </w:rPr>
        <w:t>”) or any Parent or Subsidiary to which Participant is providing services (together, the “</w:t>
      </w:r>
      <w:r>
        <w:rPr>
          <w:rFonts w:ascii="Arial" w:cs="Arial" w:eastAsia="Arial" w:hAnsi="Arial"/>
          <w:sz w:val="20"/>
          <w:szCs w:val="20"/>
          <w:u w:val="single" w:color="auto"/>
          <w:color w:val="auto"/>
        </w:rPr>
        <w:t>Service Recipients</w:t>
      </w:r>
      <w:r>
        <w:rPr>
          <w:rFonts w:ascii="Arial" w:cs="Arial" w:eastAsia="Arial" w:hAnsi="Arial"/>
          <w:sz w:val="20"/>
          <w:szCs w:val="20"/>
          <w:color w:val="auto"/>
        </w:rPr>
        <w:t>”), the ultimate liability for any tax and/or social insurance liability obligations and requirements in connection with the Restricted Stock Units,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Arial" w:cs="Arial" w:eastAsia="Arial" w:hAnsi="Arial"/>
          <w:sz w:val="20"/>
          <w:szCs w:val="20"/>
          <w:u w:val="single" w:color="auto"/>
          <w:color w:val="auto"/>
        </w:rPr>
        <w:t>Tax</w:t>
      </w:r>
      <w:r>
        <w:rPr>
          <w:rFonts w:ascii="Arial" w:cs="Arial" w:eastAsia="Arial" w:hAnsi="Arial"/>
          <w:sz w:val="20"/>
          <w:szCs w:val="20"/>
          <w:color w:val="auto"/>
        </w:rPr>
        <w:t xml:space="preserve"> </w:t>
      </w:r>
      <w:r>
        <w:rPr>
          <w:rFonts w:ascii="Arial" w:cs="Arial" w:eastAsia="Arial" w:hAnsi="Arial"/>
          <w:sz w:val="20"/>
          <w:szCs w:val="20"/>
          <w:u w:val="single" w:color="auto"/>
          <w:color w:val="auto"/>
        </w:rPr>
        <w:t>Obligations</w:t>
      </w:r>
      <w:r>
        <w:rPr>
          <w:rFonts w:ascii="Arial" w:cs="Arial" w:eastAsia="Arial" w:hAnsi="Arial"/>
          <w:sz w:val="20"/>
          <w:szCs w:val="20"/>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Grant Date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251" w:lineRule="exact"/>
        <w:rPr>
          <w:sz w:val="20"/>
          <w:szCs w:val="20"/>
          <w:color w:val="auto"/>
        </w:rPr>
      </w:pPr>
    </w:p>
    <w:p>
      <w:pPr>
        <w:jc w:val="both"/>
        <w:ind w:firstLine="1304"/>
        <w:spacing w:after="0"/>
        <w:tabs>
          <w:tab w:leader="none" w:pos="1943"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Tax Withholding and Default Method of Tax Withholding</w:t>
      </w:r>
      <w:r>
        <w:rPr>
          <w:rFonts w:ascii="Arial" w:cs="Arial" w:eastAsia="Arial" w:hAnsi="Arial"/>
          <w:sz w:val="20"/>
          <w:szCs w:val="20"/>
          <w:color w:val="auto"/>
        </w:rPr>
        <w:t>. When Shares are issued as payment for vested Restricted Stock Units, Participant generally will recognize immediate U.S. taxable income if Participant is a U.S. taxpayer. If Participant is a non-U.S. taxpayer, Participant may be subject to applicable taxes in his or her jurisdiction. Unless otherwise determined by the Committee, the minimum amount of Tax Obligations that the Company determines must be withheld with respect to this Award (“</w:t>
      </w:r>
      <w:r>
        <w:rPr>
          <w:rFonts w:ascii="Arial" w:cs="Arial" w:eastAsia="Arial" w:hAnsi="Arial"/>
          <w:sz w:val="20"/>
          <w:szCs w:val="20"/>
          <w:u w:val="single" w:color="auto"/>
          <w:color w:val="auto"/>
        </w:rPr>
        <w:t>Tax Withholding Obligation</w:t>
      </w:r>
      <w:r>
        <w:rPr>
          <w:rFonts w:ascii="Arial" w:cs="Arial" w:eastAsia="Arial" w:hAnsi="Arial"/>
          <w:sz w:val="20"/>
          <w:szCs w:val="20"/>
          <w:color w:val="auto"/>
        </w:rPr>
        <w:t>”) will be satisfied by the Company withholding otherwise deliverable Shares having a value approximately equal to the Tax Withholding Obligation (or such greater amount as Participant may elect if permitted by the Committee, if such greater amount would not result in adverse financial accounting consequences).</w:t>
      </w:r>
    </w:p>
    <w:p>
      <w:pPr>
        <w:spacing w:after="0" w:line="239" w:lineRule="exact"/>
        <w:rPr>
          <w:rFonts w:ascii="Arial" w:cs="Arial" w:eastAsia="Arial" w:hAnsi="Arial"/>
          <w:sz w:val="20"/>
          <w:szCs w:val="20"/>
          <w:color w:val="auto"/>
        </w:rPr>
      </w:pPr>
    </w:p>
    <w:p>
      <w:pPr>
        <w:jc w:val="both"/>
        <w:ind w:firstLine="1304"/>
        <w:spacing w:after="0"/>
        <w:tabs>
          <w:tab w:leader="none" w:pos="1932"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Committee Discretion</w:t>
      </w:r>
      <w:r>
        <w:rPr>
          <w:rFonts w:ascii="Arial" w:cs="Arial" w:eastAsia="Arial" w:hAnsi="Arial"/>
          <w:sz w:val="20"/>
          <w:szCs w:val="20"/>
          <w:color w:val="auto"/>
        </w:rPr>
        <w:t>. If the Committee determines that Participant cannot satisfy Participant’s Tax Withholding Obligation through the default procedure described in Section 8(b) or the Committee otherwise determines to permit or require that Participant satisfy Participant’s Tax Withholding Obligation by a method other than through the default procedure set forth in Section 8(b), the Committee may permit or require Participant to satisfy Participant’s Tax Withholding Obligation, in whole or in part (without limitation), if permissible by applicable local law, by (i) paying cash,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0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by the Committee, if such greater amount would not result in adverse financial accounting consequences), or (v) such other means as the Committee deems appropriate.</w:t>
      </w:r>
    </w:p>
    <w:p>
      <w:pPr>
        <w:spacing w:after="0" w:line="231" w:lineRule="exact"/>
        <w:rPr>
          <w:sz w:val="20"/>
          <w:szCs w:val="20"/>
          <w:color w:val="auto"/>
        </w:rPr>
      </w:pPr>
    </w:p>
    <w:p>
      <w:pPr>
        <w:jc w:val="both"/>
        <w:ind w:firstLine="1304"/>
        <w:spacing w:after="0"/>
        <w:tabs>
          <w:tab w:leader="none" w:pos="1943" w:val="left"/>
        </w:tabs>
        <w:numPr>
          <w:ilvl w:val="1"/>
          <w:numId w:val="35"/>
        </w:numPr>
        <w:rPr>
          <w:rFonts w:ascii="Arial" w:cs="Arial" w:eastAsia="Arial" w:hAnsi="Arial"/>
          <w:sz w:val="20"/>
          <w:szCs w:val="20"/>
          <w:color w:val="auto"/>
        </w:rPr>
      </w:pPr>
      <w:r>
        <w:rPr>
          <w:rFonts w:ascii="Arial" w:cs="Arial" w:eastAsia="Arial" w:hAnsi="Arial"/>
          <w:sz w:val="20"/>
          <w:szCs w:val="20"/>
          <w:u w:val="single" w:color="auto"/>
          <w:color w:val="auto"/>
        </w:rPr>
        <w:t>Company’s Obligation to Deliver Shares</w:t>
      </w:r>
      <w:r>
        <w:rPr>
          <w:rFonts w:ascii="Arial" w:cs="Arial" w:eastAsia="Arial" w:hAnsi="Arial"/>
          <w:sz w:val="20"/>
          <w:szCs w:val="20"/>
          <w:color w:val="auto"/>
        </w:rPr>
        <w:t>. For clarification purposes, in no event will the Company issue Participant any Shares unless and until arrangements satisfactory to the Committee have been made for the payment of Participant’s Tax Withholding Obligation. If Participant fails to make satisfactory arrangements for the payment of such Tax Withholding Obligations hereunder at the time any applicable Restricted Stock Units otherwise are scheduled to vest pursuant to Sections 3 or 4 or Participant’s Tax Withholding Obligations otherwise become due, Participant will permanently forfeit such Restricted Stock Units to which Participant’s Tax Withholding Obligation relates and any right to receive Shares thereunder and such Restricted Stock Units will be returned to the Company at no cost to the Company.</w:t>
      </w:r>
    </w:p>
    <w:p>
      <w:pPr>
        <w:spacing w:after="0" w:line="239" w:lineRule="exact"/>
        <w:rPr>
          <w:rFonts w:ascii="Arial" w:cs="Arial" w:eastAsia="Arial" w:hAnsi="Arial"/>
          <w:sz w:val="20"/>
          <w:szCs w:val="20"/>
          <w:color w:val="auto"/>
        </w:rPr>
      </w:pPr>
    </w:p>
    <w:p>
      <w:pPr>
        <w:jc w:val="both"/>
        <w:ind w:firstLine="656"/>
        <w:spacing w:after="0"/>
        <w:tabs>
          <w:tab w:leader="none" w:pos="1285"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If the Company declares and pays a cash dividend on Shares for which the record date occurs while Restricted Stock Units subject to this Agreement remain outstanding, then certain cash amounts (referred to as “</w:t>
      </w:r>
      <w:r>
        <w:rPr>
          <w:rFonts w:ascii="Arial" w:cs="Arial" w:eastAsia="Arial" w:hAnsi="Arial"/>
          <w:sz w:val="20"/>
          <w:szCs w:val="20"/>
          <w:u w:val="single" w:color="auto"/>
          <w:color w:val="auto"/>
        </w:rPr>
        <w:t>DEUs</w:t>
      </w:r>
      <w:r>
        <w:rPr>
          <w:rFonts w:ascii="Arial" w:cs="Arial" w:eastAsia="Arial" w:hAnsi="Arial"/>
          <w:sz w:val="20"/>
          <w:szCs w:val="20"/>
          <w:color w:val="auto"/>
        </w:rPr>
        <w:t>”) will be credited under this Agreement in accordance with this Section 9, but only if Participant remains in Continuous Status as a Participant through the applicable record date for that cash dividend. Subject to the provisions of this Section 9, upon the occurrence of such a cash dividend, the cash amount of each DEU will equal the cash dividend amount per Share paid to stockholders. The aggregate cash amount of the DEUs that will be credited under this Agreement for a particular cash dividend will be determined by the following formula: X = (A x B); where:</w:t>
      </w:r>
    </w:p>
    <w:p>
      <w:pPr>
        <w:spacing w:after="0" w:line="240" w:lineRule="exact"/>
        <w:rPr>
          <w:sz w:val="20"/>
          <w:szCs w:val="20"/>
          <w:color w:val="auto"/>
        </w:rPr>
      </w:pPr>
    </w:p>
    <w:p>
      <w:pPr>
        <w:ind w:left="960" w:hanging="304"/>
        <w:spacing w:after="0"/>
        <w:tabs>
          <w:tab w:leader="none" w:pos="9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“X” is the aggregate cash amount of the DEUs to be credited with respect to that cash dividend.</w:t>
      </w:r>
    </w:p>
    <w:p>
      <w:pPr>
        <w:spacing w:after="0" w:line="242" w:lineRule="exact"/>
        <w:rPr>
          <w:rFonts w:ascii="Arial" w:cs="Arial" w:eastAsia="Arial" w:hAnsi="Arial"/>
          <w:sz w:val="20"/>
          <w:szCs w:val="20"/>
          <w:color w:val="auto"/>
        </w:rPr>
      </w:pPr>
    </w:p>
    <w:p>
      <w:pPr>
        <w:ind w:left="980" w:hanging="324"/>
        <w:spacing w:after="0" w:line="246" w:lineRule="auto"/>
        <w:tabs>
          <w:tab w:leader="none" w:pos="96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is the amount of the cash dividend paid by the Company to stockholders with respect to one Share. In other words, this amount is the cash amount of each DEU to be credited with respect to a particular cash dividend.</w:t>
      </w:r>
    </w:p>
    <w:p>
      <w:pPr>
        <w:spacing w:after="0" w:line="230" w:lineRule="exact"/>
        <w:rPr>
          <w:rFonts w:ascii="Arial" w:cs="Arial" w:eastAsia="Arial" w:hAnsi="Arial"/>
          <w:sz w:val="20"/>
          <w:szCs w:val="20"/>
          <w:color w:val="auto"/>
        </w:rPr>
      </w:pPr>
    </w:p>
    <w:p>
      <w:pPr>
        <w:ind w:left="980" w:right="20" w:hanging="324"/>
        <w:spacing w:after="0" w:line="246" w:lineRule="auto"/>
        <w:tabs>
          <w:tab w:leader="none" w:pos="968" w:val="left"/>
        </w:tabs>
        <w:numPr>
          <w:ilvl w:val="0"/>
          <w:numId w:val="37"/>
        </w:numPr>
        <w:rPr>
          <w:rFonts w:ascii="Arial" w:cs="Arial" w:eastAsia="Arial" w:hAnsi="Arial"/>
          <w:sz w:val="20"/>
          <w:szCs w:val="20"/>
          <w:color w:val="auto"/>
        </w:rPr>
      </w:pPr>
      <w:r>
        <w:rPr>
          <w:rFonts w:ascii="Arial" w:cs="Arial" w:eastAsia="Arial" w:hAnsi="Arial"/>
          <w:sz w:val="20"/>
          <w:szCs w:val="20"/>
          <w:color w:val="auto"/>
        </w:rPr>
        <w:t>“B” is the number of Restricted Stock Units remaining subject to this Agreement as of the cash dividend record date but immediately prior to the application of this Section 9 for that cash dividend.</w:t>
      </w:r>
    </w:p>
    <w:p>
      <w:pPr>
        <w:spacing w:after="0" w:line="230" w:lineRule="exact"/>
        <w:rPr>
          <w:rFonts w:ascii="Arial" w:cs="Arial" w:eastAsia="Arial" w:hAnsi="Arial"/>
          <w:sz w:val="20"/>
          <w:szCs w:val="20"/>
          <w:color w:val="auto"/>
        </w:rPr>
      </w:pPr>
    </w:p>
    <w:p>
      <w:pPr>
        <w:jc w:val="both"/>
        <w:ind w:firstLine="1304"/>
        <w:spacing w:after="0"/>
        <w:tabs>
          <w:tab w:leader="none" w:pos="1943" w:val="left"/>
        </w:tabs>
        <w:numPr>
          <w:ilvl w:val="1"/>
          <w:numId w:val="37"/>
        </w:numPr>
        <w:rPr>
          <w:rFonts w:ascii="Arial" w:cs="Arial" w:eastAsia="Arial" w:hAnsi="Arial"/>
          <w:sz w:val="20"/>
          <w:szCs w:val="20"/>
          <w:color w:val="auto"/>
        </w:rPr>
      </w:pPr>
      <w:r>
        <w:rPr>
          <w:rFonts w:ascii="Arial" w:cs="Arial" w:eastAsia="Arial" w:hAnsi="Arial"/>
          <w:sz w:val="20"/>
          <w:szCs w:val="20"/>
          <w:u w:val="single" w:color="auto"/>
          <w:color w:val="auto"/>
        </w:rPr>
        <w:t>Vesting of DEUs</w:t>
      </w:r>
      <w:r>
        <w:rPr>
          <w:rFonts w:ascii="Arial" w:cs="Arial" w:eastAsia="Arial" w:hAnsi="Arial"/>
          <w:sz w:val="20"/>
          <w:szCs w:val="20"/>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in Continuous Status as a Participant through the vesting date and the portion of the Award to which the DEUs are attributable actually vests.</w:t>
      </w:r>
    </w:p>
    <w:p>
      <w:pPr>
        <w:spacing w:after="0" w:line="239" w:lineRule="exact"/>
        <w:rPr>
          <w:rFonts w:ascii="Arial" w:cs="Arial" w:eastAsia="Arial" w:hAnsi="Arial"/>
          <w:sz w:val="20"/>
          <w:szCs w:val="20"/>
          <w:color w:val="auto"/>
        </w:rPr>
      </w:pPr>
    </w:p>
    <w:p>
      <w:pPr>
        <w:jc w:val="both"/>
        <w:ind w:right="20" w:firstLine="1304"/>
        <w:spacing w:after="0" w:line="262" w:lineRule="auto"/>
        <w:tabs>
          <w:tab w:leader="none" w:pos="1943"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Settlement and General</w:t>
      </w:r>
      <w:r>
        <w:rPr>
          <w:rFonts w:ascii="Arial" w:cs="Arial" w:eastAsia="Arial" w:hAnsi="Arial"/>
          <w:sz w:val="19"/>
          <w:szCs w:val="19"/>
          <w:color w:val="auto"/>
        </w:rPr>
        <w:t>. DEUs credited under this Section 9 will be subject to the same terms and conditions as the other Shares underlying the Restricted Stock Units on which the DEUs were paid, including (but not limited to) being settled at the same time as the settlement of the Restricted Stock Units on which the DEUs were paid (but DEUs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0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paid in cash and be subject to the other provisions of this Section 9 and the Award Agreement). DEUs will not accrue interest and will not be credited with any investment returns related to Shares or otherwise.</w:t>
      </w:r>
    </w:p>
    <w:p>
      <w:pPr>
        <w:spacing w:after="0" w:line="231" w:lineRule="exact"/>
        <w:rPr>
          <w:sz w:val="20"/>
          <w:szCs w:val="20"/>
          <w:color w:val="auto"/>
        </w:rPr>
      </w:pPr>
    </w:p>
    <w:p>
      <w:pPr>
        <w:jc w:val="both"/>
        <w:ind w:firstLine="1304"/>
        <w:spacing w:after="0" w:line="255" w:lineRule="auto"/>
        <w:tabs>
          <w:tab w:leader="none" w:pos="1932"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Timing.</w:t>
      </w:r>
      <w:r>
        <w:rPr>
          <w:rFonts w:ascii="Arial" w:cs="Arial" w:eastAsia="Arial" w:hAnsi="Arial"/>
          <w:sz w:val="19"/>
          <w:szCs w:val="19"/>
          <w:color w:val="auto"/>
        </w:rPr>
        <w:t xml:space="preserve">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Committee,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specifically provided in this Section 9(c), no other additional Restricted Stock Units, DEUs or cash will be credited with respect to any Restricted Stock Units that previously vested and were settled.</w:t>
      </w:r>
    </w:p>
    <w:p>
      <w:pPr>
        <w:spacing w:after="0" w:line="221" w:lineRule="exact"/>
        <w:rPr>
          <w:rFonts w:ascii="Arial" w:cs="Arial" w:eastAsia="Arial" w:hAnsi="Arial"/>
          <w:sz w:val="19"/>
          <w:szCs w:val="19"/>
          <w:color w:val="auto"/>
        </w:rPr>
      </w:pPr>
    </w:p>
    <w:p>
      <w:pPr>
        <w:jc w:val="both"/>
        <w:ind w:firstLine="656"/>
        <w:spacing w:after="0"/>
        <w:tabs>
          <w:tab w:leader="none" w:pos="1287"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240" w:lineRule="exact"/>
        <w:rPr>
          <w:rFonts w:ascii="Arial" w:cs="Arial" w:eastAsia="Arial" w:hAnsi="Arial"/>
          <w:sz w:val="20"/>
          <w:szCs w:val="20"/>
          <w:color w:val="auto"/>
        </w:rPr>
      </w:pPr>
    </w:p>
    <w:p>
      <w:pPr>
        <w:jc w:val="both"/>
        <w:ind w:firstLine="656"/>
        <w:spacing w:after="0"/>
        <w:tabs>
          <w:tab w:leader="none" w:pos="1287"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No Guarantee of Continued Service</w:t>
      </w:r>
      <w:r>
        <w:rPr>
          <w:rFonts w:ascii="Arial" w:cs="Arial" w:eastAsia="Arial" w:hAnsi="Arial"/>
          <w:sz w:val="20"/>
          <w:szCs w:val="20"/>
          <w:color w:val="auto"/>
        </w:rPr>
        <w:t>. PARTICIPANT ACKNOWLEDGES AND AGREES THAT THE VESTING OF THE RESTRICTED STOCK UNITS PURSUANT TO THE VESTING SCHEDULE HEREOF IS EARNED ONLY BY REMAINING IN CONTINUOUS STATUS AS A PARTICIPANT, WHICH UNLESS PROVIDED OTHERWISE UNDER APPLICABLE LAW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237" w:lineRule="exact"/>
        <w:rPr>
          <w:rFonts w:ascii="Arial" w:cs="Arial" w:eastAsia="Arial" w:hAnsi="Arial"/>
          <w:sz w:val="20"/>
          <w:szCs w:val="20"/>
          <w:color w:val="auto"/>
        </w:rPr>
      </w:pPr>
    </w:p>
    <w:p>
      <w:pPr>
        <w:jc w:val="both"/>
        <w:ind w:firstLine="656"/>
        <w:spacing w:after="0"/>
        <w:tabs>
          <w:tab w:leader="none" w:pos="1287"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Grant is Not Transferable</w:t>
      </w:r>
      <w:r>
        <w:rPr>
          <w:rFonts w:ascii="Arial" w:cs="Arial" w:eastAsia="Arial" w:hAnsi="Arial"/>
          <w:sz w:val="20"/>
          <w:szCs w:val="20"/>
          <w:color w:val="auto"/>
        </w:rPr>
        <w:t>. Except to the limited extent provided in Section 7 and this Section 12 or as otherwise determined by the Committee,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Section 7 and this Section 12 or as otherwise determined by the Committee, this grant and the rights and privileges conferred hereby immediately will become null and void. Unless and until otherwise determined by the Committee, a transfer pursuant to a qualified domestic relations order (“</w:t>
      </w:r>
      <w:r>
        <w:rPr>
          <w:rFonts w:ascii="Arial" w:cs="Arial" w:eastAsia="Arial" w:hAnsi="Arial"/>
          <w:sz w:val="20"/>
          <w:szCs w:val="20"/>
          <w:u w:val="single" w:color="auto"/>
          <w:color w:val="auto"/>
        </w:rPr>
        <w:t>QDRO</w:t>
      </w:r>
      <w:r>
        <w:rPr>
          <w:rFonts w:ascii="Arial" w:cs="Arial" w:eastAsia="Arial" w:hAnsi="Arial"/>
          <w:sz w:val="20"/>
          <w:szCs w:val="20"/>
          <w:color w:val="auto"/>
        </w:rPr>
        <w:t>”) will be permitted so long as such transfer complies with the QDRO procedures then in effect, as specified by the Committee or the Company.</w:t>
      </w:r>
    </w:p>
    <w:p>
      <w:pPr>
        <w:spacing w:after="0" w:line="237"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this Award of Restricted Stock Units, Participant acknowledges, understands and</w:t>
      </w:r>
    </w:p>
    <w:p>
      <w:pPr>
        <w:spacing w:after="0"/>
        <w:rPr>
          <w:rFonts w:ascii="Arial" w:cs="Arial" w:eastAsia="Arial" w:hAnsi="Arial"/>
          <w:sz w:val="20"/>
          <w:szCs w:val="20"/>
          <w:color w:val="auto"/>
        </w:rPr>
      </w:pPr>
      <w:r>
        <w:rPr>
          <w:rFonts w:ascii="Arial" w:cs="Arial" w:eastAsia="Arial" w:hAnsi="Arial"/>
          <w:sz w:val="20"/>
          <w:szCs w:val="20"/>
          <w:color w:val="auto"/>
        </w:rPr>
        <w:t>agrees that:</w:t>
      </w:r>
    </w:p>
    <w:p>
      <w:pPr>
        <w:spacing w:after="0" w:line="242" w:lineRule="exact"/>
        <w:rPr>
          <w:rFonts w:ascii="Arial" w:cs="Arial" w:eastAsia="Arial" w:hAnsi="Arial"/>
          <w:sz w:val="20"/>
          <w:szCs w:val="20"/>
          <w:color w:val="auto"/>
        </w:rPr>
      </w:pPr>
    </w:p>
    <w:p>
      <w:pPr>
        <w:jc w:val="both"/>
        <w:ind w:firstLine="1304"/>
        <w:spacing w:after="0" w:line="243" w:lineRule="auto"/>
        <w:tabs>
          <w:tab w:leader="none" w:pos="1943" w:val="left"/>
        </w:tabs>
        <w:numPr>
          <w:ilvl w:val="1"/>
          <w:numId w:val="40"/>
        </w:numPr>
        <w:rPr>
          <w:rFonts w:ascii="Arial" w:cs="Arial" w:eastAsia="Arial" w:hAnsi="Arial"/>
          <w:sz w:val="20"/>
          <w:szCs w:val="20"/>
          <w:color w:val="auto"/>
        </w:rPr>
      </w:pPr>
      <w:r>
        <w:rPr>
          <w:rFonts w:ascii="Arial" w:cs="Arial" w:eastAsia="Arial" w:hAnsi="Arial"/>
          <w:sz w:val="20"/>
          <w:szCs w:val="20"/>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232" w:lineRule="exact"/>
        <w:rPr>
          <w:rFonts w:ascii="Arial" w:cs="Arial" w:eastAsia="Arial" w:hAnsi="Arial"/>
          <w:sz w:val="20"/>
          <w:szCs w:val="20"/>
          <w:color w:val="auto"/>
        </w:rPr>
      </w:pPr>
    </w:p>
    <w:p>
      <w:pPr>
        <w:ind w:right="20" w:firstLine="1304"/>
        <w:spacing w:after="0" w:line="246" w:lineRule="auto"/>
        <w:tabs>
          <w:tab w:leader="none" w:pos="1943" w:val="left"/>
        </w:tabs>
        <w:numPr>
          <w:ilvl w:val="1"/>
          <w:numId w:val="40"/>
        </w:numPr>
        <w:rPr>
          <w:rFonts w:ascii="Arial" w:cs="Arial" w:eastAsia="Arial" w:hAnsi="Arial"/>
          <w:sz w:val="20"/>
          <w:szCs w:val="20"/>
          <w:color w:val="auto"/>
        </w:rPr>
      </w:pPr>
      <w:r>
        <w:rPr>
          <w:rFonts w:ascii="Arial" w:cs="Arial" w:eastAsia="Arial" w:hAnsi="Arial"/>
          <w:sz w:val="20"/>
          <w:szCs w:val="20"/>
          <w:color w:val="auto"/>
        </w:rPr>
        <w:t>all decisions with respect to future Restricted Stock Units or other grants, if any, will be at the sole discretion of the Committee;</w:t>
      </w:r>
    </w:p>
    <w:p>
      <w:pPr>
        <w:spacing w:after="0" w:line="230" w:lineRule="exact"/>
        <w:rPr>
          <w:rFonts w:ascii="Arial" w:cs="Arial" w:eastAsia="Arial" w:hAnsi="Arial"/>
          <w:sz w:val="20"/>
          <w:szCs w:val="20"/>
          <w:color w:val="auto"/>
        </w:rPr>
      </w:pPr>
    </w:p>
    <w:p>
      <w:pPr>
        <w:ind w:left="1940" w:hanging="636"/>
        <w:spacing w:after="0"/>
        <w:tabs>
          <w:tab w:leader="none" w:pos="1940" w:val="left"/>
        </w:tabs>
        <w:numPr>
          <w:ilvl w:val="1"/>
          <w:numId w:val="40"/>
        </w:numPr>
        <w:rPr>
          <w:rFonts w:ascii="Arial" w:cs="Arial" w:eastAsia="Arial" w:hAnsi="Arial"/>
          <w:sz w:val="20"/>
          <w:szCs w:val="20"/>
          <w:color w:val="auto"/>
        </w:rPr>
      </w:pPr>
      <w:r>
        <w:rPr>
          <w:rFonts w:ascii="Arial" w:cs="Arial" w:eastAsia="Arial" w:hAnsi="Arial"/>
          <w:sz w:val="20"/>
          <w:szCs w:val="20"/>
          <w:color w:val="auto"/>
        </w:rPr>
        <w:t>Participant is voluntarily participating in the Plan;</w:t>
      </w:r>
    </w:p>
    <w:p>
      <w:pPr>
        <w:spacing w:after="0" w:line="242" w:lineRule="exact"/>
        <w:rPr>
          <w:rFonts w:ascii="Arial" w:cs="Arial" w:eastAsia="Arial" w:hAnsi="Arial"/>
          <w:sz w:val="20"/>
          <w:szCs w:val="20"/>
          <w:color w:val="auto"/>
        </w:rPr>
      </w:pPr>
    </w:p>
    <w:p>
      <w:pPr>
        <w:ind w:firstLine="1304"/>
        <w:spacing w:after="0" w:line="246" w:lineRule="auto"/>
        <w:tabs>
          <w:tab w:leader="none" w:pos="1943" w:val="left"/>
        </w:tabs>
        <w:numPr>
          <w:ilvl w:val="1"/>
          <w:numId w:val="40"/>
        </w:numPr>
        <w:rPr>
          <w:rFonts w:ascii="Arial" w:cs="Arial" w:eastAsia="Arial" w:hAnsi="Arial"/>
          <w:sz w:val="20"/>
          <w:szCs w:val="20"/>
          <w:color w:val="auto"/>
        </w:rPr>
      </w:pPr>
      <w:r>
        <w:rPr>
          <w:rFonts w:ascii="Arial" w:cs="Arial" w:eastAsia="Arial" w:hAnsi="Arial"/>
          <w:sz w:val="20"/>
          <w:szCs w:val="20"/>
          <w:color w:val="auto"/>
        </w:rPr>
        <w:t>the Restricted Stock Units and the Shares subject to the Restricted Stock Units, and the income from and value of same, are not intended to replace any pension rights or compensation;</w:t>
      </w:r>
    </w:p>
    <w:p>
      <w:pPr>
        <w:spacing w:after="0" w:line="230" w:lineRule="exact"/>
        <w:rPr>
          <w:rFonts w:ascii="Arial" w:cs="Arial" w:eastAsia="Arial" w:hAnsi="Arial"/>
          <w:sz w:val="20"/>
          <w:szCs w:val="20"/>
          <w:color w:val="auto"/>
        </w:rPr>
      </w:pPr>
    </w:p>
    <w:p>
      <w:pPr>
        <w:jc w:val="both"/>
        <w:ind w:firstLine="1304"/>
        <w:spacing w:after="0" w:line="241" w:lineRule="auto"/>
        <w:tabs>
          <w:tab w:leader="none" w:pos="1943" w:val="left"/>
        </w:tabs>
        <w:numPr>
          <w:ilvl w:val="1"/>
          <w:numId w:val="40"/>
        </w:numPr>
        <w:rPr>
          <w:rFonts w:ascii="Arial" w:cs="Arial" w:eastAsia="Arial" w:hAnsi="Arial"/>
          <w:sz w:val="20"/>
          <w:szCs w:val="20"/>
          <w:color w:val="auto"/>
        </w:rPr>
      </w:pPr>
      <w:r>
        <w:rPr>
          <w:rFonts w:ascii="Arial" w:cs="Arial" w:eastAsia="Arial" w:hAnsi="Arial"/>
          <w:sz w:val="20"/>
          <w:szCs w:val="20"/>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237" w:lineRule="exact"/>
        <w:rPr>
          <w:rFonts w:ascii="Arial" w:cs="Arial" w:eastAsia="Arial" w:hAnsi="Arial"/>
          <w:sz w:val="20"/>
          <w:szCs w:val="20"/>
          <w:color w:val="auto"/>
        </w:rPr>
      </w:pPr>
    </w:p>
    <w:p>
      <w:pPr>
        <w:jc w:val="both"/>
        <w:ind w:firstLine="1304"/>
        <w:spacing w:after="0" w:line="243" w:lineRule="auto"/>
        <w:tabs>
          <w:tab w:leader="none" w:pos="1942" w:val="left"/>
        </w:tabs>
        <w:numPr>
          <w:ilvl w:val="1"/>
          <w:numId w:val="40"/>
        </w:numPr>
        <w:rPr>
          <w:rFonts w:ascii="Arial" w:cs="Arial" w:eastAsia="Arial" w:hAnsi="Arial"/>
          <w:sz w:val="20"/>
          <w:szCs w:val="20"/>
          <w:color w:val="auto"/>
        </w:rPr>
      </w:pPr>
      <w:r>
        <w:rPr>
          <w:rFonts w:ascii="Arial" w:cs="Arial" w:eastAsia="Arial" w:hAnsi="Arial"/>
          <w:sz w:val="20"/>
          <w:szCs w:val="20"/>
          <w:color w:val="auto"/>
        </w:rPr>
        <w:t>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232" w:lineRule="exact"/>
        <w:rPr>
          <w:rFonts w:ascii="Arial" w:cs="Arial" w:eastAsia="Arial" w:hAnsi="Arial"/>
          <w:sz w:val="20"/>
          <w:szCs w:val="20"/>
          <w:color w:val="auto"/>
        </w:rPr>
      </w:pPr>
    </w:p>
    <w:p>
      <w:pPr>
        <w:ind w:left="1960" w:hanging="656"/>
        <w:spacing w:after="0"/>
        <w:tabs>
          <w:tab w:leader="none" w:pos="1960" w:val="left"/>
        </w:tabs>
        <w:numPr>
          <w:ilvl w:val="1"/>
          <w:numId w:val="40"/>
        </w:numPr>
        <w:rPr>
          <w:rFonts w:ascii="Arial" w:cs="Arial" w:eastAsia="Arial" w:hAnsi="Arial"/>
          <w:sz w:val="20"/>
          <w:szCs w:val="20"/>
          <w:color w:val="auto"/>
        </w:rPr>
      </w:pPr>
      <w:r>
        <w:rPr>
          <w:rFonts w:ascii="Arial" w:cs="Arial" w:eastAsia="Arial" w:hAnsi="Arial"/>
          <w:sz w:val="20"/>
          <w:szCs w:val="20"/>
          <w:color w:val="auto"/>
        </w:rPr>
        <w:t>the future value of the Shares underlying the Restricted Stock Units is unknown, indeterminable, and</w:t>
      </w:r>
    </w:p>
    <w:p>
      <w:pPr>
        <w:spacing w:after="0"/>
        <w:rPr>
          <w:rFonts w:ascii="Arial" w:cs="Arial" w:eastAsia="Arial" w:hAnsi="Arial"/>
          <w:sz w:val="20"/>
          <w:szCs w:val="20"/>
          <w:color w:val="auto"/>
        </w:rPr>
      </w:pPr>
      <w:r>
        <w:rPr>
          <w:rFonts w:ascii="Arial" w:cs="Arial" w:eastAsia="Arial" w:hAnsi="Arial"/>
          <w:sz w:val="20"/>
          <w:szCs w:val="20"/>
          <w:color w:val="auto"/>
        </w:rPr>
        <w:t>cannot be predicted;</w:t>
      </w:r>
    </w:p>
    <w:p>
      <w:pPr>
        <w:spacing w:after="0" w:line="242" w:lineRule="exact"/>
        <w:rPr>
          <w:rFonts w:ascii="Arial" w:cs="Arial" w:eastAsia="Arial" w:hAnsi="Arial"/>
          <w:sz w:val="20"/>
          <w:szCs w:val="20"/>
          <w:color w:val="auto"/>
        </w:rPr>
      </w:pPr>
    </w:p>
    <w:p>
      <w:pPr>
        <w:jc w:val="both"/>
        <w:ind w:firstLine="1304"/>
        <w:spacing w:after="0"/>
        <w:tabs>
          <w:tab w:leader="none" w:pos="1943" w:val="left"/>
        </w:tabs>
        <w:numPr>
          <w:ilvl w:val="1"/>
          <w:numId w:val="40"/>
        </w:numPr>
        <w:rPr>
          <w:rFonts w:ascii="Arial" w:cs="Arial" w:eastAsia="Arial" w:hAnsi="Arial"/>
          <w:sz w:val="20"/>
          <w:szCs w:val="20"/>
          <w:color w:val="auto"/>
        </w:rPr>
      </w:pPr>
      <w:r>
        <w:rPr>
          <w:rFonts w:ascii="Arial" w:cs="Arial" w:eastAsia="Arial" w:hAnsi="Arial"/>
          <w:sz w:val="20"/>
          <w:szCs w:val="20"/>
          <w:color w:val="auto"/>
        </w:rPr>
        <w:t>for purposes of the Restricted Stock Units, Participant’s Continuous Status as a Participant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Committee,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Participant’s employment or service agreement, if any, unless Participant is providing bona fide services during such time); the Committee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237" w:lineRule="exact"/>
        <w:rPr>
          <w:sz w:val="20"/>
          <w:szCs w:val="20"/>
          <w:color w:val="auto"/>
        </w:rPr>
      </w:pPr>
    </w:p>
    <w:p>
      <w:pPr>
        <w:jc w:val="both"/>
        <w:ind w:firstLine="1304"/>
        <w:spacing w:after="0" w:line="241" w:lineRule="auto"/>
        <w:tabs>
          <w:tab w:leader="none" w:pos="1931" w:val="left"/>
        </w:tabs>
        <w:numPr>
          <w:ilvl w:val="1"/>
          <w:numId w:val="41"/>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Committee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237" w:lineRule="exact"/>
        <w:rPr>
          <w:rFonts w:ascii="Arial" w:cs="Arial" w:eastAsia="Arial" w:hAnsi="Arial"/>
          <w:sz w:val="20"/>
          <w:szCs w:val="20"/>
          <w:color w:val="auto"/>
        </w:rPr>
      </w:pPr>
    </w:p>
    <w:p>
      <w:pPr>
        <w:ind w:left="1940" w:hanging="636"/>
        <w:spacing w:after="0"/>
        <w:tabs>
          <w:tab w:leader="none" w:pos="1940"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following provisions apply only if Participant is providing services outside the United States:</w:t>
      </w:r>
    </w:p>
    <w:p>
      <w:pPr>
        <w:spacing w:after="0" w:line="242" w:lineRule="exact"/>
        <w:rPr>
          <w:rFonts w:ascii="Arial" w:cs="Arial" w:eastAsia="Arial" w:hAnsi="Arial"/>
          <w:sz w:val="20"/>
          <w:szCs w:val="20"/>
          <w:color w:val="auto"/>
        </w:rPr>
      </w:pPr>
    </w:p>
    <w:p>
      <w:pPr>
        <w:ind w:firstLine="1952"/>
        <w:spacing w:after="0" w:line="246" w:lineRule="auto"/>
        <w:tabs>
          <w:tab w:leader="none" w:pos="2579" w:val="left"/>
        </w:tabs>
        <w:numPr>
          <w:ilvl w:val="2"/>
          <w:numId w:val="41"/>
        </w:numPr>
        <w:rPr>
          <w:rFonts w:ascii="Arial" w:cs="Arial" w:eastAsia="Arial" w:hAnsi="Arial"/>
          <w:sz w:val="20"/>
          <w:szCs w:val="20"/>
          <w:color w:val="auto"/>
        </w:rPr>
      </w:pPr>
      <w:r>
        <w:rPr>
          <w:rFonts w:ascii="Arial" w:cs="Arial" w:eastAsia="Arial" w:hAnsi="Arial"/>
          <w:sz w:val="20"/>
          <w:szCs w:val="20"/>
          <w:color w:val="auto"/>
        </w:rPr>
        <w:t>the Restricted Stock Units and the Shares subject to the Restricted Stock Units are not part of normal or expected compensation or salary for any purpose;</w:t>
      </w:r>
    </w:p>
    <w:p>
      <w:pPr>
        <w:spacing w:after="0" w:line="230" w:lineRule="exact"/>
        <w:rPr>
          <w:rFonts w:ascii="Arial" w:cs="Arial" w:eastAsia="Arial" w:hAnsi="Arial"/>
          <w:sz w:val="20"/>
          <w:szCs w:val="20"/>
          <w:color w:val="auto"/>
        </w:rPr>
      </w:pPr>
    </w:p>
    <w:p>
      <w:pPr>
        <w:jc w:val="both"/>
        <w:ind w:firstLine="1952"/>
        <w:spacing w:after="0" w:line="241" w:lineRule="auto"/>
        <w:tabs>
          <w:tab w:leader="none" w:pos="2582" w:val="left"/>
        </w:tabs>
        <w:numPr>
          <w:ilvl w:val="2"/>
          <w:numId w:val="41"/>
        </w:numPr>
        <w:rPr>
          <w:rFonts w:ascii="Arial" w:cs="Arial" w:eastAsia="Arial" w:hAnsi="Arial"/>
          <w:sz w:val="20"/>
          <w:szCs w:val="20"/>
          <w:color w:val="auto"/>
        </w:rPr>
      </w:pPr>
      <w:r>
        <w:rPr>
          <w:rFonts w:ascii="Arial" w:cs="Arial" w:eastAsia="Arial" w:hAnsi="Arial"/>
          <w:sz w:val="20"/>
          <w:szCs w:val="20"/>
          <w:color w:val="auto"/>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237" w:lineRule="exact"/>
        <w:rPr>
          <w:rFonts w:ascii="Arial" w:cs="Arial" w:eastAsia="Arial" w:hAnsi="Arial"/>
          <w:sz w:val="20"/>
          <w:szCs w:val="20"/>
          <w:color w:val="auto"/>
        </w:rPr>
      </w:pPr>
    </w:p>
    <w:p>
      <w:pPr>
        <w:jc w:val="both"/>
        <w:ind w:firstLine="1952"/>
        <w:spacing w:after="0"/>
        <w:tabs>
          <w:tab w:leader="none" w:pos="2585" w:val="left"/>
        </w:tabs>
        <w:numPr>
          <w:ilvl w:val="2"/>
          <w:numId w:val="41"/>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238" w:lineRule="exact"/>
        <w:rPr>
          <w:rFonts w:ascii="Arial" w:cs="Arial" w:eastAsia="Arial" w:hAnsi="Arial"/>
          <w:sz w:val="20"/>
          <w:szCs w:val="20"/>
          <w:color w:val="auto"/>
        </w:rPr>
      </w:pPr>
    </w:p>
    <w:p>
      <w:pPr>
        <w:jc w:val="both"/>
        <w:ind w:firstLine="656"/>
        <w:spacing w:after="0" w:line="241" w:lineRule="auto"/>
        <w:tabs>
          <w:tab w:leader="none" w:pos="1287"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advisors regarding his or her participation in the Plan before taking any action related to the Plan.</w:t>
      </w:r>
    </w:p>
    <w:p>
      <w:pPr>
        <w:spacing w:after="0" w:line="213" w:lineRule="exact"/>
        <w:rPr>
          <w:rFonts w:ascii="Arial" w:cs="Arial" w:eastAsia="Arial" w:hAnsi="Arial"/>
          <w:sz w:val="20"/>
          <w:szCs w:val="20"/>
          <w:color w:val="auto"/>
        </w:rPr>
      </w:pPr>
    </w:p>
    <w:p>
      <w:pPr>
        <w:jc w:val="both"/>
        <w:ind w:firstLine="656"/>
        <w:spacing w:after="0" w:line="275" w:lineRule="auto"/>
        <w:tabs>
          <w:tab w:leader="none" w:pos="1287" w:val="left"/>
        </w:tabs>
        <w:numPr>
          <w:ilvl w:val="0"/>
          <w:numId w:val="4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w:t>
      </w:r>
      <w:r>
        <w:rPr>
          <w:rFonts w:ascii="Arial" w:cs="Arial" w:eastAsia="Arial" w:hAnsi="Arial"/>
          <w:sz w:val="19"/>
          <w:szCs w:val="19"/>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of implementing, administering and managing Participant’s participation in the Plan.</w:t>
      </w:r>
    </w:p>
    <w:p>
      <w:pPr>
        <w:spacing w:after="0" w:line="24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Arial" w:cs="Arial" w:eastAsia="Arial" w:hAnsi="Arial"/>
          <w:sz w:val="20"/>
          <w:szCs w:val="20"/>
          <w:b w:val="1"/>
          <w:bCs w:val="1"/>
          <w:i w:val="1"/>
          <w:iCs w:val="1"/>
          <w:u w:val="single" w:color="auto"/>
          <w:color w:val="auto"/>
        </w:rPr>
        <w:t>Data</w:t>
      </w:r>
      <w:r>
        <w:rPr>
          <w:rFonts w:ascii="Arial" w:cs="Arial" w:eastAsia="Arial" w:hAnsi="Arial"/>
          <w:sz w:val="20"/>
          <w:szCs w:val="20"/>
          <w:b w:val="1"/>
          <w:bCs w:val="1"/>
          <w:i w:val="1"/>
          <w:iCs w:val="1"/>
          <w:color w:val="auto"/>
        </w:rPr>
        <w:t>”), for the exclusive purpose of implementing, administering, and managing the Plan.</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[redacted]@micron.com.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[redacted]@micron.com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229" w:lineRule="exact"/>
        <w:rPr>
          <w:sz w:val="20"/>
          <w:szCs w:val="20"/>
          <w:color w:val="auto"/>
        </w:rPr>
      </w:pPr>
    </w:p>
    <w:p>
      <w:pPr>
        <w:jc w:val="both"/>
        <w:ind w:firstLine="656"/>
        <w:spacing w:after="0" w:line="243" w:lineRule="auto"/>
        <w:tabs>
          <w:tab w:leader="none" w:pos="1287"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232" w:lineRule="exact"/>
        <w:rPr>
          <w:rFonts w:ascii="Arial" w:cs="Arial" w:eastAsia="Arial" w:hAnsi="Arial"/>
          <w:sz w:val="20"/>
          <w:szCs w:val="20"/>
          <w:color w:val="auto"/>
        </w:rPr>
      </w:pPr>
    </w:p>
    <w:p>
      <w:pPr>
        <w:ind w:right="20" w:firstLine="656"/>
        <w:spacing w:after="0" w:line="246" w:lineRule="auto"/>
        <w:tabs>
          <w:tab w:leader="none" w:pos="1287"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the Restricted Stock Units awarded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237" w:lineRule="exact"/>
        <w:rPr>
          <w:sz w:val="20"/>
          <w:szCs w:val="20"/>
          <w:color w:val="auto"/>
        </w:rPr>
      </w:pPr>
    </w:p>
    <w:p>
      <w:pPr>
        <w:jc w:val="both"/>
        <w:ind w:firstLine="656"/>
        <w:spacing w:after="0" w:line="241" w:lineRule="auto"/>
        <w:tabs>
          <w:tab w:leader="none" w:pos="1287"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237" w:lineRule="exact"/>
        <w:rPr>
          <w:rFonts w:ascii="Arial" w:cs="Arial" w:eastAsia="Arial" w:hAnsi="Arial"/>
          <w:sz w:val="20"/>
          <w:szCs w:val="20"/>
          <w:color w:val="auto"/>
        </w:rPr>
      </w:pPr>
    </w:p>
    <w:p>
      <w:pPr>
        <w:jc w:val="both"/>
        <w:ind w:firstLine="656"/>
        <w:spacing w:after="0" w:line="241" w:lineRule="auto"/>
        <w:tabs>
          <w:tab w:leader="none" w:pos="1287"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235" w:lineRule="exact"/>
        <w:rPr>
          <w:rFonts w:ascii="Arial" w:cs="Arial" w:eastAsia="Arial" w:hAnsi="Arial"/>
          <w:sz w:val="20"/>
          <w:szCs w:val="20"/>
          <w:color w:val="auto"/>
        </w:rPr>
      </w:pPr>
    </w:p>
    <w:p>
      <w:pPr>
        <w:jc w:val="both"/>
        <w:ind w:firstLine="656"/>
        <w:spacing w:after="0"/>
        <w:tabs>
          <w:tab w:leader="none" w:pos="1287"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Additional Conditions to Issuance of Stock</w:t>
      </w:r>
      <w:r>
        <w:rPr>
          <w:rFonts w:ascii="Arial" w:cs="Arial" w:eastAsia="Arial" w:hAnsi="Arial"/>
          <w:sz w:val="20"/>
          <w:szCs w:val="20"/>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Committee may establish from time to time for reasons of administrative convenience.</w:t>
      </w:r>
    </w:p>
    <w:p>
      <w:pPr>
        <w:spacing w:after="0" w:line="236" w:lineRule="exact"/>
        <w:rPr>
          <w:rFonts w:ascii="Arial" w:cs="Arial" w:eastAsia="Arial" w:hAnsi="Arial"/>
          <w:sz w:val="20"/>
          <w:szCs w:val="20"/>
          <w:color w:val="auto"/>
        </w:rPr>
      </w:pPr>
    </w:p>
    <w:p>
      <w:pPr>
        <w:jc w:val="both"/>
        <w:ind w:firstLine="656"/>
        <w:spacing w:after="0" w:line="241" w:lineRule="auto"/>
        <w:tabs>
          <w:tab w:leader="none" w:pos="1287"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235" w:lineRule="exact"/>
        <w:rPr>
          <w:rFonts w:ascii="Arial" w:cs="Arial" w:eastAsia="Arial" w:hAnsi="Arial"/>
          <w:sz w:val="20"/>
          <w:szCs w:val="20"/>
          <w:color w:val="auto"/>
        </w:rPr>
      </w:pPr>
    </w:p>
    <w:p>
      <w:pPr>
        <w:jc w:val="both"/>
        <w:ind w:firstLine="656"/>
        <w:spacing w:after="0" w:line="243" w:lineRule="auto"/>
        <w:tabs>
          <w:tab w:leader="none" w:pos="1287"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The Committee will have the power to interpret the Plan and this Award Agreement and to adopt such rules for the administration, interpretation and application of the Plan as are consistent therewith and to interpret or revoke any such rules (including,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 limited to, the determination of whether any Restricted Stock Units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237" w:lineRule="exact"/>
        <w:rPr>
          <w:sz w:val="20"/>
          <w:szCs w:val="20"/>
          <w:color w:val="auto"/>
        </w:rPr>
      </w:pPr>
    </w:p>
    <w:p>
      <w:pPr>
        <w:ind w:firstLine="656"/>
        <w:spacing w:after="0" w:line="246" w:lineRule="auto"/>
        <w:tabs>
          <w:tab w:leader="none" w:pos="1287"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Captions provided herein are for convenience only and are not to serve as a basis for interpretation or construction of this Award Agreement.</w:t>
      </w:r>
    </w:p>
    <w:p>
      <w:pPr>
        <w:spacing w:after="0" w:line="230" w:lineRule="exact"/>
        <w:rPr>
          <w:rFonts w:ascii="Arial" w:cs="Arial" w:eastAsia="Arial" w:hAnsi="Arial"/>
          <w:sz w:val="20"/>
          <w:szCs w:val="20"/>
          <w:color w:val="auto"/>
        </w:rPr>
      </w:pPr>
    </w:p>
    <w:p>
      <w:pPr>
        <w:jc w:val="both"/>
        <w:ind w:firstLine="656"/>
        <w:spacing w:after="0" w:line="241" w:lineRule="auto"/>
        <w:tabs>
          <w:tab w:leader="none" w:pos="1287"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Amendment, Suspension or Termination of the Plan</w:t>
      </w:r>
      <w:r>
        <w:rPr>
          <w:rFonts w:ascii="Arial" w:cs="Arial" w:eastAsia="Arial" w:hAnsi="Arial"/>
          <w:sz w:val="20"/>
          <w:szCs w:val="20"/>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Committee at any time.</w:t>
      </w:r>
    </w:p>
    <w:p>
      <w:pPr>
        <w:spacing w:after="0" w:line="237" w:lineRule="exact"/>
        <w:rPr>
          <w:rFonts w:ascii="Arial" w:cs="Arial" w:eastAsia="Arial" w:hAnsi="Arial"/>
          <w:sz w:val="20"/>
          <w:szCs w:val="20"/>
          <w:color w:val="auto"/>
        </w:rPr>
      </w:pPr>
    </w:p>
    <w:p>
      <w:pPr>
        <w:jc w:val="both"/>
        <w:ind w:firstLine="656"/>
        <w:spacing w:after="0" w:line="254" w:lineRule="auto"/>
        <w:tabs>
          <w:tab w:leader="none" w:pos="1287"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Modifications to the Award Agreement</w:t>
      </w:r>
      <w:r>
        <w:rPr>
          <w:rFonts w:ascii="Arial" w:cs="Arial" w:eastAsia="Arial" w:hAnsi="Arial"/>
          <w:sz w:val="19"/>
          <w:szCs w:val="19"/>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Committee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223" w:lineRule="exact"/>
        <w:rPr>
          <w:rFonts w:ascii="Arial" w:cs="Arial" w:eastAsia="Arial" w:hAnsi="Arial"/>
          <w:sz w:val="19"/>
          <w:szCs w:val="19"/>
          <w:color w:val="auto"/>
        </w:rPr>
      </w:pPr>
    </w:p>
    <w:p>
      <w:pPr>
        <w:jc w:val="both"/>
        <w:ind w:firstLine="656"/>
        <w:spacing w:after="0"/>
        <w:tabs>
          <w:tab w:leader="none" w:pos="1287"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Governing Law; Venue; Severability</w:t>
      </w:r>
      <w:r>
        <w:rPr>
          <w:rFonts w:ascii="Arial" w:cs="Arial" w:eastAsia="Arial" w:hAnsi="Arial"/>
          <w:sz w:val="20"/>
          <w:szCs w:val="20"/>
          <w:color w:val="auto"/>
        </w:rPr>
        <w:t>. This Award Agreement and the Restricted Stock Units are governed by the internal substantive laws, but not the choice of law rules, of the State of Delaware, USA. For purposes of litigating any dispute that arises under these Restricted Stock Units or this Award Agreement, the parties hereby submit to and consent to the jurisdiction of the State of Idaho, USA and agree that such litigation will be conducted in the courts of Ada County, Idaho, USA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239" w:lineRule="exact"/>
        <w:rPr>
          <w:rFonts w:ascii="Arial" w:cs="Arial" w:eastAsia="Arial" w:hAnsi="Arial"/>
          <w:sz w:val="20"/>
          <w:szCs w:val="20"/>
          <w:color w:val="auto"/>
        </w:rPr>
      </w:pPr>
    </w:p>
    <w:p>
      <w:pPr>
        <w:jc w:val="both"/>
        <w:ind w:firstLine="656"/>
        <w:spacing w:after="0" w:line="241" w:lineRule="auto"/>
        <w:tabs>
          <w:tab w:leader="none" w:pos="1287"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08" w:lineRule="exact"/>
        <w:rPr>
          <w:sz w:val="20"/>
          <w:szCs w:val="20"/>
          <w:color w:val="auto"/>
        </w:rPr>
      </w:pPr>
    </w:p>
    <w:p>
      <w:pPr>
        <w:jc w:val="both"/>
        <w:ind w:left="-20" w:firstLine="656"/>
        <w:spacing w:after="0"/>
        <w:tabs>
          <w:tab w:leader="none" w:pos="1267"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Country Addendum</w:t>
      </w:r>
      <w:r>
        <w:rPr>
          <w:rFonts w:ascii="Arial" w:cs="Arial" w:eastAsia="Arial" w:hAnsi="Arial"/>
          <w:sz w:val="20"/>
          <w:szCs w:val="20"/>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Restricted Stock Unit Award (as determined by the Committee in its sole discretion) (the “</w:t>
      </w:r>
      <w:r>
        <w:rPr>
          <w:rFonts w:ascii="Arial" w:cs="Arial" w:eastAsia="Arial" w:hAnsi="Arial"/>
          <w:sz w:val="20"/>
          <w:szCs w:val="20"/>
          <w:u w:val="single" w:color="auto"/>
          <w:color w:val="auto"/>
        </w:rPr>
        <w:t>Country Addendum</w:t>
      </w:r>
      <w:r>
        <w:rPr>
          <w:rFonts w:ascii="Arial" w:cs="Arial" w:eastAsia="Arial" w:hAnsi="Arial"/>
          <w:sz w:val="20"/>
          <w:szCs w:val="20"/>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239" w:lineRule="exact"/>
        <w:rPr>
          <w:rFonts w:ascii="Arial" w:cs="Arial" w:eastAsia="Arial" w:hAnsi="Arial"/>
          <w:sz w:val="20"/>
          <w:szCs w:val="20"/>
          <w:color w:val="auto"/>
        </w:rPr>
      </w:pPr>
    </w:p>
    <w:p>
      <w:pPr>
        <w:ind w:left="5440"/>
        <w:spacing w:after="0"/>
        <w:rPr>
          <w:rFonts w:ascii="Arial" w:cs="Arial" w:eastAsia="Arial" w:hAnsi="Arial"/>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20"/>
          </w:cols>
          <w:pgMar w:left="340" w:top="1440" w:right="339" w:bottom="1440" w:gutter="0" w:footer="0" w:header="0"/>
        </w:sectPr>
      </w:pPr>
    </w:p>
    <w:bookmarkStart w:id="72" w:name="page73"/>
    <w:bookmarkEnd w:id="72"/>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2007 EQUITY INCENTIVE PLAN</w:t>
      </w: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jc w:val="center"/>
        <w:spacing w:after="0"/>
        <w:rPr>
          <w:sz w:val="20"/>
          <w:szCs w:val="20"/>
          <w:color w:val="auto"/>
        </w:rPr>
      </w:pPr>
      <w:r>
        <w:rPr>
          <w:rFonts w:ascii="Arial" w:cs="Arial" w:eastAsia="Arial" w:hAnsi="Arial"/>
          <w:sz w:val="20"/>
          <w:szCs w:val="20"/>
          <w:b w:val="1"/>
          <w:bCs w:val="1"/>
          <w:color w:val="auto"/>
        </w:rPr>
        <w:t>COUNTRY ADDENDUM</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67"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Country Addendum includes additional terms and conditions that govern the Award of Restricted Stock Units granted pursuant to the terms and conditions of the Micron Technology, Inc. Amended and Restated 2007 Equity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and the Restricted Stock Unit Agreement to which this Country Addendum is attached (the “</w:t>
      </w:r>
      <w:r>
        <w:rPr>
          <w:rFonts w:ascii="Arial" w:cs="Arial" w:eastAsia="Arial" w:hAnsi="Arial"/>
          <w:sz w:val="20"/>
          <w:szCs w:val="20"/>
          <w:u w:val="single" w:color="auto"/>
          <w:color w:val="auto"/>
        </w:rPr>
        <w:t>Restricted Stock Unit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to the extent the individual to whom the Restricted Stock Units were granted (“</w:t>
      </w:r>
      <w:r>
        <w:rPr>
          <w:rFonts w:ascii="Arial" w:cs="Arial" w:eastAsia="Arial" w:hAnsi="Arial"/>
          <w:sz w:val="20"/>
          <w:szCs w:val="20"/>
          <w:u w:val="single" w:color="auto"/>
          <w:color w:val="auto"/>
        </w:rPr>
        <w:t>Participant</w:t>
      </w:r>
      <w:r>
        <w:rPr>
          <w:rFonts w:ascii="Arial" w:cs="Arial" w:eastAsia="Arial" w:hAnsi="Arial"/>
          <w:sz w:val="20"/>
          <w:szCs w:val="20"/>
          <w:color w:val="auto"/>
        </w:rPr>
        <w:t>”) resides and/or works in one of the countries listed below. Unless defined in this Country Addendum, defined terms used in this Country Addendum are used as defined in the Restricted Stock Unit Agreement to which this Country Addendum is attached.</w:t>
      </w:r>
    </w:p>
    <w:p>
      <w:pPr>
        <w:spacing w:after="0" w:line="24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If Participant is a citizen or resident of a country other than the one in which Participant is currently working and/or residing, transfers to another country after the grant of the Restricted Stock Units, is a consultant, changes employment status to a consultant, or is considered a resident of another country for local law purposes, the Company, in its discretion, shall determine the extent to which the terms and conditions contained herein shall be applicable to Participant.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67"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Country Addendum also includes information regarding securities, tax and certain other issues of which Participant should be aware with respect to his or her participation in the Plan. The information is based on the securities, tax, and other laws in effect in the respective countries as of October 2021. Such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the information contained herein is general in nature and may not apply to Participant’s particular situation. The Company cannot assure Participant of any particular result. Accordingly, Participant is advised to seek appropriate professional advice as to how the relevant laws of Participant’s country may apply to his or her situation.</w:t>
      </w:r>
    </w:p>
    <w:p>
      <w:pPr>
        <w:spacing w:after="0" w:line="23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Finally, if Participant is a citizen or resident of a country other than the one in which Participant currently is residing and/or working or transfers to another country after the grant of the Restricted Stock Units, or is considered a resident of another country for local law purposes, the information contained herein may not be applicable to Participant in the same manner. In addition, the Company, in its discretion, shall determine the extent to which the terms and conditions contained herein shall apply to Participant under these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 NON-U.S. COUNTRIES</w:t>
      </w:r>
    </w:p>
    <w:p>
      <w:pPr>
        <w:spacing w:after="0" w:line="267" w:lineRule="exact"/>
        <w:rPr>
          <w:sz w:val="20"/>
          <w:szCs w:val="20"/>
          <w:color w:val="auto"/>
        </w:rPr>
      </w:pPr>
    </w:p>
    <w:p>
      <w:pPr>
        <w:jc w:val="both"/>
        <w:ind w:left="660" w:hanging="652"/>
        <w:spacing w:after="0" w:line="243" w:lineRule="auto"/>
        <w:tabs>
          <w:tab w:leader="none" w:pos="649"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Settlement of Units</w:t>
      </w:r>
      <w:r>
        <w:rPr>
          <w:rFonts w:ascii="Arial" w:cs="Arial" w:eastAsia="Arial" w:hAnsi="Arial"/>
          <w:sz w:val="20"/>
          <w:szCs w:val="20"/>
          <w:color w:val="auto"/>
        </w:rPr>
        <w:t>. Notwithstanding any provision in the Restricted Stock Unit Agreement if Participant is employed and/or resides outside of the United States, the Company, in its sole discretion, may provide for the settlement of the Restricted Stock Units in the form of:</w:t>
      </w:r>
    </w:p>
    <w:p>
      <w:pPr>
        <w:spacing w:after="0" w:line="232" w:lineRule="exact"/>
        <w:rPr>
          <w:rFonts w:ascii="Arial" w:cs="Arial" w:eastAsia="Arial" w:hAnsi="Arial"/>
          <w:sz w:val="20"/>
          <w:szCs w:val="20"/>
          <w:color w:val="auto"/>
        </w:rPr>
      </w:pPr>
    </w:p>
    <w:p>
      <w:pPr>
        <w:jc w:val="both"/>
        <w:ind w:left="1300" w:hanging="644"/>
        <w:spacing w:after="0" w:line="241" w:lineRule="auto"/>
        <w:tabs>
          <w:tab w:leader="none" w:pos="1299" w:val="left"/>
        </w:tabs>
        <w:numPr>
          <w:ilvl w:val="1"/>
          <w:numId w:val="47"/>
        </w:numPr>
        <w:rPr>
          <w:rFonts w:ascii="Arial" w:cs="Arial" w:eastAsia="Arial" w:hAnsi="Arial"/>
          <w:sz w:val="20"/>
          <w:szCs w:val="20"/>
          <w:color w:val="auto"/>
        </w:rPr>
      </w:pPr>
      <w:r>
        <w:rPr>
          <w:rFonts w:ascii="Arial" w:cs="Arial" w:eastAsia="Arial" w:hAnsi="Arial"/>
          <w:sz w:val="20"/>
          <w:szCs w:val="20"/>
          <w:color w:val="auto"/>
        </w:rPr>
        <w:t>a cash payment (in an amount equal to the Fair Market Value of the Shares that corresponds to the vested Restricted Stock Units) to the extent that settlement in Shares (i) is prohibited under local law, (ii) would require Participant or the Company or any of its Affiliates to obtain the approval of any governmental or regulatory body in Participant’s country of employment and/or residency, (iii) would result in adverse tax consequences for Participant or the Company or any of its Affiliates or (iv) is administratively burdensome; or</w:t>
      </w:r>
    </w:p>
    <w:p>
      <w:pPr>
        <w:spacing w:after="0" w:line="235" w:lineRule="exact"/>
        <w:rPr>
          <w:rFonts w:ascii="Arial" w:cs="Arial" w:eastAsia="Arial" w:hAnsi="Arial"/>
          <w:sz w:val="20"/>
          <w:szCs w:val="20"/>
          <w:color w:val="auto"/>
        </w:rPr>
      </w:pPr>
    </w:p>
    <w:p>
      <w:pPr>
        <w:jc w:val="both"/>
        <w:ind w:left="1300" w:hanging="644"/>
        <w:spacing w:after="0" w:line="243" w:lineRule="auto"/>
        <w:tabs>
          <w:tab w:leader="none" w:pos="1299" w:val="left"/>
        </w:tabs>
        <w:numPr>
          <w:ilvl w:val="1"/>
          <w:numId w:val="47"/>
        </w:numPr>
        <w:rPr>
          <w:rFonts w:ascii="Arial" w:cs="Arial" w:eastAsia="Arial" w:hAnsi="Arial"/>
          <w:sz w:val="20"/>
          <w:szCs w:val="20"/>
          <w:color w:val="auto"/>
        </w:rPr>
      </w:pPr>
      <w:r>
        <w:rPr>
          <w:rFonts w:ascii="Arial" w:cs="Arial" w:eastAsia="Arial" w:hAnsi="Arial"/>
          <w:sz w:val="20"/>
          <w:szCs w:val="20"/>
          <w:color w:val="auto"/>
        </w:rPr>
        <w:t>Shares, but require Participant to sell such Shares immediately or within a specified period following the end of Participant’s Continuous Status as a Participant (in which case, Participant hereby agrees that the Company shall have the authority to issue sale instructions in relation to such Shares on Participant’s behalf).</w:t>
      </w:r>
    </w:p>
    <w:p>
      <w:pPr>
        <w:spacing w:after="0" w:line="232" w:lineRule="exact"/>
        <w:rPr>
          <w:rFonts w:ascii="Arial" w:cs="Arial" w:eastAsia="Arial" w:hAnsi="Arial"/>
          <w:sz w:val="20"/>
          <w:szCs w:val="20"/>
          <w:color w:val="auto"/>
        </w:rPr>
      </w:pPr>
    </w:p>
    <w:p>
      <w:pPr>
        <w:jc w:val="both"/>
        <w:ind w:left="660" w:hanging="652"/>
        <w:spacing w:after="0" w:line="255" w:lineRule="auto"/>
        <w:tabs>
          <w:tab w:leader="none" w:pos="649"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Securities Law Compliance</w:t>
      </w:r>
      <w:r>
        <w:rPr>
          <w:rFonts w:ascii="Arial" w:cs="Arial" w:eastAsia="Arial" w:hAnsi="Arial"/>
          <w:sz w:val="19"/>
          <w:szCs w:val="19"/>
          <w:color w:val="auto"/>
        </w:rPr>
        <w:t>. The grant of the Restricted Stock Units and the issuance and delivery of Shares are subject to all applicable laws, rules, and regulations and to such approvals by any governmental agencies or securities exchange as may be required. Notwithstanding any provision of this Restricted Stock Unit Agreement or the Plan, the Company has no liability to deliver any Shares under the Plan or make any payment unless such delivery or payment would comply with all laws and the applicable requirements of any governmental agency, securities exchange, or similar entity, and unless and until Participant has taken all actions required by the Company in connection with the Restricted Stock Units. The Company may impose such restrictions on any Shares issued under the Plan as the Company determines necessary or desirable to comply with all applicable laws, rules, regulations, and other requirements.</w:t>
      </w:r>
    </w:p>
    <w:p>
      <w:pPr>
        <w:spacing w:after="0" w:line="221" w:lineRule="exact"/>
        <w:rPr>
          <w:rFonts w:ascii="Arial" w:cs="Arial" w:eastAsia="Arial" w:hAnsi="Arial"/>
          <w:sz w:val="19"/>
          <w:szCs w:val="19"/>
          <w:color w:val="auto"/>
        </w:rPr>
      </w:pPr>
    </w:p>
    <w:p>
      <w:pPr>
        <w:jc w:val="both"/>
        <w:ind w:left="660" w:hanging="652"/>
        <w:spacing w:after="0"/>
        <w:tabs>
          <w:tab w:leader="none" w:pos="649"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Insider Trading; Market Abuse Laws</w:t>
      </w:r>
      <w:r>
        <w:rPr>
          <w:rFonts w:ascii="Arial" w:cs="Arial" w:eastAsia="Arial" w:hAnsi="Arial"/>
          <w:sz w:val="20"/>
          <w:szCs w:val="20"/>
          <w:color w:val="auto"/>
        </w:rPr>
        <w:t>. By participating in the Plan, Participant agrees to comply with the Company’s policy on insider trading (to the extent that it is applicable to Participant). Participant further acknowledges that, depending on Participant’s or his or her broker’s country of residence or where the Shares are listed, Participant may be subject to insider trading restrictions and/or market abuse laws which may affect Participant’s ability to accept, acquire, sell, or otherwise dispose of Shares, rights to Shares (e.g., Restricted Stock Units) or rights linked to the value of Shares, during such times as Participant is considered to have “inside information” regarding the Company as defined by the laws or regulations in Participant’s country. Local insider trading laws and regulations may prohibit the cancellation or amendment of orders Participant places before he or she possessed inside information. Furthermore, Participant could be prohibited from (i) disclosing the inside information to any third party (other than on a “need to know” basis) and (ii) “tipping” third parties or causing them otherwise to buy or sell securities. Participant understands that third parties include fellow employees. Any restrictions under these laws or regulations are separate from and in addition to any restrictions that may be imposed under any applicable Company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08"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Participant acknowledges that it is Participant’s responsibility to comply with any applicable restrictions, and that Participant should therefore consult his or her personal advisor on this matter.</w:t>
      </w:r>
    </w:p>
    <w:p>
      <w:pPr>
        <w:spacing w:after="0" w:line="231" w:lineRule="exact"/>
        <w:rPr>
          <w:sz w:val="20"/>
          <w:szCs w:val="20"/>
          <w:color w:val="auto"/>
        </w:rPr>
      </w:pPr>
    </w:p>
    <w:p>
      <w:pPr>
        <w:jc w:val="both"/>
        <w:ind w:left="660" w:hanging="652"/>
        <w:spacing w:after="0" w:line="241" w:lineRule="auto"/>
        <w:tabs>
          <w:tab w:leader="none" w:pos="649"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Not a Public Offering</w:t>
      </w:r>
      <w:r>
        <w:rPr>
          <w:rFonts w:ascii="Arial" w:cs="Arial" w:eastAsia="Arial" w:hAnsi="Arial"/>
          <w:sz w:val="20"/>
          <w:szCs w:val="20"/>
          <w:color w:val="auto"/>
        </w:rPr>
        <w:t>. The grant of the Restricted Stock Units is not intended to be a public offering of securities in Participant’s country of employment (or country of residence, if different). The Company has not submitted any registration statement, prospectus, or other filings with the local securities authorities (unless otherwise required under local law), and the grant of the Restricted Stock Units is not subject to the supervision of the local securities authorities.</w:t>
      </w:r>
    </w:p>
    <w:p>
      <w:pPr>
        <w:spacing w:after="0" w:line="237" w:lineRule="exact"/>
        <w:rPr>
          <w:rFonts w:ascii="Arial" w:cs="Arial" w:eastAsia="Arial" w:hAnsi="Arial"/>
          <w:sz w:val="20"/>
          <w:szCs w:val="20"/>
          <w:color w:val="auto"/>
        </w:rPr>
      </w:pPr>
    </w:p>
    <w:p>
      <w:pPr>
        <w:jc w:val="both"/>
        <w:ind w:left="660" w:hanging="652"/>
        <w:spacing w:after="0"/>
        <w:tabs>
          <w:tab w:leader="none" w:pos="649"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Repatriation; Compliance with Law</w:t>
      </w:r>
      <w:r>
        <w:rPr>
          <w:rFonts w:ascii="Arial" w:cs="Arial" w:eastAsia="Arial" w:hAnsi="Arial"/>
          <w:sz w:val="20"/>
          <w:szCs w:val="20"/>
          <w:color w:val="auto"/>
        </w:rPr>
        <w:t>. Participant agrees to repatriate all payments attributable to the Shares and/or cash acquired under the Plan in accordance with applicable foreign exchange rules and regulations in Participant’s country of employment (and country of residence, if different). In addition, Participant agrees to take any and all actions, and consents to any and all actions taken by the Company and any of its Affiliates, as may be required to allow the Company and any of its Affiliates to comply with local laws, rules and/or regulations in Participant’s country of employment (and country of residence, if different). Finally, Participant agrees to take any and all actions as may be required to comply with Participant’s personal obligations under local laws, rules, and/or regulations in his or her country of employment (and country of residence, if different).</w:t>
      </w:r>
    </w:p>
    <w:p>
      <w:pPr>
        <w:spacing w:after="0" w:line="239" w:lineRule="exact"/>
        <w:rPr>
          <w:rFonts w:ascii="Arial" w:cs="Arial" w:eastAsia="Arial" w:hAnsi="Arial"/>
          <w:sz w:val="20"/>
          <w:szCs w:val="20"/>
          <w:color w:val="auto"/>
        </w:rPr>
      </w:pPr>
    </w:p>
    <w:p>
      <w:pPr>
        <w:jc w:val="both"/>
        <w:ind w:left="660" w:hanging="652"/>
        <w:spacing w:after="0" w:line="241" w:lineRule="auto"/>
        <w:tabs>
          <w:tab w:leader="none" w:pos="649"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Participant’s participation in the Plan, on the Restricted Stock Units,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EUROPEAN UNION (“</w:t>
      </w:r>
      <w:r>
        <w:rPr>
          <w:rFonts w:ascii="Arial" w:cs="Arial" w:eastAsia="Arial" w:hAnsi="Arial"/>
          <w:sz w:val="20"/>
          <w:szCs w:val="20"/>
          <w:b w:val="1"/>
          <w:bCs w:val="1"/>
          <w:u w:val="single" w:color="auto"/>
          <w:color w:val="auto"/>
        </w:rPr>
        <w:t>EU</w:t>
      </w:r>
      <w:r>
        <w:rPr>
          <w:rFonts w:ascii="Arial" w:cs="Arial" w:eastAsia="Arial" w:hAnsi="Arial"/>
          <w:sz w:val="20"/>
          <w:szCs w:val="20"/>
          <w:b w:val="1"/>
          <w:bCs w:val="1"/>
          <w:color w:val="auto"/>
        </w:rPr>
        <w:t>”) / EUROPEAN ECONOMIC AREA (“</w:t>
      </w:r>
      <w:r>
        <w:rPr>
          <w:rFonts w:ascii="Arial" w:cs="Arial" w:eastAsia="Arial" w:hAnsi="Arial"/>
          <w:sz w:val="20"/>
          <w:szCs w:val="20"/>
          <w:b w:val="1"/>
          <w:bCs w:val="1"/>
          <w:u w:val="single" w:color="auto"/>
          <w:color w:val="auto"/>
        </w:rPr>
        <w:t>EEA</w:t>
      </w:r>
      <w:r>
        <w:rPr>
          <w:rFonts w:ascii="Arial" w:cs="Arial" w:eastAsia="Arial" w:hAnsi="Arial"/>
          <w:sz w:val="20"/>
          <w:szCs w:val="20"/>
          <w:b w:val="1"/>
          <w:bCs w:val="1"/>
          <w:color w:val="auto"/>
        </w:rPr>
        <w:t>”) AND THE UNITED KINGDOM</w:t>
      </w:r>
    </w:p>
    <w:p>
      <w:pPr>
        <w:spacing w:after="0" w:line="267" w:lineRule="exact"/>
        <w:rPr>
          <w:sz w:val="20"/>
          <w:szCs w:val="20"/>
          <w:color w:val="auto"/>
        </w:rPr>
      </w:pPr>
    </w:p>
    <w:p>
      <w:pPr>
        <w:spacing w:after="0" w:line="246" w:lineRule="auto"/>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If Participant resides and/or works in the EU/EEA or the United Kingdom, Section 15 of the Restricted Stock Unit Agreement shall be replaced with the following:</w:t>
      </w:r>
    </w:p>
    <w:p>
      <w:pPr>
        <w:spacing w:after="0" w:line="211"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i w:val="1"/>
          <w:iCs w:val="1"/>
          <w:color w:val="auto"/>
        </w:rPr>
        <w:t>The Company, with its principal executive offices at 8000 South Federal Way, Boise, Idaho 83716, USA is the controller responsible for the processing of Participant’s personal data by the Company and the third parties noted below.</w:t>
      </w:r>
    </w:p>
    <w:p>
      <w:pPr>
        <w:spacing w:after="0" w:line="190" w:lineRule="exact"/>
        <w:rPr>
          <w:sz w:val="20"/>
          <w:szCs w:val="20"/>
          <w:color w:val="auto"/>
        </w:rPr>
      </w:pPr>
    </w:p>
    <w:p>
      <w:pPr>
        <w:jc w:val="both"/>
        <w:ind w:firstLine="656"/>
        <w:spacing w:after="0" w:line="244" w:lineRule="auto"/>
        <w:tabs>
          <w:tab w:leader="none" w:pos="1295" w:val="left"/>
        </w:tabs>
        <w:numPr>
          <w:ilvl w:val="0"/>
          <w:numId w:val="49"/>
        </w:numPr>
        <w:rPr>
          <w:rFonts w:ascii="Arial" w:cs="Arial" w:eastAsia="Arial" w:hAnsi="Arial"/>
          <w:sz w:val="20"/>
          <w:szCs w:val="20"/>
          <w:color w:val="auto"/>
        </w:rPr>
      </w:pPr>
      <w:r>
        <w:rPr>
          <w:rFonts w:ascii="Arial" w:cs="Arial" w:eastAsia="Arial" w:hAnsi="Arial"/>
          <w:sz w:val="20"/>
          <w:szCs w:val="20"/>
          <w:i w:val="1"/>
          <w:iCs w:val="1"/>
          <w:u w:val="single" w:color="auto"/>
          <w:color w:val="auto"/>
        </w:rPr>
        <w:t>Data Collection and Usage</w:t>
      </w:r>
      <w:r>
        <w:rPr>
          <w:rFonts w:ascii="Arial" w:cs="Arial" w:eastAsia="Arial" w:hAnsi="Arial"/>
          <w:sz w:val="20"/>
          <w:szCs w:val="20"/>
          <w:i w:val="1"/>
          <w:iCs w:val="1"/>
          <w:color w:val="auto"/>
        </w:rPr>
        <w:t>. Pursuant to applicable data protection laws, Participant is hereby notified that the Company collects, processes, and uses certain personal information about Participant for the legitimate purpose of implementing, administering, and managing the Plan and generally administering Awards, specifically: Participant’s name, home address, email address, date of birth, termination date (if applicable), employee identification number, work country, pay frequency, any Shares or directorships held in the Company, and details of all awards, any entitlement to Shares awarded, canceled, exercised, vested, or outstanding in Participant’s favor, which the Company receives from Participant or the Employer (“</w:t>
      </w:r>
      <w:r>
        <w:rPr>
          <w:rFonts w:ascii="Arial" w:cs="Arial" w:eastAsia="Arial" w:hAnsi="Arial"/>
          <w:sz w:val="20"/>
          <w:szCs w:val="20"/>
          <w:i w:val="1"/>
          <w:iCs w:val="1"/>
          <w:u w:val="single" w:color="auto"/>
          <w:color w:val="auto"/>
        </w:rPr>
        <w:t>Personal Data</w:t>
      </w:r>
      <w:r>
        <w:rPr>
          <w:rFonts w:ascii="Arial" w:cs="Arial" w:eastAsia="Arial" w:hAnsi="Arial"/>
          <w:sz w:val="20"/>
          <w:szCs w:val="20"/>
          <w:i w:val="1"/>
          <w:iCs w:val="1"/>
          <w:color w:val="auto"/>
        </w:rPr>
        <w:t>”). In granting Restricted Stock Units under the Plan, the Company will collect,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process, use, disclose, and transfer (collectively, “</w:t>
      </w:r>
      <w:r>
        <w:rPr>
          <w:rFonts w:ascii="Arial" w:cs="Arial" w:eastAsia="Arial" w:hAnsi="Arial"/>
          <w:sz w:val="20"/>
          <w:szCs w:val="20"/>
          <w:i w:val="1"/>
          <w:iCs w:val="1"/>
          <w:u w:val="single" w:color="auto"/>
          <w:color w:val="auto"/>
        </w:rPr>
        <w:t>Processing</w:t>
      </w:r>
      <w:r>
        <w:rPr>
          <w:rFonts w:ascii="Arial" w:cs="Arial" w:eastAsia="Arial" w:hAnsi="Arial"/>
          <w:sz w:val="20"/>
          <w:szCs w:val="20"/>
          <w:i w:val="1"/>
          <w:iCs w:val="1"/>
          <w:color w:val="auto"/>
        </w:rPr>
        <w:t>”) Personal Data for purposes of implementing, administering, and managing the Plan. The Company’s legal basis for the Processing of Personal Data is the Company’s legitimate business interests of managing the Plan, administering purchase rights and complying with its contractual and statutory obligations, as well as the necessity of the Processing for the Company to perform its contractual obligations under this Restricted Stock Unit Agreement and the Plan. Participant’s refusal to provide Personal Data would make it impossible for the Company to perform its contractual obligations and may affect Participant’s ability to participate in the Plan. As such, by participating in the Plan, Participant voluntarily acknowledges the Processing of Participant’s Personal Data as described herein.</w:t>
      </w:r>
    </w:p>
    <w:p>
      <w:pPr>
        <w:spacing w:after="0" w:line="213" w:lineRule="exact"/>
        <w:rPr>
          <w:sz w:val="20"/>
          <w:szCs w:val="20"/>
          <w:color w:val="auto"/>
        </w:rPr>
      </w:pPr>
    </w:p>
    <w:p>
      <w:pPr>
        <w:jc w:val="both"/>
        <w:ind w:firstLine="656"/>
        <w:spacing w:after="0" w:line="242" w:lineRule="auto"/>
        <w:tabs>
          <w:tab w:leader="none" w:pos="1295" w:val="left"/>
        </w:tabs>
        <w:numPr>
          <w:ilvl w:val="0"/>
          <w:numId w:val="50"/>
        </w:numPr>
        <w:rPr>
          <w:rFonts w:ascii="Arial" w:cs="Arial" w:eastAsia="Arial" w:hAnsi="Arial"/>
          <w:sz w:val="20"/>
          <w:szCs w:val="20"/>
          <w:color w:val="auto"/>
        </w:rPr>
      </w:pPr>
      <w:r>
        <w:rPr>
          <w:rFonts w:ascii="Arial" w:cs="Arial" w:eastAsia="Arial" w:hAnsi="Arial"/>
          <w:sz w:val="20"/>
          <w:szCs w:val="20"/>
          <w:i w:val="1"/>
          <w:iCs w:val="1"/>
          <w:u w:val="single" w:color="auto"/>
          <w:color w:val="auto"/>
        </w:rPr>
        <w:t>Stock Plan Administration Service Provider</w:t>
      </w:r>
      <w:r>
        <w:rPr>
          <w:rFonts w:ascii="Arial" w:cs="Arial" w:eastAsia="Arial" w:hAnsi="Arial"/>
          <w:sz w:val="20"/>
          <w:szCs w:val="20"/>
          <w:i w:val="1"/>
          <w:iCs w:val="1"/>
          <w:color w:val="auto"/>
        </w:rPr>
        <w:t>. The Company may transfer Personal Data to Morgan Stanley, an independent service provider based, in relevant part, in the United States, which may assist the Company with the implementation, administration, and management of the Plan. In the future, the Company may select a different service provider and share Personal Data with another company that serves in a similar manner. The Company’s service provider will open an account for Participant to receive and trade Shares acquired under the Plan. The Processing of Personal Data will take place through both electronic and non-electronic means. Personal Data will only be accessible by those individuals requiring access to it for purposes of implementing, administering, and operating the Plan. When receiving Participant’s Personal Data, if applicable, Morgan Stanley provides appropriate safeguards in accordance with the Standard Contractual Clauses adopted by the EU Commission or other appropriate cross-border transfer solutions. By participating in the Plan, Participant understands that the service provider will Process Participant’s Personal Data for the purposes of implementing, administering, and managing Participant’s participation in the Plan.</w:t>
      </w:r>
    </w:p>
    <w:p>
      <w:pPr>
        <w:spacing w:after="0" w:line="216" w:lineRule="exact"/>
        <w:rPr>
          <w:rFonts w:ascii="Arial" w:cs="Arial" w:eastAsia="Arial" w:hAnsi="Arial"/>
          <w:sz w:val="20"/>
          <w:szCs w:val="20"/>
          <w:color w:val="auto"/>
        </w:rPr>
      </w:pPr>
    </w:p>
    <w:p>
      <w:pPr>
        <w:jc w:val="both"/>
        <w:ind w:firstLine="656"/>
        <w:spacing w:after="0" w:line="246" w:lineRule="auto"/>
        <w:tabs>
          <w:tab w:leader="none" w:pos="1284" w:val="left"/>
        </w:tabs>
        <w:numPr>
          <w:ilvl w:val="0"/>
          <w:numId w:val="50"/>
        </w:numPr>
        <w:rPr>
          <w:rFonts w:ascii="Arial" w:cs="Arial" w:eastAsia="Arial" w:hAnsi="Arial"/>
          <w:sz w:val="20"/>
          <w:szCs w:val="20"/>
          <w:color w:val="auto"/>
        </w:rPr>
      </w:pPr>
      <w:r>
        <w:rPr>
          <w:rFonts w:ascii="Arial" w:cs="Arial" w:eastAsia="Arial" w:hAnsi="Arial"/>
          <w:sz w:val="20"/>
          <w:szCs w:val="20"/>
          <w:i w:val="1"/>
          <w:iCs w:val="1"/>
          <w:u w:val="single" w:color="auto"/>
          <w:color w:val="auto"/>
        </w:rPr>
        <w:t>International Data Transfers</w:t>
      </w:r>
      <w:r>
        <w:rPr>
          <w:rFonts w:ascii="Arial" w:cs="Arial" w:eastAsia="Arial" w:hAnsi="Arial"/>
          <w:sz w:val="20"/>
          <w:szCs w:val="20"/>
          <w:i w:val="1"/>
          <w:iCs w:val="1"/>
          <w:color w:val="auto"/>
        </w:rPr>
        <w:t>. The Plan is administered in the United States, which means it will be necessary for Personal Data to be transferred to, and processed in the United States. When transferring Personal Data to the United States, the Company provides appropriate safeguards in accordance with the Standard Contractual Clauses or other appropriate cross-border transfer solutions. Participant may request a copy of the appropriate safeguards with the service provider or the Company by contacting the Company’s Data Privacy Team at [redacted]@micron.com.</w:t>
      </w:r>
    </w:p>
    <w:p>
      <w:pPr>
        <w:spacing w:after="0" w:line="211" w:lineRule="exact"/>
        <w:rPr>
          <w:rFonts w:ascii="Arial" w:cs="Arial" w:eastAsia="Arial" w:hAnsi="Arial"/>
          <w:sz w:val="20"/>
          <w:szCs w:val="20"/>
          <w:color w:val="auto"/>
        </w:rPr>
      </w:pPr>
    </w:p>
    <w:p>
      <w:pPr>
        <w:jc w:val="both"/>
        <w:ind w:firstLine="656"/>
        <w:spacing w:after="0" w:line="246" w:lineRule="auto"/>
        <w:tabs>
          <w:tab w:leader="none" w:pos="1295" w:val="left"/>
        </w:tabs>
        <w:numPr>
          <w:ilvl w:val="0"/>
          <w:numId w:val="50"/>
        </w:numPr>
        <w:rPr>
          <w:rFonts w:ascii="Arial" w:cs="Arial" w:eastAsia="Arial" w:hAnsi="Arial"/>
          <w:sz w:val="20"/>
          <w:szCs w:val="20"/>
          <w:color w:val="auto"/>
        </w:rPr>
      </w:pPr>
      <w:r>
        <w:rPr>
          <w:rFonts w:ascii="Arial" w:cs="Arial" w:eastAsia="Arial" w:hAnsi="Arial"/>
          <w:sz w:val="20"/>
          <w:szCs w:val="20"/>
          <w:i w:val="1"/>
          <w:iCs w:val="1"/>
          <w:u w:val="single" w:color="auto"/>
          <w:color w:val="auto"/>
        </w:rPr>
        <w:t>Data Retention</w:t>
      </w:r>
      <w:r>
        <w:rPr>
          <w:rFonts w:ascii="Arial" w:cs="Arial" w:eastAsia="Arial" w:hAnsi="Arial"/>
          <w:sz w:val="20"/>
          <w:szCs w:val="20"/>
          <w:i w:val="1"/>
          <w:iCs w:val="1"/>
          <w:color w:val="auto"/>
        </w:rPr>
        <w:t>. The Company will use Personal Data only as long as is necessary to implement, administer, and manage Participant’s participation in the Plan or as required to comply with legal or regulatory obligations, including tax and securities laws. When the Company no longer needs Personal Data related to the Plan, the Company will remove it from its systems. If the Company keeps Personal Data longer, it would be to satisfy legal or regulatory obligations and the Company’s legal basis would be for compliance with relevant laws or regulations.</w:t>
      </w:r>
    </w:p>
    <w:p>
      <w:pPr>
        <w:spacing w:after="0" w:line="211" w:lineRule="exact"/>
        <w:rPr>
          <w:rFonts w:ascii="Arial" w:cs="Arial" w:eastAsia="Arial" w:hAnsi="Arial"/>
          <w:sz w:val="20"/>
          <w:szCs w:val="20"/>
          <w:color w:val="auto"/>
        </w:rPr>
      </w:pPr>
    </w:p>
    <w:p>
      <w:pPr>
        <w:jc w:val="both"/>
        <w:ind w:firstLine="656"/>
        <w:spacing w:after="0" w:line="245" w:lineRule="auto"/>
        <w:tabs>
          <w:tab w:leader="none" w:pos="1295" w:val="left"/>
        </w:tabs>
        <w:numPr>
          <w:ilvl w:val="0"/>
          <w:numId w:val="50"/>
        </w:numPr>
        <w:rPr>
          <w:rFonts w:ascii="Arial" w:cs="Arial" w:eastAsia="Arial" w:hAnsi="Arial"/>
          <w:sz w:val="20"/>
          <w:szCs w:val="20"/>
          <w:color w:val="auto"/>
        </w:rPr>
      </w:pPr>
      <w:r>
        <w:rPr>
          <w:rFonts w:ascii="Arial" w:cs="Arial" w:eastAsia="Arial" w:hAnsi="Arial"/>
          <w:sz w:val="20"/>
          <w:szCs w:val="20"/>
          <w:i w:val="1"/>
          <w:iCs w:val="1"/>
          <w:u w:val="single" w:color="auto"/>
          <w:color w:val="auto"/>
        </w:rPr>
        <w:t>Data Subject Rights</w:t>
      </w:r>
      <w:r>
        <w:rPr>
          <w:rFonts w:ascii="Arial" w:cs="Arial" w:eastAsia="Arial" w:hAnsi="Arial"/>
          <w:sz w:val="20"/>
          <w:szCs w:val="20"/>
          <w:i w:val="1"/>
          <w:iCs w:val="1"/>
          <w:color w:val="auto"/>
        </w:rPr>
        <w:t>. To the extent provided by law, Participant has the right to (i) subject to certain exceptions, request access or copies of Personal Data the Company Processes, (ii) request rectification of incorrect Personal Data, (iii) request deletion of Personal Data, (iv) place restrictions on Processing of Personal Data, (v) lodge complaints with competent authorities in Participant’s country, and/or (vi) request a list with the names and addresses of any potential recipients of Personal Data. To receive clarification regarding Participant’s rights or to exercise Participant’s rights, Participant may contact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Data Privacy Team at [redacted]@micron.com. Participant also has the right to object, on grounds related to a particular situation, to the Processing of Personal Data, as well as opt-out of the Plan herein, in any case without cost, by contacting the Global Stock Team at [redacted]@micron.com or the Data Privacy Team in writing. Participant’s provision of Personal Data is a contractual requirement. Participant understands, however, that the only consequence of refusing to provide Personal Data is that the Company may not be able to administer Restricted Stock Units, or grant other awards or administer or maintain such awards. For more information on the consequences of the refusal to provide Personal Data, Participant may contact the Data Privacy Team in writing. Participant may also have the right to lodge a complaint with the relevant data protection supervisory authority.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BELGIUM</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No country-specific provisions.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CANADA</w:t>
      </w:r>
    </w:p>
    <w:p>
      <w:pPr>
        <w:spacing w:after="0" w:line="2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Form of Settlement</w:t>
      </w:r>
      <w:r>
        <w:rPr>
          <w:rFonts w:ascii="Arial" w:cs="Arial" w:eastAsia="Arial" w:hAnsi="Arial"/>
          <w:sz w:val="20"/>
          <w:szCs w:val="20"/>
          <w:color w:val="auto"/>
        </w:rPr>
        <w:t>. Notwithstanding anything to the contrary in the Restricted Stock Unit Agreement, this Country Addendum, including Section 1 under “All Non-U.S. Countries”, or the Plan, the Restricted Stock Units shall be settled only in Shares (authorized and unissued Shares, treasury Shares or Shares purchased on the open market) (and may not be settled in cash).</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Securities Notification</w:t>
      </w:r>
      <w:r>
        <w:rPr>
          <w:rFonts w:ascii="Arial" w:cs="Arial" w:eastAsia="Arial" w:hAnsi="Arial"/>
          <w:sz w:val="20"/>
          <w:szCs w:val="20"/>
          <w:color w:val="auto"/>
        </w:rPr>
        <w:t>. Participant is permitted to sell Shares acquired under the Plan through the designated broker, if any, provided the resale of such Shares takes place outside of Canada.</w:t>
      </w: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Notwithstanding Section 8(b) of the Restricted Stock Unit Agreement, Participant’s Tax Withholding Obligation will not be satisfied by the Company withholding otherwise deliverable Shares. Rather, Participant’s Tax Withholding Obligation will be satisfied through an alternate withholding method provided in Section 8(c) of the Restricted Stock Unit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This provision supplements Section 5 of the Restricted Stock Unit Agreement:</w:t>
      </w:r>
    </w:p>
    <w:p>
      <w:pPr>
        <w:spacing w:after="0" w:line="24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For purposes of the Restricted Stock Units, Participant’s Continuous Status as a Participant will be considered to end as of the date Participant is no longer actually employed or otherwise rendering services to the Service Recipients (regardless of the reason and whether or not later found to be invalid or in breach of employment or other laws or the terms of Participant’s employment or other service agreement, if any). Unless otherwise extended by the Company, Participant’s right to vest in the Restricted Stock Units, if any, will terminate effective as of such date (the “</w:t>
      </w:r>
      <w:r>
        <w:rPr>
          <w:rFonts w:ascii="Arial" w:cs="Arial" w:eastAsia="Arial" w:hAnsi="Arial"/>
          <w:sz w:val="20"/>
          <w:szCs w:val="20"/>
          <w:u w:val="single" w:color="auto"/>
          <w:color w:val="auto"/>
        </w:rPr>
        <w:t>Termination Date</w:t>
      </w:r>
      <w:r>
        <w:rPr>
          <w:rFonts w:ascii="Arial" w:cs="Arial" w:eastAsia="Arial" w:hAnsi="Arial"/>
          <w:sz w:val="20"/>
          <w:szCs w:val="20"/>
          <w:color w:val="auto"/>
        </w:rPr>
        <w:t>”). The Termination Date will not be extended by any common law notice period. Notwithstanding the foregoing, however, if applicable employment standards legislation explicitly requires continued entitlement to vesting during a statutory notice period, Participant’s right to vest in the Restricted Stock Units under the Restricted Stock Unit Agreement, if any, will be allowed to continue for that minimum notice period but then immediately terminate effective as of the last day of Participant’s minimum statutory notice period.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the event that the date Participant’s Continuous Status as a Participant ends cannot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be reasonably determined under the terms of the Restricted Stock Unit Agreement and/or the Plan, the Company shall have the exclusive discretion to determine when Participant is no longer actively providing services for purposes of the Restricted Stock Units (including whether Participant may still be considered to be providing services while on a leave of absence). Any portion of the award that is not vested on the Termination Date shall be forfeited and be null and void effective on such Termination Date. Unless the applicable employment standards legislation specifically requires, in Participant’s case, Participant will not earn or be entitled to any pro-rated vesting for that portion of time before the date on which Participant’s service relationship is terminated (as determined under this provision), nor will Participant be entitled to any compensation for lost vesting.</w:t>
      </w:r>
    </w:p>
    <w:p>
      <w:pPr>
        <w:spacing w:after="0" w:line="22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English Language Consent - Quebec</w:t>
      </w:r>
      <w:r>
        <w:rPr>
          <w:rFonts w:ascii="Arial" w:cs="Arial" w:eastAsia="Arial" w:hAnsi="Arial"/>
          <w:sz w:val="20"/>
          <w:szCs w:val="20"/>
          <w:color w:val="auto"/>
        </w:rPr>
        <w:t>. The parties acknowledge that it is their express wish that the Restricted Stock Unit Agreement, as well as all documents, notices and legal proceedings entered into, given or instituted pursuant hereto or relating directly or indirectly hereto, be drawn up in English.</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auto"/>
        </w:rPr>
        <w:t>Les parties reconnaissent avoir expressément souhaité que la convention (“Restricted Stock Unit Agreement”), ainsi que tous les documents, avis et procédures judiciaires, éxecutés, donnés ou intentés en vertu de, ou lié, directement ou indirectement à la présente convention, soient rédigés en langue anglaise.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CHINA</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auto"/>
        </w:rPr>
        <w:t>The following terms and conditions apply to Participant if Participant is subject to exchange control restrictions and regulations in China (regardless of Participant’s nationality and residency status), including the requirements imposed by the State Administration of Foreign Exchange (“</w:t>
      </w:r>
      <w:r>
        <w:rPr>
          <w:rFonts w:ascii="Arial" w:cs="Arial" w:eastAsia="Arial" w:hAnsi="Arial"/>
          <w:sz w:val="20"/>
          <w:szCs w:val="20"/>
          <w:i w:val="1"/>
          <w:iCs w:val="1"/>
          <w:u w:val="single" w:color="auto"/>
          <w:color w:val="auto"/>
        </w:rPr>
        <w:t>SAFE</w:t>
      </w:r>
      <w:r>
        <w:rPr>
          <w:rFonts w:ascii="Arial" w:cs="Arial" w:eastAsia="Arial" w:hAnsi="Arial"/>
          <w:sz w:val="20"/>
          <w:szCs w:val="20"/>
          <w:i w:val="1"/>
          <w:iCs w:val="1"/>
          <w:color w:val="auto"/>
        </w:rPr>
        <w:t>”), as determined by the Company in its sole discretion:</w:t>
      </w:r>
    </w:p>
    <w:p>
      <w:pPr>
        <w:spacing w:after="0" w:line="2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Restriction on Restricted Stock Units</w:t>
      </w:r>
      <w:r>
        <w:rPr>
          <w:rFonts w:ascii="Arial" w:cs="Arial" w:eastAsia="Arial" w:hAnsi="Arial"/>
          <w:sz w:val="20"/>
          <w:szCs w:val="20"/>
          <w:color w:val="auto"/>
        </w:rPr>
        <w:t>. Notwithstanding the Plan and any other provision of the Restricted Stock Unit Agreement to the contrary, Participant will not be permitted to acquire any Shares under the Plan unless the necessary approval has been obtained from the SAFE and such approval remains effective, as determined by the Company in its sole discretion.</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auto"/>
        </w:rPr>
        <w:t>Plan Broker</w:t>
      </w:r>
      <w:r>
        <w:rPr>
          <w:rFonts w:ascii="Arial" w:cs="Arial" w:eastAsia="Arial" w:hAnsi="Arial"/>
          <w:sz w:val="20"/>
          <w:szCs w:val="20"/>
          <w:color w:val="auto"/>
        </w:rPr>
        <w:t>. Participant acknowledges that all Shares acquired under the Plan will be deposited into a designated account established with Morgan Stanley (or any successor Plan broker designated by the Company) on Participant’s behalf. Participant further acknowledges that while Participant is actively employed by the Company or any Subsidiary, Participant may sell Shares at any time after they are deposited in such account, but Participant may not transfer Shares out of the brokerage account. If the Company changes its designated broker, Participant acknowledges and agrees that the Company may transfer any Shares issued under the Plan to the new designated broker if necessary for legal or administrative reasons. Participant agrees to sign any documentation necessary to facilitate the transfer.</w:t>
      </w:r>
    </w:p>
    <w:p>
      <w:pPr>
        <w:spacing w:after="0" w:line="24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Sale of Shares</w:t>
      </w:r>
      <w:r>
        <w:rPr>
          <w:rFonts w:ascii="Arial" w:cs="Arial" w:eastAsia="Arial" w:hAnsi="Arial"/>
          <w:sz w:val="20"/>
          <w:szCs w:val="20"/>
          <w:color w:val="auto"/>
        </w:rPr>
        <w:t>. Notwithstanding anything to the contrary in the Plan or the Restricted Stock Unit Agreement, in the event of termination of Participant’s Continuous Status as a Participant for any reason, Participant will be required to sell all Shares issued pursuant to the Plan no later than 90 days after the date of the termination of Participant’s Continuous Status as a Participant (or such other period as may be required by the SAFE or the Company) (the “</w:t>
      </w:r>
      <w:r>
        <w:rPr>
          <w:rFonts w:ascii="Arial" w:cs="Arial" w:eastAsia="Arial" w:hAnsi="Arial"/>
          <w:sz w:val="20"/>
          <w:szCs w:val="20"/>
          <w:u w:val="single" w:color="auto"/>
          <w:color w:val="auto"/>
        </w:rPr>
        <w:t>Mandatory Sale Date</w:t>
      </w:r>
      <w:r>
        <w:rPr>
          <w:rFonts w:ascii="Arial" w:cs="Arial" w:eastAsia="Arial" w:hAnsi="Arial"/>
          <w:sz w:val="20"/>
          <w:szCs w:val="20"/>
          <w:color w:val="auto"/>
        </w:rPr>
        <w:t>”), and repatriate the sales proceeds to China in the manner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Participant understands that any Shares which Participant holds under the Plan that have not been sold by the Mandatory Sale Date will automatically be sold by Morgan Stanley (or any successor Plan broker designated by the Company) at the Company’s direction (on Participant’s behalf pursuant to this authorization without further consent).</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u w:val="single" w:color="auto"/>
          <w:color w:val="auto"/>
        </w:rPr>
        <w:t>Repatriation and Other Exchange Control Requirements</w:t>
      </w:r>
      <w:r>
        <w:rPr>
          <w:rFonts w:ascii="Arial" w:cs="Arial" w:eastAsia="Arial" w:hAnsi="Arial"/>
          <w:sz w:val="20"/>
          <w:szCs w:val="20"/>
          <w:color w:val="auto"/>
        </w:rPr>
        <w:t>. Participant acknowledges and agrees that Participant will be required to immediately repatriate to China the cash proceeds from the sale of Shares which Participant acquires under the Plan through a foreign disbursement account held by Morgan Stanley (or any successor Plan broker designated by the Company) to a special exchange control account established by an Affiliate of the Company in China. Participant further acknowledges and agrees that proceeds from the sale of any Shares or the receipt of any cash dividends may be transferred to such special account prior to being delivered to Participant and that no interest shall be paid with respect to funds held in such account. In this regard, Participant also understands that the proceeds will be delivered to Participant as soon as possible, but there may be delays in distributing the funds to Participant due to exchange control requirements in China. As proceeds will be paid to Participant in either U.S. dollars or Renminbi (at the Company’s discretion), Participant understands that he or she may be required to set up and maintain a U.S. dollar bank account in China so that the proceeds may be deposited into this U.S. dollar account. If the proceeds are paid in Renminbi, Participant acknowledges that the Company is under no obligation to secure any particular exchange conversion rate and that the Company may face delays in converting the proceeds to local currency due to exchange control restrictions. Participant agrees to bear any currency fluctuation risk between the time the Shares are sold and the net proceeds are converted into local currency and distributed to Participant. Participant also agrees to bear any remittance fees charged by banks or other financial institutions to handle the payment of Participant’s proceeds from the sale of Shares. Participant further agrees to comply with any other requirements that may be imposed by the Company in the future in order to facilitate compliance with exchange control requirements in China. The processes and requirements set forth herein shall continue to apply following the termination of Participant’s Continuous Status as a Participant.</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Administration</w:t>
      </w:r>
      <w:r>
        <w:rPr>
          <w:rFonts w:ascii="Arial" w:cs="Arial" w:eastAsia="Arial" w:hAnsi="Arial"/>
          <w:sz w:val="20"/>
          <w:szCs w:val="20"/>
          <w:color w:val="auto"/>
        </w:rPr>
        <w:t>. Participant acknowledges that neither the Company nor any of its Affiliates will be liable for any costs, fees, lost interest, or dividends or other losses Participant may incur or suffer resulting from the enforcement of the terms of this Country Addendum or otherwise from the Company’s operation and enforcement of the Plan and the Restricted Stock Unit Agreement in accordance with Chinese law including, without limitation, any applicable SAFE rules, regulations, and requirements.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FINLAND</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FRANCE</w:t>
      </w:r>
    </w:p>
    <w:p>
      <w:pPr>
        <w:spacing w:after="0" w:line="2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Award Not French-Qualified</w:t>
      </w:r>
      <w:r>
        <w:rPr>
          <w:rFonts w:ascii="Arial" w:cs="Arial" w:eastAsia="Arial" w:hAnsi="Arial"/>
          <w:sz w:val="20"/>
          <w:szCs w:val="20"/>
          <w:color w:val="auto"/>
        </w:rPr>
        <w:t>. Participant understands and acknowledges that the Restricted Stock Units granted under this Restricted Stock Unit Agreement are not intended to qualify for specific tax and social security treatment pursuant to Sections L. 225-197-1 to L. 225-197-6 of the French Commercial Code, as amended.</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English Language Consent</w:t>
      </w:r>
      <w:r>
        <w:rPr>
          <w:rFonts w:ascii="Arial" w:cs="Arial" w:eastAsia="Arial" w:hAnsi="Arial"/>
          <w:sz w:val="20"/>
          <w:szCs w:val="20"/>
          <w:color w:val="auto"/>
        </w:rPr>
        <w:t>. The parties acknowledge and agree that it is their express wish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Restricted Stock Unit Agreement, as well as all documents, notices and legal proceedings entered into, given or instituted pursuant hereto or relating directly or indirectly hereto, be drawn up in English.</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auto"/>
        </w:rPr>
        <w:t>Les parties reconnaissent avoir expressément souhaité que la convention (“Restricted Stock Unit Agreement”), ainsi que tous les documents, avis et procédures judiciaires, éxecutés, donnés ou intentés en vertu de, ou lié, directement ou indirectement à la présente convention, soient rédigés en langue anglaise.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GERMANY</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INDIA</w:t>
      </w:r>
    </w:p>
    <w:p>
      <w:pPr>
        <w:spacing w:after="0" w:line="2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Repatriation Requirement</w:t>
      </w:r>
      <w:r>
        <w:rPr>
          <w:rFonts w:ascii="Arial" w:cs="Arial" w:eastAsia="Arial" w:hAnsi="Arial"/>
          <w:sz w:val="20"/>
          <w:szCs w:val="20"/>
          <w:color w:val="auto"/>
        </w:rPr>
        <w:t>. Participant expressly agrees to repatriate all sale proceeds and dividends attributable to Shares acquired under the Plan in accordance with local foreign exchange rules and regulations. Neither the Company nor any of its Affiliates shall be liable for any fines or penalties resulting from Participant’s failure to comply with applicable laws, rules or regulations.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INDONESIA</w:t>
      </w:r>
    </w:p>
    <w:p>
      <w:pPr>
        <w:spacing w:after="0" w:line="267"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auto"/>
        </w:rPr>
        <w:t>English Language Consent and Notification:</w:t>
      </w:r>
      <w:r>
        <w:rPr>
          <w:rFonts w:ascii="Arial" w:cs="Arial" w:eastAsia="Arial" w:hAnsi="Arial"/>
          <w:sz w:val="20"/>
          <w:szCs w:val="20"/>
          <w:color w:val="auto"/>
        </w:rPr>
        <w:t xml:space="preserve"> A translation of the documents relating to this grant (i.e., the Plan and the Restricted Stock Unit Agreement) into Bahasa Indonesia can be provided to Participant upon request to: Stock Plan Administrator, Micron Technology, Inc. 8000 South Federal Way, Boise, Idaho 83716, USA. By accepting the grant of the Restricted Stock Units, Participant (i) confirms having read and understood the documents relating to this grant (i.e., the Plan and the Restricted Stock Unit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22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Terjemahan dari dokumen-dokumen terkait dengan pemberian ini (yaitu, Program dan Perjanjian) ke Bahasa Indonesia dapat disediakan bagi Peserta berdasarkan permintaan kepada: Stock Plan Administrator, Micron Technology, Inc. 8000 South Federal Way, Boise, Idaho 83716, USA. Dengan menerima pemberian Units, Peserta (i) mengkonfirmasi bahwa dirinya telah membaca dan mengerti dokumen-dokumen yang terkait dengan pemberian ini (yaitu, Program dan Perjanjian) yang disediakan dalam Bahasa Inggris, (ii) menerima syarat-syarat dari dokumen-dokumen tersebut, dan (iii) setuju untuk tidak mengajukan keberatan atas keberlakuan dokumen ini berdasarkan Undang-Undang No. 24 Tahun 2009 tentang Bendera, Bahasa, dan Lambang Negara, Serta Lagu Kebangsaan atau Peraturan Presiden pelaksananya (ketika diterbitkan).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IRELAND</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ISRAEL</w:t>
      </w:r>
    </w:p>
    <w:p>
      <w:pPr>
        <w:spacing w:after="0" w:line="267"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auto"/>
        </w:rPr>
        <w:t>102 Sub-Plan</w:t>
      </w:r>
      <w:r>
        <w:rPr>
          <w:rFonts w:ascii="Arial" w:cs="Arial" w:eastAsia="Arial" w:hAnsi="Arial"/>
          <w:sz w:val="20"/>
          <w:szCs w:val="20"/>
          <w:color w:val="auto"/>
        </w:rPr>
        <w:t>. The Restricted Stock Units are also subject to any sub-plan for Israeli Participants as may be adopted by the Company (the “</w:t>
      </w:r>
      <w:r>
        <w:rPr>
          <w:rFonts w:ascii="Arial" w:cs="Arial" w:eastAsia="Arial" w:hAnsi="Arial"/>
          <w:sz w:val="20"/>
          <w:szCs w:val="20"/>
          <w:u w:val="single" w:color="auto"/>
          <w:color w:val="auto"/>
        </w:rPr>
        <w:t>Israeli Sub-Plan</w:t>
      </w:r>
      <w:r>
        <w:rPr>
          <w:rFonts w:ascii="Arial" w:cs="Arial" w:eastAsia="Arial" w:hAnsi="Arial"/>
          <w:sz w:val="20"/>
          <w:szCs w:val="20"/>
          <w:color w:val="auto"/>
        </w:rPr>
        <w:t>”), which will be considered part of the Plan. The terms used herein shall have the meaning ascribed to them in the Plan or Israeli Sub-Plan. In the event of any conflict, whether explicit or implied, between the provision of the Restricted Stock Unit Agreement and the Israeli Sub-Plan, the provisions set out in the Israeli Sub-Plan shall prevail. By accepting this grant, Participant acknowledges that a copy of the Israeli Sub-Plan (as applicable) has been provided to Participant.</w:t>
      </w:r>
    </w:p>
    <w:p>
      <w:pPr>
        <w:spacing w:after="0" w:line="240" w:lineRule="exact"/>
        <w:rPr>
          <w:sz w:val="20"/>
          <w:szCs w:val="20"/>
          <w:color w:val="auto"/>
        </w:rPr>
      </w:pPr>
    </w:p>
    <w:p>
      <w:pPr>
        <w:jc w:val="both"/>
        <w:spacing w:after="0" w:line="253" w:lineRule="auto"/>
        <w:rPr>
          <w:sz w:val="20"/>
          <w:szCs w:val="20"/>
          <w:color w:val="auto"/>
        </w:rPr>
      </w:pPr>
      <w:r>
        <w:rPr>
          <w:rFonts w:ascii="Arial" w:cs="Arial" w:eastAsia="Arial" w:hAnsi="Arial"/>
          <w:sz w:val="19"/>
          <w:szCs w:val="19"/>
          <w:u w:val="single" w:color="auto"/>
          <w:color w:val="auto"/>
        </w:rPr>
        <w:t>Additional Covenants and Undertakings</w:t>
      </w:r>
      <w:r>
        <w:rPr>
          <w:rFonts w:ascii="Arial" w:cs="Arial" w:eastAsia="Arial" w:hAnsi="Arial"/>
          <w:sz w:val="19"/>
          <w:szCs w:val="19"/>
          <w:color w:val="auto"/>
        </w:rPr>
        <w:t>. In addition to any covenants and undertaking set out in the Restricted Stock Unit Agreement, Participant also (i) declares that Participant is familiar with Section 102 and the regulations and rules promulgated thereunder, including without limitations the provisions of the tax route applicable to the Restricted Stock Units, and agrees to comply with such provisions, as amended from time to time, provided that if such terms are not met, Section 102 may not apply, and (ii) agrees to the terms and conditions of the Trust Agreement signed between the Trustee and the Company and/or its Affiliates, which is available for Participant’s review, during normal working hours, at the Company’s or its Affiliates’ offices, (iii) acknowledges that releasing the Restricted Stock Units and underlying Shares from the control of the Trustee prior to the termination of the Holding Period (as defined below), if applicable, constitutes a violation of the terms of Section 102 and agrees to bear the relevant sanctions, (iv) authorizes the Company and/or its Affiliates to provide the Trustee with any information required for the purpose of administering the Plan including executing its obligations under the Israeli Tax Ordinance [New Version] – 1961 (the “</w:t>
      </w:r>
      <w:r>
        <w:rPr>
          <w:rFonts w:ascii="Arial" w:cs="Arial" w:eastAsia="Arial" w:hAnsi="Arial"/>
          <w:sz w:val="19"/>
          <w:szCs w:val="19"/>
          <w:u w:val="single" w:color="auto"/>
          <w:color w:val="auto"/>
        </w:rPr>
        <w:t>Ordinance</w:t>
      </w:r>
      <w:r>
        <w:rPr>
          <w:rFonts w:ascii="Arial" w:cs="Arial" w:eastAsia="Arial" w:hAnsi="Arial"/>
          <w:sz w:val="19"/>
          <w:szCs w:val="19"/>
          <w:color w:val="auto"/>
        </w:rPr>
        <w:t>”) and the Trust Agreement, including without limitation information about Participant’s Restricted Stock Units, underlying Shares, income tax rates, salary, bank account, contact details, and identification number, (v) declares that Participant is a resident of the State of Israel for tax purposes on the grant date and agrees to notify the Company upon any change in the residence address indicated herein and acknowledges that if Participant’s engagement with the Company or its Affiliates is terminated and Participant is no longer employed by the Company or any Affiliate, the Restricted Stock Units and underlying Shares shall remain subject to Section 102, the Trust Agreement, the Plan, the Israeli Sub-Plan and the Restricted Stock Unit Agreement; (vi) warrants and undertakes that at the time of grant of the Restricted Stock Units herein, or as a consequence of the grant, Participant is not and will not become a holder of a “controlling interest” in the Company, as such term is defined in Section 32(9) of the Ordinance, and (vii) the grant of the Restricted Stock Units is conditioned upon Participant signing all documents requested by the Company and/or the Trustee.</w:t>
      </w:r>
    </w:p>
    <w:p>
      <w:pPr>
        <w:spacing w:after="0" w:line="200" w:lineRule="exact"/>
        <w:rPr>
          <w:sz w:val="20"/>
          <w:szCs w:val="20"/>
          <w:color w:val="auto"/>
        </w:rPr>
      </w:pPr>
    </w:p>
    <w:p>
      <w:pPr>
        <w:spacing w:after="0" w:line="257"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auto"/>
        </w:rPr>
        <w:t>Capital Gain Awards</w:t>
      </w:r>
      <w:r>
        <w:rPr>
          <w:rFonts w:ascii="Arial" w:cs="Arial" w:eastAsia="Arial" w:hAnsi="Arial"/>
          <w:sz w:val="20"/>
          <w:szCs w:val="20"/>
          <w:color w:val="auto"/>
        </w:rPr>
        <w:t>. Upon approval from the Israeli Tax Authority (“ITA”), the Restricted Stock Units are intended to qualify as Capital Gain Awards under Section 102 of the Ordinance, including the provisions of the Income Tax (Tax Abatement on the Grant of Shares to Employees) Regulations 2003, and any tax ruling or agreement obtained by the Company or the Employer with regard to the Plan (the “</w:t>
      </w:r>
      <w:r>
        <w:rPr>
          <w:rFonts w:ascii="Arial" w:cs="Arial" w:eastAsia="Arial" w:hAnsi="Arial"/>
          <w:sz w:val="20"/>
          <w:szCs w:val="20"/>
          <w:u w:val="single" w:color="auto"/>
          <w:color w:val="auto"/>
        </w:rPr>
        <w:t>Capital Gains Route</w:t>
      </w:r>
      <w:r>
        <w:rPr>
          <w:rFonts w:ascii="Arial" w:cs="Arial" w:eastAsia="Arial" w:hAnsi="Arial"/>
          <w:sz w:val="20"/>
          <w:szCs w:val="20"/>
          <w:color w:val="auto"/>
        </w:rPr>
        <w:t>”), subject to Participant consenting to the requirements of such tax route by accepting the terms of the Restricted Stock Unit Agreement, the grant of the Restricted Stock Units, and any other form of agreement provided and subject further to the compliance with all the terms and conditions of such tax route. In respect of Capital Gain Awards, tax is only due upon sale of the underlying Shares or upon release of the underlying Shares from the holding or control of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08"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auto"/>
        </w:rPr>
        <w:t>Trustee Arrangement</w:t>
      </w:r>
      <w:r>
        <w:rPr>
          <w:rFonts w:ascii="Arial" w:cs="Arial" w:eastAsia="Arial" w:hAnsi="Arial"/>
          <w:sz w:val="20"/>
          <w:szCs w:val="20"/>
          <w:color w:val="auto"/>
        </w:rPr>
        <w:t>. The Restricted Stock Units, the underlying Shares issued upon vesting, and/or any additional rights, including without limitation any right to receive any dividends or any Shares received as a result of an adjustment made under the Plan that may be granted in connection with the Restricted Stock Units (the “</w:t>
      </w:r>
      <w:r>
        <w:rPr>
          <w:rFonts w:ascii="Arial" w:cs="Arial" w:eastAsia="Arial" w:hAnsi="Arial"/>
          <w:sz w:val="20"/>
          <w:szCs w:val="20"/>
          <w:u w:val="single" w:color="auto"/>
          <w:color w:val="auto"/>
        </w:rPr>
        <w:t>Additional Rights</w:t>
      </w:r>
      <w:r>
        <w:rPr>
          <w:rFonts w:ascii="Arial" w:cs="Arial" w:eastAsia="Arial" w:hAnsi="Arial"/>
          <w:sz w:val="20"/>
          <w:szCs w:val="20"/>
          <w:color w:val="auto"/>
        </w:rPr>
        <w:t>”), shall be issued to or controlled by the Trustee for Participant’s benefit under the provisions of Section 102 and will be controlled by the Trustee for at least the period stated in Section 102 of the Ordinance and the Income Tax Rules (Tax Benefits in Share Issuance to Employees) 5763-2003 (the “</w:t>
      </w:r>
      <w:r>
        <w:rPr>
          <w:rFonts w:ascii="Arial" w:cs="Arial" w:eastAsia="Arial" w:hAnsi="Arial"/>
          <w:sz w:val="20"/>
          <w:szCs w:val="20"/>
          <w:u w:val="single" w:color="auto"/>
          <w:color w:val="auto"/>
        </w:rPr>
        <w:t>Rules</w:t>
      </w:r>
      <w:r>
        <w:rPr>
          <w:rFonts w:ascii="Arial" w:cs="Arial" w:eastAsia="Arial" w:hAnsi="Arial"/>
          <w:sz w:val="20"/>
          <w:szCs w:val="20"/>
          <w:color w:val="auto"/>
        </w:rPr>
        <w:t>”). In the event the Restricted Stock Units do not meet the requirements of Section 102 of the Ordinance, such Restricted Stock Units and the underlying Shares shall not qualify for the favorable tax treatment under Section 102 of the Ordinance. The Company makes no representations or guarantees that the Restricted Stock Units will qualify for favorable tax treatment and will not be liable or responsible if favorable tax treatment is not available under Section 102 of the Ordinance. Any fees associated with any vesting, sale, transfer, or any act in relation to the Restricted Stock Units shall be borne by Participant and the Trustee and/or the Company and/or any Affiliates shall be entitled to withhold or deduct such fees from payments otherwise due to Participant from the Company or its Affiliate or the Trustee.</w:t>
      </w:r>
    </w:p>
    <w:p>
      <w:pPr>
        <w:spacing w:after="0" w:line="23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Should any provision in the Restricted Stock Unit Agreement disqualify the Restricted Stock Units or the underlying Shares from the beneficial tax treatment pursuant to the provisions of Section 102(b)(2), such provision shall be considered invalid either permanently or until the ITA provides approval of compliance with Section 102.</w:t>
      </w:r>
    </w:p>
    <w:p>
      <w:pPr>
        <w:spacing w:after="0" w:line="23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Restrictions on Sale</w:t>
      </w:r>
      <w:r>
        <w:rPr>
          <w:rFonts w:ascii="Arial" w:cs="Arial" w:eastAsia="Arial" w:hAnsi="Arial"/>
          <w:sz w:val="20"/>
          <w:szCs w:val="20"/>
          <w:color w:val="auto"/>
        </w:rPr>
        <w:t>. In accordance with the requirements of Section 102 of the Ordinance and the Capital Gains Route, Participant agrees not to sell or transfer the underlying Shares or Additional Rights from the Trustee until the end of the required period of time required under Section 102 or any shorter period of time as determined by the ITA (the “</w:t>
      </w:r>
      <w:r>
        <w:rPr>
          <w:rFonts w:ascii="Arial" w:cs="Arial" w:eastAsia="Arial" w:hAnsi="Arial"/>
          <w:sz w:val="20"/>
          <w:szCs w:val="20"/>
          <w:u w:val="single" w:color="auto"/>
          <w:color w:val="auto"/>
        </w:rPr>
        <w:t>Holding Period</w:t>
      </w:r>
      <w:r>
        <w:rPr>
          <w:rFonts w:ascii="Arial" w:cs="Arial" w:eastAsia="Arial" w:hAnsi="Arial"/>
          <w:sz w:val="20"/>
          <w:szCs w:val="20"/>
          <w:color w:val="auto"/>
        </w:rPr>
        <w:t>”). Notwithstanding the above, if any such sale or transfer occurs before the end of the required Holding Period, the sanctions under Section 102 shall apply to and shall be borne by Participant.</w:t>
      </w:r>
    </w:p>
    <w:p>
      <w:pPr>
        <w:spacing w:after="0" w:line="23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Tax Treatment</w:t>
      </w:r>
      <w:r>
        <w:rPr>
          <w:rFonts w:ascii="Arial" w:cs="Arial" w:eastAsia="Arial" w:hAnsi="Arial"/>
          <w:sz w:val="20"/>
          <w:szCs w:val="20"/>
          <w:color w:val="auto"/>
        </w:rPr>
        <w:t>. Upon approval from the ITA, the Restricted Stock Units are intended to be taxed in accordance with the Capital Gains Route of Section 102(b)(2) and 102(b)(3) of the Ordinance, subject to full and complete compliance with the terms of Section 102. Participants with dual residency for tax purposes may be subject to taxation in several jurisdictions.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0"/>
          <w:szCs w:val="20"/>
          <w:color w:val="auto"/>
        </w:rPr>
        <w:t>Any and all taxes imposed in respect of the Restricted Stock Units and/or underlying Shares, including, but not limited to, the grant of the Restricted Stock Units, and/or the vesting, transfer, waiver, or expiration of Restricted Stock Units and/or underlying Shares, and/or the sale of underlying Shares, shall be borne solely by Participant, and in the event of death, by Participant’s heirs. The Company, any Affiliate, the Trustee, or anyone on their behalf shall not be required to bear the aforementioned tax, directly or indirectly, nor shall they be required to gross up such tax in Participant’s salary or remuneration. The applicable tax shall be withheld from the proceeds of sale of underlying Shares or shall be paid to the Company or its Affiliates or the Trustee by Participant. Notwithstanding the foregoing, each of the Company or its Affiliates or the Trustee shall be entitled to withhold tax as it deems necessary to comply with applicable law and to deduct any tax from payments otherwise due to Participant from the Company or its Affiliates or the Trustee. The ramifications of any future modification of applicable law regarding the taxation of the Restricted Stock Units granted to Participant shall apply to Participant accordingly and Participant shall bear the full cost thereof, unless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modified laws expressly provide otherwise.</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issuance of the underlying Shares upon the vesting of the Restricted Stock Units or in respect thereto, shall be subject to the full payments of any tax (if applicable).</w:t>
      </w:r>
    </w:p>
    <w:p>
      <w:pPr>
        <w:spacing w:after="0" w:line="23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Securities Law Notification</w:t>
      </w:r>
      <w:r>
        <w:rPr>
          <w:rFonts w:ascii="Arial" w:cs="Arial" w:eastAsia="Arial" w:hAnsi="Arial"/>
          <w:sz w:val="20"/>
          <w:szCs w:val="20"/>
          <w:color w:val="auto"/>
        </w:rPr>
        <w:t>. If required under applicable law, the Company shall use reasonable efforts to receive a securities exemption from the Israeli Securities Authority to avoid the requirement to file an Israeli securities prospectus in relation to the Plan. If such exemption is obtained, copies of the Plan and the Form S-8 registration statement for the Plan as filed with the U.S. Securities and Exchange Commission will be made available by request from the Global Stock Team.</w:t>
      </w:r>
    </w:p>
    <w:p>
      <w:pPr>
        <w:spacing w:after="0" w:line="237"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Notwithstanding Section 26 of the Agreement, solely for Israeli tax purposes, the Restricted Stock Unit Agreement shall be governed by and construed and enforced in accordance with the laws of the State of Israel.</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ITALY</w:t>
      </w:r>
    </w:p>
    <w:p>
      <w:pPr>
        <w:spacing w:after="0" w:line="2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Plan Document Acknowledgment</w:t>
      </w:r>
      <w:r>
        <w:rPr>
          <w:rFonts w:ascii="Arial" w:cs="Arial" w:eastAsia="Arial" w:hAnsi="Arial"/>
          <w:sz w:val="20"/>
          <w:szCs w:val="20"/>
          <w:color w:val="auto"/>
        </w:rPr>
        <w:t>. In accepting the Restricted Stock Units, Participant acknowledges that he or she has received a copy of the Plan and the Restricted Stock Unit Agreement and has reviewed the Plan and the Restricted Stock Unit Agreement, including this Country Addendum, in their entirety and fully understands and accepts all provisions of the Plan and the Restricted Stock Unit Agreement, including this Country Addendum.</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addition, Participant further acknowledges that he or she has read and specifically and expressly approves without limitation the following clauses in the Restricted Stock Unit Agreement: Section 3 (Vesting Schedule); Section 8 (Tax Obligations); Section 13 (Nature of Grant); Section 21 (Language); Section 26 (Governing Law; Venue; Severability); and the Data Privacy provision under the heading “European Union (‘</w:t>
      </w:r>
      <w:r>
        <w:rPr>
          <w:rFonts w:ascii="Arial" w:cs="Arial" w:eastAsia="Arial" w:hAnsi="Arial"/>
          <w:sz w:val="20"/>
          <w:szCs w:val="20"/>
          <w:u w:val="single" w:color="auto"/>
          <w:color w:val="auto"/>
        </w:rPr>
        <w:t>EU</w:t>
      </w:r>
      <w:r>
        <w:rPr>
          <w:rFonts w:ascii="Arial" w:cs="Arial" w:eastAsia="Arial" w:hAnsi="Arial"/>
          <w:sz w:val="20"/>
          <w:szCs w:val="20"/>
          <w:color w:val="auto"/>
        </w:rPr>
        <w:t>’) / European Economic Area (‘</w:t>
      </w:r>
      <w:r>
        <w:rPr>
          <w:rFonts w:ascii="Arial" w:cs="Arial" w:eastAsia="Arial" w:hAnsi="Arial"/>
          <w:sz w:val="20"/>
          <w:szCs w:val="20"/>
          <w:u w:val="single" w:color="auto"/>
          <w:color w:val="auto"/>
        </w:rPr>
        <w:t>EEA</w:t>
      </w:r>
      <w:r>
        <w:rPr>
          <w:rFonts w:ascii="Arial" w:cs="Arial" w:eastAsia="Arial" w:hAnsi="Arial"/>
          <w:sz w:val="20"/>
          <w:szCs w:val="20"/>
          <w:color w:val="auto"/>
        </w:rPr>
        <w:t>’) and the United Kingdom” in this Country Addendum.</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JAPAN</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MALAYSIA</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NETHERLANDS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PHILIPPINES</w:t>
      </w:r>
    </w:p>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Form of Settlement</w:t>
      </w:r>
      <w:r>
        <w:rPr>
          <w:rFonts w:ascii="Arial" w:cs="Arial" w:eastAsia="Arial" w:hAnsi="Arial"/>
          <w:sz w:val="20"/>
          <w:szCs w:val="20"/>
          <w:color w:val="auto"/>
        </w:rPr>
        <w:t>. Pursuant to Section 1 of this Country Addendum section titled “All Non-U.S. Countries”, Participant’s Restricted Stock Units shall be settled in the form of a cash payment, except as otherwise determined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SINGAPORE</w:t>
      </w:r>
    </w:p>
    <w:p>
      <w:pPr>
        <w:spacing w:after="0" w:line="267"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grant of the Restricted Stock Units under the Plan is being made pursuant to the “Qualifying Person” exemption under section 273(1)(f) of the Securities and Futures Act (Chapter 289, 2006 Ed.) (“</w:t>
      </w:r>
      <w:r>
        <w:rPr>
          <w:rFonts w:ascii="Arial" w:cs="Arial" w:eastAsia="Arial" w:hAnsi="Arial"/>
          <w:sz w:val="20"/>
          <w:szCs w:val="20"/>
          <w:u w:val="single" w:color="auto"/>
          <w:color w:val="auto"/>
        </w:rPr>
        <w:t>SFA</w:t>
      </w:r>
      <w:r>
        <w:rPr>
          <w:rFonts w:ascii="Arial" w:cs="Arial" w:eastAsia="Arial" w:hAnsi="Arial"/>
          <w:sz w:val="20"/>
          <w:szCs w:val="20"/>
          <w:color w:val="auto"/>
        </w:rPr>
        <w:t>”). The Plan has not been and will not be lodged or registered as a prospectus with the Monetary Authority of Singapore and is not regulated by any financial supervisory authority pursuant to any legislation in Singapore. Accordingly, statutory liability under the SFA in relation to the content of prospectuses would not apply. Participant should note that the Restricted Stock Units are subject to section 257 of the SFA and Participant will not be able to make any subsequent sale of the underlying Shares in Singapore, or any offer of such subsequent sale of the Shares subject to the Restricted Stock Units in Singapore, unless such sale or offer is made (i) after six (6) months from the date of grant or (ii) pursuant to the exemptions under Part XIII Division (1) Subdivision (4) (other than section 280) of the SFA.</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SOUTH KOREA</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No country-specific provisions.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TAIWAN</w:t>
      </w:r>
    </w:p>
    <w:p>
      <w:pPr>
        <w:spacing w:after="0" w:line="267"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Restricted Stock Units and the underlying Shares are available only for certain employees of the Company, the Employer, and their Affiliates. It is not a public offer of securities by a Taiwanese company.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UNITED KINGDOM</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Obligations</w:t>
      </w:r>
      <w:r>
        <w:rPr>
          <w:rFonts w:ascii="Arial" w:cs="Arial" w:eastAsia="Arial" w:hAnsi="Arial"/>
          <w:sz w:val="20"/>
          <w:szCs w:val="20"/>
          <w:color w:val="auto"/>
        </w:rPr>
        <w:t>. This provision shall supplement Section 8 of the Restricted Stock Unit Agreement:</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20"/>
          <w:szCs w:val="20"/>
          <w:color w:val="auto"/>
        </w:rPr>
        <w:t>Without limitation to Section 8 of the Restricted Stock Unit Agreement, Participant agrees that he or she is liable for all Tax Obligations and hereby covenants to pay all such Tax Obligations, as and when requested by the Company, the Employer, or by Her Majesty’s Revenue and Customs (“</w:t>
      </w:r>
      <w:r>
        <w:rPr>
          <w:rFonts w:ascii="Arial" w:cs="Arial" w:eastAsia="Arial" w:hAnsi="Arial"/>
          <w:sz w:val="20"/>
          <w:szCs w:val="20"/>
          <w:u w:val="single" w:color="auto"/>
          <w:color w:val="auto"/>
        </w:rPr>
        <w:t>HMRC</w:t>
      </w:r>
      <w:r>
        <w:rPr>
          <w:rFonts w:ascii="Arial" w:cs="Arial" w:eastAsia="Arial" w:hAnsi="Arial"/>
          <w:sz w:val="20"/>
          <w:szCs w:val="20"/>
          <w:color w:val="auto"/>
        </w:rPr>
        <w:t>”) (or any other tax authority or any other relevant authority). Participant also agrees to indemnify and keep indemnified the Company and the Employer against any Tax Obligations that they are required to pay or withhold or have paid or will pay on Participant’s behalf to HMRC (or any other tax authority or any other relevant authority).</w:t>
      </w:r>
    </w:p>
    <w:p>
      <w:pPr>
        <w:spacing w:after="0" w:line="240" w:lineRule="exact"/>
        <w:rPr>
          <w:sz w:val="20"/>
          <w:szCs w:val="20"/>
          <w:color w:val="auto"/>
        </w:rPr>
      </w:pPr>
    </w:p>
    <w:p>
      <w:pPr>
        <w:jc w:val="both"/>
        <w:spacing w:after="0"/>
        <w:rPr>
          <w:sz w:val="20"/>
          <w:szCs w:val="20"/>
          <w:color w:val="auto"/>
        </w:rPr>
      </w:pPr>
      <w:r>
        <w:rPr>
          <w:rFonts w:ascii="Arial" w:cs="Arial" w:eastAsia="Arial" w:hAnsi="Arial"/>
          <w:sz w:val="20"/>
          <w:szCs w:val="20"/>
          <w:color w:val="auto"/>
        </w:rPr>
        <w:t>Notwithstanding the foregoing, if Participant is a director or executive officer of the Company (within the meaning of Section 13(k) of the U.S. Securities Exchange Act of 1934, as amended), Participant understands that Participant may not be able to indemnify the Company for the amount of any Tax Obligations not collected from or paid by Participant, if the indemnification could be considered to be a loan. In this case, the Tax Obligations not collected or paid may constitute a benefit to Participant on which additional income tax and National Insurance Contributions (“</w:t>
      </w:r>
      <w:r>
        <w:rPr>
          <w:rFonts w:ascii="Arial" w:cs="Arial" w:eastAsia="Arial" w:hAnsi="Arial"/>
          <w:sz w:val="20"/>
          <w:szCs w:val="20"/>
          <w:u w:val="single" w:color="auto"/>
          <w:color w:val="auto"/>
        </w:rPr>
        <w:t>NICs</w:t>
      </w:r>
      <w:r>
        <w:rPr>
          <w:rFonts w:ascii="Arial" w:cs="Arial" w:eastAsia="Arial" w:hAnsi="Arial"/>
          <w:sz w:val="20"/>
          <w:szCs w:val="20"/>
          <w:color w:val="auto"/>
        </w:rPr>
        <w:t>”) may be payable. Participant understands that Participant will be responsible for reporting and paying any income tax due on this additional benefit directly to HMRC under the self-assessment regime and for paying to the Company or the Employer (as applicable) the amount of any NICs due on this additional benefit, which may be recovered from Participant at any time thereafter by any of the means referred to in Section 8 of the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439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0139"/>
          </w:cols>
          <w:pgMar w:left="320" w:top="1440" w:right="1440" w:bottom="1440" w:gutter="0" w:footer="0" w:header="0"/>
        </w:sectPr>
      </w:pPr>
    </w:p>
    <w:bookmarkStart w:id="85" w:name="page86"/>
    <w:bookmarkEnd w:id="85"/>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AMENDED AND RESTATED 2007 EQUITY INCENTIVE PLAN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OPTION AGREEMENT</w:t>
      </w:r>
    </w:p>
    <w:p>
      <w:pPr>
        <w:ind w:left="20"/>
        <w:spacing w:after="0"/>
        <w:rPr>
          <w:sz w:val="20"/>
          <w:szCs w:val="20"/>
          <w:color w:val="auto"/>
        </w:rPr>
      </w:pPr>
      <w:r>
        <w:rPr>
          <w:rFonts w:ascii="Arial" w:cs="Arial" w:eastAsia="Arial" w:hAnsi="Arial"/>
          <w:sz w:val="20"/>
          <w:szCs w:val="20"/>
          <w:b w:val="1"/>
          <w:bCs w:val="1"/>
          <w:color w:val="auto"/>
        </w:rPr>
        <w:t>TERMS AND CONDITIONS</w:t>
      </w:r>
    </w:p>
    <w:p>
      <w:pPr>
        <w:spacing w:after="0" w:line="243" w:lineRule="exact"/>
        <w:rPr>
          <w:sz w:val="20"/>
          <w:szCs w:val="20"/>
          <w:color w:val="auto"/>
        </w:rPr>
      </w:pPr>
    </w:p>
    <w:p>
      <w:pPr>
        <w:jc w:val="both"/>
        <w:ind w:left="20" w:hanging="6"/>
        <w:spacing w:after="0" w:line="241" w:lineRule="auto"/>
        <w:tabs>
          <w:tab w:leader="none" w:pos="253"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 The Company hereby grants to the Optionee named in the notice of grant (“Optionee”), under the Micron Technology, Inc. 2007 Equity Incentive Plan (the “Plan”), stock options to purchase from the Company (the “Options”), on the terms and on conditions set forth in this agreement (this “Agreement”), the number of shares indicated in the notice of grant of the Company’s $0.10 par value common stock, at the exercise price per share set forth in the notice of grant. Capitalized terms used herein and not otherwise defined shall have the meanings assigned to such terms in the Plan.</w:t>
      </w:r>
    </w:p>
    <w:p>
      <w:pPr>
        <w:spacing w:after="0" w:line="249" w:lineRule="exact"/>
        <w:rPr>
          <w:rFonts w:ascii="Arial" w:cs="Arial" w:eastAsia="Arial" w:hAnsi="Arial"/>
          <w:sz w:val="20"/>
          <w:szCs w:val="20"/>
          <w:color w:val="auto"/>
        </w:rPr>
      </w:pPr>
    </w:p>
    <w:p>
      <w:pPr>
        <w:jc w:val="both"/>
        <w:ind w:left="20" w:hanging="6"/>
        <w:spacing w:after="0" w:line="256" w:lineRule="auto"/>
        <w:tabs>
          <w:tab w:leader="none" w:pos="253"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General Acknowledgements</w:t>
      </w:r>
      <w:r>
        <w:rPr>
          <w:rFonts w:ascii="Arial" w:cs="Arial" w:eastAsia="Arial" w:hAnsi="Arial"/>
          <w:sz w:val="19"/>
          <w:szCs w:val="19"/>
          <w:color w:val="auto"/>
        </w:rPr>
        <w:t>. By accepting the Options, Optionee hereby acknowledges that he or she has reviewed these Terms and Conditions and the Plan, and is familiar with the provisions thereof. Optionee hereby accepts the Options subject to all the terms and provisions of this Agreement and the Plan. Optionee acknowledges that a Prospectus relating to the Plan was made available for review. Optionee hereby agrees to accept as binding, conclusive and final all decisions or interpretations of the Committee upon any questions arising under the Plan. Optionee acknowledges that the grant and acceptance of the Options do not constitute an employment agreement and do not assure continuous employment with the Company or any of its Affiliates.</w:t>
      </w:r>
    </w:p>
    <w:p>
      <w:pPr>
        <w:spacing w:after="0" w:line="221" w:lineRule="exact"/>
        <w:rPr>
          <w:rFonts w:ascii="Arial" w:cs="Arial" w:eastAsia="Arial" w:hAnsi="Arial"/>
          <w:sz w:val="19"/>
          <w:szCs w:val="19"/>
          <w:color w:val="auto"/>
        </w:rPr>
      </w:pPr>
    </w:p>
    <w:p>
      <w:pPr>
        <w:jc w:val="both"/>
        <w:ind w:left="20" w:hanging="6"/>
        <w:spacing w:after="0" w:line="253" w:lineRule="auto"/>
        <w:tabs>
          <w:tab w:leader="none" w:pos="24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Vesting of Options</w:t>
      </w:r>
      <w:r>
        <w:rPr>
          <w:rFonts w:ascii="Arial" w:cs="Arial" w:eastAsia="Arial" w:hAnsi="Arial"/>
          <w:sz w:val="19"/>
          <w:szCs w:val="19"/>
          <w:color w:val="auto"/>
        </w:rPr>
        <w:t>. The Option shall vest (become exercisable) in accordance with the schedule shown in the notice of grant. Notwithstanding the foregoing vesting schedule, all Options shall become fully vested and exercisable (i) upon termination of Optionee’s Continuous Status as a Participant by reason of his or her death or Disability, (ii) upon a Change in Control, unless the Options are assumed by the surviving entity or otherwise equitably converted or substituted in connection with the Change in Control; or (iii) if the Options are assumed by the surviving entity or otherwise equitably converted or substituted in connection with a Change in Control, upon the termination of Optionee’s employment by the Company without Cause [or Optionee’s resignation for “Good Reason” (as defined herein)] within one year after the effective date of the Change in Control. [For purposes of this Agreement, “Good Reason” shall mean any of the following, without Optionee’s consent: (i) a material diminution in Optionee’s Base Salary (other than an across-the-board reduction in base salary that affects all peer employees); (ii) a material diminution in Optionee’s authority, duties, or responsibilities; or (iii) the relocation of Optionee’s principal office to a location that is more than twenty-five (25) miles from the location of Optionee’s principal office on the effective date of the Change in Control; provided, however, that Good Reason shall not include (A) any relocation of Optionee’s principal office which is proposed or initiated by Optionee; or (B) any relocation that results in Optionee’s principal place office being closer to Optionee’s then-current principal residence. A termination by Optionee shall not constitute termination for Good Reason unless Optionee shall first have delivered to the Company written notice setting forth with specificity the occurrence deemed to give rise to a right to terminate for Good Reason (which notice must be given no later than ninety (90) days after the initial occurrence of such event) (the “Good Reason Notice”), and the Company has not taken action to correct, rescind or otherwise substantially reverse the occurrence supporting termination for Good Reason as identified by Optionee within thirty (30) days following its receipt of such Good Reason Notice. Optionee’s date of termination for Good Reason must occur within a period of three hundred and sixty five (365) days after the initial occurrence of an event of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00" w:lineRule="exact"/>
        <w:rPr>
          <w:sz w:val="20"/>
          <w:szCs w:val="20"/>
          <w:color w:val="auto"/>
        </w:rPr>
      </w:pPr>
    </w:p>
    <w:p>
      <w:pPr>
        <w:spacing w:after="0" w:line="251" w:lineRule="exact"/>
        <w:rPr>
          <w:sz w:val="20"/>
          <w:szCs w:val="20"/>
          <w:color w:val="auto"/>
        </w:rPr>
      </w:pPr>
    </w:p>
    <w:p>
      <w:pPr>
        <w:ind w:left="226" w:hanging="226"/>
        <w:spacing w:after="0"/>
        <w:tabs>
          <w:tab w:leader="none" w:pos="226"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Term of Options and Limitations on Right to Exercise</w:t>
      </w:r>
      <w:r>
        <w:rPr>
          <w:rFonts w:ascii="Arial" w:cs="Arial" w:eastAsia="Arial" w:hAnsi="Arial"/>
          <w:sz w:val="20"/>
          <w:szCs w:val="20"/>
          <w:color w:val="auto"/>
        </w:rPr>
        <w:t>. The term of the Options will be for a period of eight years, expiring at</w:t>
      </w:r>
    </w:p>
    <w:p>
      <w:pPr>
        <w:ind w:left="6" w:right="20"/>
        <w:spacing w:after="0" w:line="246" w:lineRule="auto"/>
        <w:rPr>
          <w:rFonts w:ascii="Arial" w:cs="Arial" w:eastAsia="Arial" w:hAnsi="Arial"/>
          <w:sz w:val="20"/>
          <w:szCs w:val="20"/>
          <w:color w:val="auto"/>
        </w:rPr>
      </w:pPr>
      <w:r>
        <w:rPr>
          <w:rFonts w:ascii="Arial" w:cs="Arial" w:eastAsia="Arial" w:hAnsi="Arial"/>
          <w:sz w:val="20"/>
          <w:szCs w:val="20"/>
          <w:color w:val="auto"/>
        </w:rPr>
        <w:t>5:00 p.m., Mountain Time, on the eighth anniversary of the Grant Date (the “Expiration Date”). To the extent not previously exercised, the Options will lapse prior to the Expiration Date upon the earliest to occur of the following circumstances:</w:t>
      </w:r>
    </w:p>
    <w:p>
      <w:pPr>
        <w:spacing w:after="0" w:line="230" w:lineRule="exact"/>
        <w:rPr>
          <w:rFonts w:ascii="Arial" w:cs="Arial" w:eastAsia="Arial" w:hAnsi="Arial"/>
          <w:sz w:val="20"/>
          <w:szCs w:val="20"/>
          <w:color w:val="auto"/>
        </w:rPr>
      </w:pPr>
    </w:p>
    <w:p>
      <w:pPr>
        <w:ind w:left="646" w:hanging="4"/>
        <w:spacing w:after="0" w:line="246" w:lineRule="auto"/>
        <w:tabs>
          <w:tab w:leader="none" w:pos="942"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Thirty days after the termination of Optionee’s Continuous Status as a Participant for any reason other than by reason of Optionee’s death or Disability.</w:t>
      </w:r>
    </w:p>
    <w:p>
      <w:pPr>
        <w:ind w:left="946" w:hanging="304"/>
        <w:spacing w:after="0"/>
        <w:tabs>
          <w:tab w:leader="none" w:pos="946" w:val="left"/>
        </w:tabs>
        <w:numPr>
          <w:ilvl w:val="1"/>
          <w:numId w:val="52"/>
        </w:numPr>
        <w:rPr>
          <w:rFonts w:ascii="Arial" w:cs="Arial" w:eastAsia="Arial" w:hAnsi="Arial"/>
          <w:sz w:val="20"/>
          <w:szCs w:val="20"/>
          <w:color w:val="auto"/>
        </w:rPr>
      </w:pPr>
      <w:r>
        <w:rPr>
          <w:rFonts w:ascii="Arial" w:cs="Arial" w:eastAsia="Arial" w:hAnsi="Arial"/>
          <w:sz w:val="20"/>
          <w:szCs w:val="20"/>
          <w:color w:val="auto"/>
        </w:rPr>
        <w:t>Twelve months after termination of Optionee’s Continuous Status as Participant by reason of Disability.</w:t>
      </w:r>
    </w:p>
    <w:p>
      <w:pPr>
        <w:ind w:left="946" w:hanging="304"/>
        <w:spacing w:after="0"/>
        <w:tabs>
          <w:tab w:leader="none" w:pos="946" w:val="left"/>
        </w:tabs>
        <w:numPr>
          <w:ilvl w:val="1"/>
          <w:numId w:val="52"/>
        </w:numPr>
        <w:rPr>
          <w:rFonts w:ascii="Arial" w:cs="Arial" w:eastAsia="Arial" w:hAnsi="Arial"/>
          <w:sz w:val="20"/>
          <w:szCs w:val="20"/>
          <w:color w:val="auto"/>
        </w:rPr>
      </w:pPr>
      <w:r>
        <w:rPr>
          <w:rFonts w:ascii="Arial" w:cs="Arial" w:eastAsia="Arial" w:hAnsi="Arial"/>
          <w:sz w:val="20"/>
          <w:szCs w:val="20"/>
          <w:color w:val="auto"/>
        </w:rPr>
        <w:t>Twelve months after the date of Optionee’s death, if Optionee dies while employed. Upon Optionee’s death, the</w:t>
      </w:r>
    </w:p>
    <w:p>
      <w:pPr>
        <w:ind w:left="646"/>
        <w:spacing w:after="0"/>
        <w:rPr>
          <w:sz w:val="20"/>
          <w:szCs w:val="20"/>
          <w:color w:val="auto"/>
        </w:rPr>
      </w:pPr>
      <w:r>
        <w:rPr>
          <w:rFonts w:ascii="Arial" w:cs="Arial" w:eastAsia="Arial" w:hAnsi="Arial"/>
          <w:sz w:val="20"/>
          <w:szCs w:val="20"/>
          <w:color w:val="auto"/>
        </w:rPr>
        <w:t>Options may be exercised by Optionee’s beneficiary designated pursuant to the Plan.</w:t>
      </w:r>
    </w:p>
    <w:p>
      <w:pPr>
        <w:jc w:val="both"/>
        <w:ind w:left="6" w:firstLine="648"/>
        <w:spacing w:after="0" w:line="241" w:lineRule="auto"/>
        <w:rPr>
          <w:sz w:val="20"/>
          <w:szCs w:val="20"/>
          <w:color w:val="auto"/>
        </w:rPr>
      </w:pPr>
      <w:r>
        <w:rPr>
          <w:rFonts w:ascii="Arial" w:cs="Arial" w:eastAsia="Arial" w:hAnsi="Arial"/>
          <w:sz w:val="20"/>
          <w:szCs w:val="20"/>
          <w:color w:val="auto"/>
        </w:rPr>
        <w:t>The Committee may, prior to the lapse of the Options under the circumstances described in paragraphs (a), (b) or (c) above, extend the time to exercise the Options as determined by the Committee in writing, but in no event beyond the Expiration Date. If Optionee or his or her beneficiary exercises an Option after termination of service, the Options may be exercised only with respect to the Shares that were otherwise vested on Optionee’s termination of service.</w:t>
      </w:r>
    </w:p>
    <w:p>
      <w:pPr>
        <w:spacing w:after="0" w:line="237" w:lineRule="exact"/>
        <w:rPr>
          <w:sz w:val="20"/>
          <w:szCs w:val="20"/>
          <w:color w:val="auto"/>
        </w:rPr>
      </w:pPr>
    </w:p>
    <w:p>
      <w:pPr>
        <w:jc w:val="both"/>
        <w:ind w:left="6" w:hanging="6"/>
        <w:spacing w:after="0"/>
        <w:tabs>
          <w:tab w:leader="none" w:pos="252"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 The Options shall be exercised by (a) written notice directed to the Global Stock Department of the Company or its designee at the address and in the form specified by the Company from time to time and (b) payment to the Company in full for the Shares subject to such exercise (unless the exercise is a broker-assisted cashless exercise, as described below). If the person exercising an Option is not Optionee, such person shall also deliver with the notice of exercise appropriate proof of his or her right to exercise the Option. Payment for such Shares may be, in (a) cash, (b) Shares previously acquired by the purchaser, (c) withholding of Shares from the Option, or (d) any combination thereof, for the number of Shares specified in such written notice. The value of surrendered or withheld Shares for this purpose shall be the Fair Market Value as of the last trading day immediately prior to the exercise date. To the extent permitted under Regulation T of the Federal Reserve Board, and subject to applicable securities laws and any limitations as may be applied from time to time by the Committee (which need not be uniform), the Options may be exercised through a broker in a so-called “cashless exercise” whereby the broker sells the Option Shares on behalf of Optionee and delivers cash sales proceeds to the Company in payment of the exercise price. In such case, the date of exercise shall be deemed to be the date on which notice of exercise is received by the Company and the exercise price shall be delivered to the Company by the settlement date.</w:t>
      </w:r>
    </w:p>
    <w:p>
      <w:pPr>
        <w:spacing w:after="0" w:line="250" w:lineRule="exact"/>
        <w:rPr>
          <w:rFonts w:ascii="Arial" w:cs="Arial" w:eastAsia="Arial" w:hAnsi="Arial"/>
          <w:sz w:val="20"/>
          <w:szCs w:val="20"/>
          <w:color w:val="auto"/>
        </w:rPr>
      </w:pPr>
    </w:p>
    <w:p>
      <w:pPr>
        <w:jc w:val="both"/>
        <w:ind w:left="6" w:hanging="6"/>
        <w:spacing w:after="0"/>
        <w:tabs>
          <w:tab w:leader="none" w:pos="225"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Beneficiary Designation</w:t>
      </w:r>
      <w:r>
        <w:rPr>
          <w:rFonts w:ascii="Arial" w:cs="Arial" w:eastAsia="Arial" w:hAnsi="Arial"/>
          <w:sz w:val="20"/>
          <w:szCs w:val="20"/>
          <w:color w:val="auto"/>
        </w:rPr>
        <w:t>. Optionee may, in the manner determined by the Committee, designate a beneficiary to exercise the rights of Optionee hereunder and to receive any distribution with respect to the Options upon Optionee’s death. A beneficiary, legal guardian, legal representative, or other person claiming any rights hereunder is subject to all terms and conditions of this Agreement and the Plan, and to any additional restrictions deemed necessary or appropriate by the Committee. If no beneficiary has been designated or survives Optionee, the Options may be exercised by the legal representative of Optionee’s estate, and payment shall be made to Optionee’s estate. Subject to the foregoing, a beneficiary designation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26"/>
          </w:cols>
          <w:pgMar w:left="334" w:top="1440" w:right="339" w:bottom="1440" w:gutter="0" w:footer="0" w:header="0"/>
        </w:sectPr>
      </w:pPr>
    </w:p>
    <w:bookmarkStart w:id="87" w:name="page88"/>
    <w:bookmarkEnd w:id="87"/>
    <w:p>
      <w:pPr>
        <w:spacing w:after="0" w:line="208" w:lineRule="exact"/>
        <w:rPr>
          <w:sz w:val="20"/>
          <w:szCs w:val="20"/>
          <w:color w:val="auto"/>
        </w:rPr>
      </w:pPr>
    </w:p>
    <w:p>
      <w:pPr>
        <w:ind w:left="6"/>
        <w:spacing w:after="0"/>
        <w:rPr>
          <w:sz w:val="20"/>
          <w:szCs w:val="20"/>
          <w:color w:val="auto"/>
        </w:rPr>
      </w:pPr>
      <w:r>
        <w:rPr>
          <w:rFonts w:ascii="Arial" w:cs="Arial" w:eastAsia="Arial" w:hAnsi="Arial"/>
          <w:sz w:val="20"/>
          <w:szCs w:val="20"/>
          <w:color w:val="auto"/>
        </w:rPr>
        <w:t>changed or revoked by Optionee at any time.</w:t>
      </w:r>
    </w:p>
    <w:p>
      <w:pPr>
        <w:spacing w:after="0" w:line="243" w:lineRule="exact"/>
        <w:rPr>
          <w:sz w:val="20"/>
          <w:szCs w:val="20"/>
          <w:color w:val="auto"/>
        </w:rPr>
      </w:pPr>
    </w:p>
    <w:p>
      <w:pPr>
        <w:jc w:val="both"/>
        <w:ind w:left="6" w:hanging="6"/>
        <w:spacing w:after="0"/>
        <w:tabs>
          <w:tab w:leader="none" w:pos="225"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or any employer Affiliate has the authority and the right to deduct or withhold, or require Optionee to remit to the employer, an amount sufficient to satisfy federal, state, and local taxes (including Optionee’s FICA obligation) required by law to be withheld with respect to any taxable event arising as a result of the exercise of the Options. The withholding requirement may be satisfied, in whole or in part, at the election of the Company, by withholding from the Options Shares having a Fair Market Value on the date of withholding equal to the minimum amount (and not any greater amount) required to be withheld for tax purposes, all in accordance with such procedures as the Company establishes.</w:t>
      </w:r>
    </w:p>
    <w:p>
      <w:pPr>
        <w:spacing w:after="0" w:line="253" w:lineRule="exact"/>
        <w:rPr>
          <w:rFonts w:ascii="Arial" w:cs="Arial" w:eastAsia="Arial" w:hAnsi="Arial"/>
          <w:sz w:val="20"/>
          <w:szCs w:val="20"/>
          <w:color w:val="auto"/>
        </w:rPr>
      </w:pPr>
    </w:p>
    <w:p>
      <w:pPr>
        <w:jc w:val="both"/>
        <w:ind w:left="6" w:hanging="6"/>
        <w:spacing w:after="0"/>
        <w:tabs>
          <w:tab w:leader="none" w:pos="239"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The Options do not confer to Optionee or Optionee’s beneficiary designated pursuant to Section 6 any rights of a stockholder of the Company unless and until Shares are in fact issued to such person in connection with the exercise of the Options. Nothing in this Agreement shall interfere with or limit in any way the right of the Company or any Affiliate to terminate Optionee’s service at any time, nor confer upon Optionee any right to continue in the service of the Company or any Affiliate. Optionee waives all and any rights to any compensation or damages for the termination of Optionee’s office or employment with the Company or an Affiliate for any reason (including unlawful termination of employment) insofar as those rights arise from Optionee ceasing to have rights in relation to the Options as a result of that termination or from the loss or diminution in value of such rights. The grant of the Options does not give Optionee any right to participate in any future grants of share incentive awards.</w:t>
      </w:r>
    </w:p>
    <w:p>
      <w:pPr>
        <w:spacing w:after="0" w:line="238" w:lineRule="exact"/>
        <w:rPr>
          <w:rFonts w:ascii="Arial" w:cs="Arial" w:eastAsia="Arial" w:hAnsi="Arial"/>
          <w:sz w:val="20"/>
          <w:szCs w:val="20"/>
          <w:color w:val="auto"/>
        </w:rPr>
      </w:pPr>
    </w:p>
    <w:p>
      <w:pPr>
        <w:ind w:left="6" w:hanging="6"/>
        <w:spacing w:after="0" w:line="246" w:lineRule="auto"/>
        <w:tabs>
          <w:tab w:leader="none" w:pos="225"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Stock Reserve</w:t>
      </w:r>
      <w:r>
        <w:rPr>
          <w:rFonts w:ascii="Arial" w:cs="Arial" w:eastAsia="Arial" w:hAnsi="Arial"/>
          <w:sz w:val="20"/>
          <w:szCs w:val="20"/>
          <w:color w:val="auto"/>
        </w:rPr>
        <w:t>. The Company shall at all times during the term of this Agreement reserve and keep available such number of Shares as will be sufficient to satisfy the requirements of this Agreement.</w:t>
      </w:r>
    </w:p>
    <w:p>
      <w:pPr>
        <w:spacing w:after="0" w:line="230" w:lineRule="exact"/>
        <w:rPr>
          <w:rFonts w:ascii="Arial" w:cs="Arial" w:eastAsia="Arial" w:hAnsi="Arial"/>
          <w:sz w:val="20"/>
          <w:szCs w:val="20"/>
          <w:color w:val="auto"/>
        </w:rPr>
      </w:pPr>
    </w:p>
    <w:p>
      <w:pPr>
        <w:jc w:val="both"/>
        <w:ind w:left="6" w:hanging="6"/>
        <w:spacing w:after="0"/>
        <w:tabs>
          <w:tab w:leader="none" w:pos="362"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Restrictions on Transfer and Pledge</w:t>
      </w:r>
      <w:r>
        <w:rPr>
          <w:rFonts w:ascii="Arial" w:cs="Arial" w:eastAsia="Arial" w:hAnsi="Arial"/>
          <w:sz w:val="20"/>
          <w:szCs w:val="20"/>
          <w:color w:val="auto"/>
        </w:rPr>
        <w:t>. No right or interest of Optionee in the Options may be pledged, encumbered, or hypothecated to or in favor of any party other than the Company or an Affiliate, or shall be subject to any lien, obligation, or liability of Optionee to any other party other than the Company or an Affiliate. The Options are not assignable or transferable by Optionee other than by will or the laws of descent and distribution or pursuant to a domestic relations order that would satisfy Section 414(p)(1)(A) of the Code if such Section applied to an Option under the Plan; provided, however, that the Committee may (but need not) permit other transfers. The Options may be exercised during the lifetime of Optionee only by Optionee or any permitted transferee.</w:t>
      </w:r>
    </w:p>
    <w:p>
      <w:pPr>
        <w:spacing w:after="0" w:line="253" w:lineRule="exact"/>
        <w:rPr>
          <w:rFonts w:ascii="Arial" w:cs="Arial" w:eastAsia="Arial" w:hAnsi="Arial"/>
          <w:sz w:val="20"/>
          <w:szCs w:val="20"/>
          <w:color w:val="auto"/>
        </w:rPr>
      </w:pPr>
    </w:p>
    <w:p>
      <w:pPr>
        <w:jc w:val="both"/>
        <w:ind w:left="6" w:hanging="6"/>
        <w:spacing w:after="0" w:line="241" w:lineRule="auto"/>
        <w:tabs>
          <w:tab w:leader="none" w:pos="335"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Restrictions on Issuance of Shares</w:t>
      </w:r>
      <w:r>
        <w:rPr>
          <w:rFonts w:ascii="Arial" w:cs="Arial" w:eastAsia="Arial" w:hAnsi="Arial"/>
          <w:sz w:val="20"/>
          <w:szCs w:val="20"/>
          <w:color w:val="auto"/>
        </w:rPr>
        <w:t>. If at any time the Committee shall determine in its discretion, that registration, listing or qualification of the Shares covered by the Options upon any Exchange or under any foreign, federal, or local law or practice, or the consent or approval of any governmental regulatory body, is necessary or desirable as a condition to the exercise of the Options, the Options may not be exercised in whole or in part unless and until such registration, listing, qualification, consent or approval shall have been effected or obtained free of any conditions not acceptable to the Committee.</w:t>
      </w:r>
    </w:p>
    <w:p>
      <w:pPr>
        <w:spacing w:after="0" w:line="235" w:lineRule="exact"/>
        <w:rPr>
          <w:rFonts w:ascii="Arial" w:cs="Arial" w:eastAsia="Arial" w:hAnsi="Arial"/>
          <w:sz w:val="20"/>
          <w:szCs w:val="20"/>
          <w:color w:val="auto"/>
        </w:rPr>
      </w:pPr>
    </w:p>
    <w:p>
      <w:pPr>
        <w:jc w:val="both"/>
        <w:ind w:left="6" w:hanging="6"/>
        <w:spacing w:after="0" w:line="243" w:lineRule="auto"/>
        <w:tabs>
          <w:tab w:leader="none" w:pos="335"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The Committee may amend, modify or terminate the Award and this Agreement without approval of Optionee; provided, however, that such amendment, modification or termination shall not, without Optionee's consent, reduce or diminish the value of this award determined as if it had been fully vested and exercised on the date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26"/>
          </w:cols>
          <w:pgMar w:left="334" w:top="1440" w:right="339" w:bottom="1440" w:gutter="0" w:footer="0" w:header="0"/>
        </w:sectPr>
      </w:pPr>
    </w:p>
    <w:bookmarkStart w:id="88" w:name="page89"/>
    <w:bookmarkEnd w:id="88"/>
    <w:p>
      <w:pPr>
        <w:spacing w:after="0" w:line="208" w:lineRule="exact"/>
        <w:rPr>
          <w:sz w:val="20"/>
          <w:szCs w:val="20"/>
          <w:color w:val="auto"/>
        </w:rPr>
      </w:pPr>
    </w:p>
    <w:p>
      <w:pPr>
        <w:ind w:left="6" w:right="20"/>
        <w:spacing w:after="0" w:line="246" w:lineRule="auto"/>
        <w:rPr>
          <w:sz w:val="20"/>
          <w:szCs w:val="20"/>
          <w:color w:val="auto"/>
        </w:rPr>
      </w:pPr>
      <w:r>
        <w:rPr>
          <w:rFonts w:ascii="Arial" w:cs="Arial" w:eastAsia="Arial" w:hAnsi="Arial"/>
          <w:sz w:val="20"/>
          <w:szCs w:val="20"/>
          <w:color w:val="auto"/>
        </w:rPr>
        <w:t>amendment or termination (with the per-share value being calculated as the excess, if any, of the Fair Market Value over the exercise price of the Options).</w:t>
      </w:r>
    </w:p>
    <w:p>
      <w:pPr>
        <w:spacing w:after="0" w:line="231" w:lineRule="exact"/>
        <w:rPr>
          <w:sz w:val="20"/>
          <w:szCs w:val="20"/>
          <w:color w:val="auto"/>
        </w:rPr>
      </w:pPr>
    </w:p>
    <w:p>
      <w:pPr>
        <w:jc w:val="both"/>
        <w:ind w:left="6" w:hanging="6"/>
        <w:spacing w:after="0" w:line="241" w:lineRule="auto"/>
        <w:tabs>
          <w:tab w:leader="none" w:pos="335"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Plan Controls</w:t>
      </w:r>
      <w:r>
        <w:rPr>
          <w:rFonts w:ascii="Arial" w:cs="Arial" w:eastAsia="Arial" w:hAnsi="Arial"/>
          <w:sz w:val="20"/>
          <w:szCs w:val="20"/>
          <w:color w:val="auto"/>
        </w:rPr>
        <w:t>. The terms and conditions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250" w:lineRule="exact"/>
        <w:rPr>
          <w:rFonts w:ascii="Arial" w:cs="Arial" w:eastAsia="Arial" w:hAnsi="Arial"/>
          <w:sz w:val="20"/>
          <w:szCs w:val="20"/>
          <w:color w:val="auto"/>
        </w:rPr>
      </w:pPr>
    </w:p>
    <w:p>
      <w:pPr>
        <w:ind w:left="6" w:hanging="6"/>
        <w:spacing w:after="0" w:line="246" w:lineRule="auto"/>
        <w:tabs>
          <w:tab w:leader="none" w:pos="349"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This Agreement shall be binding upon any successor of the Company, in accordance with the terms of this Agreement and the Plan.</w:t>
      </w:r>
    </w:p>
    <w:p>
      <w:pPr>
        <w:spacing w:after="0" w:line="230" w:lineRule="exact"/>
        <w:rPr>
          <w:rFonts w:ascii="Arial" w:cs="Arial" w:eastAsia="Arial" w:hAnsi="Arial"/>
          <w:sz w:val="20"/>
          <w:szCs w:val="20"/>
          <w:color w:val="auto"/>
        </w:rPr>
      </w:pPr>
    </w:p>
    <w:p>
      <w:pPr>
        <w:jc w:val="both"/>
        <w:ind w:left="6" w:hanging="6"/>
        <w:spacing w:after="0" w:line="243" w:lineRule="auto"/>
        <w:tabs>
          <w:tab w:leader="none" w:pos="349"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one or more of the provisions contained in this Agreement is invalid, illegal or unenforceable, the other provisions of this Agreement will be construed and enforced as if the invalid, illegal or unenforceable provision had never been included.</w:t>
      </w:r>
    </w:p>
    <w:p>
      <w:pPr>
        <w:spacing w:after="0" w:line="232" w:lineRule="exact"/>
        <w:rPr>
          <w:rFonts w:ascii="Arial" w:cs="Arial" w:eastAsia="Arial" w:hAnsi="Arial"/>
          <w:sz w:val="20"/>
          <w:szCs w:val="20"/>
          <w:color w:val="auto"/>
        </w:rPr>
      </w:pPr>
    </w:p>
    <w:p>
      <w:pPr>
        <w:jc w:val="both"/>
        <w:ind w:left="6" w:hanging="6"/>
        <w:spacing w:after="0" w:line="257" w:lineRule="auto"/>
        <w:tabs>
          <w:tab w:leader="none" w:pos="34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Notices and communications under this Agreement must be in writing and either personally delivered or sent by registered or certified United States mail, return receipt requested, postage prepaid. Notices to the Company must be addressed to: Micron Technology, Inc., 8000 S. Federal Way, P.O. Box 6, Boise, ID 83716-9632, Attn: Corporate Secretary, or any other address designated by the Company in a written notice to Optionee. Notices to Optionee will be directed to the address of Optionee then currently on file with the Company, or at any other address given by Optionee in a written notice to the Company.</w:t>
      </w:r>
    </w:p>
    <w:p>
      <w:pPr>
        <w:spacing w:after="0" w:line="234" w:lineRule="exact"/>
        <w:rPr>
          <w:rFonts w:ascii="Arial" w:cs="Arial" w:eastAsia="Arial" w:hAnsi="Arial"/>
          <w:sz w:val="19"/>
          <w:szCs w:val="19"/>
          <w:color w:val="auto"/>
        </w:rPr>
      </w:pPr>
    </w:p>
    <w:p>
      <w:pPr>
        <w:jc w:val="both"/>
        <w:ind w:left="6" w:hanging="6"/>
        <w:spacing w:after="0" w:line="241" w:lineRule="auto"/>
        <w:tabs>
          <w:tab w:leader="none" w:pos="376"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Data Processing</w:t>
      </w:r>
      <w:r>
        <w:rPr>
          <w:rFonts w:ascii="Arial" w:cs="Arial" w:eastAsia="Arial" w:hAnsi="Arial"/>
          <w:sz w:val="20"/>
          <w:szCs w:val="20"/>
          <w:color w:val="auto"/>
        </w:rPr>
        <w:t>. By accepting the Shares, Optionee gives explicit consent to the Company and other persons who administer the Plan to process and use all personal data relevant to Plan administration, including without limitation his or her name, address, Social Security Number or other applicable tax identification number, and bank and brokerage account details, and to the transfer of any such personal data outside the country in which Optionee works or is employed, including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26"/>
          </w:cols>
          <w:pgMar w:left="334" w:top="1440" w:right="339" w:bottom="1440" w:gutter="0" w:footer="0" w:header="0"/>
        </w:sectPr>
      </w:pPr>
    </w:p>
    <w:bookmarkStart w:id="89" w:name="page90"/>
    <w:bookmarkEnd w:id="89"/>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AMENDED AND RESTATED 2007 EQUITY INCENTIVE PLAN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RESTRICTED STOCK AGREEMENT</w:t>
      </w:r>
    </w:p>
    <w:p>
      <w:pPr>
        <w:ind w:left="20"/>
        <w:spacing w:after="0"/>
        <w:rPr>
          <w:sz w:val="20"/>
          <w:szCs w:val="20"/>
          <w:color w:val="auto"/>
        </w:rPr>
      </w:pPr>
      <w:r>
        <w:rPr>
          <w:rFonts w:ascii="Arial" w:cs="Arial" w:eastAsia="Arial" w:hAnsi="Arial"/>
          <w:sz w:val="20"/>
          <w:szCs w:val="20"/>
          <w:b w:val="1"/>
          <w:bCs w:val="1"/>
          <w:color w:val="auto"/>
        </w:rPr>
        <w:t>TERMS AND CONDITIONS</w:t>
      </w:r>
    </w:p>
    <w:p>
      <w:pPr>
        <w:spacing w:after="0" w:line="243" w:lineRule="exact"/>
        <w:rPr>
          <w:sz w:val="20"/>
          <w:szCs w:val="20"/>
          <w:color w:val="auto"/>
        </w:rPr>
      </w:pPr>
    </w:p>
    <w:p>
      <w:pPr>
        <w:jc w:val="both"/>
        <w:ind w:left="20" w:hanging="6"/>
        <w:spacing w:after="0" w:line="241" w:lineRule="auto"/>
        <w:tabs>
          <w:tab w:leader="none" w:pos="267"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Grant of Shares</w:t>
      </w:r>
      <w:r>
        <w:rPr>
          <w:rFonts w:ascii="Arial" w:cs="Arial" w:eastAsia="Arial" w:hAnsi="Arial"/>
          <w:sz w:val="20"/>
          <w:szCs w:val="20"/>
          <w:color w:val="auto"/>
        </w:rPr>
        <w:t>. The Company hereby grants to the Grantee named in the notice of award (“Grantee”), subject to the restrictions and the other terms and conditions set forth in the Micron Technology, Inc. 2007 Equity Incentive Plan (the “Plan”) and in this award agreement (this “Agreement”), the number of shares indicated in the notice of award of the Company’s $0.10 par value common stock (the “Shares”). Capitalized terms used herein and not otherwise defined shall have the meanings assigned to such terms in the Plan.</w:t>
      </w:r>
    </w:p>
    <w:p>
      <w:pPr>
        <w:spacing w:after="0" w:line="249" w:lineRule="exact"/>
        <w:rPr>
          <w:rFonts w:ascii="Arial" w:cs="Arial" w:eastAsia="Arial" w:hAnsi="Arial"/>
          <w:sz w:val="20"/>
          <w:szCs w:val="20"/>
          <w:color w:val="auto"/>
        </w:rPr>
      </w:pPr>
    </w:p>
    <w:p>
      <w:pPr>
        <w:jc w:val="both"/>
        <w:ind w:left="20" w:hanging="6"/>
        <w:spacing w:after="0" w:line="256" w:lineRule="auto"/>
        <w:tabs>
          <w:tab w:leader="none" w:pos="267"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General Acknowledgements</w:t>
      </w:r>
      <w:r>
        <w:rPr>
          <w:rFonts w:ascii="Arial" w:cs="Arial" w:eastAsia="Arial" w:hAnsi="Arial"/>
          <w:sz w:val="19"/>
          <w:szCs w:val="19"/>
          <w:color w:val="auto"/>
        </w:rPr>
        <w:t>. By accepting the Shares, Grantee hereby acknowledges that he or she has reviewed these Terms and Conditions and the Plan, and is familiar with the provisions thereof. Grantee hereby accepts the Shares subject to all the terms and provisions of this Agreement and the Plan. Grantee acknowledges that a Prospectus relating to the Plan was made available for review. Grantee hereby agrees to accept as binding, conclusive and final all decisions or interpretations of the Committee upon any questions arising under the Plan. Grantee acknowledges that the grant and acceptance of the Shares do not constitute an employment agreement and do not assure continuous employment with the Company or any of its Affiliates.</w:t>
      </w:r>
    </w:p>
    <w:p>
      <w:pPr>
        <w:spacing w:after="0" w:line="221" w:lineRule="exact"/>
        <w:rPr>
          <w:rFonts w:ascii="Arial" w:cs="Arial" w:eastAsia="Arial" w:hAnsi="Arial"/>
          <w:sz w:val="19"/>
          <w:szCs w:val="19"/>
          <w:color w:val="auto"/>
        </w:rPr>
      </w:pPr>
    </w:p>
    <w:p>
      <w:pPr>
        <w:jc w:val="both"/>
        <w:ind w:left="20" w:hanging="6"/>
        <w:spacing w:after="0"/>
        <w:tabs>
          <w:tab w:leader="none" w:pos="253"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Restrictions</w:t>
      </w:r>
      <w:r>
        <w:rPr>
          <w:rFonts w:ascii="Arial" w:cs="Arial" w:eastAsia="Arial" w:hAnsi="Arial"/>
          <w:sz w:val="20"/>
          <w:szCs w:val="20"/>
          <w:color w:val="auto"/>
        </w:rPr>
        <w:t>. The Shares are subject to each of the following restrictions. “Restricted Shares” mean those Shares that are subject to the restrictions imposed hereunder and such restrictions have not then expired or terminated. Restricted Shares may not be sold, transferred, exchanged, assigned, pledged, hypothecated or otherwise encumbered. If Grantee’s Continuous Status as a Participant terminates for any reason other than as set forth in paragraph (b) or (d) of Section 4 hereof, then Grantee shall forfeit all of Grantee’s right, title and interest in and to the Restricted Shares as of the date of termination of such service or employment, and such Restricted Shares shall revert to the Company without further consideration or any act or action by Grantee. The restrictions imposed under this Section shall apply to all shares of the Company’s common stock or other securities issued in connection with any merger, reorganization, consolidation, recapitalization, stock dividend or other change in corporate structure affecting or with respect to the Shares.</w:t>
      </w:r>
    </w:p>
    <w:p>
      <w:pPr>
        <w:spacing w:after="0" w:line="238" w:lineRule="exact"/>
        <w:rPr>
          <w:rFonts w:ascii="Arial" w:cs="Arial" w:eastAsia="Arial" w:hAnsi="Arial"/>
          <w:sz w:val="20"/>
          <w:szCs w:val="20"/>
          <w:color w:val="auto"/>
        </w:rPr>
      </w:pPr>
    </w:p>
    <w:p>
      <w:pPr>
        <w:ind w:left="20" w:right="20" w:hanging="6"/>
        <w:spacing w:after="0" w:line="246" w:lineRule="auto"/>
        <w:tabs>
          <w:tab w:leader="none" w:pos="24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Expiration and Termination of Restrictions</w:t>
      </w:r>
      <w:r>
        <w:rPr>
          <w:rFonts w:ascii="Arial" w:cs="Arial" w:eastAsia="Arial" w:hAnsi="Arial"/>
          <w:sz w:val="20"/>
          <w:szCs w:val="20"/>
          <w:color w:val="auto"/>
        </w:rPr>
        <w:t>. The restrictions imposed under Section 3 will expire on the earliest to occur of the following (the period prior to such expiration being referred to herein as the “Restricted Period”):</w:t>
      </w:r>
    </w:p>
    <w:p>
      <w:pPr>
        <w:spacing w:after="0" w:line="1" w:lineRule="exact"/>
        <w:rPr>
          <w:rFonts w:ascii="Arial" w:cs="Arial" w:eastAsia="Arial" w:hAnsi="Arial"/>
          <w:sz w:val="20"/>
          <w:szCs w:val="20"/>
          <w:color w:val="auto"/>
        </w:rPr>
      </w:pPr>
    </w:p>
    <w:p>
      <w:pPr>
        <w:ind w:left="1300" w:right="20" w:hanging="644"/>
        <w:spacing w:after="0" w:line="239" w:lineRule="auto"/>
        <w:tabs>
          <w:tab w:leader="none" w:pos="1160" w:val="left"/>
        </w:tabs>
        <w:numPr>
          <w:ilvl w:val="1"/>
          <w:numId w:val="56"/>
        </w:numPr>
        <w:rPr>
          <w:rFonts w:ascii="Arial" w:cs="Arial" w:eastAsia="Arial" w:hAnsi="Arial"/>
          <w:sz w:val="20"/>
          <w:szCs w:val="20"/>
          <w:color w:val="auto"/>
        </w:rPr>
      </w:pPr>
      <w:r>
        <w:rPr>
          <w:rFonts w:ascii="Arial" w:cs="Arial" w:eastAsia="Arial" w:hAnsi="Arial"/>
          <w:sz w:val="20"/>
          <w:szCs w:val="20"/>
          <w:color w:val="auto"/>
        </w:rPr>
        <w:t>on the respective expiration dates specified on the notice of award as to the number of Shares specified thereon; provided Grantee remains in Continuous Status as a Participant on each vesting date specified therein; or</w:t>
      </w:r>
    </w:p>
    <w:p>
      <w:pPr>
        <w:ind w:left="1300" w:hanging="644"/>
        <w:spacing w:after="0" w:line="239" w:lineRule="auto"/>
        <w:tabs>
          <w:tab w:leader="none" w:pos="1196" w:val="left"/>
        </w:tabs>
        <w:numPr>
          <w:ilvl w:val="1"/>
          <w:numId w:val="56"/>
        </w:numPr>
        <w:rPr>
          <w:rFonts w:ascii="Arial" w:cs="Arial" w:eastAsia="Arial" w:hAnsi="Arial"/>
          <w:sz w:val="20"/>
          <w:szCs w:val="20"/>
          <w:color w:val="auto"/>
        </w:rPr>
      </w:pPr>
      <w:r>
        <w:rPr>
          <w:rFonts w:ascii="Arial" w:cs="Arial" w:eastAsia="Arial" w:hAnsi="Arial"/>
          <w:sz w:val="20"/>
          <w:szCs w:val="20"/>
          <w:color w:val="auto"/>
        </w:rPr>
        <w:t>as to all of the Shares, upon termination of Grantee’s Continuous Status as a Participant by reason of death or Disability; or</w:t>
      </w:r>
    </w:p>
    <w:p>
      <w:pPr>
        <w:ind w:left="1300" w:right="20" w:hanging="644"/>
        <w:spacing w:after="0" w:line="246" w:lineRule="auto"/>
        <w:tabs>
          <w:tab w:leader="none" w:pos="1115" w:val="left"/>
        </w:tabs>
        <w:numPr>
          <w:ilvl w:val="1"/>
          <w:numId w:val="56"/>
        </w:numPr>
        <w:rPr>
          <w:rFonts w:ascii="Arial" w:cs="Arial" w:eastAsia="Arial" w:hAnsi="Arial"/>
          <w:sz w:val="20"/>
          <w:szCs w:val="20"/>
          <w:color w:val="auto"/>
        </w:rPr>
      </w:pPr>
      <w:r>
        <w:rPr>
          <w:rFonts w:ascii="Arial" w:cs="Arial" w:eastAsia="Arial" w:hAnsi="Arial"/>
          <w:sz w:val="20"/>
          <w:szCs w:val="20"/>
          <w:color w:val="auto"/>
        </w:rPr>
        <w:t>as to all of the Shares, upon the occurrence of a Change in Control, if the Shares are not assumed by the surviving entity or otherwise equitably converted or substituted in connection with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8" w:lineRule="exact"/>
        <w:rPr>
          <w:sz w:val="20"/>
          <w:szCs w:val="20"/>
          <w:color w:val="auto"/>
        </w:rPr>
      </w:pPr>
    </w:p>
    <w:p>
      <w:pPr>
        <w:jc w:val="both"/>
        <w:ind w:left="1286" w:hanging="644"/>
        <w:spacing w:after="0" w:line="241" w:lineRule="auto"/>
        <w:tabs>
          <w:tab w:leader="none" w:pos="1219" w:val="left"/>
        </w:tabs>
        <w:numPr>
          <w:ilvl w:val="0"/>
          <w:numId w:val="57"/>
        </w:numPr>
        <w:rPr>
          <w:rFonts w:ascii="Arial" w:cs="Arial" w:eastAsia="Arial" w:hAnsi="Arial"/>
          <w:sz w:val="20"/>
          <w:szCs w:val="20"/>
          <w:color w:val="auto"/>
        </w:rPr>
      </w:pPr>
      <w:r>
        <w:rPr>
          <w:rFonts w:ascii="Arial" w:cs="Arial" w:eastAsia="Arial" w:hAnsi="Arial"/>
          <w:sz w:val="20"/>
          <w:szCs w:val="20"/>
          <w:color w:val="auto"/>
        </w:rPr>
        <w:t>as to all of the Shares, if the Shares are assumed by the surviving entity or otherwise equitably converted or substituted in connection with a Change in Control, upon the termination of Grantee’s employment by the Company without Cause [or Grantee’s resignation for “Good Reason” (as defined below)] within one year after the effective date of the Change in Control.</w:t>
      </w:r>
    </w:p>
    <w:p>
      <w:pPr>
        <w:spacing w:after="0" w:line="237" w:lineRule="exact"/>
        <w:rPr>
          <w:sz w:val="20"/>
          <w:szCs w:val="20"/>
          <w:color w:val="auto"/>
        </w:rPr>
      </w:pPr>
    </w:p>
    <w:p>
      <w:pPr>
        <w:jc w:val="both"/>
        <w:ind w:left="6"/>
        <w:spacing w:after="0" w:line="239" w:lineRule="auto"/>
        <w:rPr>
          <w:sz w:val="20"/>
          <w:szCs w:val="20"/>
          <w:color w:val="auto"/>
        </w:rPr>
      </w:pPr>
      <w:r>
        <w:rPr>
          <w:rFonts w:ascii="Arial" w:cs="Arial" w:eastAsia="Arial" w:hAnsi="Arial"/>
          <w:sz w:val="20"/>
          <w:szCs w:val="20"/>
          <w:color w:val="auto"/>
        </w:rPr>
        <w:t>[For purposes of this Agreement, “Good Reason” shall mean any of the following, without Grantee’s consent: (i) a material diminution in Grantee’s Base Salary (other than an across-the-board reduction in base salary that affects all peer employees);</w:t>
      </w:r>
    </w:p>
    <w:p>
      <w:pPr>
        <w:spacing w:after="0" w:line="1" w:lineRule="exact"/>
        <w:rPr>
          <w:sz w:val="20"/>
          <w:szCs w:val="20"/>
          <w:color w:val="auto"/>
        </w:rPr>
      </w:pPr>
    </w:p>
    <w:p>
      <w:pPr>
        <w:jc w:val="both"/>
        <w:ind w:left="6" w:hanging="6"/>
        <w:spacing w:after="0"/>
        <w:tabs>
          <w:tab w:leader="none" w:pos="293"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material diminution in Grantee’s authority, duties, or responsibilities; or (iii) the relocation of Grantee’s principal office to a location that is more than twenty-five (25) miles from the location of Grantee’s principal office on the effective date of the Change in Control; provided, however, that Good Reason shall not include (A) any relocation of Grantee’s principal office which is proposed or initiated by Grantee; or (B) any relocation that results in Grantee’s principal place office being closer to Grantee’s then-current principal residence. A termination by Grantee shall not constitute termination for Good Reason unless Grantee shall first have delivered to the Company written notice setting forth with specificity the occurrence deemed to give rise to a right to terminate for Good Reason (which notice must be given no later than ninety (90) days after the initial occurrence of such event) (the “Good Reason Notice”), and the Company has not taken action to correct, rescind or otherwise substantially reverse the occurrence supporting termination for Good Reason as identified by Grantee within thirty (30) days following its receipt of such Good Reason Notice. Grantee’s date of termination for Good Reason must occur within a period of three hundred and sixty five (365) days after the initial occurrence of an event of Good Reason.]</w:t>
      </w:r>
    </w:p>
    <w:p>
      <w:pPr>
        <w:spacing w:after="0" w:line="251" w:lineRule="exact"/>
        <w:rPr>
          <w:sz w:val="20"/>
          <w:szCs w:val="20"/>
          <w:color w:val="auto"/>
        </w:rPr>
      </w:pPr>
    </w:p>
    <w:p>
      <w:pPr>
        <w:jc w:val="both"/>
        <w:ind w:left="6" w:hanging="6"/>
        <w:spacing w:after="0"/>
        <w:tabs>
          <w:tab w:leader="none" w:pos="252"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 The Shares will be registered in the name of Grantee as of the Grant Date and will be held by the Company during the Restricted Period in certificated or uncertificated form. If a certificate for Restricted Shares is issued during the Restricted Period with respect to such Shares, such certificate shall be registered in the name of Grantee and shall bear a legend in substantially the following form: “This certificate and the shares of stock represented hereby are subject to the terms and conditions (including forfeiture and restrictions against transfer) contained in a Restricted Stock Agreement between the registered owner of the shares represented hereby and Micron Technology, Inc. Release from such terms and conditions shall be made only in accordance with the provisions of such Agreement, copies of which are on file in the offices of Micron Technology, Inc.” Stock certificates for the Shares, without the above legend, shall be delivered to Grantee or Grantee’s designee upon request of Grantee after the expiration of the Restricted Period, but delivery may be postponed for such period as may be required for the Company with reasonable diligence to comply if deemed advisable by the Company, with registration requirements under the Securities Act of 1933, listing requirements under the rules of an Exchange, and requirements under any other law or regulation applicable to the issuance or transfer of the Shares.</w:t>
      </w:r>
    </w:p>
    <w:p>
      <w:pPr>
        <w:spacing w:after="0" w:line="237" w:lineRule="exact"/>
        <w:rPr>
          <w:rFonts w:ascii="Arial" w:cs="Arial" w:eastAsia="Arial" w:hAnsi="Arial"/>
          <w:sz w:val="20"/>
          <w:szCs w:val="20"/>
          <w:color w:val="auto"/>
        </w:rPr>
      </w:pPr>
    </w:p>
    <w:p>
      <w:pPr>
        <w:jc w:val="both"/>
        <w:ind w:left="6" w:hanging="6"/>
        <w:spacing w:after="0"/>
        <w:tabs>
          <w:tab w:leader="none" w:pos="252"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Voting and Dividend Rights</w:t>
      </w:r>
      <w:r>
        <w:rPr>
          <w:rFonts w:ascii="Arial" w:cs="Arial" w:eastAsia="Arial" w:hAnsi="Arial"/>
          <w:sz w:val="20"/>
          <w:szCs w:val="20"/>
          <w:color w:val="auto"/>
        </w:rPr>
        <w:t>. Grantee, as beneficial owner of the Shares, shall have full voting rights with respect to the Shares during and after the Restricted Period. Grantee shall accrue cash and non-cash dividends, if any, paid with respect to the Restricted Shares, but the payment of such dividends shall be deferred and held (without interest) by the Company for the account of Grantee until the expiration of the Restricted Period. During the Restricted Period, such dividends shall be subject to the same vesting restrictions imposed under Section 3 as the Restricted Shares to which they relate. Accrued dividends deferred and held pursuant to the foregoing provision shall be paid by the Company to Grantee promptly upon the expiration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26"/>
          </w:cols>
          <w:pgMar w:left="334" w:top="1440" w:right="339" w:bottom="1440" w:gutter="0" w:footer="0" w:header="0"/>
        </w:sectPr>
      </w:pPr>
    </w:p>
    <w:bookmarkStart w:id="91" w:name="page92"/>
    <w:bookmarkEnd w:id="91"/>
    <w:p>
      <w:pPr>
        <w:spacing w:after="0" w:line="208" w:lineRule="exact"/>
        <w:rPr>
          <w:sz w:val="20"/>
          <w:szCs w:val="20"/>
          <w:color w:val="auto"/>
        </w:rPr>
      </w:pPr>
    </w:p>
    <w:p>
      <w:pPr>
        <w:jc w:val="both"/>
        <w:ind w:left="6"/>
        <w:spacing w:after="0" w:line="241" w:lineRule="auto"/>
        <w:rPr>
          <w:sz w:val="20"/>
          <w:szCs w:val="20"/>
          <w:color w:val="auto"/>
        </w:rPr>
      </w:pPr>
      <w:r>
        <w:rPr>
          <w:rFonts w:ascii="Arial" w:cs="Arial" w:eastAsia="Arial" w:hAnsi="Arial"/>
          <w:sz w:val="20"/>
          <w:szCs w:val="20"/>
          <w:color w:val="auto"/>
        </w:rPr>
        <w:t>the Restricted Period (and in any event within thirty (30) days of the date of such expiration). If Grantee forfeits any rights he may have under this Agreement in accordance with Section 3, Grantee shall no longer have any rights as a shareholder with respect to the Restricted Shares or any interest therein and Grantee shall no longer be entitled to receive dividends on such stock.</w:t>
      </w:r>
    </w:p>
    <w:p>
      <w:pPr>
        <w:spacing w:after="0" w:line="237" w:lineRule="exact"/>
        <w:rPr>
          <w:sz w:val="20"/>
          <w:szCs w:val="20"/>
          <w:color w:val="auto"/>
        </w:rPr>
      </w:pPr>
    </w:p>
    <w:p>
      <w:pPr>
        <w:jc w:val="both"/>
        <w:ind w:left="6" w:hanging="6"/>
        <w:spacing w:after="0"/>
        <w:tabs>
          <w:tab w:leader="none" w:pos="225"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shall interfere with or limit in any way the right of the Company or any Affiliate to terminate Grantee’s service at any time, nor confer upon Grantee any right to continue in service of the Company or any Affiliate. Grantee waives all and any rights to any compensation or damages for the termination of Grantee's office or employment with the Company or an Affiliate for any reason (including unlawful termination of employment) insofar as those rights arise from Grantee ceasing to have rights in relation to the Shares as a result of that termination or from the loss or diminution in value of such rights. The grant of the Shares does not give Grantee any right to participate in any future grants of share incentive awards.</w:t>
      </w:r>
    </w:p>
    <w:p>
      <w:pPr>
        <w:spacing w:after="0" w:line="253" w:lineRule="exact"/>
        <w:rPr>
          <w:rFonts w:ascii="Arial" w:cs="Arial" w:eastAsia="Arial" w:hAnsi="Arial"/>
          <w:sz w:val="20"/>
          <w:szCs w:val="20"/>
          <w:color w:val="auto"/>
        </w:rPr>
      </w:pPr>
    </w:p>
    <w:p>
      <w:pPr>
        <w:jc w:val="both"/>
        <w:ind w:left="6" w:hanging="6"/>
        <w:spacing w:after="0" w:line="254" w:lineRule="auto"/>
        <w:tabs>
          <w:tab w:leader="none" w:pos="225"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Payment of Taxes</w:t>
      </w:r>
      <w:r>
        <w:rPr>
          <w:rFonts w:ascii="Arial" w:cs="Arial" w:eastAsia="Arial" w:hAnsi="Arial"/>
          <w:sz w:val="19"/>
          <w:szCs w:val="19"/>
          <w:color w:val="auto"/>
        </w:rPr>
        <w:t>. No later than 30 days after the date of grant of the Shares hereunder, Grantee may make an election to be taxed upon such award under Section 83(b) of the Code. Grantee will, no later than the date as of which any amount related to the Shares first becomes includable in Grantee’s gross income for federal income tax purposes, pay to the Company, or make other arrangements satisfactory to the Committee regarding payment of, any federal, state and local taxes of any kind required by law to be withheld with respect to such amount. The obligations of the Company under this Agreement will be conditional on such payment or arrangements, and the Company, and, where applicable, its Affiliates will, to the extent permitted by law, have the right to deduct any such taxes from any payment of any kind otherwise due to Grantee. The withholding requirement may be satisfied, in whole or in part, at the election of the Company, by allowing Grantee to surrender to the Company a number of Shares from this Award having a Fair Market Value on the date of withholding equal to the minimum amount (and not any greater amount) required to be withheld for tax purposes, all in accordance with such procedures as the Company establishes.</w:t>
      </w:r>
    </w:p>
    <w:p>
      <w:pPr>
        <w:spacing w:after="0" w:line="225" w:lineRule="exact"/>
        <w:rPr>
          <w:rFonts w:ascii="Arial" w:cs="Arial" w:eastAsia="Arial" w:hAnsi="Arial"/>
          <w:sz w:val="19"/>
          <w:szCs w:val="19"/>
          <w:color w:val="auto"/>
        </w:rPr>
      </w:pPr>
    </w:p>
    <w:p>
      <w:pPr>
        <w:jc w:val="both"/>
        <w:ind w:left="6" w:hanging="6"/>
        <w:spacing w:after="0" w:line="243" w:lineRule="auto"/>
        <w:tabs>
          <w:tab w:leader="none" w:pos="239"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The Committee may amend, modify or terminate the Award and this Agreement without approval of Grantee; provided, however, that such amendment, modification or termination shall not, without Grantee’s consent, reduce or diminish the value of this Award determined as if it had been fully vested on the date of such amendment or termination.</w:t>
      </w:r>
    </w:p>
    <w:p>
      <w:pPr>
        <w:spacing w:after="0" w:line="232" w:lineRule="exact"/>
        <w:rPr>
          <w:rFonts w:ascii="Arial" w:cs="Arial" w:eastAsia="Arial" w:hAnsi="Arial"/>
          <w:sz w:val="20"/>
          <w:szCs w:val="20"/>
          <w:color w:val="auto"/>
        </w:rPr>
      </w:pPr>
    </w:p>
    <w:p>
      <w:pPr>
        <w:jc w:val="both"/>
        <w:ind w:left="6" w:hanging="6"/>
        <w:spacing w:after="0" w:line="262" w:lineRule="auto"/>
        <w:tabs>
          <w:tab w:leader="none" w:pos="335"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Plan Controls</w:t>
      </w:r>
      <w:r>
        <w:rPr>
          <w:rFonts w:ascii="Arial" w:cs="Arial" w:eastAsia="Arial" w:hAnsi="Arial"/>
          <w:sz w:val="19"/>
          <w:szCs w:val="19"/>
          <w:color w:val="auto"/>
        </w:rPr>
        <w:t>. The terms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229" w:lineRule="exact"/>
        <w:rPr>
          <w:rFonts w:ascii="Arial" w:cs="Arial" w:eastAsia="Arial" w:hAnsi="Arial"/>
          <w:sz w:val="19"/>
          <w:szCs w:val="19"/>
          <w:color w:val="auto"/>
        </w:rPr>
      </w:pPr>
    </w:p>
    <w:p>
      <w:pPr>
        <w:ind w:left="6" w:hanging="6"/>
        <w:spacing w:after="0" w:line="246" w:lineRule="auto"/>
        <w:tabs>
          <w:tab w:leader="none" w:pos="349"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This Agreement shall be binding upon any successor of the Company, in accordance with the terms of this Agreement and the Plan.</w:t>
      </w:r>
    </w:p>
    <w:p>
      <w:pPr>
        <w:spacing w:after="0" w:line="230" w:lineRule="exact"/>
        <w:rPr>
          <w:rFonts w:ascii="Arial" w:cs="Arial" w:eastAsia="Arial" w:hAnsi="Arial"/>
          <w:sz w:val="20"/>
          <w:szCs w:val="20"/>
          <w:color w:val="auto"/>
        </w:rPr>
      </w:pPr>
    </w:p>
    <w:p>
      <w:pPr>
        <w:jc w:val="both"/>
        <w:ind w:left="6" w:hanging="6"/>
        <w:spacing w:after="0" w:line="243" w:lineRule="auto"/>
        <w:tabs>
          <w:tab w:leader="none" w:pos="389"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one or more of the provisions contained in this Agreement is deemed to be invalid, illegal or unenforceable, the other provisions of this Agreement will be construed and enforced as if the invalid, illegal or unenforceable provision had never been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26"/>
          </w:cols>
          <w:pgMar w:left="334" w:top="1440" w:right="339" w:bottom="1440" w:gutter="0" w:footer="0" w:header="0"/>
        </w:sectPr>
      </w:pPr>
    </w:p>
    <w:bookmarkStart w:id="92" w:name="page93"/>
    <w:bookmarkEnd w:id="92"/>
    <w:p>
      <w:pPr>
        <w:spacing w:after="0" w:line="208" w:lineRule="exact"/>
        <w:rPr>
          <w:sz w:val="20"/>
          <w:szCs w:val="20"/>
          <w:color w:val="auto"/>
        </w:rPr>
      </w:pPr>
    </w:p>
    <w:p>
      <w:pPr>
        <w:jc w:val="both"/>
        <w:ind w:left="6" w:hanging="6"/>
        <w:spacing w:after="0" w:line="257" w:lineRule="auto"/>
        <w:tabs>
          <w:tab w:leader="none" w:pos="349"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Notices and communications under this Agreement must be in writing and either personally delivered or sent by registered or certified United States mail, return receipt requested, postage prepaid. Notices to the Company must be addressed to: Micron Technology, Inc., 8000 S. Federal Way, P.O. Box 6, Boise, ID 83716-9632, Attn: Corporate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pacing w:after="0" w:line="220" w:lineRule="exact"/>
        <w:rPr>
          <w:rFonts w:ascii="Arial" w:cs="Arial" w:eastAsia="Arial" w:hAnsi="Arial"/>
          <w:sz w:val="19"/>
          <w:szCs w:val="19"/>
          <w:color w:val="auto"/>
        </w:rPr>
      </w:pPr>
    </w:p>
    <w:p>
      <w:pPr>
        <w:jc w:val="both"/>
        <w:ind w:left="6" w:hanging="6"/>
        <w:spacing w:after="0" w:line="241" w:lineRule="auto"/>
        <w:tabs>
          <w:tab w:leader="none" w:pos="389"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Data Processing</w:t>
      </w:r>
      <w:r>
        <w:rPr>
          <w:rFonts w:ascii="Arial" w:cs="Arial" w:eastAsia="Arial" w:hAnsi="Arial"/>
          <w:sz w:val="20"/>
          <w:szCs w:val="20"/>
          <w:color w:val="auto"/>
        </w:rPr>
        <w:t>. By accepting the Shares, Grantee gives explicit consent to the Company and other persons who administer the Plan to process and use all personal data relevant to Plan administration, including without limitation his or her name, address, Social Security Number or other applicable tax identification number, and bank and brokerage account details, and to the transfer of any such personal data outside the country in which Grantee works or is employed, including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26"/>
          </w:cols>
          <w:pgMar w:left="334" w:top="144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31.1</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1"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280" w:hanging="328"/>
        <w:spacing w:after="0" w:line="291" w:lineRule="auto"/>
        <w:tabs>
          <w:tab w:leader="none" w:pos="648"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6, 2022</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6350</wp:posOffset>
            </wp:positionV>
            <wp:extent cx="33261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5"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EXHIBIT 31.2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171"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1"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280" w:hanging="328"/>
        <w:spacing w:after="0" w:line="291" w:lineRule="auto"/>
        <w:tabs>
          <w:tab w:leader="none" w:pos="648"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January 6, 2022</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57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5"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December 2, 2021,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90" w:lineRule="exact"/>
        <w:rPr>
          <w:sz w:val="20"/>
          <w:szCs w:val="20"/>
          <w:color w:val="auto"/>
        </w:rPr>
      </w:pPr>
    </w:p>
    <w:p>
      <w:pPr>
        <w:ind w:left="20"/>
        <w:spacing w:after="0"/>
        <w:tabs>
          <w:tab w:leader="none" w:pos="660" w:val="left"/>
          <w:tab w:leader="none" w:pos="5560" w:val="left"/>
        </w:tabs>
        <w:rPr>
          <w:sz w:val="20"/>
          <w:szCs w:val="20"/>
          <w:color w:val="auto"/>
        </w:rPr>
      </w:pPr>
      <w:r>
        <w:rPr>
          <w:rFonts w:ascii="Arial" w:cs="Arial" w:eastAsia="Arial" w:hAnsi="Arial"/>
          <w:sz w:val="18"/>
          <w:szCs w:val="18"/>
          <w:color w:val="auto"/>
        </w:rPr>
        <w:t>Date:</w:t>
        <w:tab/>
        <w:t>January 6, 2022</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6350</wp:posOffset>
            </wp:positionV>
            <wp:extent cx="35572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Sanjay Mehrotra</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 David A. Zinsner, certify, pursuant to 18 U.S.C. 1350, as adopted pursuant to Section 906 of the Sarbanes-Oxley Act of 2002, that the Quarterly Report of Micron Technology, Inc. on Form 10-Q for the period ended December 2, 2021,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90"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8"/>
          <w:szCs w:val="18"/>
          <w:color w:val="auto"/>
        </w:rPr>
        <w:t>Date:</w:t>
        <w:tab/>
        <w:t>January 6, 2022</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6350</wp:posOffset>
            </wp:positionV>
            <wp:extent cx="35572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3"/>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lvl w:ilvl="1">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
    <w:nsid w:val="6DE91B18"/>
    <w:multiLevelType w:val="hybridMultilevel"/>
    <w:lvl w:ilvl="0">
      <w:lvlJc w:val="left"/>
      <w:lvlText w:val="(%1)"/>
      <w:numFmt w:val="lowerRoman"/>
      <w:start w:val="3"/>
    </w:lvl>
  </w:abstractNum>
  <w:abstractNum w:abstractNumId="31">
    <w:nsid w:val="38437FDB"/>
    <w:multiLevelType w:val="hybridMultilevel"/>
    <w:lvl w:ilvl="0">
      <w:lvlJc w:val="left"/>
      <w:lvlText w:val="%1"/>
      <w:numFmt w:val="decimal"/>
      <w:start w:val="1"/>
    </w:lvl>
    <w:lvl w:ilvl="1">
      <w:lvlJc w:val="left"/>
      <w:lvlText w:val="(%2)"/>
      <w:numFmt w:val="lowerLetter"/>
      <w:start w:val="3"/>
    </w:lvl>
  </w:abstractNum>
  <w:abstractNum w:abstractNumId="32">
    <w:nsid w:val="7644A45C"/>
    <w:multiLevelType w:val="hybridMultilevel"/>
    <w:lvl w:ilvl="0">
      <w:lvlJc w:val="left"/>
      <w:lvlText w:val="%1."/>
      <w:numFmt w:val="decimal"/>
      <w:start w:val="5"/>
    </w:lvl>
    <w:lvl w:ilvl="1">
      <w:lvlJc w:val="left"/>
      <w:lvlText w:val="(%2)"/>
      <w:numFmt w:val="lowerLetter"/>
      <w:start w:val="1"/>
    </w:lvl>
  </w:abstractNum>
  <w:abstractNum w:abstractNumId="33">
    <w:nsid w:val="32FFF902"/>
    <w:multiLevelType w:val="hybridMultilevel"/>
    <w:lvl w:ilvl="0">
      <w:lvlJc w:val="left"/>
      <w:lvlText w:val="(%1)"/>
      <w:numFmt w:val="lowerLetter"/>
      <w:start w:val="2"/>
    </w:lvl>
  </w:abstractNum>
  <w:abstractNum w:abstractNumId="34">
    <w:nsid w:val="684A481A"/>
    <w:multiLevelType w:val="hybridMultilevel"/>
    <w:lvl w:ilvl="0">
      <w:lvlJc w:val="left"/>
      <w:lvlText w:val="%1"/>
      <w:numFmt w:val="decimal"/>
      <w:start w:val="1"/>
    </w:lvl>
    <w:lvl w:ilvl="1">
      <w:lvlJc w:val="left"/>
      <w:lvlText w:val="(%2)"/>
      <w:numFmt w:val="lowerLetter"/>
      <w:start w:val="4"/>
    </w:lvl>
  </w:abstractNum>
  <w:abstractNum w:abstractNumId="35">
    <w:nsid w:val="579478FE"/>
    <w:multiLevelType w:val="hybridMultilevel"/>
    <w:lvl w:ilvl="0">
      <w:lvlJc w:val="left"/>
      <w:lvlText w:val="%1."/>
      <w:numFmt w:val="decimal"/>
      <w:start w:val="9"/>
    </w:lvl>
    <w:lvl w:ilvl="1">
      <w:lvlJc w:val="left"/>
      <w:lvlText w:val="%2"/>
      <w:numFmt w:val="lowerLetter"/>
      <w:start w:val="1"/>
    </w:lvl>
  </w:abstractNum>
  <w:abstractNum w:abstractNumId="36">
    <w:nsid w:val="749ABB43"/>
    <w:multiLevelType w:val="hybridMultilevel"/>
    <w:lvl w:ilvl="0">
      <w:lvlJc w:val="left"/>
      <w:lvlText w:val="•"/>
      <w:numFmt w:val="bullet"/>
      <w:start w:val="1"/>
    </w:lvl>
    <w:lvl w:ilvl="1">
      <w:lvlJc w:val="left"/>
      <w:lvlText w:val="(%2)"/>
      <w:numFmt w:val="lowerLetter"/>
      <w:start w:val="1"/>
    </w:lvl>
  </w:abstractNum>
  <w:abstractNum w:abstractNumId="37">
    <w:nsid w:val="3DC240FB"/>
    <w:multiLevelType w:val="hybridMultilevel"/>
    <w:lvl w:ilvl="0">
      <w:lvlJc w:val="left"/>
      <w:lvlText w:val="%1"/>
      <w:numFmt w:val="decimal"/>
      <w:start w:val="1"/>
    </w:lvl>
    <w:lvl w:ilvl="1">
      <w:lvlJc w:val="left"/>
      <w:lvlText w:val="(%2)"/>
      <w:numFmt w:val="lowerLetter"/>
      <w:start w:val="3"/>
    </w:lvl>
  </w:abstractNum>
  <w:abstractNum w:abstractNumId="38">
    <w:nsid w:val="1BA026FA"/>
    <w:multiLevelType w:val="hybridMultilevel"/>
    <w:lvl w:ilvl="0">
      <w:lvlJc w:val="left"/>
      <w:lvlText w:val="%1."/>
      <w:numFmt w:val="decimal"/>
      <w:start w:val="10"/>
    </w:lvl>
    <w:lvl w:ilvl="1">
      <w:lvlJc w:val="left"/>
      <w:lvlText w:val="%2"/>
      <w:numFmt w:val="lowerLetter"/>
      <w:start w:val="1"/>
    </w:lvl>
  </w:abstractNum>
  <w:abstractNum w:abstractNumId="39">
    <w:nsid w:val="79A1DEAA"/>
    <w:multiLevelType w:val="hybridMultilevel"/>
    <w:lvl w:ilvl="0">
      <w:lvlJc w:val="left"/>
      <w:lvlText w:val="%1."/>
      <w:numFmt w:val="decimal"/>
      <w:start w:val="13"/>
    </w:lvl>
    <w:lvl w:ilvl="1">
      <w:lvlJc w:val="left"/>
      <w:lvlText w:val="(%2)"/>
      <w:numFmt w:val="lowerLetter"/>
      <w:start w:val="1"/>
    </w:lvl>
  </w:abstractNum>
  <w:abstractNum w:abstractNumId="40">
    <w:nsid w:val="75C6C33A"/>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41">
    <w:nsid w:val="12E685FB"/>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42">
    <w:nsid w:val="70C6A529"/>
    <w:multiLevelType w:val="hybridMultilevel"/>
    <w:lvl w:ilvl="0">
      <w:lvlJc w:val="left"/>
      <w:lvlText w:val="%1."/>
      <w:numFmt w:val="decimal"/>
      <w:start w:val="16"/>
    </w:lvl>
  </w:abstractNum>
  <w:abstractNum w:abstractNumId="43">
    <w:nsid w:val="520EEDD1"/>
    <w:multiLevelType w:val="hybridMultilevel"/>
    <w:lvl w:ilvl="0">
      <w:lvlJc w:val="left"/>
      <w:lvlText w:val="%1."/>
      <w:numFmt w:val="decimal"/>
      <w:start w:val="18"/>
    </w:lvl>
  </w:abstractNum>
  <w:abstractNum w:abstractNumId="44">
    <w:nsid w:val="374A3FE6"/>
    <w:multiLevelType w:val="hybridMultilevel"/>
    <w:lvl w:ilvl="0">
      <w:lvlJc w:val="left"/>
      <w:lvlText w:val="%1."/>
      <w:numFmt w:val="decimal"/>
      <w:start w:val="23"/>
    </w:lvl>
  </w:abstractNum>
  <w:abstractNum w:abstractNumId="45">
    <w:nsid w:val="4F4EF005"/>
    <w:multiLevelType w:val="hybridMultilevel"/>
    <w:lvl w:ilvl="0">
      <w:lvlJc w:val="left"/>
      <w:lvlText w:val="%1."/>
      <w:numFmt w:val="decimal"/>
      <w:start w:val="28"/>
    </w:lvl>
    <w:lvl w:ilvl="1">
      <w:lvlJc w:val="left"/>
      <w:lvlText w:val="*"/>
      <w:numFmt w:val="bullet"/>
      <w:start w:val="1"/>
    </w:lvl>
  </w:abstractNum>
  <w:abstractNum w:abstractNumId="46">
    <w:nsid w:val="23F9C13C"/>
    <w:multiLevelType w:val="hybridMultilevel"/>
    <w:lvl w:ilvl="0">
      <w:lvlJc w:val="left"/>
      <w:lvlText w:val="%1."/>
      <w:numFmt w:val="decimal"/>
      <w:start w:val="1"/>
    </w:lvl>
    <w:lvl w:ilvl="1">
      <w:lvlJc w:val="left"/>
      <w:lvlText w:val="(%2)"/>
      <w:numFmt w:val="lowerLetter"/>
      <w:start w:val="1"/>
    </w:lvl>
  </w:abstractNum>
  <w:abstractNum w:abstractNumId="47">
    <w:nsid w:val="649BB77C"/>
    <w:multiLevelType w:val="hybridMultilevel"/>
    <w:lvl w:ilvl="0">
      <w:lvlJc w:val="left"/>
      <w:lvlText w:val="%1."/>
      <w:numFmt w:val="decimal"/>
      <w:start w:val="4"/>
    </w:lvl>
  </w:abstractNum>
  <w:abstractNum w:abstractNumId="48">
    <w:nsid w:val="275AC794"/>
    <w:multiLevelType w:val="hybridMultilevel"/>
    <w:lvl w:ilvl="0">
      <w:lvlJc w:val="left"/>
      <w:lvlText w:val="(%1)"/>
      <w:numFmt w:val="lowerLetter"/>
      <w:start w:val="1"/>
    </w:lvl>
  </w:abstractNum>
  <w:abstractNum w:abstractNumId="49">
    <w:nsid w:val="39386575"/>
    <w:multiLevelType w:val="hybridMultilevel"/>
    <w:lvl w:ilvl="0">
      <w:lvlJc w:val="left"/>
      <w:lvlText w:val="(%1)"/>
      <w:numFmt w:val="lowerLetter"/>
      <w:start w:val="2"/>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decimal"/>
      <w:start w:val="4"/>
    </w:lvl>
    <w:lvl w:ilvl="1">
      <w:lvlJc w:val="left"/>
      <w:lvlText w:val="(%2)"/>
      <w:numFmt w:val="lowerLetter"/>
      <w:start w:val="1"/>
    </w:lvl>
  </w:abstractNum>
  <w:abstractNum w:abstractNumId="52">
    <w:nsid w:val="235BA861"/>
    <w:multiLevelType w:val="hybridMultilevel"/>
    <w:lvl w:ilvl="0">
      <w:lvlJc w:val="left"/>
      <w:lvlText w:val="%1."/>
      <w:numFmt w:val="decimal"/>
      <w:start w:val="5"/>
    </w:lvl>
  </w:abstractNum>
  <w:abstractNum w:abstractNumId="53">
    <w:nsid w:val="47398C89"/>
    <w:multiLevelType w:val="hybridMultilevel"/>
    <w:lvl w:ilvl="0">
      <w:lvlJc w:val="left"/>
      <w:lvlText w:val="%1."/>
      <w:numFmt w:val="decimal"/>
      <w:start w:val="7"/>
    </w:lvl>
  </w:abstractNum>
  <w:abstractNum w:abstractNumId="54">
    <w:nsid w:val="354FE9F9"/>
    <w:multiLevelType w:val="hybridMultilevel"/>
    <w:lvl w:ilvl="0">
      <w:lvlJc w:val="left"/>
      <w:lvlText w:val="%1."/>
      <w:numFmt w:val="decimal"/>
      <w:start w:val="13"/>
    </w:lvl>
  </w:abstractNum>
  <w:abstractNum w:abstractNumId="55">
    <w:nsid w:val="15B5AF5C"/>
    <w:multiLevelType w:val="hybridMultilevel"/>
    <w:lvl w:ilvl="0">
      <w:lvlJc w:val="left"/>
      <w:lvlText w:val="%1."/>
      <w:numFmt w:val="decimal"/>
      <w:start w:val="1"/>
    </w:lvl>
    <w:lvl w:ilvl="1">
      <w:lvlJc w:val="left"/>
      <w:lvlText w:val="(%2)"/>
      <w:numFmt w:val="lowerLetter"/>
      <w:start w:val="1"/>
    </w:lvl>
  </w:abstractNum>
  <w:abstractNum w:abstractNumId="56">
    <w:nsid w:val="741226BB"/>
    <w:multiLevelType w:val="hybridMultilevel"/>
    <w:lvl w:ilvl="0">
      <w:lvlJc w:val="left"/>
      <w:lvlText w:val="(%1)"/>
      <w:numFmt w:val="lowerLetter"/>
      <w:start w:val="4"/>
    </w:lvl>
  </w:abstractNum>
  <w:abstractNum w:abstractNumId="57">
    <w:nsid w:val="D34B6A8"/>
    <w:multiLevelType w:val="hybridMultilevel"/>
    <w:lvl w:ilvl="0">
      <w:lvlJc w:val="left"/>
      <w:lvlText w:val="(%1)"/>
      <w:numFmt w:val="lowerRoman"/>
      <w:start w:val="2"/>
    </w:lvl>
  </w:abstractNum>
  <w:abstractNum w:abstractNumId="58">
    <w:nsid w:val="10233C99"/>
    <w:multiLevelType w:val="hybridMultilevel"/>
    <w:lvl w:ilvl="0">
      <w:lvlJc w:val="left"/>
      <w:lvlText w:val="%1."/>
      <w:numFmt w:val="decimal"/>
      <w:start w:val="5"/>
    </w:lvl>
  </w:abstractNum>
  <w:abstractNum w:abstractNumId="59">
    <w:nsid w:val="3F6AB60F"/>
    <w:multiLevelType w:val="hybridMultilevel"/>
    <w:lvl w:ilvl="0">
      <w:lvlJc w:val="left"/>
      <w:lvlText w:val="%1."/>
      <w:numFmt w:val="decimal"/>
      <w:start w:val="7"/>
    </w:lvl>
  </w:abstractNum>
  <w:abstractNum w:abstractNumId="60">
    <w:nsid w:val="61574095"/>
    <w:multiLevelType w:val="hybridMultilevel"/>
    <w:lvl w:ilvl="0">
      <w:lvlJc w:val="left"/>
      <w:lvlText w:val="%1."/>
      <w:numFmt w:val="decimal"/>
      <w:start w:val="13"/>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4" Type="http://schemas.openxmlformats.org/officeDocument/2006/relationships/image" Target="media/image96.jpe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03" Type="http://schemas.openxmlformats.org/officeDocument/2006/relationships/hyperlink" Target="https://www.sec.gov/Archives/edgar/data/0000723125/000110465921132377/tm2129643d4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2022-01-06T14:31:35Z</dcterms:created>
  <dcterms:modified xsi:type="dcterms:W3CDTF">2022-01-06T14:31:35Z</dcterms:modified>
</cp:coreProperties>
</file>