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16,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142875</wp:posOffset>
            </wp:positionV>
            <wp:extent cx="202311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1-10658</w:t>
            </w:r>
          </w:p>
        </w:tc>
        <w:tc>
          <w:tcPr>
            <w:tcW w:w="310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75-1618004</w:t>
            </w:r>
          </w:p>
        </w:tc>
      </w:tr>
      <w:tr>
        <w:trPr>
          <w:trHeight w:val="191"/>
        </w:trPr>
        <w:tc>
          <w:tcPr>
            <w:tcW w:w="3300" w:type="dxa"/>
            <w:vAlign w:val="bottom"/>
          </w:tcPr>
          <w:p>
            <w:pPr>
              <w:jc w:val="center"/>
              <w:ind w:left="33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rPr>
              <w:t>(Commission File</w:t>
            </w:r>
          </w:p>
        </w:tc>
        <w:tc>
          <w:tcPr>
            <w:tcW w:w="3100" w:type="dxa"/>
            <w:vAlign w:val="bottom"/>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incorporation)</w:t>
            </w:r>
          </w:p>
        </w:tc>
        <w:tc>
          <w:tcPr>
            <w:tcW w:w="4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Number)</w:t>
            </w:r>
          </w:p>
        </w:tc>
        <w:tc>
          <w:tcPr>
            <w:tcW w:w="31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300" w:type="dxa"/>
            <w:vAlign w:val="bottom"/>
          </w:tcPr>
          <w:p>
            <w:pPr>
              <w:spacing w:after="0"/>
              <w:rPr>
                <w:sz w:val="24"/>
                <w:szCs w:val="24"/>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100" w:type="dxa"/>
            <w:vAlign w:val="bottom"/>
          </w:tcPr>
          <w:p>
            <w:pPr>
              <w:spacing w:after="0"/>
              <w:rPr>
                <w:sz w:val="24"/>
                <w:szCs w:val="24"/>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100" w:type="dxa"/>
            <w:vAlign w:val="bottom"/>
            <w:tcBorders>
              <w:bottom w:val="single" w:sz="8" w:color="auto"/>
            </w:tcBorders>
          </w:tcPr>
          <w:p>
            <w:pPr>
              <w:spacing w:after="0"/>
              <w:rPr>
                <w:sz w:val="20"/>
                <w:szCs w:val="20"/>
                <w:color w:val="auto"/>
              </w:rPr>
            </w:pPr>
          </w:p>
        </w:tc>
      </w:tr>
      <w:tr>
        <w:trPr>
          <w:trHeight w:val="228"/>
        </w:trPr>
        <w:tc>
          <w:tcPr>
            <w:tcW w:w="3300" w:type="dxa"/>
            <w:vAlign w:val="bottom"/>
          </w:tcPr>
          <w:p>
            <w:pPr>
              <w:spacing w:after="0"/>
              <w:rPr>
                <w:sz w:val="19"/>
                <w:szCs w:val="19"/>
                <w:color w:val="auto"/>
              </w:rPr>
            </w:pP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0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7"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17, 2025 (the “Closing Date”), Micron Technology, Inc. (the “Company”), entered into a Term Loan Credit Agreement, by and among the Company, PNC Bank, National Association, as Administrative Agent, PNC Capital Markets LLC, as Sole Bookrunner and a Joint Lead Arranger, BNP Paribas Securities Corp., Canadian Imperial Bank of Commerce, New York Branch, DBS Bank Ltd., Manufacturers and Traders Trust Company, and Oversea-Chinese Banking Corporation Limited, New York Agency, as Co-Syndication Agents and Joint Lead Arrangers, Truist Bank, as a Co-Syndication Agent, and Truist Securities, Inc., as a Joint Lead Arranger, and certain financial institutions as lenders (the “Term Loan Agreement”).</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Agreement provides a committed term loan facility (the “Term Loan Facility”) consisting of one tranche of term loans. On the Closing Date, the Company borrowed $1.6835 billion in aggregate principal amount (the “Term Loan”). The Company will use the proceeds of such Term Loan to repay a portion of the outstanding principal balance under the Term Loan Credit Agreement dated as of November 3, 2022, as previously amended, by and among the Company, Wells Fargo Bank, National Association, as Administrative Agent, Wells Fargo Securities, LLC, Mizuho Bank, Ltd., and Truist Securities, Inc. as Joint Bookrunners and Joint Lead Arrangers and certain financial institutions as lenders. The Term Loan Agreement also provides that, under certain circumstances, the Company may add one or more incremental commitments in an aggregate principal amount not to exceed $750.0 million, and which may consist of additional Term Loan commitments.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Term Loan does not amortize and is scheduled to mature on January 17, 2029 (the “Term Loan Facility Maturity Date”). The Company must repay the outstanding principal amount of the Term Loan, together with all accrued but unpaid interest, fees and other obligations owing thereon, on the Term Loan Facility Maturity Date.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Term Loan Facility will bear interest, at the Company’s option, at adjusted term SOFR or at a “base rate”, plus in either case an applicable interest rate margin depending on the Company’s corporate ratings. The additional interest rate margin for borrowings ranges from 0.875% to 1.50% per annum in the case of adjusted term SOFR borrowings and 0.00% to 0.50% in the case of base rate borrowings. The adjusted term SOFR is defined as the term SOFR reference rate for the selected interest period (subject to a 0.00% floor).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also required to pay other customary fees and costs in connection with the Term Loan Facility.</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Term Loan Agreement requires the Company to maintain, on a consolidated basis, a net leverage ratio of total net indebtedness to EBITDA, as defined in the Term Loan Agreement and calculated as of the last day of each fiscal quarter, not to exceed 3.25 to 1.00, subject to a temporary four fiscal quarter increase in such maximum ratio to 3.75 to 1.00 following certain material acquisitions.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Term Loan Agreement are unsecured. Additionally, as of the date of the filing of this Current Report, no subsidiaries of the Company are guarantors under the Term Loan Agreement.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Term Loan Agreement contains representations and warranties, affirmative covenants and conditions precedent to borrowing usual and customary for credit agreements of this type. The Term Loan Agreement contains negative covenants that restrict, subject to certain exceptions, the ability of the Company and its restricted subsidiaries to:</w:t>
      </w:r>
    </w:p>
    <w:p>
      <w:pPr>
        <w:spacing w:after="0" w:line="176" w:lineRule="exact"/>
        <w:rPr>
          <w:sz w:val="20"/>
          <w:szCs w:val="20"/>
          <w:color w:val="auto"/>
        </w:rPr>
      </w:pPr>
    </w:p>
    <w:p>
      <w:pPr>
        <w:ind w:left="980" w:right="500" w:hanging="324"/>
        <w:spacing w:after="0" w:line="312" w:lineRule="auto"/>
        <w:tabs>
          <w:tab w:leader="none" w:pos="9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the Company, consolidate with or merge with or into, or sell, assign, convey, transfer, lease, or otherwise dispose of all or substantially all of the properties, rights and assets of the Company and its restricted subsidiaries, taken as a whole, to another person;</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guarantee, or otherwise become liable for any indebtedness secured by a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non-guarantor restricted subsidiaries, incur, guarantee, or otherwise become liable for any unsecured indebtedness;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restricted subsidiaries are permitted to incur, guarantee or otherwise become liable for indebtedness, and to enter into sale and lease-back transactions, that would otherwise be prohibited under the negative covenants, in an aggregate amount equal to the greater of (x) $5.6 billion and (y) 15% of consolidated net tangible assets of the Company.</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Term Loan Agreement does not contain any covenant restricting the payment of dividends or the making of other restricted payments by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events are considered events of default under the Term Loan Agreement:</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of the Term Loan when due;</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 any interest or scheduled fees under the Term Loan Agreement for 5 business days after the date when due and (b) any other obligation under the Term Loan Agreement for 10 business days after the date when due;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the net leverage ratio described above;</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or any of its restricted subsidiaries to comply with any other agreement under the Term Loan Agreement for a period of 30 days after notice of breach;</w:t>
      </w:r>
    </w:p>
    <w:p>
      <w:pPr>
        <w:spacing w:after="0" w:line="161"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indebtedness of the Company or a guarantor subsidiary that (a) either results from (i) failure to pay any principal of such indebtedness at its stated final maturity or (ii) a default with respect to another obligation under such indebtedness and such other default results in such indebtedness becoming due and payable before its stated maturity without such indebtedness having been discharged, cured, waived, rescinded, or annulled within 30 days and (b) the principal amount of which aggregates $100 million or more;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with respect to the Company or any of its significant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has occurred that would reasonably be expected to result in a material adverse effect;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of the Company.</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an event of default described above with respect to certain events of bankruptcy, insolvency or reorganization with respect to the Company occurs and is continuing, then the principal amount plus interest, fees and other obligations then outstanding under the Term Loan Agreement will automatically become due and immediately payable. If any other event of default occurs and is continuing, then the administrative agent under the Term Loan Agreement may accelerate the principal amount plus interest, fees, and other obligations then outstanding under the Term Loan Agreement to become due and immediately payable.</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lenders under the Term Loan Agreement and their affiliates have engaged in, and may in the future engage in, other commercial dealings in the ordinary course of business with the Company or its affiliates, including the provision of investment banking, investment management, commercial banking and cash management services, foreign exchange and commodity hedging, and equipment financing and leasing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Closing Date, the Company terminated the Term Loan Credit Agreement dated as of November 3, 2022 (as previously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Credit Agreement”), by and among the Company, Wells Fargo Bank, National Association, as Administrative Agent, Wells Fargo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Mizuho Bank, Ltd., and Truist Securities, Inc. as Joint Bookrunners and Joint Lead Arrangers and certain financial institutions as lenders.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$1.9335 billion outstanding principal amount of the term loans under the Existing Credit Agreement was repaid with proceeds of the Term Loan and cash</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hyperlink r:id="rId18">
        <w:r>
          <w:rPr>
            <w:rFonts w:ascii="Times New Roman" w:cs="Times New Roman" w:eastAsia="Times New Roman" w:hAnsi="Times New Roman"/>
            <w:sz w:val="18"/>
            <w:szCs w:val="18"/>
            <w:color w:val="auto"/>
          </w:rPr>
          <w:t xml:space="preserve">of the Company. The description of the Existing Credit Agreement contained in Item 1.01 of the Current Report on </w:t>
        </w:r>
        <w:r>
          <w:rPr>
            <w:rFonts w:ascii="Times New Roman" w:cs="Times New Roman" w:eastAsia="Times New Roman" w:hAnsi="Times New Roman"/>
            <w:sz w:val="18"/>
            <w:szCs w:val="18"/>
            <w:u w:val="single" w:color="auto"/>
            <w:color w:val="0000EE"/>
          </w:rPr>
          <w:t>Form 8-K filed with the Securities and</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Exchange Commission (the "SEC") by the Company on November 3,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Item 1.01 of the Current Report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Form 8-K filed with the SEC by the</w:t>
        </w:r>
      </w:hyperlink>
    </w:p>
    <w:p>
      <w:pPr>
        <w:spacing w:after="0" w:line="9" w:lineRule="exact"/>
        <w:rPr>
          <w:sz w:val="20"/>
          <w:szCs w:val="20"/>
          <w:color w:val="auto"/>
        </w:rPr>
      </w:pPr>
    </w:p>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Company on and January 5,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are incorporated herein by reference. The Company incurred no material early termination penalties in connection </w:t>
        </w:r>
      </w:hyperlink>
      <w:r>
        <w:rPr>
          <w:rFonts w:ascii="Times New Roman" w:cs="Times New Roman" w:eastAsia="Times New Roman" w:hAnsi="Times New Roman"/>
          <w:sz w:val="18"/>
          <w:szCs w:val="18"/>
          <w:color w:val="0000EE"/>
        </w:rPr>
        <w:t>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termination of the Existing Credit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At the Fiscal 2024 Annual Meeting of Stockholders (the “Annual Meeting”) of the Company held on January 16, 2025, the Company’s stockholders voted to approve a new equity incentive plan, the 2025 Equity Incentive Plan (the “2025 Plan”). As described in the proxy materials for the Annual Meeting, the 2025 Plan will replace the Company’s Amended and Restated 2007 Equity Incentive Plan (the “2007 Plan”) and the Company will cease granting awards under the 2007 Plan and under its Nonstatutory Stock Option Plan. An aggregate of 48,575,795 shares of the Company’s common stock, par value $0.10 per share, has been reserved for issuance under the 2025 Plan. A description of the 2025 Plan is included in the Company's proxy statement for the Annual Meeting as filed with the SEC on November 29,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2025 Plan is filed as Exhibit 10.1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held on January 16, 2025, the following proposals were submitted to a vote of the Company’s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Each of the following nominees for Director were elected to serve on the Board. Each person elected as a Director will serve until the next annual meeting of stockholders or until such person’s successor is elected and qualified.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BROKER</w:t>
            </w:r>
          </w:p>
        </w:tc>
      </w:tr>
      <w:tr>
        <w:trPr>
          <w:trHeight w:val="234"/>
        </w:trPr>
        <w:tc>
          <w:tcPr>
            <w:tcW w:w="5640" w:type="dxa"/>
            <w:vAlign w:val="bottom"/>
          </w:tcPr>
          <w:p>
            <w:pPr>
              <w:spacing w:after="0"/>
              <w:rPr>
                <w:sz w:val="20"/>
                <w:szCs w:val="20"/>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AGAINST</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ABSTAIN</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NON-VOTE</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Beyer</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742,662,244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48,809,436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1,057,500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Lynn A. Dugle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781,080,320</w:t>
            </w:r>
          </w:p>
        </w:tc>
        <w:tc>
          <w:tcPr>
            <w:tcW w:w="220" w:type="dxa"/>
            <w:vAlign w:val="bottom"/>
          </w:tcPr>
          <w:p>
            <w:pPr>
              <w:spacing w:after="0"/>
              <w:rPr>
                <w:sz w:val="18"/>
                <w:szCs w:val="18"/>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10,394,969</w:t>
            </w:r>
          </w:p>
        </w:tc>
        <w:tc>
          <w:tcPr>
            <w:tcW w:w="20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1,053,891</w:t>
            </w:r>
          </w:p>
        </w:tc>
        <w:tc>
          <w:tcPr>
            <w:tcW w:w="2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J. Gomo</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775,377,442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16,087,070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1,064,668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Linnie M. Haynesworth</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783,308,477</w:t>
            </w:r>
          </w:p>
        </w:tc>
        <w:tc>
          <w:tcPr>
            <w:tcW w:w="22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8,172,513</w:t>
            </w:r>
          </w:p>
        </w:tc>
        <w:tc>
          <w:tcPr>
            <w:tcW w:w="20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1,048,190</w:t>
            </w:r>
          </w:p>
        </w:tc>
        <w:tc>
          <w:tcPr>
            <w:tcW w:w="2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Pat McCarthy</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778,622,955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12,847,768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1,058,457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Sanjay Mehrotra</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743,037,299</w:t>
            </w:r>
          </w:p>
        </w:tc>
        <w:tc>
          <w:tcPr>
            <w:tcW w:w="220" w:type="dxa"/>
            <w:vAlign w:val="bottom"/>
          </w:tcPr>
          <w:p>
            <w:pPr>
              <w:spacing w:after="0"/>
              <w:rPr>
                <w:sz w:val="18"/>
                <w:szCs w:val="18"/>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48,488,126</w:t>
            </w:r>
          </w:p>
        </w:tc>
        <w:tc>
          <w:tcPr>
            <w:tcW w:w="200" w:type="dxa"/>
            <w:vAlign w:val="bottom"/>
          </w:tcPr>
          <w:p>
            <w:pPr>
              <w:spacing w:after="0"/>
              <w:rPr>
                <w:sz w:val="18"/>
                <w:szCs w:val="18"/>
                <w:color w:val="auto"/>
              </w:rPr>
            </w:pP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1,003,755</w:t>
            </w:r>
          </w:p>
        </w:tc>
        <w:tc>
          <w:tcPr>
            <w:tcW w:w="2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Swan</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787,674,987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3,693,358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1,160,835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MaryAnn Wright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760,783,010</w:t>
            </w:r>
          </w:p>
        </w:tc>
        <w:tc>
          <w:tcPr>
            <w:tcW w:w="22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30,794,388</w:t>
            </w:r>
          </w:p>
        </w:tc>
        <w:tc>
          <w:tcPr>
            <w:tcW w:w="20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951,782</w:t>
            </w:r>
          </w:p>
        </w:tc>
        <w:tc>
          <w:tcPr>
            <w:tcW w:w="2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119,266,093</w:t>
            </w:r>
          </w:p>
        </w:tc>
      </w:tr>
      <w:tr>
        <w:trPr>
          <w:trHeight w:val="657"/>
        </w:trPr>
        <w:tc>
          <w:tcPr>
            <w:tcW w:w="5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proposal by the Company to approve, on a non-binding advisory basis, the compensation of its Named Executive Officers was approved with 665,885,885 votes for, 124,469,948 votes against, 2,173,347 abstentions, and 119,266,093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proposal by the Company to approve the 2025 Equity Incentive Plan was approved with 745,902,803 votes for, 45,387,251 votes against, 1,239,126 abstentions, and 119,266,093 broker non-votes.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the Company’s Independent Registered Public Accounting Firm for the fiscal year ending August 28, 2025 was approved with 861,292,131 votes for, 48,692,619 votes against, 1,810,523 abstentions, and no broker non-votes.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38"/>
        </w:trPr>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6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Micron Technology, Inc. 2025 Equity Incentive Plan</w:t>
            </w:r>
          </w:p>
        </w:tc>
        <w:tc>
          <w:tcPr>
            <w:tcW w:w="5860" w:type="dxa"/>
            <w:vAlign w:val="bottom"/>
          </w:tcPr>
          <w:p>
            <w:pPr>
              <w:spacing w:after="0"/>
              <w:rPr>
                <w:sz w:val="14"/>
                <w:szCs w:val="14"/>
                <w:color w:val="auto"/>
              </w:rPr>
            </w:pP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21,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Ray</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Ray</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tc>
      </w:tr>
      <w:tr>
        <w:trPr>
          <w:trHeight w:val="675"/>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Purposes of the Plan</w:t>
      </w:r>
      <w:r>
        <w:rPr>
          <w:rFonts w:ascii="Times New Roman" w:cs="Times New Roman" w:eastAsia="Times New Roman" w:hAnsi="Times New Roman"/>
          <w:sz w:val="18"/>
          <w:szCs w:val="18"/>
          <w:color w:val="auto"/>
        </w:rPr>
        <w:t>. The purposes of this Plan are:</w:t>
      </w:r>
    </w:p>
    <w:p>
      <w:pPr>
        <w:spacing w:after="0" w:line="229"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225"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225" w:lineRule="exact"/>
        <w:rPr>
          <w:rFonts w:ascii="Times New Roman" w:cs="Times New Roman" w:eastAsia="Times New Roman" w:hAnsi="Times New Roman"/>
          <w:sz w:val="18"/>
          <w:szCs w:val="18"/>
          <w:color w:val="auto"/>
        </w:rPr>
      </w:pPr>
    </w:p>
    <w:p>
      <w:pPr>
        <w:ind w:left="1300" w:hanging="388"/>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Other Stock-Based Awards and Performance Awards.</w:t>
      </w:r>
    </w:p>
    <w:p>
      <w:pPr>
        <w:spacing w:after="0" w:line="15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left="130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Subsidiary or Parent of the Company, or an entity that directly or through one or more intermediaries controls, is controlled by, or is under common control with, the Company, as determined by the Administrator. The Administrator will consider Section 409A and the rules for Incentive Stock Options, to the extent applicable, when granting and administering Awards to Service Providers of Affiliates that are not the Company or a Subsidiary or Parent of the Company.</w:t>
      </w:r>
    </w:p>
    <w:p>
      <w:pPr>
        <w:spacing w:after="0" w:line="176" w:lineRule="exact"/>
        <w:rPr>
          <w:rFonts w:ascii="Times New Roman" w:cs="Times New Roman" w:eastAsia="Times New Roman" w:hAnsi="Times New Roman"/>
          <w:sz w:val="18"/>
          <w:szCs w:val="18"/>
          <w:color w:val="auto"/>
        </w:rPr>
      </w:pPr>
    </w:p>
    <w:p>
      <w:pPr>
        <w:ind w:left="130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6" w:lineRule="exact"/>
        <w:rPr>
          <w:rFonts w:ascii="Times New Roman" w:cs="Times New Roman" w:eastAsia="Times New Roman" w:hAnsi="Times New Roman"/>
          <w:sz w:val="18"/>
          <w:szCs w:val="18"/>
          <w:color w:val="auto"/>
        </w:rPr>
      </w:pPr>
    </w:p>
    <w:p>
      <w:pPr>
        <w:ind w:left="130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Other Stock-Based Awards or Performance Awards.</w:t>
      </w:r>
    </w:p>
    <w:p>
      <w:pPr>
        <w:spacing w:after="0" w:line="154" w:lineRule="exact"/>
        <w:rPr>
          <w:rFonts w:ascii="Times New Roman" w:cs="Times New Roman" w:eastAsia="Times New Roman" w:hAnsi="Times New Roman"/>
          <w:sz w:val="18"/>
          <w:szCs w:val="18"/>
          <w:color w:val="auto"/>
        </w:rPr>
      </w:pPr>
    </w:p>
    <w:p>
      <w:pPr>
        <w:ind w:left="130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conditions applicable to each Award granted under the Plan. The Award Agreement is subject to the terms and conditions of the Plan.</w:t>
      </w:r>
    </w:p>
    <w:p>
      <w:pPr>
        <w:spacing w:after="0" w:line="354" w:lineRule="exact"/>
        <w:rPr>
          <w:sz w:val="20"/>
          <w:szCs w:val="20"/>
          <w:color w:val="auto"/>
        </w:rPr>
      </w:pPr>
    </w:p>
    <w:p>
      <w:pPr>
        <w:ind w:left="9440"/>
        <w:spacing w:after="0"/>
        <w:rPr>
          <w:sz w:val="20"/>
          <w:szCs w:val="20"/>
          <w:color w:val="auto"/>
        </w:rPr>
      </w:pPr>
      <w:r>
        <w:rPr>
          <w:sz w:val="1"/>
          <w:szCs w:val="1"/>
          <w:color w:val="auto"/>
        </w:rPr>
        <w:drawing>
          <wp:inline distT="0" distB="0" distL="0" distR="0">
            <wp:extent cx="1011555" cy="274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tabs>
          <w:tab w:leader="none" w:pos="6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as a reason for a Participant’s termination of employment shall have the meaning assigned such term in the employment, consulting, severance or similar agreement, if any, between such Participant and the Company or an Affiliate; provided, however, that if there is no such employment, consulting, severance or similar agreement in which such term is defined, and unless otherwise defined in the applicable Award Agreement, “Cause” shall mean any of the following acts by the Participant, as determined by the Administrator:</w:t>
      </w:r>
    </w:p>
    <w:p>
      <w:pPr>
        <w:spacing w:after="0" w:line="3" w:lineRule="exact"/>
        <w:rPr>
          <w:sz w:val="20"/>
          <w:szCs w:val="20"/>
          <w:color w:val="auto"/>
        </w:rPr>
      </w:pPr>
    </w:p>
    <w:p>
      <w:pPr>
        <w:jc w:val="both"/>
        <w:ind w:left="640" w:firstLine="4"/>
        <w:spacing w:after="0" w:line="250"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the Participant of, or the Participant’s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(b) the Participant’s engaging in any other act of dishonesty, fraud, intentional misrepresentation, moral turpitude, illegality or harassment, whether or not such act was committed in connection with the business of the Company or any of its Affiliates; (c) the willful and repeated failure by the Participant to follow the lawful directives of the Board or the Participant’s supervisor; (d) any material violation of the Company’s written policies;</w:t>
      </w:r>
    </w:p>
    <w:p>
      <w:pPr>
        <w:spacing w:after="0" w:line="2" w:lineRule="exact"/>
        <w:rPr>
          <w:rFonts w:ascii="Times New Roman" w:cs="Times New Roman" w:eastAsia="Times New Roman" w:hAnsi="Times New Roman"/>
          <w:sz w:val="18"/>
          <w:szCs w:val="18"/>
          <w:color w:val="auto"/>
        </w:rPr>
      </w:pPr>
    </w:p>
    <w:p>
      <w:pPr>
        <w:jc w:val="both"/>
        <w:ind w:left="640" w:firstLine="4"/>
        <w:spacing w:after="0" w:line="253" w:lineRule="auto"/>
        <w:tabs>
          <w:tab w:leader="none" w:pos="9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the Participant in connection with the Company and any of its Affiliate’s business or relating to the Participant’s duties, or any willful violation of any laws, rules or regulations; or (f) the Participant’s material breach of any employment, severance, non-competition, non-solicitation, confidential information, or restrictive covenant agreement, or similar agreement, with the Company or an Affiliate. The determination of the Administrator as to the existence of “Cause” shall be conclusive on the Participant and the Company.</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(a)            individuals who, on the Effective Date, constitute the Board (the “</w:t>
      </w:r>
      <w:r>
        <w:rPr>
          <w:rFonts w:ascii="Times New Roman" w:cs="Times New Roman" w:eastAsia="Times New Roman" w:hAnsi="Times New Roman"/>
          <w:sz w:val="18"/>
          <w:szCs w:val="18"/>
          <w:b w:val="1"/>
          <w:bCs w:val="1"/>
          <w:color w:val="auto"/>
        </w:rPr>
        <w:t>Incumbent Directors</w:t>
      </w:r>
      <w:r>
        <w:rPr>
          <w:rFonts w:ascii="Times New Roman" w:cs="Times New Roman" w:eastAsia="Times New Roman" w:hAnsi="Times New Roman"/>
          <w:sz w:val="18"/>
          <w:szCs w:val="18"/>
          <w:color w:val="auto"/>
        </w:rPr>
        <w:t>”)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or</w:t>
      </w:r>
    </w:p>
    <w:p>
      <w:pPr>
        <w:spacing w:after="0" w:line="18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(b)            any person is or becomes a “beneficial owner” (as defined in Rule 13d-3 under the Exchange Act), directly or indirectly, of either (A) more than 50% of the then-outstanding shares of common stock of the Company (“</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or (B) securities of the Company representing more than 50% of the combined voting power of the Company’s then outstanding securities eligible to vote for the election of directors (the “</w:t>
      </w:r>
      <w:r>
        <w:rPr>
          <w:rFonts w:ascii="Times New Roman" w:cs="Times New Roman" w:eastAsia="Times New Roman" w:hAnsi="Times New Roman"/>
          <w:sz w:val="18"/>
          <w:szCs w:val="18"/>
          <w:b w:val="1"/>
          <w:bCs w:val="1"/>
          <w:color w:val="auto"/>
        </w:rPr>
        <w:t>Company Voting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purposes of this subsection (b), the following acquisitions shall not constitute a Change in Control: (i) an acquisition directly from the Company, (ii) an acquisition by the Company or a Subsidiary, (iii) an acquisition by any employee benefit plan (or related trust) sponsored or maintained by the Company or any Subsidiary, or (iv) an acquisition pursuant to a Non-Qualifying Transaction (as defined in subsection (c) below); or</w:t>
      </w:r>
    </w:p>
    <w:p>
      <w:pPr>
        <w:spacing w:after="0" w:line="387" w:lineRule="exact"/>
        <w:rPr>
          <w:sz w:val="20"/>
          <w:szCs w:val="20"/>
          <w:color w:val="auto"/>
        </w:rPr>
      </w:pPr>
    </w:p>
    <w:p>
      <w:pPr>
        <w:ind w:left="8780"/>
        <w:spacing w:after="0"/>
        <w:rPr>
          <w:sz w:val="20"/>
          <w:szCs w:val="20"/>
          <w:color w:val="auto"/>
        </w:rPr>
      </w:pPr>
      <w:r>
        <w:rPr>
          <w:sz w:val="1"/>
          <w:szCs w:val="1"/>
          <w:color w:val="auto"/>
        </w:rPr>
        <w:drawing>
          <wp:inline distT="0" distB="0" distL="0" distR="0">
            <wp:extent cx="1011555" cy="2743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p>
      <w:pPr>
        <w:jc w:val="both"/>
        <w:ind w:left="840"/>
        <w:spacing w:after="0" w:line="252" w:lineRule="auto"/>
        <w:rPr>
          <w:sz w:val="20"/>
          <w:szCs w:val="20"/>
          <w:color w:val="auto"/>
        </w:rPr>
      </w:pPr>
      <w:r>
        <w:rPr>
          <w:rFonts w:ascii="Times New Roman" w:cs="Times New Roman" w:eastAsia="Times New Roman" w:hAnsi="Times New Roman"/>
          <w:sz w:val="18"/>
          <w:szCs w:val="18"/>
          <w:color w:val="auto"/>
        </w:rPr>
        <w:t>(c)            the consummation of a reorganization, merger, consolidation, statutory share exchange or similar form of corporate transaction involving the Company or a Subsidiary (a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or the sale or other disposition of all or substantially all of the Company’s assets (a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or the acquisition of assets or stock of another corporation (an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unless immediately following such Reorganization, Sale or Acquisition: (i) all or substantially all of the individuals and entities who were the beneficial owners, respectively, of the outstanding Company Common Shares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in substantially the same proportions as their ownership, immediately prior to such Reorganization, Sale or Acquisition, of the outstanding Company Common Shares and the outstanding Company Voting Securities, as the case may be, and (ii) no person (other than (A) the Company or any Subsidiary, (B) the Surviving Corporation or its ultimate parent corporation, or (C) any employee benefit plan or related trust) sponsored or maintained by any of the foregoing is the beneficial owner, directly or indirectly, of more than 50% of the total common stock or more than 50% of the total voting power of the outstanding voting securities eligible to elect directors of the Surviving Corporation, and (iii)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(i), (ii) and (iii) above shall be deemed to be a “</w:t>
      </w:r>
      <w:r>
        <w:rPr>
          <w:rFonts w:ascii="Times New Roman" w:cs="Times New Roman" w:eastAsia="Times New Roman" w:hAnsi="Times New Roman"/>
          <w:sz w:val="18"/>
          <w:szCs w:val="18"/>
          <w:b w:val="1"/>
          <w:bCs w:val="1"/>
          <w:color w:val="auto"/>
        </w:rPr>
        <w:t>Non-Qualifying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or</w:t>
      </w:r>
    </w:p>
    <w:p>
      <w:pPr>
        <w:spacing w:after="0" w:line="18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            approval by the stockholders of the Company of a complete liquidation or dissolution of the Company.</w:t>
      </w:r>
    </w:p>
    <w:p>
      <w:pPr>
        <w:spacing w:after="0" w:line="225"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371" w:lineRule="exact"/>
        <w:rPr>
          <w:sz w:val="20"/>
          <w:szCs w:val="20"/>
          <w:color w:val="auto"/>
        </w:rPr>
      </w:pPr>
    </w:p>
    <w:p>
      <w:pPr>
        <w:ind w:left="8320"/>
        <w:spacing w:after="0"/>
        <w:rPr>
          <w:sz w:val="20"/>
          <w:szCs w:val="20"/>
          <w:color w:val="auto"/>
        </w:rPr>
      </w:pPr>
      <w:r>
        <w:rPr>
          <w:sz w:val="1"/>
          <w:szCs w:val="1"/>
          <w:color w:val="auto"/>
        </w:rPr>
        <w:drawing>
          <wp:inline distT="0" distB="0" distL="0" distR="0">
            <wp:extent cx="1011555" cy="2743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of the Plan.</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Micron Technology, Inc., a Delaware corporation.</w:t>
      </w:r>
    </w:p>
    <w:p>
      <w:pPr>
        <w:spacing w:after="0" w:line="225"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of its Affiliates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225"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Disabled</w:t>
      </w:r>
      <w:r>
        <w:rPr>
          <w:rFonts w:ascii="Times New Roman" w:cs="Times New Roman" w:eastAsia="Times New Roman" w:hAnsi="Times New Roman"/>
          <w:sz w:val="18"/>
          <w:szCs w:val="18"/>
          <w:color w:val="auto"/>
        </w:rPr>
        <w:t>” means, with respect to a Participant, the applicable authorized party under the long-term disability plan (the “</w:t>
      </w:r>
      <w:r>
        <w:rPr>
          <w:rFonts w:ascii="Times New Roman" w:cs="Times New Roman" w:eastAsia="Times New Roman" w:hAnsi="Times New Roman"/>
          <w:sz w:val="18"/>
          <w:szCs w:val="18"/>
          <w:b w:val="1"/>
          <w:bCs w:val="1"/>
          <w:color w:val="auto"/>
        </w:rPr>
        <w:t>LTD Plan</w:t>
      </w:r>
      <w:r>
        <w:rPr>
          <w:rFonts w:ascii="Times New Roman" w:cs="Times New Roman" w:eastAsia="Times New Roman" w:hAnsi="Times New Roman"/>
          <w:sz w:val="18"/>
          <w:szCs w:val="18"/>
          <w:color w:val="auto"/>
        </w:rPr>
        <w:t>”) maintained by the Participant’s employer (either the Company or an Affiliate) has provided written notification that the Participant qualifies for disability benefits under the LTD Plan (a “</w:t>
      </w:r>
      <w:r>
        <w:rPr>
          <w:rFonts w:ascii="Times New Roman" w:cs="Times New Roman" w:eastAsia="Times New Roman" w:hAnsi="Times New Roman"/>
          <w:sz w:val="18"/>
          <w:szCs w:val="18"/>
          <w:b w:val="1"/>
          <w:bCs w:val="1"/>
          <w:color w:val="auto"/>
        </w:rPr>
        <w:t>Disability Notice</w:t>
      </w:r>
      <w:r>
        <w:rPr>
          <w:rFonts w:ascii="Times New Roman" w:cs="Times New Roman" w:eastAsia="Times New Roman" w:hAnsi="Times New Roman"/>
          <w:sz w:val="18"/>
          <w:szCs w:val="18"/>
          <w:color w:val="auto"/>
        </w:rPr>
        <w:t>”). If the Participant is not eligible for disability benefits under any applicable LTD Plan, then the Participant shall not qualify as Disabled under this Plan.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Equivalent”</w:t>
      </w:r>
      <w:r>
        <w:rPr>
          <w:rFonts w:ascii="Times New Roman" w:cs="Times New Roman" w:eastAsia="Times New Roman" w:hAnsi="Times New Roman"/>
          <w:sz w:val="17"/>
          <w:szCs w:val="17"/>
          <w:color w:val="auto"/>
        </w:rPr>
        <w:t xml:space="preserve"> means a right granted with respect to an Award, as provided in Section 25 of the Plan.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October 10, 2024.</w:t>
      </w:r>
    </w:p>
    <w:p>
      <w:pPr>
        <w:spacing w:after="0" w:line="22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Officers and Directors, employed by the Company or any Affiliate. Neither service as a Director nor payment of a director’s fee by the Company or any Affiliate will be sufficient to constitute “employment” by the Company.</w:t>
      </w:r>
    </w:p>
    <w:p>
      <w:pPr>
        <w:spacing w:after="0" w:line="15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 thereunder.</w:t>
      </w:r>
    </w:p>
    <w:p>
      <w:pPr>
        <w:spacing w:after="0" w:line="155"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An Exchange Program may be implemented under the Plan only following stockholder approval of a Plan amendment authorizing the Exchange Program, which approval satisfies Applicable Laws (for example, but not limited to, approval by the holders of a majority of the Shares represented in person or by proxy at a meeting of the stockholders of the Company at which a quorum is present). Subject to the preceding requirement of stockholder approval, the Administrator will determine the terms and conditions of any Exchange Program in its sole discretion.</w:t>
      </w:r>
    </w:p>
    <w:p>
      <w:pPr>
        <w:spacing w:after="0" w:line="384" w:lineRule="exact"/>
        <w:rPr>
          <w:sz w:val="20"/>
          <w:szCs w:val="20"/>
          <w:color w:val="auto"/>
        </w:rPr>
      </w:pPr>
    </w:p>
    <w:p>
      <w:pPr>
        <w:ind w:left="8780"/>
        <w:spacing w:after="0"/>
        <w:rPr>
          <w:sz w:val="20"/>
          <w:szCs w:val="20"/>
          <w:color w:val="auto"/>
        </w:rPr>
      </w:pPr>
      <w:r>
        <w:rPr>
          <w:sz w:val="1"/>
          <w:szCs w:val="1"/>
          <w:color w:val="auto"/>
        </w:rPr>
        <w:drawing>
          <wp:inline distT="0" distB="0" distL="0" distR="0">
            <wp:extent cx="1011555" cy="2743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 w:name="page11"/>
    <w:bookmarkEnd w:id="10"/>
    <w:p>
      <w:pPr>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a Share determined as follows: the rules and regulations promulgated thereunder.</w:t>
      </w:r>
    </w:p>
    <w:p>
      <w:pPr>
        <w:spacing w:after="0" w:line="159" w:lineRule="exact"/>
        <w:rPr>
          <w:sz w:val="20"/>
          <w:szCs w:val="20"/>
          <w:color w:val="auto"/>
        </w:rPr>
      </w:pPr>
    </w:p>
    <w:p>
      <w:pPr>
        <w:jc w:val="both"/>
        <w:ind w:left="1940" w:hanging="324"/>
        <w:spacing w:after="0" w:line="258" w:lineRule="auto"/>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on the last Trading Day before the date of determination as quoted on such exchange or system on the date of determination, as reported by Bloomberg or such other source as the Administrator deems reliable;</w:t>
      </w:r>
    </w:p>
    <w:p>
      <w:pPr>
        <w:spacing w:after="0" w:line="183" w:lineRule="exact"/>
        <w:rPr>
          <w:rFonts w:ascii="Times New Roman" w:cs="Times New Roman" w:eastAsia="Times New Roman" w:hAnsi="Times New Roman"/>
          <w:sz w:val="18"/>
          <w:szCs w:val="18"/>
          <w:color w:val="auto"/>
        </w:rPr>
      </w:pPr>
    </w:p>
    <w:p>
      <w:pPr>
        <w:jc w:val="both"/>
        <w:ind w:left="1940" w:hanging="324"/>
        <w:spacing w:after="0" w:line="261" w:lineRule="auto"/>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 applicable, on the last Trading Day such bids and asks were reported), as reported by Bloomberg 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ind w:left="1940" w:hanging="324"/>
        <w:spacing w:after="0" w:line="282" w:lineRule="auto"/>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 Administrator.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withholding for Tax-Related Items (or other amounts required by Applicable Laws) may be made in the Administrator’s sole discretion subject to Applicable Laws and is not required to be consistent with the determination of fair market value for other purposes.</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fiscal year of the Company.</w:t>
      </w:r>
    </w:p>
    <w:p>
      <w:pPr>
        <w:spacing w:after="0" w:line="200" w:lineRule="exact"/>
        <w:rPr>
          <w:sz w:val="20"/>
          <w:szCs w:val="20"/>
          <w:color w:val="auto"/>
        </w:rPr>
      </w:pPr>
    </w:p>
    <w:p>
      <w:pPr>
        <w:spacing w:after="0" w:line="224" w:lineRule="exact"/>
        <w:rPr>
          <w:sz w:val="20"/>
          <w:szCs w:val="20"/>
          <w:color w:val="auto"/>
        </w:rPr>
      </w:pPr>
    </w:p>
    <w:p>
      <w:pPr>
        <w:ind w:left="8780"/>
        <w:spacing w:after="0"/>
        <w:rPr>
          <w:sz w:val="20"/>
          <w:szCs w:val="20"/>
          <w:color w:val="auto"/>
        </w:rPr>
      </w:pPr>
      <w:r>
        <w:rPr>
          <w:sz w:val="1"/>
          <w:szCs w:val="1"/>
          <w:color w:val="auto"/>
        </w:rPr>
        <w:drawing>
          <wp:inline distT="0" distB="0" distL="0" distR="0">
            <wp:extent cx="1011555" cy="2743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 w:name="page12"/>
    <w:bookmarkEnd w:id="11"/>
    <w:p>
      <w:pPr>
        <w:jc w:val="both"/>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 Value Award</w:t>
      </w:r>
      <w:r>
        <w:rPr>
          <w:rFonts w:ascii="Times New Roman" w:cs="Times New Roman" w:eastAsia="Times New Roman" w:hAnsi="Times New Roman"/>
          <w:sz w:val="18"/>
          <w:szCs w:val="18"/>
          <w:color w:val="auto"/>
        </w:rPr>
        <w:t>” means a grant under the Plan of Restricted Stock, Restricted Stock Units, Performance Awards or Other Stock-Based Awards. Options and Stock Appreciation Rights do not constitute Full Value Awards.</w:t>
      </w:r>
    </w:p>
    <w:p>
      <w:pPr>
        <w:spacing w:after="0" w:line="15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with respect to an Award, shall have the meaning, if any, given such term in the applicable Award Agreement. If not defined in the applicable Award Agreement, the term “Good Reason” as used herein shall not apply to such Award.</w:t>
      </w:r>
    </w:p>
    <w:p>
      <w:pPr>
        <w:spacing w:after="0" w:line="15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15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 right, granted to a Participant under Section 11 of the Plan that relates to or is valued by reference to Shares or other Awards relating to Shares.</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holder of an outstanding Award.</w:t>
      </w:r>
    </w:p>
    <w:p>
      <w:pPr>
        <w:spacing w:after="0" w:line="225"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 of the Plan.</w:t>
      </w:r>
    </w:p>
    <w:p>
      <w:pPr>
        <w:spacing w:after="0" w:line="171"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a Participant’s continued service (including specified types of service, such as in the capacity of an Employee), the achievement of target levels of performance, or the occurrence of other events as determined by the Administrator.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Micron Technology, Inc. 2025 Equity Incentive Plan, as may be amended from time to time.</w:t>
      </w:r>
    </w:p>
    <w:p>
      <w:pPr>
        <w:spacing w:after="0" w:line="200" w:lineRule="exact"/>
        <w:rPr>
          <w:sz w:val="20"/>
          <w:szCs w:val="20"/>
          <w:color w:val="auto"/>
        </w:rPr>
      </w:pPr>
    </w:p>
    <w:p>
      <w:pPr>
        <w:spacing w:after="0" w:line="224" w:lineRule="exact"/>
        <w:rPr>
          <w:sz w:val="20"/>
          <w:szCs w:val="20"/>
          <w:color w:val="auto"/>
        </w:rPr>
      </w:pPr>
    </w:p>
    <w:p>
      <w:pPr>
        <w:ind w:left="8780"/>
        <w:spacing w:after="0"/>
        <w:rPr>
          <w:sz w:val="20"/>
          <w:szCs w:val="20"/>
          <w:color w:val="auto"/>
        </w:rPr>
      </w:pPr>
      <w:r>
        <w:rPr>
          <w:sz w:val="1"/>
          <w:szCs w:val="1"/>
          <w:color w:val="auto"/>
        </w:rPr>
        <w:drawing>
          <wp:inline distT="0" distB="0" distL="0" distR="0">
            <wp:extent cx="1011555" cy="2743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 w:name="page13"/>
    <w:bookmarkEnd w:id="12"/>
    <w:p>
      <w:pPr>
        <w:jc w:val="both"/>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55"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of the Plan. Each Restricted Stock Unit represents an unfunded and unsecured obligation of the Company.</w:t>
      </w:r>
    </w:p>
    <w:p>
      <w:pPr>
        <w:spacing w:after="0" w:line="15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share of the Common Stock, as adjusted in accordance with Section 15 of the Plan.</w:t>
      </w:r>
    </w:p>
    <w:p>
      <w:pPr>
        <w:spacing w:after="0" w:line="22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an Award, granted alone or in connection with an Option, that pursuant to Section 7 of the Plan is designated as a Stock Appreciation Right.</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2.46.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5"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2.47.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Tax-Related Items</w:t>
      </w:r>
      <w:r>
        <w:rPr>
          <w:rFonts w:ascii="Times New Roman" w:cs="Times New Roman" w:eastAsia="Times New Roman" w:hAnsi="Times New Roman"/>
          <w:sz w:val="18"/>
          <w:szCs w:val="18"/>
          <w:color w:val="auto"/>
        </w:rPr>
        <w:t>” means any U.S. federal, state, and/or local taxes and any taxes imposed by a jurisdiction outside of the United States (including, without limitation, income tax, social insurance contributions, payment on account, employment tax obligations, stamp taxes and any other taxes required by Applicable Laws to be withheld and any employer tax liability for which the Participant is liable.</w:t>
      </w:r>
    </w:p>
    <w:p>
      <w:pPr>
        <w:spacing w:after="0" w:line="171"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2.48.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71"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2.49.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370" w:lineRule="exact"/>
        <w:rPr>
          <w:sz w:val="20"/>
          <w:szCs w:val="20"/>
          <w:color w:val="auto"/>
        </w:rPr>
      </w:pPr>
    </w:p>
    <w:p>
      <w:pPr>
        <w:ind w:left="8780"/>
        <w:spacing w:after="0"/>
        <w:rPr>
          <w:sz w:val="20"/>
          <w:szCs w:val="20"/>
          <w:color w:val="auto"/>
        </w:rPr>
      </w:pPr>
      <w:r>
        <w:rPr>
          <w:sz w:val="1"/>
          <w:szCs w:val="1"/>
          <w:color w:val="auto"/>
        </w:rPr>
        <w:drawing>
          <wp:inline distT="0" distB="0" distL="0" distR="0">
            <wp:extent cx="1011555" cy="2743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 w:name="page14"/>
    <w:bookmarkEnd w:id="13"/>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Subject to adjustment as provided in Section 15.1 of the Plan, the aggregate number of Shares reserved and available for issuance pursuant to Awards granted under the Plan shall be 49,000,000. Subject to the Share counting rules of Section 3.2 of the Plan, the number of Shares available for future grants of Awards will be reduced by one Share for each Share subject to an Award granted under the Plan.</w:t>
      </w:r>
    </w:p>
    <w:p>
      <w:pPr>
        <w:spacing w:after="0" w:line="176"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3.37.   </w:t>
      </w:r>
      <w:r>
        <w:rPr>
          <w:rFonts w:ascii="Times New Roman" w:cs="Times New Roman" w:eastAsia="Times New Roman" w:hAnsi="Times New Roman"/>
          <w:sz w:val="18"/>
          <w:szCs w:val="18"/>
          <w:b w:val="1"/>
          <w:bCs w:val="1"/>
          <w:color w:val="auto"/>
        </w:rPr>
        <w:t>Share Counting</w:t>
      </w:r>
      <w:r>
        <w:rPr>
          <w:rFonts w:ascii="Times New Roman" w:cs="Times New Roman" w:eastAsia="Times New Roman" w:hAnsi="Times New Roman"/>
          <w:sz w:val="18"/>
          <w:szCs w:val="18"/>
          <w:color w:val="auto"/>
        </w:rPr>
        <w:t>. In determining the number of Shares available for issuance under the Plan, the following rules shall apply.</w:t>
      </w:r>
    </w:p>
    <w:p>
      <w:pPr>
        <w:spacing w:after="0" w:line="229" w:lineRule="exact"/>
        <w:rPr>
          <w:rFonts w:ascii="Times New Roman" w:cs="Times New Roman" w:eastAsia="Times New Roman" w:hAnsi="Times New Roman"/>
          <w:sz w:val="18"/>
          <w:szCs w:val="18"/>
          <w:color w:val="auto"/>
        </w:rPr>
      </w:pPr>
    </w:p>
    <w:p>
      <w:pPr>
        <w:jc w:val="both"/>
        <w:ind w:left="2592" w:hanging="324"/>
        <w:spacing w:after="0" w:line="266" w:lineRule="auto"/>
        <w:tabs>
          <w:tab w:leader="none" w:pos="25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or Stock Appreciation Right expires or becomes unexercisable without having been exercised in full, then the unexercised Shares subject thereto will become available for future grant or sale under the Plan (unless the Plan has terminated).</w:t>
      </w:r>
    </w:p>
    <w:p>
      <w:pPr>
        <w:spacing w:after="0" w:line="175" w:lineRule="exact"/>
        <w:rPr>
          <w:rFonts w:ascii="Times New Roman" w:cs="Times New Roman" w:eastAsia="Times New Roman" w:hAnsi="Times New Roman"/>
          <w:sz w:val="18"/>
          <w:szCs w:val="18"/>
          <w:color w:val="auto"/>
        </w:rPr>
      </w:pPr>
    </w:p>
    <w:p>
      <w:pPr>
        <w:jc w:val="both"/>
        <w:ind w:left="2592" w:hanging="324"/>
        <w:spacing w:after="0" w:line="266" w:lineRule="auto"/>
        <w:tabs>
          <w:tab w:leader="none" w:pos="25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Full Value Award is forfeited or repurchased by the Company due to a failure to vest, then the forfeited or repurchased Shares subject thereto will become available for future grant or sale under the Plan (unless the Plan has terminated).</w:t>
      </w:r>
    </w:p>
    <w:p>
      <w:pPr>
        <w:spacing w:after="0" w:line="175" w:lineRule="exact"/>
        <w:rPr>
          <w:rFonts w:ascii="Times New Roman" w:cs="Times New Roman" w:eastAsia="Times New Roman" w:hAnsi="Times New Roman"/>
          <w:sz w:val="18"/>
          <w:szCs w:val="18"/>
          <w:color w:val="auto"/>
        </w:rPr>
      </w:pPr>
    </w:p>
    <w:p>
      <w:pPr>
        <w:ind w:left="2592" w:hanging="324"/>
        <w:spacing w:after="0" w:line="282" w:lineRule="auto"/>
        <w:tabs>
          <w:tab w:leader="none" w:pos="25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Stock Appreciation Right settled in Shares, the gross number of Shares covered by the portion of the Award so exercised will cease to be available under the Plan.</w:t>
      </w:r>
    </w:p>
    <w:p>
      <w:pPr>
        <w:spacing w:after="0" w:line="161" w:lineRule="exact"/>
        <w:rPr>
          <w:rFonts w:ascii="Times New Roman" w:cs="Times New Roman" w:eastAsia="Times New Roman" w:hAnsi="Times New Roman"/>
          <w:sz w:val="18"/>
          <w:szCs w:val="18"/>
          <w:color w:val="auto"/>
        </w:rPr>
      </w:pPr>
    </w:p>
    <w:p>
      <w:pPr>
        <w:jc w:val="both"/>
        <w:ind w:left="2592" w:hanging="324"/>
        <w:spacing w:after="0" w:line="261" w:lineRule="auto"/>
        <w:tabs>
          <w:tab w:leader="none" w:pos="25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have been issued under the Plan pursuant to any Award will not be returned to the Plan and will not become available for future grant or sale under the Plan; provided, however, that if unvested Shares of Full Value Awards are repurchased by the Company or are forfeited to the Company, such Shares will become available for future grant or sale under the Plan (unless the Plan is terminated).</w:t>
      </w:r>
    </w:p>
    <w:p>
      <w:pPr>
        <w:spacing w:after="0" w:line="179" w:lineRule="exact"/>
        <w:rPr>
          <w:rFonts w:ascii="Times New Roman" w:cs="Times New Roman" w:eastAsia="Times New Roman" w:hAnsi="Times New Roman"/>
          <w:sz w:val="18"/>
          <w:szCs w:val="18"/>
          <w:color w:val="auto"/>
        </w:rPr>
      </w:pPr>
    </w:p>
    <w:p>
      <w:pPr>
        <w:ind w:left="2592" w:right="20" w:hanging="324"/>
        <w:spacing w:after="0" w:line="282" w:lineRule="auto"/>
        <w:tabs>
          <w:tab w:leader="none" w:pos="25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used to pay the Exercise Price or purchase price of an Award and/or used to satisfy the Tax-Related Items or other withholdings related to the Award will cease to be available for future grant or sale under the Plan.</w:t>
      </w:r>
    </w:p>
    <w:p>
      <w:pPr>
        <w:spacing w:after="0" w:line="161" w:lineRule="exact"/>
        <w:rPr>
          <w:rFonts w:ascii="Times New Roman" w:cs="Times New Roman" w:eastAsia="Times New Roman" w:hAnsi="Times New Roman"/>
          <w:sz w:val="18"/>
          <w:szCs w:val="18"/>
          <w:color w:val="auto"/>
        </w:rPr>
      </w:pPr>
    </w:p>
    <w:p>
      <w:pPr>
        <w:ind w:left="2592" w:hanging="324"/>
        <w:spacing w:after="0" w:line="282" w:lineRule="auto"/>
        <w:tabs>
          <w:tab w:leader="none" w:pos="25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Award is paid out in cash rather than Shares, such cash payment will not result in reducing the number of Shares available for issuance under the Plan.</w:t>
      </w:r>
    </w:p>
    <w:p>
      <w:pPr>
        <w:spacing w:after="0" w:line="161" w:lineRule="exact"/>
        <w:rPr>
          <w:rFonts w:ascii="Times New Roman" w:cs="Times New Roman" w:eastAsia="Times New Roman" w:hAnsi="Times New Roman"/>
          <w:sz w:val="18"/>
          <w:szCs w:val="18"/>
          <w:color w:val="auto"/>
        </w:rPr>
      </w:pPr>
    </w:p>
    <w:p>
      <w:pPr>
        <w:ind w:left="2592" w:hanging="324"/>
        <w:spacing w:after="0" w:line="282" w:lineRule="auto"/>
        <w:tabs>
          <w:tab w:leader="none" w:pos="25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purchased by the Company with proceeds received from the exercise of an Option will become available for issuance under the Plan.</w:t>
      </w:r>
    </w:p>
    <w:p>
      <w:pPr>
        <w:spacing w:after="0" w:line="357" w:lineRule="exact"/>
        <w:rPr>
          <w:sz w:val="20"/>
          <w:szCs w:val="20"/>
          <w:color w:val="auto"/>
        </w:rPr>
      </w:pPr>
    </w:p>
    <w:p>
      <w:pPr>
        <w:ind w:left="9432"/>
        <w:spacing w:after="0"/>
        <w:rPr>
          <w:sz w:val="20"/>
          <w:szCs w:val="20"/>
          <w:color w:val="auto"/>
        </w:rPr>
      </w:pPr>
      <w:r>
        <w:rPr>
          <w:sz w:val="1"/>
          <w:szCs w:val="1"/>
          <w:color w:val="auto"/>
        </w:rPr>
        <w:drawing>
          <wp:inline distT="0" distB="0" distL="0" distR="0">
            <wp:extent cx="1011555" cy="2743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4" w:name="page15"/>
    <w:bookmarkEnd w:id="14"/>
    <w:p>
      <w:pPr>
        <w:jc w:val="both"/>
        <w:ind w:left="1292" w:hanging="647"/>
        <w:spacing w:after="0" w:line="262" w:lineRule="auto"/>
        <w:tabs>
          <w:tab w:leader="none" w:pos="1272" w:val="left"/>
        </w:tabs>
        <w:rPr>
          <w:sz w:val="20"/>
          <w:szCs w:val="20"/>
          <w:color w:val="auto"/>
        </w:rPr>
      </w:pPr>
      <w:r>
        <w:rPr>
          <w:rFonts w:ascii="Times New Roman" w:cs="Times New Roman" w:eastAsia="Times New Roman" w:hAnsi="Times New Roman"/>
          <w:sz w:val="18"/>
          <w:szCs w:val="18"/>
          <w:color w:val="auto"/>
        </w:rPr>
        <w:t>3.38.</w:t>
      </w:r>
      <w:r>
        <w:rPr>
          <w:sz w:val="20"/>
          <w:szCs w:val="20"/>
          <w:color w:val="auto"/>
        </w:rPr>
        <w:tab/>
      </w:r>
      <w:r>
        <w:rPr>
          <w:rFonts w:ascii="Times New Roman" w:cs="Times New Roman" w:eastAsia="Times New Roman" w:hAnsi="Times New Roman"/>
          <w:sz w:val="18"/>
          <w:szCs w:val="18"/>
          <w:b w:val="1"/>
          <w:bCs w:val="1"/>
          <w:color w:val="auto"/>
        </w:rPr>
        <w:t>Incentive Stock Option Limit</w:t>
      </w:r>
      <w:r>
        <w:rPr>
          <w:rFonts w:ascii="Times New Roman" w:cs="Times New Roman" w:eastAsia="Times New Roman" w:hAnsi="Times New Roman"/>
          <w:sz w:val="18"/>
          <w:szCs w:val="18"/>
          <w:color w:val="auto"/>
        </w:rPr>
        <w:t>. Notwithstanding the foregoing and, subject to adjustment as provided in Section 15 of the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that may be issued upon the exercise of Incentive Stock Options will equal the aggregate Share number stated in Section 3.1 of the Plan, plus, to the extent allowable under Section 422 of the Code, any Shares that become available for issuance under the Plan pursuant to this Section 3.2 of the Plan.</w:t>
      </w:r>
    </w:p>
    <w:p>
      <w:pPr>
        <w:spacing w:after="0" w:line="176" w:lineRule="exact"/>
        <w:rPr>
          <w:sz w:val="20"/>
          <w:szCs w:val="20"/>
          <w:color w:val="auto"/>
        </w:rPr>
      </w:pPr>
    </w:p>
    <w:p>
      <w:pPr>
        <w:jc w:val="both"/>
        <w:ind w:left="1292" w:hanging="647"/>
        <w:spacing w:after="0" w:line="286" w:lineRule="auto"/>
        <w:tabs>
          <w:tab w:leader="none" w:pos="1272" w:val="left"/>
        </w:tabs>
        <w:rPr>
          <w:sz w:val="20"/>
          <w:szCs w:val="20"/>
          <w:color w:val="auto"/>
        </w:rPr>
      </w:pPr>
      <w:r>
        <w:rPr>
          <w:rFonts w:ascii="Times New Roman" w:cs="Times New Roman" w:eastAsia="Times New Roman" w:hAnsi="Times New Roman"/>
          <w:sz w:val="18"/>
          <w:szCs w:val="18"/>
          <w:color w:val="auto"/>
        </w:rPr>
        <w:t>3.39.</w:t>
      </w:r>
      <w:r>
        <w:rPr>
          <w:sz w:val="20"/>
          <w:szCs w:val="20"/>
          <w:color w:val="auto"/>
        </w:rPr>
        <w:tab/>
      </w:r>
      <w:r>
        <w:rPr>
          <w:rFonts w:ascii="Times New Roman" w:cs="Times New Roman" w:eastAsia="Times New Roman" w:hAnsi="Times New Roman"/>
          <w:sz w:val="18"/>
          <w:szCs w:val="18"/>
          <w:b w:val="1"/>
          <w:bCs w:val="1"/>
          <w:color w:val="auto"/>
        </w:rPr>
        <w:t>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Shares or Shares purchased on the open market.</w:t>
      </w:r>
    </w:p>
    <w:p>
      <w:pPr>
        <w:spacing w:after="0" w:line="155" w:lineRule="exact"/>
        <w:rPr>
          <w:sz w:val="20"/>
          <w:szCs w:val="20"/>
          <w:color w:val="auto"/>
        </w:rPr>
      </w:pPr>
    </w:p>
    <w:p>
      <w:pPr>
        <w:ind w:left="652" w:right="8480" w:hanging="652"/>
        <w:spacing w:after="0" w:line="500"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of the Plan. </w:t>
      </w: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1952" w:hanging="647"/>
        <w:spacing w:after="0" w:line="286" w:lineRule="auto"/>
        <w:tabs>
          <w:tab w:leader="none" w:pos="1932"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w:t>
      </w:r>
    </w:p>
    <w:p>
      <w:pPr>
        <w:spacing w:after="0" w:line="155" w:lineRule="exact"/>
        <w:rPr>
          <w:sz w:val="20"/>
          <w:szCs w:val="20"/>
          <w:color w:val="auto"/>
        </w:rPr>
      </w:pPr>
    </w:p>
    <w:p>
      <w:pPr>
        <w:jc w:val="both"/>
        <w:ind w:left="1952" w:hanging="647"/>
        <w:spacing w:after="0" w:line="286" w:lineRule="auto"/>
        <w:tabs>
          <w:tab w:leader="none" w:pos="1932"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will be structured to satisfy the requirements for exemption under Rule 16b-3.</w:t>
      </w:r>
    </w:p>
    <w:p>
      <w:pPr>
        <w:spacing w:after="0" w:line="155" w:lineRule="exact"/>
        <w:rPr>
          <w:sz w:val="20"/>
          <w:szCs w:val="20"/>
          <w:color w:val="auto"/>
        </w:rPr>
      </w:pPr>
    </w:p>
    <w:p>
      <w:pPr>
        <w:jc w:val="both"/>
        <w:ind w:left="1952" w:right="20" w:hanging="647"/>
        <w:spacing w:after="0" w:line="286" w:lineRule="auto"/>
        <w:tabs>
          <w:tab w:leader="none" w:pos="1932"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will be constituted to comply with Applicable Laws.</w:t>
      </w:r>
    </w:p>
    <w:p>
      <w:pPr>
        <w:spacing w:after="0" w:line="155" w:lineRule="exact"/>
        <w:rPr>
          <w:sz w:val="20"/>
          <w:szCs w:val="20"/>
          <w:color w:val="auto"/>
        </w:rPr>
      </w:pPr>
    </w:p>
    <w:p>
      <w:pPr>
        <w:jc w:val="both"/>
        <w:ind w:left="1952" w:hanging="647"/>
        <w:spacing w:after="0" w:line="268" w:lineRule="auto"/>
        <w:tabs>
          <w:tab w:leader="none" w:pos="1932"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b w:val="1"/>
          <w:bCs w:val="1"/>
          <w:color w:val="auto"/>
        </w:rPr>
        <w:t>Delegation of Authority for Day-to-Day Administration</w:t>
      </w:r>
      <w:r>
        <w:rPr>
          <w:rFonts w:ascii="Times New Roman" w:cs="Times New Roman" w:eastAsia="Times New Roman" w:hAnsi="Times New Roman"/>
          <w:sz w:val="18"/>
          <w:szCs w:val="18"/>
          <w:color w:val="auto"/>
        </w:rPr>
        <w:t>. Except to the extent prohibited by Applicable Laws,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delegate to one or more individuals the day-to-day administration of the Plan and any of the functions assigned to it in this Plan. Such delegation may be revoked at any time.</w:t>
      </w:r>
    </w:p>
    <w:p>
      <w:pPr>
        <w:spacing w:after="0" w:line="171" w:lineRule="exact"/>
        <w:rPr>
          <w:sz w:val="20"/>
          <w:szCs w:val="20"/>
          <w:color w:val="auto"/>
        </w:rPr>
      </w:pPr>
    </w:p>
    <w:p>
      <w:pPr>
        <w:ind w:left="1292" w:hanging="647"/>
        <w:spacing w:after="0" w:line="286" w:lineRule="auto"/>
        <w:tabs>
          <w:tab w:leader="none" w:pos="127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delegated by the Board to such Committee, the Administrator will have the authority, in its discretion:</w:t>
      </w:r>
    </w:p>
    <w:p>
      <w:pPr>
        <w:spacing w:after="0" w:line="159" w:lineRule="exact"/>
        <w:rPr>
          <w:sz w:val="20"/>
          <w:szCs w:val="20"/>
          <w:color w:val="auto"/>
        </w:rPr>
      </w:pPr>
    </w:p>
    <w:p>
      <w:pPr>
        <w:ind w:left="2592" w:hanging="324"/>
        <w:spacing w:after="0"/>
        <w:tabs>
          <w:tab w:leader="none" w:pos="25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2592" w:hanging="324"/>
        <w:spacing w:after="0"/>
        <w:tabs>
          <w:tab w:leader="none" w:pos="25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Awards to be granted and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2592" w:hanging="324"/>
        <w:spacing w:after="0"/>
        <w:tabs>
          <w:tab w:leader="none" w:pos="25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dollar amounts to be covered by each Award granted hereunder;</w:t>
      </w:r>
    </w:p>
    <w:p>
      <w:pPr>
        <w:spacing w:after="0" w:line="225" w:lineRule="exact"/>
        <w:rPr>
          <w:rFonts w:ascii="Times New Roman" w:cs="Times New Roman" w:eastAsia="Times New Roman" w:hAnsi="Times New Roman"/>
          <w:sz w:val="18"/>
          <w:szCs w:val="18"/>
          <w:color w:val="auto"/>
        </w:rPr>
      </w:pPr>
    </w:p>
    <w:p>
      <w:pPr>
        <w:ind w:left="2592" w:hanging="324"/>
        <w:spacing w:after="0"/>
        <w:tabs>
          <w:tab w:leader="none" w:pos="25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00" w:lineRule="exact"/>
        <w:rPr>
          <w:sz w:val="20"/>
          <w:szCs w:val="20"/>
          <w:color w:val="auto"/>
        </w:rPr>
      </w:pPr>
    </w:p>
    <w:p>
      <w:pPr>
        <w:spacing w:after="0" w:line="220" w:lineRule="exact"/>
        <w:rPr>
          <w:sz w:val="20"/>
          <w:szCs w:val="20"/>
          <w:color w:val="auto"/>
        </w:rPr>
      </w:pPr>
    </w:p>
    <w:p>
      <w:pPr>
        <w:ind w:left="9432"/>
        <w:spacing w:after="0"/>
        <w:rPr>
          <w:sz w:val="20"/>
          <w:szCs w:val="20"/>
          <w:color w:val="auto"/>
        </w:rPr>
      </w:pPr>
      <w:r>
        <w:rPr>
          <w:sz w:val="1"/>
          <w:szCs w:val="1"/>
          <w:color w:val="auto"/>
        </w:rPr>
        <w:drawing>
          <wp:inline distT="0" distB="0" distL="0" distR="0">
            <wp:extent cx="1011555" cy="2743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5" w:name="page16"/>
    <w:bookmarkEnd w:id="15"/>
    <w:p>
      <w:pPr>
        <w:jc w:val="both"/>
        <w:ind w:left="1480" w:hanging="324"/>
        <w:spacing w:after="0" w:line="254"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will determine;</w:t>
      </w:r>
    </w:p>
    <w:p>
      <w:pPr>
        <w:spacing w:after="0" w:line="188" w:lineRule="exact"/>
        <w:rPr>
          <w:rFonts w:ascii="Times New Roman" w:cs="Times New Roman" w:eastAsia="Times New Roman" w:hAnsi="Times New Roman"/>
          <w:sz w:val="18"/>
          <w:szCs w:val="18"/>
          <w:color w:val="auto"/>
        </w:rPr>
      </w:pPr>
    </w:p>
    <w:p>
      <w:pPr>
        <w:ind w:left="1480" w:hanging="324"/>
        <w:spacing w:after="0" w:line="282"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implement and determine the terms and conditions of an Exchange Program, subject to stockholder approval of the Exchange Program as required in Section 2.19 of the Plan;</w:t>
      </w:r>
    </w:p>
    <w:p>
      <w:pPr>
        <w:spacing w:after="0" w:line="161"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jc w:val="both"/>
        <w:ind w:left="1480" w:hanging="324"/>
        <w:spacing w:after="0" w:line="261"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facilitating compliance with applicable non-U.S. laws, easing the administration of the Plan and/or for qualifying for favorable tax treatment under applicable non-U.S. laws, in each case as the Administrator may deem necessary or advisable;</w:t>
      </w:r>
    </w:p>
    <w:p>
      <w:pPr>
        <w:spacing w:after="0" w:line="179" w:lineRule="exact"/>
        <w:rPr>
          <w:rFonts w:ascii="Times New Roman" w:cs="Times New Roman" w:eastAsia="Times New Roman" w:hAnsi="Times New Roman"/>
          <w:sz w:val="18"/>
          <w:szCs w:val="18"/>
          <w:color w:val="auto"/>
        </w:rPr>
      </w:pPr>
    </w:p>
    <w:p>
      <w:pPr>
        <w:jc w:val="both"/>
        <w:ind w:left="1480" w:hanging="324"/>
        <w:spacing w:after="0" w:line="266"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20.3 of the Plan), including but not limited to the discretionary authority to extend the post-termination exercisability period of Awards and to extend the maximum term of an Option or Stock Appreciation Right (subject to Sections 6.4 and 7.5 of the Plan);</w:t>
      </w:r>
    </w:p>
    <w:p>
      <w:pPr>
        <w:spacing w:after="0" w:line="175" w:lineRule="exact"/>
        <w:rPr>
          <w:rFonts w:ascii="Times New Roman" w:cs="Times New Roman" w:eastAsia="Times New Roman" w:hAnsi="Times New Roman"/>
          <w:sz w:val="18"/>
          <w:szCs w:val="18"/>
          <w:color w:val="auto"/>
        </w:rPr>
      </w:pPr>
    </w:p>
    <w:p>
      <w:pPr>
        <w:ind w:left="1480" w:hanging="324"/>
        <w:spacing w:after="0" w:line="282"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for Tax-Related Amounts (and any other required amounts required by Applicable Laws) in a manner prescribed in Section 16 of the Plan;</w:t>
      </w:r>
    </w:p>
    <w:p>
      <w:pPr>
        <w:spacing w:after="0" w:line="161" w:lineRule="exact"/>
        <w:rPr>
          <w:rFonts w:ascii="Times New Roman" w:cs="Times New Roman" w:eastAsia="Times New Roman" w:hAnsi="Times New Roman"/>
          <w:sz w:val="18"/>
          <w:szCs w:val="18"/>
          <w:color w:val="auto"/>
        </w:rPr>
      </w:pPr>
    </w:p>
    <w:p>
      <w:pPr>
        <w:ind w:left="1480" w:hanging="324"/>
        <w:spacing w:after="0" w:line="282"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357" w:lineRule="exact"/>
        <w:rPr>
          <w:sz w:val="20"/>
          <w:szCs w:val="20"/>
          <w:color w:val="auto"/>
        </w:rPr>
      </w:pPr>
    </w:p>
    <w:p>
      <w:pPr>
        <w:ind w:left="8300"/>
        <w:spacing w:after="0"/>
        <w:rPr>
          <w:sz w:val="20"/>
          <w:szCs w:val="20"/>
          <w:color w:val="auto"/>
        </w:rPr>
      </w:pPr>
      <w:r>
        <w:rPr>
          <w:sz w:val="1"/>
          <w:szCs w:val="1"/>
          <w:color w:val="auto"/>
        </w:rPr>
        <w:drawing>
          <wp:inline distT="0" distB="0" distL="0" distR="0">
            <wp:extent cx="1011555" cy="2743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ind w:left="1480" w:hanging="324"/>
        <w:spacing w:after="0" w:line="282"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or require a Participant to defer the receipt of the payment of cash or the delivery of Shares that otherwise would be due to such Participant under an Award;</w:t>
      </w:r>
    </w:p>
    <w:p>
      <w:pPr>
        <w:spacing w:after="0" w:line="161"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will be settled in Shares, cash or in any combination thereof; and</w:t>
      </w:r>
    </w:p>
    <w:p>
      <w:pPr>
        <w:spacing w:after="0" w:line="225" w:lineRule="exact"/>
        <w:rPr>
          <w:rFonts w:ascii="Times New Roman" w:cs="Times New Roman" w:eastAsia="Times New Roman" w:hAnsi="Times New Roman"/>
          <w:sz w:val="18"/>
          <w:szCs w:val="18"/>
          <w:color w:val="auto"/>
        </w:rPr>
      </w:pPr>
    </w:p>
    <w:p>
      <w:pPr>
        <w:ind w:left="1480" w:hanging="324"/>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1" w:lineRule="exact"/>
        <w:rPr>
          <w:sz w:val="20"/>
          <w:szCs w:val="20"/>
          <w:color w:val="auto"/>
        </w:rPr>
      </w:pPr>
    </w:p>
    <w:p>
      <w:pPr>
        <w:jc w:val="both"/>
        <w:ind w:left="180" w:right="2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and any other holders of Awards and will be given the maximum deference permitted by Applicable Laws.</w:t>
      </w:r>
    </w:p>
    <w:p>
      <w:pPr>
        <w:spacing w:after="0" w:line="155" w:lineRule="exact"/>
        <w:rPr>
          <w:sz w:val="20"/>
          <w:szCs w:val="20"/>
          <w:color w:val="auto"/>
        </w:rPr>
      </w:pPr>
    </w:p>
    <w:p>
      <w:pPr>
        <w:jc w:val="both"/>
        <w:ind w:left="180" w:hanging="647"/>
        <w:spacing w:after="0" w:line="255" w:lineRule="auto"/>
        <w:tabs>
          <w:tab w:leader="none" w:pos="1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auto"/>
        </w:rPr>
        <w:t>Minimum Vesting Requirements</w:t>
      </w:r>
      <w:r>
        <w:rPr>
          <w:rFonts w:ascii="Times New Roman" w:cs="Times New Roman" w:eastAsia="Times New Roman" w:hAnsi="Times New Roman"/>
          <w:sz w:val="18"/>
          <w:szCs w:val="18"/>
          <w:color w:val="auto"/>
        </w:rPr>
        <w:t>. Full Value Awards shall be either (a) subject to a minimum vesting period of three years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graduated vesting within such three-year period), or one year if the vesting is based on performance criteria other than continued service, or (b) be granted solely in exchange for forgone cash compensation. Notwithstanding the foregoing, (i) the Administrator may at its discretion permit and authorize acceleration of vesting of Full Value Awards in the event of the Participant’s death, Disability, or retirement, or the occurrence of a Change in Control, (ii) the Administrator may grant Full Value Awards without the above-described minimum vesting requirements, or may permit and authorize acceleration of vesting of Full Value Awards otherwise subject to the above-described minimum vesting requirements, with respect to Awards covering five percent (5%) or fewer of the aggregate maximum number of Shares authorized under the Plan, and (iii) this Section 4.4 shall not apply to Awards granted to Non-Employee Directors.</w:t>
      </w:r>
    </w:p>
    <w:p>
      <w:pPr>
        <w:spacing w:after="0" w:line="185"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Death or Disability</w:t>
      </w:r>
      <w:r>
        <w:rPr>
          <w:rFonts w:ascii="Times New Roman" w:cs="Times New Roman" w:eastAsia="Times New Roman" w:hAnsi="Times New Roman"/>
          <w:sz w:val="18"/>
          <w:szCs w:val="18"/>
          <w:color w:val="auto"/>
        </w:rPr>
        <w:t>. Except as otherwise provided in the Award Agreement, or any special Plan document governing an Award’s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 Participant ceasing to be a Service Provider by reason of his or her death or Disability:</w:t>
      </w:r>
    </w:p>
    <w:p>
      <w:pPr>
        <w:spacing w:after="0" w:line="159" w:lineRule="exact"/>
        <w:rPr>
          <w:sz w:val="20"/>
          <w:szCs w:val="20"/>
          <w:color w:val="auto"/>
        </w:rPr>
      </w:pPr>
    </w:p>
    <w:p>
      <w:pPr>
        <w:jc w:val="both"/>
        <w:ind w:left="1480" w:hanging="324"/>
        <w:spacing w:after="0" w:line="256"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such Participant’s outstanding Options, SARs, and other Awards in the nature of rights that may be exercised that are solely subject to time-based vesting requirements shall become vested and fully exercisable as of the date of cessation of the Participant’s status as a Service Provider, and shall thereafter remain exercisable for a period of twelve (12) months or until the earlier expiration of the original term of the Option, SAR or other Award; provided, however, to the extent that an Option is exercised more than three (3) months after a Participant’s status as a Service Provider terminates by reason of his or her Disability, the Option shall be deemed to be a Nonstatutory Stock Option.</w:t>
      </w:r>
    </w:p>
    <w:p>
      <w:pPr>
        <w:spacing w:after="0" w:line="187" w:lineRule="exact"/>
        <w:rPr>
          <w:rFonts w:ascii="Times New Roman" w:cs="Times New Roman" w:eastAsia="Times New Roman" w:hAnsi="Times New Roman"/>
          <w:sz w:val="18"/>
          <w:szCs w:val="18"/>
          <w:color w:val="auto"/>
        </w:rPr>
      </w:pPr>
    </w:p>
    <w:p>
      <w:pPr>
        <w:ind w:left="1480" w:hanging="324"/>
        <w:spacing w:after="0" w:line="282"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time-based vesting restrictions on the Participant’s outstanding Awards shall lapse as of the date of cessation of the Participant’s status as a Service Provider.</w:t>
      </w:r>
    </w:p>
    <w:p>
      <w:pPr>
        <w:spacing w:after="0" w:line="361" w:lineRule="exact"/>
        <w:rPr>
          <w:sz w:val="20"/>
          <w:szCs w:val="20"/>
          <w:color w:val="auto"/>
        </w:rPr>
      </w:pPr>
    </w:p>
    <w:p>
      <w:pPr>
        <w:ind w:left="8320"/>
        <w:spacing w:after="0"/>
        <w:rPr>
          <w:sz w:val="20"/>
          <w:szCs w:val="20"/>
          <w:color w:val="auto"/>
        </w:rPr>
      </w:pPr>
      <w:r>
        <w:rPr>
          <w:sz w:val="1"/>
          <w:szCs w:val="1"/>
          <w:color w:val="auto"/>
        </w:rPr>
        <w:drawing>
          <wp:inline distT="0" distB="0" distL="0" distR="0">
            <wp:extent cx="1011555" cy="2743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left="2592" w:hanging="324"/>
        <w:spacing w:after="0" w:line="256" w:lineRule="auto"/>
        <w:tabs>
          <w:tab w:leader="none" w:pos="25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payout opportunities attainable under all of such Participant’s outstanding performance-based Awards shall be deemed to have been fully earned as of the date of cessation of the Participant’s status as a Service Provider based upon an assumed achievement of all relevant performance goals at the “target” level and there shall be a pro rata payout to the Participant or his or her estate within thirty (30) days following the date of such cessation (or any later date required by Section 12 of the Plan) based upon the length of time within the performance period that has elapsed prior to the date of cessation of the Participant’s status as a Service Provider.</w:t>
      </w:r>
    </w:p>
    <w:p>
      <w:pPr>
        <w:spacing w:after="0" w:line="187"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auto"/>
        </w:rPr>
        <w:t>Except as otherwise provided in this Section 4.5, any Awards shall thereafter continue or lapse in accordance with the other provisions of the Plan and the Award Agreement. Notwithstanding the foregoing, in the case of a cessation of a Participant’s status as a Service Provider by reason of his or her Disability, this Section 4.5 shall apply to such Participant only if the designated person in the Human Resources Department of the Participant’s employer (either the Company or an Affiliate) has received a copy of the Disability Notice before processing the Participant’s termination. To the extent that this provision causes Incentive Stock Options to exceed the dollar limitation set forth in Code Section 422(d), the excess Options shall be deemed to be Nonstatutory Stock Options.</w:t>
      </w:r>
    </w:p>
    <w:p>
      <w:pPr>
        <w:spacing w:after="0" w:line="183"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b w:val="1"/>
          <w:bCs w:val="1"/>
          <w:color w:val="auto"/>
        </w:rPr>
        <w:t>Limitation on Awards.</w:t>
      </w:r>
    </w:p>
    <w:p>
      <w:pPr>
        <w:spacing w:after="0" w:line="229" w:lineRule="exact"/>
        <w:rPr>
          <w:sz w:val="20"/>
          <w:szCs w:val="20"/>
          <w:color w:val="auto"/>
        </w:rPr>
      </w:pPr>
    </w:p>
    <w:p>
      <w:pPr>
        <w:jc w:val="both"/>
        <w:ind w:left="2592" w:hanging="324"/>
        <w:spacing w:after="0" w:line="258" w:lineRule="auto"/>
        <w:tabs>
          <w:tab w:leader="none" w:pos="25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in the Plan to the contrary (but subject to adjustment as provided in Section 15.1 of the Plan), the maximum number of Shares with respect to one or more Options and/or SARs that may be granted during any one calendar year under the Plan to any one Participant shall be 5,000,000. The maximum aggregate number of Shares covering Awards of Restricted Stock, Restricted Stock Units, Performance Awards or other Stock-Based Awards (other than Options or SARs) granted in any one calendar year to any one Participant shall be 5,000,000.</w:t>
      </w:r>
    </w:p>
    <w:p>
      <w:pPr>
        <w:spacing w:after="0" w:line="183" w:lineRule="exact"/>
        <w:rPr>
          <w:rFonts w:ascii="Times New Roman" w:cs="Times New Roman" w:eastAsia="Times New Roman" w:hAnsi="Times New Roman"/>
          <w:sz w:val="18"/>
          <w:szCs w:val="18"/>
          <w:color w:val="auto"/>
        </w:rPr>
      </w:pPr>
    </w:p>
    <w:p>
      <w:pPr>
        <w:jc w:val="both"/>
        <w:ind w:left="2592" w:hanging="324"/>
        <w:spacing w:after="0" w:line="261" w:lineRule="auto"/>
        <w:tabs>
          <w:tab w:leader="none" w:pos="25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subject to Awards granted during a single Fiscal Year to any Non-Employee Director, taken together with any cash fees paid to such Non-Employee Director during the Fiscal Year, shall not exceed USD 1,500,000 in total value (calculating the value of any such Awards based on the grant date fair value of such Awards for financial reporting purposes).</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8"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Awards,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Awards may be granted to Service Providers. Incentive Stock Options may be granted only to Employees of the Company or of any Parent or Subsidiary of the Company.</w:t>
      </w:r>
    </w:p>
    <w:p>
      <w:pPr>
        <w:spacing w:after="0" w:line="370"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8" w:name="page19"/>
    <w:bookmarkEnd w:id="18"/>
    <w:p>
      <w:pPr>
        <w:ind w:left="652" w:hanging="652"/>
        <w:spacing w:after="0"/>
        <w:tabs>
          <w:tab w:leader="none" w:pos="6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w:t>
      </w:r>
    </w:p>
    <w:p>
      <w:pPr>
        <w:spacing w:after="0" w:line="225"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conditions of the Plan, the Administrator, at any time and from time to time, may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to Service Providers in such amounts as the Administrator, in its sole discretion, will determine.</w:t>
      </w:r>
    </w:p>
    <w:p>
      <w:pPr>
        <w:spacing w:after="0" w:line="154" w:lineRule="exact"/>
        <w:rPr>
          <w:rFonts w:ascii="Times New Roman" w:cs="Times New Roman" w:eastAsia="Times New Roman" w:hAnsi="Times New Roman"/>
          <w:sz w:val="18"/>
          <w:szCs w:val="18"/>
          <w:color w:val="auto"/>
        </w:rPr>
      </w:pPr>
    </w:p>
    <w:p>
      <w:pPr>
        <w:ind w:left="1292"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the number of Shares subject to the Option, the exercise restrictions, if any, applicable to the Option, and such other terms and conditions as the Administrator, in its sole discretion, will determine.</w:t>
      </w:r>
    </w:p>
    <w:p>
      <w:pPr>
        <w:spacing w:after="0" w:line="170" w:lineRule="exact"/>
        <w:rPr>
          <w:rFonts w:ascii="Times New Roman" w:cs="Times New Roman" w:eastAsia="Times New Roman" w:hAnsi="Times New Roman"/>
          <w:sz w:val="18"/>
          <w:szCs w:val="18"/>
          <w:color w:val="auto"/>
        </w:rPr>
      </w:pPr>
    </w:p>
    <w:p>
      <w:pPr>
        <w:ind w:left="1292"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(USD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Section 422 of the Code.</w:t>
      </w:r>
    </w:p>
    <w:p>
      <w:pPr>
        <w:spacing w:after="0" w:line="182" w:lineRule="exact"/>
        <w:rPr>
          <w:rFonts w:ascii="Times New Roman" w:cs="Times New Roman" w:eastAsia="Times New Roman" w:hAnsi="Times New Roman"/>
          <w:sz w:val="18"/>
          <w:szCs w:val="18"/>
          <w:color w:val="auto"/>
        </w:rPr>
      </w:pPr>
    </w:p>
    <w:p>
      <w:pPr>
        <w:ind w:left="1292"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term of the Incentive Stock Option will be five (5) years from the date of grant or such shorter term as may be provided in the Award Agreement.</w:t>
      </w:r>
    </w:p>
    <w:p>
      <w:pPr>
        <w:spacing w:after="0" w:line="179"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8"/>
          <w:szCs w:val="18"/>
          <w:b w:val="1"/>
          <w:bCs w:val="1"/>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952" w:hanging="647"/>
        <w:spacing w:after="0" w:line="255" w:lineRule="auto"/>
        <w:tabs>
          <w:tab w:leader="none" w:pos="1932" w:val="left"/>
        </w:tabs>
        <w:rPr>
          <w:sz w:val="20"/>
          <w:szCs w:val="20"/>
          <w:color w:val="auto"/>
        </w:rPr>
      </w:pPr>
      <w:r>
        <w:rPr>
          <w:rFonts w:ascii="Times New Roman" w:cs="Times New Roman" w:eastAsia="Times New Roman" w:hAnsi="Times New Roman"/>
          <w:sz w:val="18"/>
          <w:szCs w:val="18"/>
          <w:color w:val="auto"/>
        </w:rPr>
        <w:t>6.5.1.</w:t>
      </w:r>
      <w:r>
        <w:rPr>
          <w:sz w:val="20"/>
          <w:szCs w:val="20"/>
          <w:color w:val="auto"/>
        </w:rPr>
        <w:tab/>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85" w:lineRule="exact"/>
        <w:rPr>
          <w:sz w:val="20"/>
          <w:szCs w:val="20"/>
          <w:color w:val="auto"/>
        </w:rPr>
      </w:pPr>
    </w:p>
    <w:p>
      <w:pPr>
        <w:jc w:val="both"/>
        <w:ind w:left="1952" w:right="20" w:hanging="647"/>
        <w:spacing w:after="0" w:line="286" w:lineRule="auto"/>
        <w:tabs>
          <w:tab w:leader="none" w:pos="1932" w:val="left"/>
        </w:tabs>
        <w:rPr>
          <w:sz w:val="20"/>
          <w:szCs w:val="20"/>
          <w:color w:val="auto"/>
        </w:rPr>
      </w:pPr>
      <w:r>
        <w:rPr>
          <w:rFonts w:ascii="Times New Roman" w:cs="Times New Roman" w:eastAsia="Times New Roman" w:hAnsi="Times New Roman"/>
          <w:sz w:val="18"/>
          <w:szCs w:val="18"/>
          <w:color w:val="auto"/>
        </w:rPr>
        <w:t>6.5.2.</w:t>
      </w:r>
      <w:r>
        <w:rPr>
          <w:sz w:val="20"/>
          <w:szCs w:val="20"/>
          <w:color w:val="auto"/>
        </w:rPr>
        <w:tab/>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may be exercised and will determine any conditions that must be satisfied before the Option may be exercised.</w:t>
      </w:r>
    </w:p>
    <w:p>
      <w:pPr>
        <w:spacing w:after="0" w:line="354"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27" w:right="339" w:bottom="1440" w:gutter="0" w:footer="0" w:header="0"/>
        </w:sectPr>
      </w:pPr>
    </w:p>
    <w:bookmarkStart w:id="19" w:name="page20"/>
    <w:bookmarkEnd w:id="19"/>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6.5.3.</w:t>
      </w:r>
      <w:r>
        <w:rPr>
          <w:sz w:val="20"/>
          <w:szCs w:val="20"/>
          <w:color w:val="auto"/>
        </w:rPr>
        <w:tab/>
      </w:r>
      <w:r>
        <w:rPr>
          <w:rFonts w:ascii="Times New Roman" w:cs="Times New Roman" w:eastAsia="Times New Roman" w:hAnsi="Times New Roman"/>
          <w:sz w:val="18"/>
          <w:szCs w:val="18"/>
          <w:b w:val="1"/>
          <w:bCs w:val="1"/>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method of payment. Such consideration may consist entirely of, without limitation: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w:t>
      </w:r>
    </w:p>
    <w:p>
      <w:pPr>
        <w:spacing w:after="0" w:line="1" w:lineRule="exact"/>
        <w:rPr>
          <w:sz w:val="20"/>
          <w:szCs w:val="20"/>
          <w:color w:val="auto"/>
        </w:rPr>
      </w:pPr>
    </w:p>
    <w:p>
      <w:pPr>
        <w:ind w:left="1300" w:hanging="8"/>
        <w:spacing w:after="0" w:line="260" w:lineRule="auto"/>
        <w:tabs>
          <w:tab w:leader="none" w:pos="15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net exercise; (g) such other consideration and method of payment for the issuance of Shares to the extent permitted by Applicable Laws, or (h) any combination of the foregoing methods of payment.</w:t>
      </w:r>
    </w:p>
    <w:p>
      <w:pPr>
        <w:spacing w:after="0" w:line="1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b w:val="1"/>
          <w:bCs w:val="1"/>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6.6.1.</w:t>
      </w:r>
      <w:r>
        <w:rPr>
          <w:sz w:val="20"/>
          <w:szCs w:val="20"/>
          <w:color w:val="auto"/>
        </w:rPr>
        <w:tab/>
      </w:r>
      <w:r>
        <w:rPr>
          <w:rFonts w:ascii="Times New Roman" w:cs="Times New Roman" w:eastAsia="Times New Roman" w:hAnsi="Times New Roman"/>
          <w:sz w:val="18"/>
          <w:szCs w:val="18"/>
          <w:b w:val="1"/>
          <w:bCs w:val="1"/>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at such times and under such conditions as determined by the Administrator and set forth in the Award Agreement. An Option may not be exercised for a fraction of a Share.</w:t>
      </w:r>
    </w:p>
    <w:p>
      <w:pPr>
        <w:spacing w:after="0" w:line="17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and in accordance with the procedures as the Administrator may specify from time to time (which, for the avoidance of doubt, may include automatic exercise on terms specified by the Administrator) from the person entitled to exercise the Option, and (b) full payment for the Shares with respect to which the Option is exercised (together with applicable withholdings). Full payment may consist of any consideration and method of payment authorized by the Administrator and permitted by the Award Agreement and the Plan. The Administrator, in its discretion, also may determine that an Option will be automatically exercised on terms specified by the Administrator.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9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(except as provided otherwise under Section 3.2 of the Plan) and for sale under the Option, by the number of Shares as to which the Option is exercised.</w:t>
      </w:r>
    </w:p>
    <w:p>
      <w:pPr>
        <w:spacing w:after="0" w:line="371" w:lineRule="exact"/>
        <w:rPr>
          <w:sz w:val="20"/>
          <w:szCs w:val="20"/>
          <w:color w:val="auto"/>
        </w:rPr>
      </w:pPr>
    </w:p>
    <w:p>
      <w:pPr>
        <w:ind w:left="8760"/>
        <w:spacing w:after="0"/>
        <w:rPr>
          <w:sz w:val="20"/>
          <w:szCs w:val="20"/>
          <w:color w:val="auto"/>
        </w:rPr>
      </w:pPr>
      <w:r>
        <w:rPr>
          <w:sz w:val="1"/>
          <w:szCs w:val="1"/>
          <w:color w:val="auto"/>
        </w:rPr>
        <w:drawing>
          <wp:inline distT="0" distB="0" distL="0" distR="0">
            <wp:extent cx="1011555" cy="2743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0" w:name="page21"/>
    <w:bookmarkEnd w:id="20"/>
    <w:p>
      <w:pPr>
        <w:jc w:val="both"/>
        <w:ind w:left="840" w:hanging="647"/>
        <w:spacing w:after="0" w:line="254" w:lineRule="auto"/>
        <w:tabs>
          <w:tab w:leader="none" w:pos="820" w:val="left"/>
        </w:tabs>
        <w:rPr>
          <w:sz w:val="20"/>
          <w:szCs w:val="20"/>
          <w:color w:val="auto"/>
        </w:rPr>
      </w:pPr>
      <w:r>
        <w:rPr>
          <w:rFonts w:ascii="Times New Roman" w:cs="Times New Roman" w:eastAsia="Times New Roman" w:hAnsi="Times New Roman"/>
          <w:sz w:val="18"/>
          <w:szCs w:val="18"/>
          <w:color w:val="auto"/>
        </w:rPr>
        <w:t>6.6.2.</w:t>
      </w:r>
      <w:r>
        <w:rPr>
          <w:sz w:val="20"/>
          <w:szCs w:val="20"/>
          <w:color w:val="auto"/>
        </w:rPr>
        <w:tab/>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cessation as the result of the Participant’s death,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of the Plan.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88" w:lineRule="exact"/>
        <w:rPr>
          <w:sz w:val="20"/>
          <w:szCs w:val="20"/>
          <w:color w:val="auto"/>
        </w:rPr>
      </w:pPr>
    </w:p>
    <w:p>
      <w:pPr>
        <w:jc w:val="both"/>
        <w:ind w:left="840" w:hanging="647"/>
        <w:spacing w:after="0" w:line="255" w:lineRule="auto"/>
        <w:tabs>
          <w:tab w:leader="none" w:pos="820" w:val="left"/>
        </w:tabs>
        <w:rPr>
          <w:sz w:val="20"/>
          <w:szCs w:val="20"/>
          <w:color w:val="auto"/>
        </w:rPr>
      </w:pPr>
      <w:r>
        <w:rPr>
          <w:rFonts w:ascii="Times New Roman" w:cs="Times New Roman" w:eastAsia="Times New Roman" w:hAnsi="Times New Roman"/>
          <w:sz w:val="18"/>
          <w:szCs w:val="18"/>
          <w:color w:val="auto"/>
        </w:rPr>
        <w:t>6.6.3.</w:t>
      </w:r>
      <w:r>
        <w:rPr>
          <w:sz w:val="20"/>
          <w:szCs w:val="20"/>
          <w:color w:val="auto"/>
        </w:rPr>
        <w:tab/>
      </w:r>
      <w:r>
        <w:rPr>
          <w:rFonts w:ascii="Times New Roman" w:cs="Times New Roman" w:eastAsia="Times New Roman" w:hAnsi="Times New Roman"/>
          <w:sz w:val="18"/>
          <w:szCs w:val="18"/>
          <w:b w:val="1"/>
          <w:bCs w:val="1"/>
          <w:color w:val="auto"/>
        </w:rPr>
        <w:t>Death of Participant</w:t>
      </w:r>
      <w:r>
        <w:rPr>
          <w:rFonts w:ascii="Times New Roman" w:cs="Times New Roman" w:eastAsia="Times New Roman" w:hAnsi="Times New Roman"/>
          <w:sz w:val="18"/>
          <w:szCs w:val="18"/>
          <w:color w:val="auto"/>
        </w:rPr>
        <w:t>. If a Participant dies while a Service Provider, the Option (to the extent vested) may be exercised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8"/>
          <w:szCs w:val="18"/>
          <w:b w:val="1"/>
          <w:bCs w:val="1"/>
          <w:color w:val="auto"/>
        </w:rPr>
        <w:t>Legal Representative</w:t>
      </w:r>
      <w:r>
        <w:rPr>
          <w:rFonts w:ascii="Times New Roman" w:cs="Times New Roman" w:eastAsia="Times New Roman" w:hAnsi="Times New Roman"/>
          <w:sz w:val="18"/>
          <w:szCs w:val="18"/>
          <w:color w:val="auto"/>
        </w:rPr>
        <w:t>”). If the Option is exercised pursuant to this Section 6.6.3, the Participant’s designated beneficiary or Legal Representative shall be subject to the terms of this Plan and the Award Agreement, including but not limited to the restrictions on transferability and forfeitability applicable to the Service Provider.</w:t>
      </w:r>
    </w:p>
    <w:p>
      <w:pPr>
        <w:spacing w:after="0" w:line="185"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6.6.4.</w:t>
      </w:r>
      <w:r>
        <w:rPr>
          <w:sz w:val="20"/>
          <w:szCs w:val="20"/>
          <w:color w:val="auto"/>
        </w:rPr>
        <w:tab/>
      </w:r>
      <w:r>
        <w:rPr>
          <w:rFonts w:ascii="Times New Roman" w:cs="Times New Roman" w:eastAsia="Times New Roman" w:hAnsi="Times New Roman"/>
          <w:sz w:val="17"/>
          <w:szCs w:val="17"/>
          <w:b w:val="1"/>
          <w:bCs w:val="1"/>
          <w:color w:val="auto"/>
        </w:rPr>
        <w:t>Tolling Expiration</w:t>
      </w:r>
      <w:r>
        <w:rPr>
          <w:rFonts w:ascii="Times New Roman" w:cs="Times New Roman" w:eastAsia="Times New Roman" w:hAnsi="Times New Roman"/>
          <w:sz w:val="17"/>
          <w:szCs w:val="17"/>
          <w:color w:val="auto"/>
        </w:rPr>
        <w:t>. A Participant’s Award Agreement may also provide that:</w:t>
      </w:r>
    </w:p>
    <w:p>
      <w:pPr>
        <w:spacing w:after="0" w:line="229" w:lineRule="exact"/>
        <w:rPr>
          <w:sz w:val="20"/>
          <w:szCs w:val="20"/>
          <w:color w:val="auto"/>
        </w:rPr>
      </w:pPr>
    </w:p>
    <w:p>
      <w:pPr>
        <w:jc w:val="both"/>
        <w:ind w:left="1480" w:hanging="324"/>
        <w:spacing w:after="0" w:line="232"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Participant’s status as a Service Provider (other than upon the Participant’s death)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97" w:lineRule="exact"/>
        <w:rPr>
          <w:rFonts w:ascii="Times New Roman" w:cs="Times New Roman" w:eastAsia="Times New Roman" w:hAnsi="Times New Roman"/>
          <w:sz w:val="18"/>
          <w:szCs w:val="18"/>
          <w:color w:val="auto"/>
        </w:rPr>
      </w:pPr>
    </w:p>
    <w:p>
      <w:pPr>
        <w:jc w:val="both"/>
        <w:ind w:left="1480" w:hanging="324"/>
        <w:spacing w:after="0" w:line="256" w:lineRule="auto"/>
        <w:tabs>
          <w:tab w:leader="none" w:pos="1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the Participant’s status as a Service Provider (other than upon the Participant’s death)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383" w:lineRule="exact"/>
        <w:rPr>
          <w:sz w:val="20"/>
          <w:szCs w:val="20"/>
          <w:color w:val="auto"/>
        </w:rPr>
      </w:pPr>
    </w:p>
    <w:p>
      <w:pPr>
        <w:ind w:left="8300"/>
        <w:spacing w:after="0"/>
        <w:rPr>
          <w:sz w:val="20"/>
          <w:szCs w:val="20"/>
          <w:color w:val="auto"/>
        </w:rPr>
      </w:pPr>
      <w:r>
        <w:rPr>
          <w:sz w:val="1"/>
          <w:szCs w:val="1"/>
          <w:color w:val="auto"/>
        </w:rPr>
        <w:drawing>
          <wp:inline distT="0" distB="0" distL="0" distR="0">
            <wp:extent cx="1011555" cy="2743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1" w:name="page22"/>
    <w:bookmarkEnd w:id="21"/>
    <w:p>
      <w:pPr>
        <w:ind w:left="652" w:hanging="652"/>
        <w:spacing w:after="0"/>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Rights.</w:t>
      </w:r>
    </w:p>
    <w:p>
      <w:pPr>
        <w:spacing w:after="0" w:line="225"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Providers at any time and from time to time as will be determined by the Administrator, in its sole discretion.</w:t>
      </w:r>
    </w:p>
    <w:p>
      <w:pPr>
        <w:spacing w:after="0" w:line="154"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Subject to the terms and conditions of the Plan, the Administrator will have complete discretion to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subject to any Award of Stock Appreciation Rights.</w:t>
      </w:r>
    </w:p>
    <w:p>
      <w:pPr>
        <w:spacing w:after="0" w:line="154" w:lineRule="exact"/>
        <w:rPr>
          <w:rFonts w:ascii="Times New Roman" w:cs="Times New Roman" w:eastAsia="Times New Roman" w:hAnsi="Times New Roman"/>
          <w:sz w:val="18"/>
          <w:szCs w:val="18"/>
          <w:color w:val="auto"/>
        </w:rPr>
      </w:pPr>
    </w:p>
    <w:p>
      <w:pPr>
        <w:ind w:left="1292"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upon exercise of a Stock Appreciation Right as set forth in Section 7.6 of the Plan will be determined by the Administrator and will be no less than one hundred percent (100%) of the Fair Market Value per Share on the date of grant. Notwithstanding the foregoing provisions of this Section 7.3, Stock Appreciation Rights may be granted with a per Share exercise price of less than one hundred percent (100%) of the Fair Market Value per Share on the date of grant pursuant to a transaction described in, and in a manner consistent with, Code Section 424(a). Otherwise, the Administrator, subject to the provisions of the Plan, will have complete discretion to determine the terms and conditions of Stock Appreciation Rights granted under the Plan.</w:t>
      </w:r>
    </w:p>
    <w:p>
      <w:pPr>
        <w:spacing w:after="0" w:line="182" w:lineRule="exact"/>
        <w:rPr>
          <w:rFonts w:ascii="Times New Roman" w:cs="Times New Roman" w:eastAsia="Times New Roman" w:hAnsi="Times New Roman"/>
          <w:sz w:val="18"/>
          <w:szCs w:val="18"/>
          <w:color w:val="auto"/>
        </w:rPr>
      </w:pPr>
    </w:p>
    <w:p>
      <w:pPr>
        <w:ind w:left="1292"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the term of the Stock Appreciation Right, the conditions of exercise, and such other terms and conditions as the Administrator, in its sole discretion, will determine.</w:t>
      </w:r>
    </w:p>
    <w:p>
      <w:pPr>
        <w:spacing w:after="0" w:line="170" w:lineRule="exact"/>
        <w:rPr>
          <w:rFonts w:ascii="Times New Roman" w:cs="Times New Roman" w:eastAsia="Times New Roman" w:hAnsi="Times New Roman"/>
          <w:sz w:val="18"/>
          <w:szCs w:val="18"/>
          <w:color w:val="auto"/>
        </w:rPr>
      </w:pPr>
    </w:p>
    <w:p>
      <w:pPr>
        <w:ind w:left="1292"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18"/>
          <w:szCs w:val="18"/>
          <w:b w:val="1"/>
          <w:bCs w:val="1"/>
          <w:color w:val="auto"/>
        </w:rPr>
        <w:t>Term and Expiration of Stock Appreciation Rights</w:t>
      </w:r>
      <w:r>
        <w:rPr>
          <w:rFonts w:ascii="Times New Roman" w:cs="Times New Roman" w:eastAsia="Times New Roman" w:hAnsi="Times New Roman"/>
          <w:sz w:val="18"/>
          <w:szCs w:val="18"/>
          <w:color w:val="auto"/>
        </w:rPr>
        <w:t>. A Stock Appreciation Right granted under the Plan will expire upon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Administrator, in its sole discretion, and set forth in the Award Agreement. Notwithstanding the foregoing, the rules of Section 6.4 of the Plan relating to the maximum term (disregarding any special rules applicable only to Incentive Stock Options) and Section 6.6 of the Plan relating to exercise also will apply to Stock Appreciation Rights.</w:t>
      </w:r>
    </w:p>
    <w:p>
      <w:pPr>
        <w:spacing w:after="0" w:line="176"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from the Company in an amount determined by multiplying:</w:t>
      </w:r>
    </w:p>
    <w:p>
      <w:pPr>
        <w:spacing w:after="0" w:line="158" w:lineRule="exact"/>
        <w:rPr>
          <w:rFonts w:ascii="Times New Roman" w:cs="Times New Roman" w:eastAsia="Times New Roman" w:hAnsi="Times New Roman"/>
          <w:sz w:val="18"/>
          <w:szCs w:val="18"/>
          <w:color w:val="auto"/>
        </w:rPr>
      </w:pPr>
    </w:p>
    <w:p>
      <w:pPr>
        <w:ind w:left="2592" w:hanging="324"/>
        <w:spacing w:after="0"/>
        <w:tabs>
          <w:tab w:leader="none" w:pos="25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2592" w:hanging="324"/>
        <w:spacing w:after="0"/>
        <w:tabs>
          <w:tab w:leader="none" w:pos="25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left="1292" w:firstLine="648"/>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357"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2" w:name="page23"/>
    <w:bookmarkEnd w:id="22"/>
    <w:p>
      <w:pPr>
        <w:ind w:left="652" w:hanging="652"/>
        <w:spacing w:after="0"/>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conditions of the Plan, the Administrator, at any time and from time to time, may</w:t>
      </w:r>
    </w:p>
    <w:p>
      <w:pPr>
        <w:spacing w:after="0" w:line="31" w:lineRule="exact"/>
        <w:rPr>
          <w:rFonts w:ascii="Times New Roman" w:cs="Times New Roman" w:eastAsia="Times New Roman" w:hAnsi="Times New Roman"/>
          <w:sz w:val="18"/>
          <w:szCs w:val="18"/>
          <w:color w:val="auto"/>
        </w:rPr>
      </w:pPr>
    </w:p>
    <w:p>
      <w:pPr>
        <w:ind w:left="12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Shares of Restricted Stock to Service Providers in such amounts as the Administrator, in its sole discretion, will determine.</w:t>
      </w:r>
    </w:p>
    <w:p>
      <w:pPr>
        <w:spacing w:after="0" w:line="202" w:lineRule="exact"/>
        <w:rPr>
          <w:rFonts w:ascii="Times New Roman" w:cs="Times New Roman" w:eastAsia="Times New Roman" w:hAnsi="Times New Roman"/>
          <w:sz w:val="18"/>
          <w:szCs w:val="18"/>
          <w:color w:val="auto"/>
        </w:rPr>
      </w:pPr>
    </w:p>
    <w:p>
      <w:pPr>
        <w:ind w:left="1292" w:hanging="648"/>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Subject to Section 4.4 of the Plan, the Administrator, in its sole discretion, may determine that an Award of Restricted Stock will not be subject to any Period of Restriction and consideration for such Award is paid for by past services rendered as a Service Provider.</w:t>
      </w:r>
    </w:p>
    <w:p>
      <w:pPr>
        <w:spacing w:after="0" w:line="182"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pledged, assigned, or otherwise alienated or hypothecated until the end of the applicable Period of Restriction.</w:t>
      </w:r>
    </w:p>
    <w:p>
      <w:pPr>
        <w:spacing w:after="0" w:line="154" w:lineRule="exact"/>
        <w:rPr>
          <w:rFonts w:ascii="Times New Roman" w:cs="Times New Roman" w:eastAsia="Times New Roman" w:hAnsi="Times New Roman"/>
          <w:sz w:val="18"/>
          <w:szCs w:val="18"/>
          <w:color w:val="auto"/>
        </w:rPr>
      </w:pPr>
    </w:p>
    <w:p>
      <w:pPr>
        <w:ind w:left="1292" w:right="2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 advisable or appropriate.</w:t>
      </w:r>
    </w:p>
    <w:p>
      <w:pPr>
        <w:spacing w:after="0" w:line="154" w:lineRule="exact"/>
        <w:rPr>
          <w:rFonts w:ascii="Times New Roman" w:cs="Times New Roman" w:eastAsia="Times New Roman" w:hAnsi="Times New Roman"/>
          <w:sz w:val="18"/>
          <w:szCs w:val="18"/>
          <w:color w:val="auto"/>
        </w:rPr>
      </w:pPr>
    </w:p>
    <w:p>
      <w:pPr>
        <w:ind w:left="1292"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r>
        <w:rPr>
          <w:rFonts w:ascii="Times New Roman" w:cs="Times New Roman" w:eastAsia="Times New Roman" w:hAnsi="Times New Roman"/>
          <w:sz w:val="18"/>
          <w:szCs w:val="18"/>
          <w:b w:val="1"/>
          <w:bCs w:val="1"/>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6"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voting rights with respect to those Shares, unless the Administrator determines otherwise.</w:t>
      </w:r>
    </w:p>
    <w:p>
      <w:pPr>
        <w:spacing w:after="0" w:line="154" w:lineRule="exact"/>
        <w:rPr>
          <w:rFonts w:ascii="Times New Roman" w:cs="Times New Roman" w:eastAsia="Times New Roman" w:hAnsi="Times New Roman"/>
          <w:sz w:val="18"/>
          <w:szCs w:val="18"/>
          <w:color w:val="auto"/>
        </w:rPr>
      </w:pPr>
    </w:p>
    <w:p>
      <w:pPr>
        <w:ind w:left="1292"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r>
        <w:rPr>
          <w:rFonts w:ascii="Times New Roman" w:cs="Times New Roman" w:eastAsia="Times New Roman" w:hAnsi="Times New Roman"/>
          <w:sz w:val="18"/>
          <w:szCs w:val="18"/>
          <w:b w:val="1"/>
          <w:bCs w:val="1"/>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dividends and other distributions paid with respect to unvested Shares. Instead, to the limited extent provided in Section 25 and only if determined by the Administrator, such dividends and other distributions will accrue and be paid if (and only if) the underlying Shares vest. If any such dividends or distributions are paid in Shares, the Shares will be subject to the same restrictions on transferability and forfeitability as the Shares of Restricted Stock with respect to which they were paid.</w:t>
      </w:r>
    </w:p>
    <w:p>
      <w:pPr>
        <w:spacing w:after="0" w:line="379"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3" w:name="page24"/>
    <w:bookmarkEnd w:id="23"/>
    <w:p>
      <w:pPr>
        <w:ind w:left="1292" w:hanging="647"/>
        <w:spacing w:after="0" w:line="286" w:lineRule="auto"/>
        <w:tabs>
          <w:tab w:leader="none" w:pos="1272"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lapsed will revert to the Company and again will become available for grant under the Plan.</w:t>
      </w:r>
    </w:p>
    <w:p>
      <w:pPr>
        <w:spacing w:after="0" w:line="155" w:lineRule="exact"/>
        <w:rPr>
          <w:sz w:val="20"/>
          <w:szCs w:val="20"/>
          <w:color w:val="auto"/>
        </w:rPr>
      </w:pPr>
    </w:p>
    <w:p>
      <w:pPr>
        <w:ind w:left="652" w:hanging="652"/>
        <w:spacing w:after="0"/>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p>
    <w:p>
      <w:pPr>
        <w:spacing w:after="0" w:line="225" w:lineRule="exact"/>
        <w:rPr>
          <w:rFonts w:ascii="Times New Roman" w:cs="Times New Roman" w:eastAsia="Times New Roman" w:hAnsi="Times New Roman"/>
          <w:sz w:val="18"/>
          <w:szCs w:val="18"/>
          <w:color w:val="auto"/>
        </w:rPr>
      </w:pPr>
    </w:p>
    <w:p>
      <w:pPr>
        <w:ind w:left="1292"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determines that it will grant Restricted Stock Units, it will advise the Participant in an Award Agreement of the terms, conditions, and restrictions related to the grant, including the number of Restricted Stock Units.</w:t>
      </w:r>
    </w:p>
    <w:p>
      <w:pPr>
        <w:spacing w:after="0" w:line="170" w:lineRule="exact"/>
        <w:rPr>
          <w:rFonts w:ascii="Times New Roman" w:cs="Times New Roman" w:eastAsia="Times New Roman" w:hAnsi="Times New Roman"/>
          <w:sz w:val="18"/>
          <w:szCs w:val="18"/>
          <w:color w:val="auto"/>
        </w:rPr>
      </w:pPr>
    </w:p>
    <w:p>
      <w:pPr>
        <w:ind w:left="1292"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ind w:left="1292"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Administrator. Notwithstanding the foregoing, at any time after the grant of Restricted Stock Units, the Administrator, in its sole discretion, may reduce or waive any vesting criteria that must be met to receive a payout.</w:t>
      </w:r>
    </w:p>
    <w:p>
      <w:pPr>
        <w:spacing w:after="0" w:line="170" w:lineRule="exact"/>
        <w:rPr>
          <w:rFonts w:ascii="Times New Roman" w:cs="Times New Roman" w:eastAsia="Times New Roman" w:hAnsi="Times New Roman"/>
          <w:sz w:val="18"/>
          <w:szCs w:val="18"/>
          <w:color w:val="auto"/>
        </w:rPr>
      </w:pPr>
    </w:p>
    <w:p>
      <w:pPr>
        <w:ind w:left="1292"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set forth in the Award Agreement. The Administrator, in its sole discretion, may settle earned Restricted Stock Units in cash, Shares, or a combination of both.</w:t>
      </w:r>
    </w:p>
    <w:p>
      <w:pPr>
        <w:spacing w:after="0" w:line="170"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w:t>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 On the date set forth in the Award Agreement, all unearned or unvested Restricted Stock Units will be forfeited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Awards.</w:t>
      </w:r>
    </w:p>
    <w:p>
      <w:pPr>
        <w:spacing w:after="0" w:line="225" w:lineRule="exact"/>
        <w:rPr>
          <w:rFonts w:ascii="Times New Roman" w:cs="Times New Roman" w:eastAsia="Times New Roman" w:hAnsi="Times New Roman"/>
          <w:sz w:val="18"/>
          <w:szCs w:val="18"/>
          <w:color w:val="auto"/>
        </w:rPr>
      </w:pPr>
    </w:p>
    <w:p>
      <w:pPr>
        <w:ind w:left="1292"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Performance Award will be evidenced by an Award Agreement that will specify any time period during which any performance objectives or other vesting provisions will be measured, and such other terms and conditions as the Administrator determines. Each Performance Award will have an initial value that is determined by the Administrator on or before its date of grant.</w:t>
      </w:r>
    </w:p>
    <w:p>
      <w:pPr>
        <w:spacing w:after="0" w:line="170" w:lineRule="exact"/>
        <w:rPr>
          <w:rFonts w:ascii="Times New Roman" w:cs="Times New Roman" w:eastAsia="Times New Roman" w:hAnsi="Times New Roman"/>
          <w:sz w:val="18"/>
          <w:szCs w:val="18"/>
          <w:color w:val="auto"/>
        </w:rPr>
      </w:pPr>
    </w:p>
    <w:p>
      <w:pPr>
        <w:ind w:left="1292"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379"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4" w:name="page25"/>
    <w:bookmarkEnd w:id="24"/>
    <w:p>
      <w:pPr>
        <w:jc w:val="both"/>
        <w:ind w:left="1292" w:hanging="647"/>
        <w:spacing w:after="0" w:line="268" w:lineRule="auto"/>
        <w:tabs>
          <w:tab w:leader="none" w:pos="1272"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b w:val="1"/>
          <w:bCs w:val="1"/>
          <w:color w:val="auto"/>
        </w:rPr>
        <w:t>Earning Performance Awards</w:t>
      </w:r>
      <w:r>
        <w:rPr>
          <w:rFonts w:ascii="Times New Roman" w:cs="Times New Roman" w:eastAsia="Times New Roman" w:hAnsi="Times New Roman"/>
          <w:sz w:val="18"/>
          <w:szCs w:val="18"/>
          <w:color w:val="auto"/>
        </w:rPr>
        <w:t>. After an applicable performance period has ended, the holder of a Performance Award will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 payout for the Performance Award earned by the Participant over the performance period. The Administrator, in its discretion, may reduce or waive any performance objectives or other vesting provisions for such Performance Award.</w:t>
      </w:r>
    </w:p>
    <w:p>
      <w:pPr>
        <w:spacing w:after="0" w:line="171" w:lineRule="exact"/>
        <w:rPr>
          <w:sz w:val="20"/>
          <w:szCs w:val="20"/>
          <w:color w:val="auto"/>
        </w:rPr>
      </w:pPr>
    </w:p>
    <w:p>
      <w:pPr>
        <w:jc w:val="both"/>
        <w:ind w:left="1292" w:hanging="647"/>
        <w:spacing w:after="0" w:line="268" w:lineRule="auto"/>
        <w:tabs>
          <w:tab w:leader="none" w:pos="1272"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set forth in the Award Agreement. The Administrator, in its sole discretion, may settle earned Performance Awards in cash, Shares, or a combination of both.</w:t>
      </w:r>
    </w:p>
    <w:p>
      <w:pPr>
        <w:spacing w:after="0" w:line="171" w:lineRule="exact"/>
        <w:rPr>
          <w:sz w:val="20"/>
          <w:szCs w:val="20"/>
          <w:color w:val="auto"/>
        </w:rPr>
      </w:pPr>
    </w:p>
    <w:p>
      <w:pPr>
        <w:jc w:val="both"/>
        <w:ind w:left="1292" w:hanging="647"/>
        <w:spacing w:after="0" w:line="286" w:lineRule="auto"/>
        <w:tabs>
          <w:tab w:leader="none" w:pos="1272"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forfeited to the Company, and again will be available for grant under the Plan.</w:t>
      </w:r>
    </w:p>
    <w:p>
      <w:pPr>
        <w:spacing w:after="0" w:line="155" w:lineRule="exact"/>
        <w:rPr>
          <w:sz w:val="20"/>
          <w:szCs w:val="20"/>
          <w:color w:val="auto"/>
        </w:rPr>
      </w:pPr>
    </w:p>
    <w:p>
      <w:pPr>
        <w:ind w:left="652" w:right="100" w:hanging="652"/>
        <w:spacing w:after="0" w:line="257" w:lineRule="auto"/>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Stock or Other Stock-Based Awards</w:t>
      </w:r>
      <w:r>
        <w:rPr>
          <w:rFonts w:ascii="Times New Roman" w:cs="Times New Roman" w:eastAsia="Times New Roman" w:hAnsi="Times New Roman"/>
          <w:sz w:val="18"/>
          <w:szCs w:val="18"/>
          <w:color w:val="auto"/>
        </w:rPr>
        <w:t>. The Administrator is authorized, subject to limitations under applicable law, to grant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such other Awards that are payable in, valued in whole or in part by reference to, or otherwise based on or related to Shares, as deemed by the Administrator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of the Company. The Administrator (in its discretion) shall determine the terms and conditions of such Awards.</w:t>
      </w:r>
    </w:p>
    <w:p>
      <w:pPr>
        <w:spacing w:after="0" w:line="182"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r>
        <w:rPr>
          <w:rFonts w:ascii="Times New Roman" w:cs="Times New Roman" w:eastAsia="Times New Roman" w:hAnsi="Times New Roman"/>
          <w:sz w:val="18"/>
          <w:szCs w:val="18"/>
          <w:color w:val="auto"/>
        </w:rPr>
        <w:t>. The Plan and any Awards are intended to be designed and operated in such a manner that is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provided otherwise by the Administrator, each payment or benefit under this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preceding, in no event will the Company or any of its Affiliates have any responsibility, liability, or obligation to reimburse, indemnify, or hold harmless a Participant (or any other person) in respect of Awards, for any taxes, penalties or interest that may be imposed on, or other costs incurred by, Participant (or any other person) as a result of or in connection with Section 409A.</w:t>
      </w:r>
    </w:p>
    <w:p>
      <w:pPr>
        <w:spacing w:after="0" w:line="387"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5" w:name="page26"/>
    <w:bookmarkEnd w:id="25"/>
    <w:p>
      <w:pPr>
        <w:jc w:val="both"/>
        <w:ind w:left="652" w:hanging="652"/>
        <w:spacing w:after="0" w:line="241"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Awards granted hereunder will be suspended during any unpaid leave of absence. A Participant will not cease to be an Employee in the case of (a) any leave of absence approved by the Company or (b) transfers between locations of the Company or between the Company and any of its Affiliates. For purposes of Incentive Stock Options, no such leave may exceed three (3) months, unless reemployment with the Company or any Parent or Subsidiary of the Company upon expiration of such leave is guaranteed by statute or contract. If such reemployment upon expiration of a leave of absence approved by the Company is not so guaranteed, then six (6) months following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194" w:lineRule="exact"/>
        <w:rPr>
          <w:rFonts w:ascii="Times New Roman" w:cs="Times New Roman" w:eastAsia="Times New Roman" w:hAnsi="Times New Roman"/>
          <w:sz w:val="18"/>
          <w:szCs w:val="18"/>
          <w:color w:val="auto"/>
        </w:rPr>
      </w:pPr>
    </w:p>
    <w:p>
      <w:pPr>
        <w:jc w:val="both"/>
        <w:ind w:left="652" w:hanging="652"/>
        <w:spacing w:after="0" w:line="259" w:lineRule="auto"/>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and distribution (which, for purposes of clarity, shall be deemed to include through a beneficiary designation if available in accordance with Section 6.6 of the Plan),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 of the Plan. Notwithstanding the preceding, the Company will have no obligation to effect any adjustment in such manner that will or may require the issuance of fractional Shares, and any fractional Shares resulting from any adjustment may be disregarded or provided for in any manner determined by the Administrator, in its sole discretion, subject to any Applicable Laws.</w:t>
      </w:r>
    </w:p>
    <w:p>
      <w:pPr>
        <w:spacing w:after="0" w:line="185" w:lineRule="exact"/>
        <w:rPr>
          <w:rFonts w:ascii="Times New Roman" w:cs="Times New Roman" w:eastAsia="Times New Roman" w:hAnsi="Times New Roman"/>
          <w:sz w:val="18"/>
          <w:szCs w:val="18"/>
          <w:color w:val="auto"/>
        </w:rPr>
      </w:pPr>
    </w:p>
    <w:p>
      <w:pPr>
        <w:ind w:left="1292"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spacing w:after="0" w:line="379"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6" w:name="page27"/>
    <w:bookmarkEnd w:id="26"/>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0563C1"/>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merger of the Company with or into another corporation or other entity or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Awards will be continued by the Company, subject to any adjustment pursuant to Section 15.1 of the Plan; (c) upon written notice to a Participant, that the Participant’s Awards will terminate upon or immediately prior to the consummation of such merger or Change in Control; (d)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(e) (i) the termination of an Award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(f)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purposes of this Section 15.3 and Section 15.4 of the Plan,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Award, or Other Stock-Based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389" w:lineRule="exact"/>
        <w:rPr>
          <w:sz w:val="20"/>
          <w:szCs w:val="20"/>
          <w:color w:val="auto"/>
        </w:rPr>
      </w:pPr>
    </w:p>
    <w:p>
      <w:pPr>
        <w:ind w:left="8760"/>
        <w:spacing w:after="0"/>
        <w:rPr>
          <w:sz w:val="20"/>
          <w:szCs w:val="20"/>
          <w:color w:val="auto"/>
        </w:rPr>
      </w:pPr>
      <w:r>
        <w:rPr>
          <w:sz w:val="1"/>
          <w:szCs w:val="1"/>
          <w:color w:val="auto"/>
        </w:rPr>
        <w:drawing>
          <wp:inline distT="0" distB="0" distL="0" distR="0">
            <wp:extent cx="1011555" cy="2743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7" w:name="page28"/>
    <w:bookmarkEnd w:id="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applicable under Section 409A.</w:t>
      </w:r>
    </w:p>
    <w:p>
      <w:pPr>
        <w:spacing w:after="0" w:line="183"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b w:val="1"/>
          <w:bCs w:val="1"/>
          <w:color w:val="auto"/>
        </w:rPr>
        <w:t>Effect of a Change in Control</w:t>
      </w:r>
      <w:r>
        <w:rPr>
          <w:rFonts w:ascii="Times New Roman" w:cs="Times New Roman" w:eastAsia="Times New Roman" w:hAnsi="Times New Roman"/>
          <w:sz w:val="18"/>
          <w:szCs w:val="18"/>
          <w:color w:val="auto"/>
        </w:rPr>
        <w:t>. Unless and until otherwise determined by the Administrator for Awards granted after the date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(pursuant to the Administrator’s authority under the Plan, including (but not limited to) Section 15.3 and Section 4.2), the provisions of this Section 15.4 shall apply in the case of a Change in Control, unless otherwise provided in the applicable Award Agreement or separate written authorized agreement with a Participant governing the specific Award.</w:t>
      </w:r>
    </w:p>
    <w:p>
      <w:pPr>
        <w:spacing w:after="0" w:line="176" w:lineRule="exact"/>
        <w:rPr>
          <w:sz w:val="20"/>
          <w:szCs w:val="20"/>
          <w:color w:val="auto"/>
        </w:rPr>
      </w:pPr>
    </w:p>
    <w:p>
      <w:pPr>
        <w:jc w:val="both"/>
        <w:ind w:left="130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15.4.1.</w:t>
      </w:r>
      <w:r>
        <w:rPr>
          <w:sz w:val="20"/>
          <w:szCs w:val="20"/>
          <w:color w:val="auto"/>
        </w:rPr>
        <w:tab/>
      </w:r>
      <w:r>
        <w:rPr>
          <w:rFonts w:ascii="Times New Roman" w:cs="Times New Roman" w:eastAsia="Times New Roman" w:hAnsi="Times New Roman"/>
          <w:sz w:val="18"/>
          <w:szCs w:val="18"/>
          <w:b w:val="1"/>
          <w:bCs w:val="1"/>
          <w:color w:val="auto"/>
        </w:rPr>
        <w:t>Awards Assumed or Substituted</w:t>
      </w:r>
      <w:r>
        <w:rPr>
          <w:rFonts w:ascii="Times New Roman" w:cs="Times New Roman" w:eastAsia="Times New Roman" w:hAnsi="Times New Roman"/>
          <w:sz w:val="18"/>
          <w:szCs w:val="18"/>
          <w:color w:val="auto"/>
        </w:rPr>
        <w:t>. With respect to Awards assumed by the Surviving Corporation (or an affiliate thereof)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continued or substituted in connection with a Change in Control, as described in Section 15.3 of the Plan: if within one year after the effective date of the Change in Control, a Participant’s employment is terminated without Cause or the Participant resigns for Good Reason, then:</w:t>
      </w:r>
    </w:p>
    <w:p>
      <w:pPr>
        <w:spacing w:after="0" w:line="180" w:lineRule="exact"/>
        <w:rPr>
          <w:sz w:val="20"/>
          <w:szCs w:val="20"/>
          <w:color w:val="auto"/>
        </w:rPr>
      </w:pPr>
    </w:p>
    <w:p>
      <w:pPr>
        <w:jc w:val="both"/>
        <w:ind w:left="1940" w:hanging="324"/>
        <w:spacing w:after="0" w:line="266" w:lineRule="auto"/>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175" w:lineRule="exact"/>
        <w:rPr>
          <w:rFonts w:ascii="Times New Roman" w:cs="Times New Roman" w:eastAsia="Times New Roman" w:hAnsi="Times New Roman"/>
          <w:sz w:val="18"/>
          <w:szCs w:val="18"/>
          <w:color w:val="auto"/>
        </w:rPr>
      </w:pPr>
    </w:p>
    <w:p>
      <w:pPr>
        <w:ind w:left="1940" w:right="20" w:hanging="324"/>
        <w:spacing w:after="0" w:line="282" w:lineRule="auto"/>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that Participant’s outstanding Awards other than Options and SARs that are subject to time-based vesting restrictions shall become vested and such restrictions shall lapse as of the date of termination; and</w:t>
      </w:r>
    </w:p>
    <w:p>
      <w:pPr>
        <w:spacing w:after="0" w:line="161" w:lineRule="exact"/>
        <w:rPr>
          <w:rFonts w:ascii="Times New Roman" w:cs="Times New Roman" w:eastAsia="Times New Roman" w:hAnsi="Times New Roman"/>
          <w:sz w:val="18"/>
          <w:szCs w:val="18"/>
          <w:color w:val="auto"/>
        </w:rPr>
      </w:pPr>
    </w:p>
    <w:p>
      <w:pPr>
        <w:jc w:val="both"/>
        <w:ind w:left="1940" w:hanging="324"/>
        <w:spacing w:after="0" w:line="256" w:lineRule="auto"/>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thirty (30) days following the date of termination of employment (unless a later date is required by Section 12 of the Plan), based upon the length of time within the performance period that has elapsed prior to the date of termination of employment.</w:t>
      </w:r>
    </w:p>
    <w:p>
      <w:pPr>
        <w:spacing w:after="0" w:line="383" w:lineRule="exact"/>
        <w:rPr>
          <w:sz w:val="20"/>
          <w:szCs w:val="20"/>
          <w:color w:val="auto"/>
        </w:rPr>
      </w:pPr>
    </w:p>
    <w:p>
      <w:pPr>
        <w:ind w:left="8760"/>
        <w:spacing w:after="0"/>
        <w:rPr>
          <w:sz w:val="20"/>
          <w:szCs w:val="20"/>
          <w:color w:val="auto"/>
        </w:rPr>
      </w:pPr>
      <w:r>
        <w:rPr>
          <w:sz w:val="1"/>
          <w:szCs w:val="1"/>
          <w:color w:val="auto"/>
        </w:rPr>
        <w:drawing>
          <wp:inline distT="0" distB="0" distL="0" distR="0">
            <wp:extent cx="1011555" cy="27432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With regard to each Award, a Participant shall not be considered to have resigned for Good Reason unless the Award Agreement includes such provision. To the extent that this provision causes Incentive Stock Options to exceed the dollar limitation set forth in Code Section 422(d), the excess Options shall be deemed to be Nonstatutory Stock Options.</w:t>
      </w:r>
    </w:p>
    <w:p>
      <w:pPr>
        <w:spacing w:after="0" w:line="172"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15.4.2.</w:t>
      </w:r>
      <w:r>
        <w:rPr>
          <w:sz w:val="20"/>
          <w:szCs w:val="20"/>
          <w:color w:val="auto"/>
        </w:rPr>
        <w:tab/>
      </w:r>
      <w:r>
        <w:rPr>
          <w:rFonts w:ascii="Times New Roman" w:cs="Times New Roman" w:eastAsia="Times New Roman" w:hAnsi="Times New Roman"/>
          <w:sz w:val="18"/>
          <w:szCs w:val="18"/>
          <w:b w:val="1"/>
          <w:bCs w:val="1"/>
          <w:color w:val="auto"/>
        </w:rPr>
        <w:t>Awards Not Assumed or Substituted</w:t>
      </w:r>
      <w:r>
        <w:rPr>
          <w:rFonts w:ascii="Times New Roman" w:cs="Times New Roman" w:eastAsia="Times New Roman" w:hAnsi="Times New Roman"/>
          <w:sz w:val="18"/>
          <w:szCs w:val="18"/>
          <w:color w:val="auto"/>
        </w:rPr>
        <w:t>. Upon the occurrence of a Change in Control, and except with respect to any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by the Surviving Corporation (or an affiliate thereof) or otherwise continued or substituted in connection with the Change in Control, as described in Section 15.3 of the Plan and in a manner approved by the Administrator or the Board:</w:t>
      </w:r>
    </w:p>
    <w:p>
      <w:pPr>
        <w:spacing w:after="0" w:line="175" w:lineRule="exact"/>
        <w:rPr>
          <w:sz w:val="20"/>
          <w:szCs w:val="20"/>
          <w:color w:val="auto"/>
        </w:rPr>
      </w:pPr>
    </w:p>
    <w:p>
      <w:pPr>
        <w:ind w:left="1940" w:hanging="324"/>
        <w:spacing w:after="0" w:line="282" w:lineRule="auto"/>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SARs, and other Awards in the nature of rights that may be exercised that are subject to time-based vesting requirements shall become vested and fully exercisable as of the effective date of the Change in Control;</w:t>
      </w:r>
    </w:p>
    <w:p>
      <w:pPr>
        <w:spacing w:after="0" w:line="161" w:lineRule="exact"/>
        <w:rPr>
          <w:rFonts w:ascii="Times New Roman" w:cs="Times New Roman" w:eastAsia="Times New Roman" w:hAnsi="Times New Roman"/>
          <w:sz w:val="18"/>
          <w:szCs w:val="18"/>
          <w:color w:val="auto"/>
        </w:rPr>
      </w:pPr>
    </w:p>
    <w:p>
      <w:pPr>
        <w:ind w:left="1940" w:right="20" w:hanging="324"/>
        <w:spacing w:after="0" w:line="282" w:lineRule="auto"/>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Awards other than Options and SARs that are subject to time-based vesting restrictions shall become vested and such restrictions shall lapse as of the effective date of the Change in Control, and</w:t>
      </w:r>
    </w:p>
    <w:p>
      <w:pPr>
        <w:spacing w:after="0" w:line="161" w:lineRule="exact"/>
        <w:rPr>
          <w:rFonts w:ascii="Times New Roman" w:cs="Times New Roman" w:eastAsia="Times New Roman" w:hAnsi="Times New Roman"/>
          <w:sz w:val="18"/>
          <w:szCs w:val="18"/>
          <w:color w:val="auto"/>
        </w:rPr>
      </w:pPr>
    </w:p>
    <w:p>
      <w:pPr>
        <w:jc w:val="both"/>
        <w:ind w:left="1940" w:hanging="324"/>
        <w:spacing w:after="0" w:line="258" w:lineRule="auto"/>
        <w:tabs>
          <w:tab w:leader="none" w:pos="1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payout level under all outstanding Awards that are subject to performance-based vesting requirements shall be deemed to have been 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12 of the Plan), based upon the length of time within the performance period that has elapsed prior to the Change in Control.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this provision causes Incentive Stock Options to exceed the dollar limitation set forth in Code Section 422(d), the excess Options shall be deemed to be Nonstatutory Stock Options.</w:t>
      </w:r>
    </w:p>
    <w:p>
      <w:pPr>
        <w:spacing w:after="0" w:line="158"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b w:val="1"/>
          <w:bCs w:val="1"/>
          <w:color w:val="auto"/>
        </w:rPr>
        <w:t>Outside Director Awards</w:t>
      </w:r>
      <w:r>
        <w:rPr>
          <w:rFonts w:ascii="Times New Roman" w:cs="Times New Roman" w:eastAsia="Times New Roman" w:hAnsi="Times New Roman"/>
          <w:sz w:val="18"/>
          <w:szCs w:val="18"/>
          <w:color w:val="auto"/>
        </w:rPr>
        <w:t>. With respect to Awards granted to an Outside Director while such individual was an Outside Director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continued or substituted for, as described in Section 15.3 of the Plan, if on the date of or following such assumption, continuation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385" w:lineRule="exact"/>
        <w:rPr>
          <w:sz w:val="20"/>
          <w:szCs w:val="20"/>
          <w:color w:val="auto"/>
        </w:rPr>
      </w:pPr>
    </w:p>
    <w:p>
      <w:pPr>
        <w:ind w:left="8760"/>
        <w:spacing w:after="0"/>
        <w:rPr>
          <w:sz w:val="20"/>
          <w:szCs w:val="20"/>
          <w:color w:val="auto"/>
        </w:rPr>
      </w:pPr>
      <w:r>
        <w:rPr>
          <w:sz w:val="1"/>
          <w:szCs w:val="1"/>
          <w:color w:val="auto"/>
        </w:rPr>
        <w:drawing>
          <wp:inline distT="0" distB="0" distL="0" distR="0">
            <wp:extent cx="1011555" cy="2743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ind w:left="652" w:hanging="652"/>
        <w:spacing w:after="0"/>
        <w:tabs>
          <w:tab w:leader="none" w:pos="6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p>
    <w:p>
      <w:pPr>
        <w:spacing w:after="0" w:line="225" w:lineRule="exact"/>
        <w:rPr>
          <w:rFonts w:ascii="Times New Roman" w:cs="Times New Roman" w:eastAsia="Times New Roman" w:hAnsi="Times New Roman"/>
          <w:sz w:val="18"/>
          <w:szCs w:val="18"/>
          <w:color w:val="auto"/>
        </w:rPr>
      </w:pPr>
    </w:p>
    <w:p>
      <w:pPr>
        <w:ind w:left="1292"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the Tax-Related Items.</w:t>
      </w:r>
    </w:p>
    <w:p>
      <w:pPr>
        <w:spacing w:after="0" w:line="179" w:lineRule="exact"/>
        <w:rPr>
          <w:rFonts w:ascii="Times New Roman" w:cs="Times New Roman" w:eastAsia="Times New Roman" w:hAnsi="Times New Roman"/>
          <w:sz w:val="18"/>
          <w:szCs w:val="18"/>
          <w:color w:val="auto"/>
        </w:rPr>
      </w:pPr>
    </w:p>
    <w:p>
      <w:pPr>
        <w:ind w:left="1292" w:hanging="64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b w:val="1"/>
          <w:bCs w:val="1"/>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in each case, provided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or non-U.S. marginal income tax rates and rates applicable to other Tax-Related Items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Tax-Related Items are required to be withheld.</w:t>
      </w:r>
    </w:p>
    <w:p>
      <w:pPr>
        <w:spacing w:after="0" w:line="389"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0" w:name="page31"/>
    <w:bookmarkEnd w:id="30"/>
    <w:p>
      <w:pPr>
        <w:jc w:val="both"/>
        <w:ind w:left="652" w:hanging="652"/>
        <w:spacing w:after="0" w:line="262"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service relationship with the Company or any of its Affiliates, as applicable, nor will they interfere in any way with the Participant’s right or the right of the Company and its Affiliates, as applicable, to terminate such relationship at any time with or without cause, free from any liability or claim under the Plan, to the extent permitted by Applicable Laws.</w:t>
      </w:r>
    </w:p>
    <w:p>
      <w:pPr>
        <w:spacing w:after="0" w:line="176" w:lineRule="exact"/>
        <w:rPr>
          <w:rFonts w:ascii="Times New Roman" w:cs="Times New Roman" w:eastAsia="Times New Roman" w:hAnsi="Times New Roman"/>
          <w:sz w:val="18"/>
          <w:szCs w:val="18"/>
          <w:color w:val="auto"/>
        </w:rPr>
      </w:pPr>
    </w:p>
    <w:p>
      <w:pPr>
        <w:jc w:val="both"/>
        <w:ind w:left="652" w:hanging="652"/>
        <w:spacing w:after="0" w:line="268"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70"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Subject to Section 23 of the Plan, the Plan will become effective upon the later to occur of (a) its initial adoption by the Board, or</w:t>
      </w:r>
    </w:p>
    <w:p>
      <w:pPr>
        <w:spacing w:after="0" w:line="31" w:lineRule="exact"/>
        <w:rPr>
          <w:rFonts w:ascii="Times New Roman" w:cs="Times New Roman" w:eastAsia="Times New Roman" w:hAnsi="Times New Roman"/>
          <w:sz w:val="18"/>
          <w:szCs w:val="18"/>
          <w:color w:val="auto"/>
        </w:rPr>
      </w:pPr>
    </w:p>
    <w:p>
      <w:pPr>
        <w:jc w:val="both"/>
        <w:ind w:left="652" w:hanging="4"/>
        <w:spacing w:after="0" w:line="253" w:lineRule="auto"/>
        <w:tabs>
          <w:tab w:leader="none" w:pos="9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approval by the Company’s stockholders. The Plan will continue in effect until the ten (10) year anniversary of the Plan’s effective date, unless terminated earlier under Section 20 of the Plan. Notwithstanding the foregoing, no Options that qualify as incentive stock options within the meaning of Code Section 422 may be granted after ten (10) years from the earlier of the Board or stockholder approval of the Plan (or if earlier, upon termination of the Plan pursuant to Section 20 of the Plan).</w:t>
      </w:r>
    </w:p>
    <w:p>
      <w:pPr>
        <w:spacing w:after="0" w:line="184"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in its sole discretion, may amend, alter, suspend or terminate the Plan, or any part thereof, at any time and for any reason.</w:t>
      </w:r>
    </w:p>
    <w:p>
      <w:pPr>
        <w:spacing w:after="0" w:line="154" w:lineRule="exact"/>
        <w:rPr>
          <w:rFonts w:ascii="Times New Roman" w:cs="Times New Roman" w:eastAsia="Times New Roman" w:hAnsi="Times New Roman"/>
          <w:sz w:val="18"/>
          <w:szCs w:val="18"/>
          <w:color w:val="auto"/>
        </w:rPr>
      </w:pPr>
    </w:p>
    <w:p>
      <w:pPr>
        <w:ind w:left="1292"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54" w:lineRule="exact"/>
        <w:rPr>
          <w:rFonts w:ascii="Times New Roman" w:cs="Times New Roman" w:eastAsia="Times New Roman" w:hAnsi="Times New Roman"/>
          <w:sz w:val="18"/>
          <w:szCs w:val="18"/>
          <w:color w:val="auto"/>
        </w:rPr>
      </w:pPr>
    </w:p>
    <w:p>
      <w:pPr>
        <w:ind w:left="1292"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the Plan will not affect the Administrator’s ability to exercise the powers granted to it hereunder with respect to Awards granted under the Plan prior to the date of such termination.</w:t>
      </w:r>
    </w:p>
    <w:p>
      <w:pPr>
        <w:spacing w:after="0" w:line="382"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1" w:name="page32"/>
    <w:bookmarkEnd w:id="31"/>
    <w:p>
      <w:pPr>
        <w:ind w:left="652" w:hanging="652"/>
        <w:spacing w:after="0"/>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92"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will not be issued pursuant to an Award, including without limitation upon exercise or vesting thereof, as applicable, unless the issuance and delivery of such Shares and unless the exercise or vesting of the Award, if and as applicable, and the issuance and delivery of such Shares will comply with Applicable Laws. If required by the Administrator, issuance will be further subject to the approval of counsel for the Company with respect to such compliance.</w:t>
      </w:r>
    </w:p>
    <w:p>
      <w:pPr>
        <w:spacing w:after="0" w:line="176" w:lineRule="exact"/>
        <w:rPr>
          <w:rFonts w:ascii="Times New Roman" w:cs="Times New Roman" w:eastAsia="Times New Roman" w:hAnsi="Times New Roman"/>
          <w:sz w:val="18"/>
          <w:szCs w:val="18"/>
          <w:color w:val="auto"/>
        </w:rPr>
      </w:pPr>
    </w:p>
    <w:p>
      <w:pPr>
        <w:ind w:left="1292"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of an Option or SAR, issuance of Restricted Stock, or vesting or settlement of any other Award, the Company may require the person exercising or receiving such issuance, vesting or settlement to represent and warrant at the time of any such exercise, issuance, vesting or settlement that the Shares are being acquired only for investment and without any present intention to sell or distribute such Shares if, in the opinion of counsel for the Company, such a representation is required.</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If the Company determines it to be impossible or impractical to obtain authority from any regulatory body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82" w:lineRule="exact"/>
        <w:rPr>
          <w:rFonts w:ascii="Times New Roman" w:cs="Times New Roman" w:eastAsia="Times New Roman" w:hAnsi="Times New Roman"/>
          <w:sz w:val="18"/>
          <w:szCs w:val="18"/>
          <w:color w:val="auto"/>
        </w:rPr>
      </w:pPr>
    </w:p>
    <w:p>
      <w:pPr>
        <w:ind w:left="652" w:right="20" w:hanging="652"/>
        <w:spacing w:after="0" w:line="286"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adopted by the Board. Such stockholder approval will be obtained in the manner and to the degree required under Applicable Laws.</w:t>
      </w:r>
    </w:p>
    <w:p>
      <w:pPr>
        <w:spacing w:after="0" w:line="154" w:lineRule="exact"/>
        <w:rPr>
          <w:rFonts w:ascii="Times New Roman" w:cs="Times New Roman" w:eastAsia="Times New Roman" w:hAnsi="Times New Roman"/>
          <w:sz w:val="18"/>
          <w:szCs w:val="18"/>
          <w:color w:val="auto"/>
        </w:rPr>
      </w:pPr>
    </w:p>
    <w:p>
      <w:pPr>
        <w:jc w:val="both"/>
        <w:ind w:left="652" w:hanging="652"/>
        <w:spacing w:after="0" w:line="252" w:lineRule="auto"/>
        <w:tabs>
          <w:tab w:leader="none" w:pos="6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an employee and/or other service provider. Notwithstanding any provisions to the contrary under this Plan, all Awards granted under the Plan will be subject to reduction, cancellation, forfeiture, recoupment, reimbursement, or reacquisition under any clawback policy that may be in effect at grant or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or other Applicable Laws (collectively,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Affiliate.</w:t>
      </w:r>
    </w:p>
    <w:p>
      <w:pPr>
        <w:spacing w:after="0" w:line="394" w:lineRule="exact"/>
        <w:rPr>
          <w:sz w:val="20"/>
          <w:szCs w:val="20"/>
          <w:color w:val="auto"/>
        </w:rPr>
      </w:pPr>
    </w:p>
    <w:p>
      <w:pPr>
        <w:ind w:left="9412"/>
        <w:spacing w:after="0"/>
        <w:rPr>
          <w:sz w:val="20"/>
          <w:szCs w:val="20"/>
          <w:color w:val="auto"/>
        </w:rPr>
      </w:pPr>
      <w:r>
        <w:rPr>
          <w:sz w:val="1"/>
          <w:szCs w:val="1"/>
          <w:color w:val="auto"/>
        </w:rPr>
        <w:drawing>
          <wp:inline distT="0" distB="0" distL="0" distR="0">
            <wp:extent cx="1011555" cy="27432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2" w:name="page33"/>
    <w:bookmarkEnd w:id="32"/>
    <w:p>
      <w:pPr>
        <w:jc w:val="both"/>
        <w:ind w:left="660" w:hanging="652"/>
        <w:spacing w:after="0" w:line="25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The Administrator is authorized to grant Dividend Equivalents with respect to Full Value Awards granted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subject to such terms and conditions as may be selected by the Administrator. No Option or Stock Appreciation Right shall provide for Dividend Equivalents. Dividend Equivalents, if any, will be credited to an Award in such form and manner as determined by the Administrator in its sole discretion, subject to the following. Dividend Equivalents will be subject to the same vesting provisions as the Awards to which they relate and while amounts may accrue while the Dividend Equivalent is unvested, the amounts payable with respect to Dividend Equivalents will not be paid before the Dividend Equivalent or the Award to which it relates vests. In the event of a dividend or distribution paid in Shares or any other adjustment made upon a change in the capital structure of the Company as described in Section 15 (excluding ordinary dividends or other ordinary distributions), appropriate adjustments will be made to the Participant’s Award and the associated Dividend Equivalent as provided in Section 15 (which Section 15 will control over this Section 25).</w:t>
      </w:r>
    </w:p>
    <w:p>
      <w:pPr>
        <w:spacing w:after="0" w:line="188"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Rights to Awards</w:t>
      </w:r>
      <w:r>
        <w:rPr>
          <w:rFonts w:ascii="Times New Roman" w:cs="Times New Roman" w:eastAsia="Times New Roman" w:hAnsi="Times New Roman"/>
          <w:sz w:val="18"/>
          <w:szCs w:val="18"/>
          <w:color w:val="auto"/>
        </w:rPr>
        <w:t>. No Service Provider shall have any claim to be granted any Award pursuant to the Plan, and the Administrator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treat Service Providers, Participants or any other persons uniformly.</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Plan and all determinations made and actions taken pursuant hereto shall be governed by the laws of the U.S.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giving effect to the conflict of laws principles thereof.</w:t>
      </w:r>
    </w:p>
    <w:p>
      <w:pPr>
        <w:spacing w:after="0" w:line="154"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or the application of any provision hereof to any person or circumstance is held to be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the remainder of the Plan and the application of such provision to any other person or circumstance shall not be affected, and the provisions so held to be unenforceable shall be reformed to the extent (and only to the extent) necessary to make it enforceable and valid.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20" w:lineRule="exact"/>
        <w:rPr>
          <w:sz w:val="20"/>
          <w:szCs w:val="20"/>
          <w:color w:val="auto"/>
        </w:rPr>
      </w:pPr>
    </w:p>
    <w:p>
      <w:pPr>
        <w:ind w:left="9420"/>
        <w:spacing w:after="0"/>
        <w:rPr>
          <w:sz w:val="20"/>
          <w:szCs w:val="20"/>
          <w:color w:val="auto"/>
        </w:rPr>
      </w:pPr>
      <w:r>
        <w:rPr>
          <w:sz w:val="1"/>
          <w:szCs w:val="1"/>
          <w:color w:val="auto"/>
        </w:rPr>
        <w:drawing>
          <wp:inline distT="0" distB="0" distL="0" distR="0">
            <wp:extent cx="1011555" cy="27432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01155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lvl w:ilvl="1">
      <w:lvlJc w:val="left"/>
      <w:lvlText w:val="·"/>
      <w:numFmt w:val="bullet"/>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5"/>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decimal"/>
      <w:start w:val="3"/>
    </w:lvl>
    <w:lvl w:ilvl="1">
      <w:lvlJc w:val="left"/>
      <w:lvlText w:val="(%2)"/>
      <w:numFmt w:val="lowerLetter"/>
      <w:start w:val="1"/>
    </w:lvl>
  </w:abstractNum>
  <w:abstractNum w:abstractNumId="10">
    <w:nsid w:val="333AB105"/>
    <w:multiLevelType w:val="hybridMultilevel"/>
    <w:lvl w:ilvl="0">
      <w:lvlJc w:val="left"/>
      <w:lvlText w:val="%1."/>
      <w:numFmt w:val="decimal"/>
      <w:start w:val="4"/>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5"/>
    </w:lvl>
  </w:abstractNum>
  <w:abstractNum w:abstractNumId="13">
    <w:nsid w:val="2D1D5AE9"/>
    <w:multiLevelType w:val="hybridMultilevel"/>
    <w:lvl w:ilvl="0">
      <w:lvlJc w:val="left"/>
      <w:lvlText w:val="(%1)"/>
      <w:numFmt w:val="lowerLetter"/>
      <w:start w:val="12"/>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3"/>
    </w:lvl>
  </w:abstractNum>
  <w:abstractNum w:abstractNumId="16">
    <w:nsid w:val="8EDBDAB"/>
    <w:multiLevelType w:val="hybridMultilevel"/>
    <w:lvl w:ilvl="0">
      <w:lvlJc w:val="left"/>
      <w:lvlText w:val="%1"/>
      <w:numFmt w:val="decimal"/>
      <w:start w:val="1"/>
    </w:lvl>
    <w:lvl w:ilvl="1">
      <w:lvlJc w:val="left"/>
      <w:lvlText w:val="(%2)"/>
      <w:numFmt w:val="lowerLetter"/>
      <w:start w:val="1"/>
    </w:lvl>
  </w:abstractNum>
  <w:abstractNum w:abstractNumId="17">
    <w:nsid w:val="79838CB2"/>
    <w:multiLevelType w:val="hybridMultilevel"/>
    <w:lvl w:ilvl="0">
      <w:lvlJc w:val="left"/>
      <w:lvlText w:val="%1."/>
      <w:numFmt w:val="decimal"/>
      <w:start w:val="5"/>
    </w:lvl>
    <w:lvl w:ilvl="1">
      <w:lvlJc w:val="left"/>
      <w:lvlText w:val="%2"/>
      <w:numFmt w:val="lowerLetter"/>
      <w:start w:val="1"/>
    </w:lvl>
  </w:abstractNum>
  <w:abstractNum w:abstractNumId="18">
    <w:nsid w:val="4353D0CD"/>
    <w:multiLevelType w:val="hybridMultilevel"/>
    <w:lvl w:ilvl="0">
      <w:lvlJc w:val="left"/>
      <w:lvlText w:val="%1."/>
      <w:numFmt w:val="decimal"/>
      <w:start w:val="6"/>
    </w:lvl>
  </w:abstractNum>
  <w:abstractNum w:abstractNumId="19">
    <w:nsid w:val="B03E0C6"/>
    <w:multiLevelType w:val="hybridMultilevel"/>
    <w:lvl w:ilvl="0">
      <w:lvlJc w:val="left"/>
      <w:lvlText w:val="(%1)"/>
      <w:numFmt w:val="lowerLetter"/>
      <w:start w:val="6"/>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decimal"/>
      <w:start w:val="7"/>
    </w:lvl>
    <w:lvl w:ilvl="1">
      <w:lvlJc w:val="left"/>
      <w:lvlText w:val="(%2)"/>
      <w:numFmt w:val="lowerLetter"/>
      <w:start w:val="1"/>
    </w:lvl>
  </w:abstractNum>
  <w:abstractNum w:abstractNumId="22">
    <w:nsid w:val="71F32454"/>
    <w:multiLevelType w:val="hybridMultilevel"/>
    <w:lvl w:ilvl="0">
      <w:lvlJc w:val="left"/>
      <w:lvlText w:val="%1."/>
      <w:numFmt w:val="decimal"/>
      <w:start w:val="8"/>
    </w:lvl>
  </w:abstractNum>
  <w:abstractNum w:abstractNumId="23">
    <w:nsid w:val="2CA88611"/>
    <w:multiLevelType w:val="hybridMultilevel"/>
    <w:lvl w:ilvl="0">
      <w:lvlJc w:val="left"/>
      <w:lvlText w:val="%1."/>
      <w:numFmt w:val="decimal"/>
      <w:start w:val="9"/>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decimal"/>
      <w:start w:val="13"/>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6"/>
    </w:lvl>
  </w:abstractNum>
  <w:abstractNum w:abstractNumId="29">
    <w:nsid w:val="7C3DBD3D"/>
    <w:multiLevelType w:val="hybridMultilevel"/>
    <w:lvl w:ilvl="0">
      <w:lvlJc w:val="left"/>
      <w:lvlText w:val="%1."/>
      <w:numFmt w:val="decimal"/>
      <w:start w:val="17"/>
    </w:lvl>
    <w:lvl w:ilvl="1">
      <w:lvlJc w:val="left"/>
      <w:lvlText w:val="(%2)"/>
      <w:numFmt w:val="lowerLetter"/>
      <w:start w:val="2"/>
    </w:lvl>
  </w:abstractNum>
  <w:abstractNum w:abstractNumId="30">
    <w:nsid w:val="737B8DDC"/>
    <w:multiLevelType w:val="hybridMultilevel"/>
    <w:lvl w:ilvl="0">
      <w:lvlJc w:val="left"/>
      <w:lvlText w:val="%1."/>
      <w:numFmt w:val="decimal"/>
      <w:start w:val="21"/>
    </w:lvl>
  </w:abstractNum>
  <w:abstractNum w:abstractNumId="31">
    <w:nsid w:val="6CEAF087"/>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jpeg"/><Relationship Id="rId29" Type="http://schemas.openxmlformats.org/officeDocument/2006/relationships/image" Target="media/image20.png"/><Relationship Id="rId30" Type="http://schemas.openxmlformats.org/officeDocument/2006/relationships/image" Target="media/image21.jpeg"/><Relationship Id="rId31" Type="http://schemas.openxmlformats.org/officeDocument/2006/relationships/image" Target="media/image22.png"/><Relationship Id="rId32" Type="http://schemas.openxmlformats.org/officeDocument/2006/relationships/image" Target="media/image23.jpeg"/><Relationship Id="rId33" Type="http://schemas.openxmlformats.org/officeDocument/2006/relationships/image" Target="media/image24.pn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jpeg"/><Relationship Id="rId37" Type="http://schemas.openxmlformats.org/officeDocument/2006/relationships/image" Target="media/image28.png"/><Relationship Id="rId38" Type="http://schemas.openxmlformats.org/officeDocument/2006/relationships/image" Target="media/image29.jpeg"/><Relationship Id="rId39" Type="http://schemas.openxmlformats.org/officeDocument/2006/relationships/image" Target="media/image30.png"/><Relationship Id="rId40" Type="http://schemas.openxmlformats.org/officeDocument/2006/relationships/image" Target="media/image31.jpeg"/><Relationship Id="rId41" Type="http://schemas.openxmlformats.org/officeDocument/2006/relationships/image" Target="media/image32.png"/><Relationship Id="rId42" Type="http://schemas.openxmlformats.org/officeDocument/2006/relationships/image" Target="media/image33.jpeg"/><Relationship Id="rId43" Type="http://schemas.openxmlformats.org/officeDocument/2006/relationships/image" Target="media/image34.png"/><Relationship Id="rId44" Type="http://schemas.openxmlformats.org/officeDocument/2006/relationships/image" Target="media/image35.jpeg"/><Relationship Id="rId45" Type="http://schemas.openxmlformats.org/officeDocument/2006/relationships/image" Target="media/image36.png"/><Relationship Id="rId46" Type="http://schemas.openxmlformats.org/officeDocument/2006/relationships/image" Target="media/image37.jpeg"/><Relationship Id="rId47" Type="http://schemas.openxmlformats.org/officeDocument/2006/relationships/image" Target="media/image38.png"/><Relationship Id="rId48" Type="http://schemas.openxmlformats.org/officeDocument/2006/relationships/image" Target="media/image39.jpeg"/><Relationship Id="rId49"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png"/><Relationship Id="rId52" Type="http://schemas.openxmlformats.org/officeDocument/2006/relationships/image" Target="media/image43.jpe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png"/><Relationship Id="rId56" Type="http://schemas.openxmlformats.org/officeDocument/2006/relationships/image" Target="media/image47.jpeg"/><Relationship Id="rId57" Type="http://schemas.openxmlformats.org/officeDocument/2006/relationships/image" Target="media/image48.png"/><Relationship Id="rId58" Type="http://schemas.openxmlformats.org/officeDocument/2006/relationships/image" Target="media/image49.jpeg"/><Relationship Id="rId59" Type="http://schemas.openxmlformats.org/officeDocument/2006/relationships/image" Target="media/image50.png"/><Relationship Id="rId60" Type="http://schemas.openxmlformats.org/officeDocument/2006/relationships/image" Target="media/image51.jpe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jpeg"/><Relationship Id="rId65" Type="http://schemas.openxmlformats.org/officeDocument/2006/relationships/image" Target="media/image56.pn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jpeg"/><Relationship Id="rId73" Type="http://schemas.openxmlformats.org/officeDocument/2006/relationships/image" Target="media/image64.png"/><Relationship Id="rId18" Type="http://schemas.openxmlformats.org/officeDocument/2006/relationships/hyperlink" Target="https://www.sec.gov/ix?doc=/Archives/edgar/data/723125/000072312522000053/mu-20221103.htm" TargetMode="External"/><Relationship Id="rId19" Type="http://schemas.openxmlformats.org/officeDocument/2006/relationships/hyperlink" Target="https://www.sec.gov/ix?doc=/Archives/edgar/data/723125/000072312523000004/mu-20230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2025-01-21T15:08:15Z</dcterms:created>
  <dcterms:modified xsi:type="dcterms:W3CDTF">2025-01-21T15:08:15Z</dcterms:modified>
</cp:coreProperties>
</file>