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21,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1221740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March 21, 2013, the Company announced its financial results for the second quarter ended February 28, 2013.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March 21, 2013</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212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840" w:type="dxa"/>
            <w:vAlign w:val="bottom"/>
          </w:tcPr>
          <w:p>
            <w:pPr>
              <w:spacing w:after="0"/>
              <w:rPr>
                <w:sz w:val="20"/>
                <w:szCs w:val="20"/>
                <w:color w:val="auto"/>
              </w:rPr>
            </w:pPr>
            <w:r>
              <w:rPr>
                <w:rFonts w:ascii="Arial" w:cs="Arial" w:eastAsia="Arial" w:hAnsi="Arial"/>
                <w:sz w:val="18"/>
                <w:szCs w:val="18"/>
                <w:color w:val="auto"/>
              </w:rPr>
              <w:t>Date:  March 21, 2013</w:t>
            </w:r>
          </w:p>
        </w:tc>
        <w:tc>
          <w:tcPr>
            <w:tcW w:w="3140" w:type="dxa"/>
            <w:vAlign w:val="bottom"/>
          </w:tcPr>
          <w:p>
            <w:pPr>
              <w:ind w:left="21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3840" w:type="dxa"/>
            <w:vAlign w:val="bottom"/>
          </w:tcPr>
          <w:p>
            <w:pPr>
              <w:spacing w:after="0"/>
              <w:rPr>
                <w:sz w:val="16"/>
                <w:szCs w:val="16"/>
                <w:color w:val="auto"/>
              </w:rPr>
            </w:pPr>
          </w:p>
        </w:tc>
        <w:tc>
          <w:tcPr>
            <w:tcW w:w="314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3840" w:type="dxa"/>
            <w:vAlign w:val="bottom"/>
          </w:tcPr>
          <w:p>
            <w:pPr>
              <w:spacing w:after="0"/>
              <w:rPr>
                <w:sz w:val="18"/>
                <w:szCs w:val="18"/>
                <w:color w:val="auto"/>
              </w:rPr>
            </w:pPr>
          </w:p>
        </w:tc>
        <w:tc>
          <w:tcPr>
            <w:tcW w:w="3140" w:type="dxa"/>
            <w:vAlign w:val="bottom"/>
          </w:tcPr>
          <w:p>
            <w:pPr>
              <w:ind w:left="212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8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384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MARCH 21, 2013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March 21, 2013</w:t>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160" w:type="dxa"/>
            <w:vAlign w:val="bottom"/>
          </w:tcPr>
          <w:p>
            <w:pPr>
              <w:spacing w:after="0"/>
              <w:rPr>
                <w:sz w:val="20"/>
                <w:szCs w:val="20"/>
                <w:color w:val="auto"/>
              </w:rPr>
            </w:pPr>
          </w:p>
        </w:tc>
      </w:tr>
      <w:tr>
        <w:trPr>
          <w:trHeight w:val="425"/>
        </w:trPr>
        <w:tc>
          <w:tcPr>
            <w:tcW w:w="1160" w:type="dxa"/>
            <w:vAlign w:val="bottom"/>
          </w:tcPr>
          <w:p>
            <w:pPr>
              <w:spacing w:after="0"/>
              <w:rPr>
                <w:sz w:val="20"/>
                <w:szCs w:val="20"/>
                <w:color w:val="auto"/>
              </w:rPr>
            </w:pPr>
            <w:r>
              <w:rPr>
                <w:rFonts w:ascii="Arial" w:cs="Arial" w:eastAsia="Arial" w:hAnsi="Arial"/>
                <w:sz w:val="18"/>
                <w:szCs w:val="18"/>
                <w:color w:val="auto"/>
              </w:rPr>
              <w:t>Contacts:</w:t>
            </w:r>
          </w:p>
        </w:tc>
        <w:tc>
          <w:tcPr>
            <w:tcW w:w="2460" w:type="dxa"/>
            <w:vAlign w:val="bottom"/>
          </w:tcPr>
          <w:p>
            <w:pPr>
              <w:ind w:left="460"/>
              <w:spacing w:after="0"/>
              <w:rPr>
                <w:sz w:val="20"/>
                <w:szCs w:val="20"/>
                <w:color w:val="auto"/>
              </w:rPr>
            </w:pPr>
            <w:r>
              <w:rPr>
                <w:rFonts w:ascii="Arial" w:cs="Arial" w:eastAsia="Arial" w:hAnsi="Arial"/>
                <w:sz w:val="18"/>
                <w:szCs w:val="18"/>
                <w:color w:val="auto"/>
              </w:rPr>
              <w:t>Kipp A. Bedard</w:t>
            </w:r>
          </w:p>
        </w:tc>
        <w:tc>
          <w:tcPr>
            <w:tcW w:w="2160" w:type="dxa"/>
            <w:vAlign w:val="bottom"/>
          </w:tcPr>
          <w:p>
            <w:pPr>
              <w:ind w:left="380"/>
              <w:spacing w:after="0"/>
              <w:rPr>
                <w:sz w:val="20"/>
                <w:szCs w:val="20"/>
                <w:color w:val="auto"/>
              </w:rPr>
            </w:pPr>
            <w:r>
              <w:rPr>
                <w:rFonts w:ascii="Arial" w:cs="Arial" w:eastAsia="Arial" w:hAnsi="Arial"/>
                <w:sz w:val="18"/>
                <w:szCs w:val="18"/>
                <w:color w:val="auto"/>
              </w:rPr>
              <w:t>Daniel Francisco</w:t>
            </w:r>
          </w:p>
        </w:tc>
      </w:tr>
      <w:tr>
        <w:trPr>
          <w:trHeight w:val="216"/>
        </w:trPr>
        <w:tc>
          <w:tcPr>
            <w:tcW w:w="1160" w:type="dxa"/>
            <w:vAlign w:val="bottom"/>
          </w:tcPr>
          <w:p>
            <w:pPr>
              <w:spacing w:after="0"/>
              <w:rPr>
                <w:sz w:val="18"/>
                <w:szCs w:val="18"/>
                <w:color w:val="auto"/>
              </w:rPr>
            </w:pPr>
          </w:p>
        </w:tc>
        <w:tc>
          <w:tcPr>
            <w:tcW w:w="2460" w:type="dxa"/>
            <w:vAlign w:val="bottom"/>
          </w:tcPr>
          <w:p>
            <w:pPr>
              <w:ind w:left="460"/>
              <w:spacing w:after="0"/>
              <w:rPr>
                <w:sz w:val="20"/>
                <w:szCs w:val="20"/>
                <w:color w:val="auto"/>
              </w:rPr>
            </w:pPr>
            <w:r>
              <w:rPr>
                <w:rFonts w:ascii="Arial" w:cs="Arial" w:eastAsia="Arial" w:hAnsi="Arial"/>
                <w:sz w:val="18"/>
                <w:szCs w:val="18"/>
                <w:color w:val="auto"/>
              </w:rPr>
              <w:t>Investor Relations</w:t>
            </w:r>
          </w:p>
        </w:tc>
        <w:tc>
          <w:tcPr>
            <w:tcW w:w="2160" w:type="dxa"/>
            <w:vAlign w:val="bottom"/>
          </w:tcPr>
          <w:p>
            <w:pPr>
              <w:ind w:left="380"/>
              <w:spacing w:after="0"/>
              <w:rPr>
                <w:sz w:val="20"/>
                <w:szCs w:val="20"/>
                <w:color w:val="auto"/>
              </w:rPr>
            </w:pPr>
            <w:r>
              <w:rPr>
                <w:rFonts w:ascii="Arial" w:cs="Arial" w:eastAsia="Arial" w:hAnsi="Arial"/>
                <w:sz w:val="18"/>
                <w:szCs w:val="18"/>
                <w:color w:val="auto"/>
              </w:rPr>
              <w:t>Media Relations</w:t>
            </w:r>
          </w:p>
        </w:tc>
      </w:tr>
      <w:tr>
        <w:trPr>
          <w:trHeight w:val="216"/>
        </w:trPr>
        <w:tc>
          <w:tcPr>
            <w:tcW w:w="1160" w:type="dxa"/>
            <w:vAlign w:val="bottom"/>
          </w:tcPr>
          <w:p>
            <w:pPr>
              <w:spacing w:after="0"/>
              <w:rPr>
                <w:sz w:val="18"/>
                <w:szCs w:val="18"/>
                <w:color w:val="auto"/>
              </w:rPr>
            </w:pPr>
          </w:p>
        </w:tc>
        <w:tc>
          <w:tcPr>
            <w:tcW w:w="2460" w:type="dxa"/>
            <w:vAlign w:val="bottom"/>
          </w:tcPr>
          <w:p>
            <w:pPr>
              <w:ind w:left="460"/>
              <w:spacing w:after="0"/>
              <w:rPr>
                <w:sz w:val="20"/>
                <w:szCs w:val="20"/>
                <w:color w:val="auto"/>
              </w:rPr>
            </w:pPr>
            <w:r>
              <w:rPr>
                <w:rFonts w:ascii="Arial" w:cs="Arial" w:eastAsia="Arial" w:hAnsi="Arial"/>
                <w:sz w:val="18"/>
                <w:szCs w:val="18"/>
                <w:color w:val="auto"/>
              </w:rPr>
              <w:t>kbedard@micron.com</w:t>
            </w:r>
          </w:p>
        </w:tc>
        <w:tc>
          <w:tcPr>
            <w:tcW w:w="2160" w:type="dxa"/>
            <w:vAlign w:val="bottom"/>
          </w:tcPr>
          <w:p>
            <w:pPr>
              <w:ind w:left="38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160" w:type="dxa"/>
            <w:vAlign w:val="bottom"/>
          </w:tcPr>
          <w:p>
            <w:pPr>
              <w:spacing w:after="0"/>
              <w:rPr>
                <w:sz w:val="20"/>
                <w:szCs w:val="20"/>
                <w:color w:val="auto"/>
              </w:rPr>
            </w:pPr>
          </w:p>
        </w:tc>
        <w:tc>
          <w:tcPr>
            <w:tcW w:w="2460" w:type="dxa"/>
            <w:vAlign w:val="bottom"/>
          </w:tcPr>
          <w:p>
            <w:pPr>
              <w:ind w:left="460"/>
              <w:spacing w:after="0"/>
              <w:rPr>
                <w:sz w:val="20"/>
                <w:szCs w:val="20"/>
                <w:color w:val="auto"/>
              </w:rPr>
            </w:pPr>
            <w:r>
              <w:rPr>
                <w:rFonts w:ascii="Arial" w:cs="Arial" w:eastAsia="Arial" w:hAnsi="Arial"/>
                <w:sz w:val="18"/>
                <w:szCs w:val="18"/>
                <w:color w:val="auto"/>
              </w:rPr>
              <w:t>(208) 368-4465</w:t>
            </w:r>
          </w:p>
        </w:tc>
        <w:tc>
          <w:tcPr>
            <w:tcW w:w="2160" w:type="dxa"/>
            <w:vAlign w:val="bottom"/>
          </w:tcPr>
          <w:p>
            <w:pPr>
              <w:ind w:left="38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OF FISCAL 2013</w:t>
      </w:r>
    </w:p>
    <w:p>
      <w:pPr>
        <w:spacing w:after="0" w:line="200" w:lineRule="exact"/>
        <w:rPr>
          <w:sz w:val="20"/>
          <w:szCs w:val="20"/>
          <w:color w:val="auto"/>
        </w:rPr>
      </w:pPr>
    </w:p>
    <w:p>
      <w:pPr>
        <w:spacing w:after="0" w:line="277"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March 21, 2013 – Micron Technology, Inc., (NASDAQ: MU) today announced results of operations for its second quarter of fiscal 2013,</w:t>
      </w:r>
      <w:r>
        <w:rPr>
          <w:rFonts w:ascii="Arial" w:cs="Arial" w:eastAsia="Arial" w:hAnsi="Arial"/>
          <w:sz w:val="18"/>
          <w:szCs w:val="18"/>
          <w:b w:val="1"/>
          <w:bCs w:val="1"/>
          <w:color w:val="auto"/>
        </w:rPr>
        <w:t xml:space="preserve"> </w:t>
      </w:r>
      <w:r>
        <w:rPr>
          <w:rFonts w:ascii="Arial" w:cs="Arial" w:eastAsia="Arial" w:hAnsi="Arial"/>
          <w:sz w:val="18"/>
          <w:szCs w:val="18"/>
          <w:color w:val="auto"/>
        </w:rPr>
        <w:t>which ended February 28, 2013. For the second quarter, the company had a net loss attributable to Micron shareholders of $286 million, or $0.28 per diluted share, on net sales of $2.1 billion. The results for the second quarter of fiscal 2013 compare to a net loss of $275 million, or $0.27 per diluted share, on net sales of $1.8 billion for the first quarter of fiscal 2013, and a net loss of $282 million, or $0.29 per diluted share, on net sales of $2.0 billion for the second quarter of fiscal 2012.</w:t>
      </w:r>
    </w:p>
    <w:p>
      <w:pPr>
        <w:spacing w:after="0" w:line="21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Results of operations for the second quarter of fiscal 2013 include losses of $120 million from changes in the market value of the company’s currency hedges entered into in connection with its planned acquisition of Elpida Memory, Inc. and Rexchip Electronics Corporation. The results also include a loss of $62 million associated with the expected sale of the company’s 200 millimeter wafer fabrication facility in Avezzano, Italy, in the first half of calendar 2013.</w:t>
      </w:r>
    </w:p>
    <w:p>
      <w:pPr>
        <w:spacing w:after="0" w:line="17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company’s consolidated gross margin improved to 18 percent in the second quarter of fiscal 2013 compared to 12 percent in the first quarter of fiscal 2013. Gross margin improvements were realized from sales of NAND Flash products and from sales of DRAM products due to decreases in manufacturing costs.</w:t>
      </w:r>
    </w:p>
    <w:p>
      <w:pPr>
        <w:spacing w:after="0" w:line="208"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were pleased with the overall improvement in our operational performance and excited to see the effects of our restructured partnership with Inotera drive bit shipment growth during the quarter. We believe the resultant increase in capacity from existing industry production will provide us the scale we need to reinforce our leadership position,” said Micron CEO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80" w:firstLine="324"/>
        <w:spacing w:after="0" w:line="257" w:lineRule="auto"/>
        <w:rPr>
          <w:sz w:val="20"/>
          <w:szCs w:val="20"/>
          <w:color w:val="auto"/>
        </w:rPr>
      </w:pPr>
      <w:r>
        <w:rPr>
          <w:rFonts w:ascii="Arial" w:cs="Arial" w:eastAsia="Arial" w:hAnsi="Arial"/>
          <w:sz w:val="18"/>
          <w:szCs w:val="18"/>
          <w:color w:val="auto"/>
        </w:rPr>
        <w:t>Revenues from sales of DRAM products in the second quarter of fiscal 2013 were 24 percent higher compared to the first quarter of fiscal 2013, due to a 38 percent increase in sales volume partially offset by a 10 percent decrease in average selling prices. Revenues from sales of NAND Flash products were 8 percent higher in the second quarter of fiscal 2013 compared to the first quarter of fiscal 2013, primarily due to a 13 percent increase in Trade NAND Flash sales volume. Sales of NOR Flash products were 14 percent lower in the second quarter of fiscal 2013, compared to the first quarter of fiscal 2013, due to decreases in sales volumes and average selling prices.</w:t>
      </w:r>
    </w:p>
    <w:p>
      <w:pPr>
        <w:spacing w:after="0" w:line="21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Cash flows from operations for the first six months of fiscal 2013 were $470 million, while investments in capital expenditures were $891 million. In the second quarter of fiscal 2013, the company issued $600 million of convertible senior notes. In connection therewith, the company used $477 million to repurchase a portion of its 2014 notes. The company ended the quarter with cash and investments of $2.8 billion.</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The company will host a conference call Thursday, March 21 at 2:30 p.m. MDT to discuss its financial results. The call, audio and slides will be available online at </w:t>
      </w:r>
      <w:r>
        <w:rPr>
          <w:rFonts w:ascii="Arial" w:cs="Arial" w:eastAsia="Arial" w:hAnsi="Arial"/>
          <w:sz w:val="18"/>
          <w:szCs w:val="18"/>
          <w:u w:val="single" w:color="auto"/>
          <w:color w:val="auto"/>
        </w:rPr>
        <w:t>http://investors.micron.com/events.cfm</w:t>
      </w:r>
      <w:r>
        <w:rPr>
          <w:rFonts w:ascii="Arial" w:cs="Arial" w:eastAsia="Arial" w:hAnsi="Arial"/>
          <w:sz w:val="18"/>
          <w:szCs w:val="18"/>
          <w:color w:val="auto"/>
        </w:rPr>
        <w:t>. A webcast replay will be available on the company’s website until March 28, 2014. A taped audio replay of the conference call will also be available at 1-404-537-3406 or 1-855-859-2056 (conference number: 21046896) beginning at 5:30 p.m. MDT, Thursday, March 21, 2013 and continuing until 5:30 p.m. MDT, Thursday, March 28, 2013.</w:t>
      </w:r>
    </w:p>
    <w:p>
      <w:pPr>
        <w:spacing w:after="0" w:line="21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ind w:right="2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40" w:type="dxa"/>
            <w:vAlign w:val="bottom"/>
            <w:gridSpan w:val="8"/>
          </w:tcPr>
          <w:p>
            <w:pPr>
              <w:jc w:val="right"/>
              <w:ind w:right="200"/>
              <w:spacing w:after="0"/>
              <w:rPr>
                <w:sz w:val="20"/>
                <w:szCs w:val="20"/>
                <w:color w:val="auto"/>
              </w:rPr>
            </w:pPr>
            <w:r>
              <w:rPr>
                <w:rFonts w:ascii="Arial" w:cs="Arial" w:eastAsia="Arial" w:hAnsi="Arial"/>
                <w:sz w:val="18"/>
                <w:szCs w:val="18"/>
                <w:b w:val="1"/>
                <w:bCs w:val="1"/>
                <w:color w:val="auto"/>
                <w:w w:val="97"/>
              </w:rPr>
              <w:t>(in millions except per share amounts)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2nd Qtr.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1st Qtr.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2nd Qtr.</w:t>
            </w:r>
          </w:p>
        </w:tc>
        <w:tc>
          <w:tcPr>
            <w:tcW w:w="180" w:type="dxa"/>
            <w:vAlign w:val="bottom"/>
          </w:tcPr>
          <w:p>
            <w:pPr>
              <w:spacing w:after="0"/>
              <w:rPr>
                <w:sz w:val="24"/>
                <w:szCs w:val="24"/>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Feb. 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Mar. 1,</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Feb. 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goods sold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1,799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operating (income) expense, net (1)(2)</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 (2)</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tax (provision) benefit (3)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 investees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Net income attributable to noncontrolling interests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Micron</w:t>
            </w: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Basic</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982.8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 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Aug.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investments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 (4)(5)</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Micron shareholders’ equity</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equity (4)(5)</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Feb.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875"/>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(1) Other operating (income) expense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2nd Qtr.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1st Qtr.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2nd Qtr.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ind w:left="36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70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Feb. 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Nov. 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Mar.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Feb. 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 1,</w:t>
            </w:r>
          </w:p>
        </w:tc>
      </w:tr>
      <w:tr>
        <w:trPr>
          <w:trHeight w:val="241"/>
        </w:trPr>
        <w:tc>
          <w:tcPr>
            <w:tcW w:w="4700" w:type="dxa"/>
            <w:vAlign w:val="bottom"/>
          </w:tcPr>
          <w:p>
            <w:pPr>
              <w:spacing w:after="0"/>
              <w:rPr>
                <w:sz w:val="20"/>
                <w:szCs w:val="20"/>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impairment of MIT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w w:val="93"/>
              </w:rPr>
              <w:t>(Gain) loss on disposition of property, plant and equipment</w:t>
            </w:r>
          </w:p>
        </w:tc>
        <w:tc>
          <w:tcPr>
            <w:tcW w:w="9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7"/>
        </w:trPr>
        <w:tc>
          <w:tcPr>
            <w:tcW w:w="47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0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98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
        </w:trPr>
        <w:tc>
          <w:tcPr>
            <w:tcW w:w="4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spacing w:after="0" w:line="273" w:lineRule="auto"/>
        <w:rPr>
          <w:sz w:val="20"/>
          <w:szCs w:val="20"/>
          <w:color w:val="auto"/>
        </w:rPr>
      </w:pPr>
      <w:r>
        <w:rPr>
          <w:rFonts w:ascii="Arial" w:cs="Arial" w:eastAsia="Arial" w:hAnsi="Arial"/>
          <w:sz w:val="17"/>
          <w:szCs w:val="17"/>
          <w:color w:val="auto"/>
        </w:rPr>
        <w:t>On February 25, 2013, the company entered into an agreement to sell Micron Technology Italia, Srl., (“MIT”) a wholly-owned subsidiary, including its 200 millimeter semiconductor wafer fabrication facility assets in Avezzeno, Italy, to LFoundry Marsica S.R.L. (“LFoundry”). As consideration for the shares of MIT, the company expects to receive a long-term note from LFoundry. Under the terms of the agreements, the company will assign to LFoundry its supply agreement with Aptina Imaging Corporation (“Aptina”) for CMOS image sensors manufactured at the Avezzano facility. The assets and liabilities of MIT were classified as held for sale in the second quarter of fiscal 2013 and were written down to their estimated fair values. As a result, in the second quarter of fiscal 2013, the company recorded an impairment loss of $62 million.</w:t>
      </w:r>
    </w:p>
    <w:p>
      <w:pPr>
        <w:spacing w:after="0" w:line="20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Other operating income for the first quarter of fiscal 2013 included a gain of $25 million resulting from the termination of a lease by Transform Solar to a portion of the company’s manufacturing facilities in Boise, Idaho.</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Other non-operating income (expense)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2nd Qtr.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1st Qtr.</w:t>
            </w: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2nd Qtr.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Feb. 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 29,</w:t>
            </w:r>
          </w:p>
        </w:tc>
        <w:tc>
          <w:tcPr>
            <w:tcW w:w="8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8"/>
              </w:rPr>
              <w:t>Mar.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Feb. 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 1,</w:t>
            </w:r>
          </w:p>
        </w:tc>
      </w:tr>
      <w:tr>
        <w:trPr>
          <w:trHeight w:val="241"/>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Gain (loss) from changes in currency exchange rates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disposition of investments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0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Gain (loss) from changes in currency exchange rates in the second quarter and first six months of fiscal 2013 included currency losses of $120 million and $178 million, respectively, from changes in the market value of currency hedges executed in connection with the company’s planned acquisition of Elpida Memory, Inc. and Rexchip Electronics Corporation. Loss from extinguishment of debt for the second quarter of fiscal 2013 included a $31 million loss recognized in connection with the partial repurchase of the 2014 Notes.</w:t>
      </w:r>
    </w:p>
    <w:p>
      <w:pPr>
        <w:spacing w:after="0" w:line="214"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color w:val="auto"/>
        </w:rPr>
        <w:t>In order to improve comparability with the company’s industry peers, gains and losses from currency exchange rates have been reclassified to from operating to non-operating. As a result, $59 million of losses for the first quarter of fiscal 2013 and $2 million and $13 million of losses for the second quarter and first six months of fiscal 2012, respectively, were reclassified from the amounts previously reported in other operating (income) expense to other non-operating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ind w:left="308" w:right="80" w:hanging="308"/>
        <w:spacing w:after="0" w:line="257" w:lineRule="auto"/>
        <w:tabs>
          <w:tab w:leader="none" w:pos="30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taxes for the second quarter of fiscal 2013 included tax benefits of $19 million related to favorable adjustments in certain jurisdictions. Income taxes for the first six months of fiscal 2012 included a tax benefit of $14 million related to the favorable resolution of certain prior year tax matters. Remaining taxes in fiscal 2013 and 2012 primarily reflected taxes on the company’s non-U.S. operations. The company has a valuation allowance for its net deferred tax asset associated with its U.S. operations. Taxes attributable to the company’s U.S. operations in fiscal 2013 and 2012 were substantially offset by changes in the valuation allowance.</w:t>
      </w:r>
    </w:p>
    <w:p>
      <w:pPr>
        <w:spacing w:after="0" w:line="215" w:lineRule="exact"/>
        <w:rPr>
          <w:rFonts w:ascii="Arial" w:cs="Arial" w:eastAsia="Arial" w:hAnsi="Arial"/>
          <w:sz w:val="18"/>
          <w:szCs w:val="18"/>
          <w:color w:val="auto"/>
        </w:rPr>
      </w:pPr>
    </w:p>
    <w:p>
      <w:pPr>
        <w:ind w:left="308" w:right="80" w:hanging="308"/>
        <w:spacing w:after="0" w:line="271" w:lineRule="auto"/>
        <w:tabs>
          <w:tab w:leader="none" w:pos="308" w:val="left"/>
        </w:tabs>
        <w:numPr>
          <w:ilvl w:val="0"/>
          <w:numId w:val="1"/>
        </w:numPr>
        <w:rPr>
          <w:rFonts w:ascii="Arial" w:cs="Arial" w:eastAsia="Arial" w:hAnsi="Arial"/>
          <w:sz w:val="17"/>
          <w:szCs w:val="17"/>
          <w:color w:val="auto"/>
        </w:rPr>
      </w:pPr>
      <w:r>
        <w:rPr>
          <w:rFonts w:ascii="Arial" w:cs="Arial" w:eastAsia="Arial" w:hAnsi="Arial"/>
          <w:sz w:val="17"/>
          <w:szCs w:val="17"/>
          <w:color w:val="auto"/>
        </w:rPr>
        <w:t>On February 12, 2013, the company issued $300 million of 1.625% Convertible Senior Notes with a stated maturity of February 2033 (the “2033E Notes”) and $300 million of 2.125% Convertible Senior Notes with a stated maturity of February 2033 (the “2033F Notes” and, together with the 2033E Notes, the “2033 Notes”). Issuance costs for the 2033 Notes totaled $16 million. The initial conversion rates for the 2033 Notes are 91.4808 shares of common stock per $1,000 principal amount, equivalent to initial conversion prices of approximately $10.93 per share of common stock. Upon the issuance of the 2033 Notes, the company recorded $526 million of debt, $72 million of additional capital and $14 million of deferred debt issuance costs (included in other noncurrent assets). The difference between the debt recorded at inception and the principal amount ($31 million for the 2033E Notes and $43 million for the 2033F Notes) is being accreted to principal through interest expense through February 2018 for the 2033E Notes and February 2020 for the 2033F Notes, the expected life of the notes.</w:t>
      </w:r>
    </w:p>
    <w:p>
      <w:pPr>
        <w:spacing w:after="0" w:line="205" w:lineRule="exact"/>
        <w:rPr>
          <w:rFonts w:ascii="Arial" w:cs="Arial" w:eastAsia="Arial" w:hAnsi="Arial"/>
          <w:sz w:val="17"/>
          <w:szCs w:val="17"/>
          <w:color w:val="auto"/>
        </w:rPr>
      </w:pPr>
    </w:p>
    <w:p>
      <w:pPr>
        <w:ind w:left="308"/>
        <w:spacing w:after="0" w:line="302" w:lineRule="auto"/>
        <w:rPr>
          <w:rFonts w:ascii="Arial" w:cs="Arial" w:eastAsia="Arial" w:hAnsi="Arial"/>
          <w:sz w:val="17"/>
          <w:szCs w:val="17"/>
          <w:color w:val="auto"/>
        </w:rPr>
      </w:pPr>
      <w:r>
        <w:rPr>
          <w:rFonts w:ascii="Arial" w:cs="Arial" w:eastAsia="Arial" w:hAnsi="Arial"/>
          <w:sz w:val="16"/>
          <w:szCs w:val="16"/>
          <w:color w:val="auto"/>
        </w:rPr>
        <w:t>Concurrent with the offering of the 2033 Notes, the company entered into capped call transactions (the “2013E Capped Calls” and “2013F Capped Calls”) that have initial strike prices of approximately $10.93 per share, subject to certain adjustments, which are equal to the initial conversion prices of the 2033 Notes. The Capped Calls have cap prices of $14.51 per share and are intended to reduce the potential dilution upon conversion of the 2033E and 2033F Notes. The Capped Calls are considered capital transactions and the related cost of $48 million was recorded as a charge to additional capital.</w:t>
      </w:r>
    </w:p>
    <w:p>
      <w:pPr>
        <w:spacing w:after="0" w:line="181" w:lineRule="exact"/>
        <w:rPr>
          <w:rFonts w:ascii="Arial" w:cs="Arial" w:eastAsia="Arial" w:hAnsi="Arial"/>
          <w:sz w:val="17"/>
          <w:szCs w:val="17"/>
          <w:color w:val="auto"/>
        </w:rPr>
      </w:pPr>
    </w:p>
    <w:p>
      <w:pPr>
        <w:ind w:left="308" w:right="20"/>
        <w:spacing w:after="0" w:line="302" w:lineRule="auto"/>
        <w:rPr>
          <w:rFonts w:ascii="Arial" w:cs="Arial" w:eastAsia="Arial" w:hAnsi="Arial"/>
          <w:sz w:val="17"/>
          <w:szCs w:val="17"/>
          <w:color w:val="auto"/>
        </w:rPr>
      </w:pPr>
      <w:r>
        <w:rPr>
          <w:rFonts w:ascii="Arial" w:cs="Arial" w:eastAsia="Arial" w:hAnsi="Arial"/>
          <w:sz w:val="16"/>
          <w:szCs w:val="16"/>
          <w:color w:val="auto"/>
        </w:rPr>
        <w:t>During the first quarter of fiscal 2013, the company entered into two credit facilities. The first was a revolving credit facility providing for borrowings of up to $255 million. Amounts drawn under the facility would be collateralized by certain accounts receivable. As of the end of the second quarter of fiscal 2013, no amounts had been drawn under the facility. The second was a term note providing for borrowings of up to $214 million. Amounts drawn under the facility are collateralized by semiconductor production equipment. As of the end of the second quarter of fiscal 2013, the note was fully drawn.</w:t>
      </w:r>
    </w:p>
    <w:p>
      <w:pPr>
        <w:spacing w:after="0" w:line="181" w:lineRule="exact"/>
        <w:rPr>
          <w:rFonts w:ascii="Arial" w:cs="Arial" w:eastAsia="Arial" w:hAnsi="Arial"/>
          <w:sz w:val="17"/>
          <w:szCs w:val="17"/>
          <w:color w:val="auto"/>
        </w:rPr>
      </w:pPr>
    </w:p>
    <w:p>
      <w:pPr>
        <w:ind w:left="308" w:right="240" w:hanging="308"/>
        <w:spacing w:after="0" w:line="286" w:lineRule="auto"/>
        <w:tabs>
          <w:tab w:leader="none" w:pos="308"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connection with the offering of the 2033 Notes, the company repurchased $464 million in aggregate principal amount of its 2014 Notes for $477 million in cash in the second quarter of fiscal 2013. As a result, the company reduced debt, accrued interest and debt issuance costs by an aggregate of $431 million; reduced equity by $15 million for the equity component of the 2014 Notes; and recognized a loss of $31 million.</w:t>
      </w:r>
    </w:p>
    <w:sectPr>
      <w:pgSz w:w="11900" w:h="16838" w:orient="portrait"/>
      <w:cols w:equalWidth="0" w:num="1">
        <w:col w:w="11368"/>
      </w:cols>
      <w:pgMar w:left="272"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2019-12-05T20:26:56Z</dcterms:created>
  <dcterms:modified xsi:type="dcterms:W3CDTF">2019-12-05T20:26:56Z</dcterms:modified>
</cp:coreProperties>
</file>