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29,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20" w:type="dxa"/>
            <w:vAlign w:val="bottom"/>
            <w:gridSpan w:val="3"/>
          </w:tcPr>
          <w:p>
            <w:pPr>
              <w:jc w:val="center"/>
              <w:ind w:right="140"/>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Common Stock, par value $0.10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00" w:lineRule="exact"/>
        <w:rPr>
          <w:sz w:val="20"/>
          <w:szCs w:val="20"/>
          <w:color w:val="auto"/>
        </w:rPr>
      </w:pPr>
    </w:p>
    <w:p>
      <w:pPr>
        <w:spacing w:after="0" w:line="29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On June 29, 2020, we announced the financial results for our third quarter of fiscal 2020 ended May 28, 2020. The full text of the press release issued in connection with the announcement is attached as Exhibit 99.1 to this Current Report on Form 8-K.</w:t>
      </w:r>
    </w:p>
    <w:p>
      <w:pPr>
        <w:spacing w:after="0" w:line="3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13"/>
        </w:trPr>
        <w:tc>
          <w:tcPr>
            <w:tcW w:w="1340" w:type="dxa"/>
            <w:vAlign w:val="bottom"/>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(d) Exhibits.</w:t>
            </w:r>
          </w:p>
        </w:tc>
      </w:tr>
      <w:tr>
        <w:trPr>
          <w:trHeight w:val="884"/>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16"/>
        </w:trPr>
        <w:tc>
          <w:tcPr>
            <w:tcW w:w="134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issued on June 29, </w:t>
              </w:r>
              <w:r>
                <w:rPr>
                  <w:rFonts w:ascii="Arial" w:cs="Arial" w:eastAsia="Arial" w:hAnsi="Arial"/>
                  <w:sz w:val="18"/>
                  <w:szCs w:val="18"/>
                  <w:u w:val="single" w:color="auto"/>
                  <w:color w:val="0000FF"/>
                </w:rPr>
                <w:t>2020</w:t>
              </w:r>
            </w:hyperlink>
          </w:p>
        </w:tc>
      </w:tr>
      <w:tr>
        <w:trPr>
          <w:trHeight w:val="1256"/>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80" w:type="dxa"/>
            <w:vAlign w:val="bottom"/>
            <w:tcBorders>
              <w:top w:val="single" w:sz="8" w:color="0000FF"/>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6960" w:type="dxa"/>
            <w:vAlign w:val="bottom"/>
            <w:gridSpan w:val="2"/>
          </w:tcPr>
          <w:p>
            <w:pPr>
              <w:ind w:left="1800"/>
              <w:spacing w:after="0"/>
              <w:rPr>
                <w:sz w:val="20"/>
                <w:szCs w:val="20"/>
                <w:color w:val="auto"/>
              </w:rPr>
            </w:pPr>
            <w:r>
              <w:rPr>
                <w:rFonts w:ascii="Arial" w:cs="Arial" w:eastAsia="Arial" w:hAnsi="Arial"/>
                <w:sz w:val="18"/>
                <w:szCs w:val="18"/>
                <w:b w:val="1"/>
                <w:bCs w:val="1"/>
                <w:color w:val="auto"/>
              </w:rPr>
              <w:t>MICRON TECHNOLOGY, INC.</w:t>
            </w:r>
          </w:p>
        </w:tc>
      </w:tr>
      <w:tr>
        <w:trPr>
          <w:trHeight w:val="776"/>
        </w:trPr>
        <w:tc>
          <w:tcPr>
            <w:tcW w:w="3680" w:type="dxa"/>
            <w:vAlign w:val="bottom"/>
          </w:tcPr>
          <w:p>
            <w:pPr>
              <w:spacing w:after="0"/>
              <w:rPr>
                <w:sz w:val="20"/>
                <w:szCs w:val="20"/>
                <w:color w:val="auto"/>
              </w:rPr>
            </w:pPr>
            <w:r>
              <w:rPr>
                <w:rFonts w:ascii="Arial" w:cs="Arial" w:eastAsia="Arial" w:hAnsi="Arial"/>
                <w:sz w:val="18"/>
                <w:szCs w:val="18"/>
                <w:color w:val="auto"/>
              </w:rPr>
              <w:t>Date:   June 29, 2020</w:t>
            </w:r>
          </w:p>
        </w:tc>
        <w:tc>
          <w:tcPr>
            <w:tcW w:w="2720" w:type="dxa"/>
            <w:vAlign w:val="bottom"/>
          </w:tcPr>
          <w:p>
            <w:pPr>
              <w:ind w:left="180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3680" w:type="dxa"/>
            <w:vAlign w:val="bottom"/>
          </w:tcPr>
          <w:p>
            <w:pPr>
              <w:spacing w:after="0"/>
              <w:rPr>
                <w:sz w:val="21"/>
                <w:szCs w:val="21"/>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Name:</w:t>
            </w:r>
          </w:p>
        </w:tc>
        <w:tc>
          <w:tcPr>
            <w:tcW w:w="424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680" w:type="dxa"/>
            <w:vAlign w:val="bottom"/>
          </w:tcPr>
          <w:p>
            <w:pPr>
              <w:spacing w:after="0"/>
              <w:rPr>
                <w:sz w:val="22"/>
                <w:szCs w:val="22"/>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Title:</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52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57"/>
        </w:trPr>
        <w:tc>
          <w:tcPr>
            <w:tcW w:w="1520" w:type="dxa"/>
            <w:vAlign w:val="bottom"/>
          </w:tcPr>
          <w:p>
            <w:pPr>
              <w:spacing w:after="0"/>
              <w:rPr>
                <w:sz w:val="22"/>
                <w:szCs w:val="22"/>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15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rPr>
                <w:sz w:val="20"/>
                <w:szCs w:val="20"/>
                <w:color w:val="auto"/>
              </w:rPr>
            </w:pPr>
            <w:r>
              <w:rPr>
                <w:rFonts w:ascii="Arial" w:cs="Arial" w:eastAsia="Arial" w:hAnsi="Arial"/>
                <w:sz w:val="18"/>
                <w:szCs w:val="18"/>
                <w:color w:val="0090DA"/>
              </w:rPr>
              <w:t>epompen@micron.com</w:t>
            </w:r>
          </w:p>
        </w:tc>
      </w:tr>
      <w:tr>
        <w:trPr>
          <w:trHeight w:val="277"/>
        </w:trPr>
        <w:tc>
          <w:tcPr>
            <w:tcW w:w="1520" w:type="dxa"/>
            <w:vAlign w:val="bottom"/>
          </w:tcPr>
          <w:p>
            <w:pPr>
              <w:spacing w:after="0"/>
              <w:rPr>
                <w:sz w:val="24"/>
                <w:szCs w:val="24"/>
                <w:color w:val="auto"/>
              </w:rPr>
            </w:pPr>
          </w:p>
        </w:tc>
        <w:tc>
          <w:tcPr>
            <w:tcW w:w="218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20" w:type="dxa"/>
            <w:vAlign w:val="bottom"/>
          </w:tcPr>
          <w:p>
            <w:pPr>
              <w:spacing w:after="0"/>
              <w:rPr>
                <w:sz w:val="24"/>
                <w:szCs w:val="24"/>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execution drives higher profitability</w:t>
      </w:r>
    </w:p>
    <w:p>
      <w:pPr>
        <w:spacing w:after="0" w:line="23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29, 2020 – Micron Technology, Inc. (Nasdaq: MU) today announced results for its third quarter of fiscal 2020,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May 28,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2020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$5.44 billion versus $4.80 billion for the prior quarter and $4.79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$803 million, or $0.71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$941 million, or $0.82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$2.02 billion versus $2.00 billion for the prior quarter and $2.71 billion for the same period last year</w:t>
      </w:r>
    </w:p>
    <w:p>
      <w:pPr>
        <w:spacing w:after="0" w:line="25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“Micron’s exceptional execution in the fiscal third quarter drove strong sequential revenue and EPS growth, despite challenges in the macro environment,” said Micron Technology President and CEO Sanjay Mehrotra. “We are ramping the industry’s most advanced DRAM technology into production and have delivered more than 75% of our NAND volume as high-value solutions, supported by record SSD revenue in the quarter. Our portfolio momentum positions us exceedingly well to leverage the long-term growth across our end markets.”</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80" w:type="dxa"/>
            <w:vAlign w:val="bottom"/>
          </w:tcPr>
          <w:p>
            <w:pPr>
              <w:spacing w:after="0"/>
              <w:rPr>
                <w:sz w:val="23"/>
                <w:szCs w:val="23"/>
                <w:color w:val="auto"/>
              </w:rPr>
            </w:pPr>
          </w:p>
        </w:tc>
        <w:tc>
          <w:tcPr>
            <w:tcW w:w="900" w:type="dxa"/>
            <w:vAlign w:val="bottom"/>
            <w:tcBorders>
              <w:bottom w:val="single" w:sz="8" w:color="0090DA"/>
            </w:tcBorders>
          </w:tcPr>
          <w:p>
            <w:pPr>
              <w:spacing w:after="0"/>
              <w:rPr>
                <w:sz w:val="23"/>
                <w:szCs w:val="23"/>
                <w:color w:val="auto"/>
              </w:rPr>
            </w:pPr>
          </w:p>
        </w:tc>
        <w:tc>
          <w:tcPr>
            <w:tcW w:w="380" w:type="dxa"/>
            <w:vAlign w:val="bottom"/>
            <w:tcBorders>
              <w:bottom w:val="single" w:sz="8" w:color="0090DA"/>
            </w:tcBorders>
          </w:tcPr>
          <w:p>
            <w:pPr>
              <w:spacing w:after="0"/>
              <w:rPr>
                <w:sz w:val="23"/>
                <w:szCs w:val="23"/>
                <w:color w:val="auto"/>
              </w:rPr>
            </w:pPr>
          </w:p>
        </w:tc>
        <w:tc>
          <w:tcPr>
            <w:tcW w:w="7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w w:val="98"/>
              </w:rPr>
              <w:t>GAAP</w:t>
            </w:r>
            <w:r>
              <w:rPr>
                <w:rFonts w:ascii="Arial" w:cs="Arial" w:eastAsia="Arial" w:hAnsi="Arial"/>
                <w:sz w:val="23"/>
                <w:szCs w:val="23"/>
                <w:b w:val="1"/>
                <w:bCs w:val="1"/>
                <w:color w:val="auto"/>
                <w:w w:val="98"/>
                <w:vertAlign w:val="superscript"/>
              </w:rPr>
              <w:t>(1)</w:t>
            </w:r>
          </w:p>
        </w:tc>
        <w:tc>
          <w:tcPr>
            <w:tcW w:w="380" w:type="dxa"/>
            <w:vAlign w:val="bottom"/>
            <w:tcBorders>
              <w:bottom w:val="single" w:sz="8" w:color="0090DA"/>
            </w:tcBorders>
          </w:tcPr>
          <w:p>
            <w:pPr>
              <w:spacing w:after="0"/>
              <w:rPr>
                <w:sz w:val="23"/>
                <w:szCs w:val="23"/>
                <w:color w:val="auto"/>
              </w:rPr>
            </w:pPr>
          </w:p>
        </w:tc>
        <w:tc>
          <w:tcPr>
            <w:tcW w:w="720" w:type="dxa"/>
            <w:vAlign w:val="bottom"/>
            <w:tcBorders>
              <w:bottom w:val="single" w:sz="8" w:color="0090DA"/>
            </w:tcBorders>
          </w:tcPr>
          <w:p>
            <w:pPr>
              <w:spacing w:after="0"/>
              <w:rPr>
                <w:sz w:val="23"/>
                <w:szCs w:val="23"/>
                <w:color w:val="auto"/>
              </w:rPr>
            </w:pPr>
          </w:p>
        </w:tc>
        <w:tc>
          <w:tcPr>
            <w:tcW w:w="220" w:type="dxa"/>
            <w:vAlign w:val="bottom"/>
            <w:tcBorders>
              <w:bottom w:val="single" w:sz="8" w:color="0090DA"/>
            </w:tcBorders>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Borders>
              <w:bottom w:val="single" w:sz="8" w:color="0090DA"/>
            </w:tcBorders>
          </w:tcPr>
          <w:p>
            <w:pPr>
              <w:spacing w:after="0"/>
              <w:rPr>
                <w:sz w:val="23"/>
                <w:szCs w:val="23"/>
                <w:color w:val="auto"/>
              </w:rPr>
            </w:pPr>
          </w:p>
        </w:tc>
        <w:tc>
          <w:tcPr>
            <w:tcW w:w="220" w:type="dxa"/>
            <w:vAlign w:val="bottom"/>
            <w:tcBorders>
              <w:bottom w:val="single" w:sz="8" w:color="0090DA"/>
            </w:tcBorders>
          </w:tcPr>
          <w:p>
            <w:pPr>
              <w:spacing w:after="0"/>
              <w:rPr>
                <w:sz w:val="23"/>
                <w:szCs w:val="23"/>
                <w:color w:val="auto"/>
              </w:rPr>
            </w:pPr>
          </w:p>
        </w:tc>
        <w:tc>
          <w:tcPr>
            <w:tcW w:w="1280" w:type="dxa"/>
            <w:vAlign w:val="bottom"/>
            <w:tcBorders>
              <w:bottom w:val="single" w:sz="8" w:color="0090DA"/>
            </w:tcBorders>
            <w:gridSpan w:val="2"/>
          </w:tcPr>
          <w:p>
            <w:pPr>
              <w:jc w:val="right"/>
              <w:ind w:right="110"/>
              <w:spacing w:after="0"/>
              <w:rPr>
                <w:sz w:val="20"/>
                <w:szCs w:val="20"/>
                <w:color w:val="auto"/>
              </w:rPr>
            </w:pPr>
            <w:r>
              <w:rPr>
                <w:rFonts w:ascii="Arial" w:cs="Arial" w:eastAsia="Arial" w:hAnsi="Arial"/>
                <w:sz w:val="18"/>
                <w:szCs w:val="18"/>
                <w:b w:val="1"/>
                <w:bCs w:val="1"/>
                <w:color w:val="auto"/>
                <w:w w:val="94"/>
              </w:rPr>
              <w:t>Non-GAAP</w:t>
            </w:r>
            <w:r>
              <w:rPr>
                <w:rFonts w:ascii="Arial" w:cs="Arial" w:eastAsia="Arial" w:hAnsi="Arial"/>
                <w:sz w:val="23"/>
                <w:szCs w:val="23"/>
                <w:b w:val="1"/>
                <w:bCs w:val="1"/>
                <w:color w:val="auto"/>
                <w:w w:val="94"/>
                <w:vertAlign w:val="superscript"/>
              </w:rPr>
              <w:t>(2)</w:t>
            </w:r>
          </w:p>
        </w:tc>
        <w:tc>
          <w:tcPr>
            <w:tcW w:w="720" w:type="dxa"/>
            <w:vAlign w:val="bottom"/>
            <w:tcBorders>
              <w:bottom w:val="single" w:sz="8" w:color="0090DA"/>
            </w:tcBorders>
          </w:tcPr>
          <w:p>
            <w:pPr>
              <w:spacing w:after="0"/>
              <w:rPr>
                <w:sz w:val="23"/>
                <w:szCs w:val="23"/>
                <w:color w:val="auto"/>
              </w:rPr>
            </w:pPr>
          </w:p>
        </w:tc>
        <w:tc>
          <w:tcPr>
            <w:tcW w:w="220" w:type="dxa"/>
            <w:vAlign w:val="bottom"/>
            <w:tcBorders>
              <w:bottom w:val="single" w:sz="8" w:color="0090DA"/>
            </w:tcBorders>
          </w:tcPr>
          <w:p>
            <w:pPr>
              <w:spacing w:after="0"/>
              <w:rPr>
                <w:sz w:val="23"/>
                <w:szCs w:val="23"/>
                <w:color w:val="auto"/>
              </w:rPr>
            </w:pPr>
          </w:p>
        </w:tc>
      </w:tr>
      <w:tr>
        <w:trPr>
          <w:trHeight w:val="244"/>
        </w:trPr>
        <w:tc>
          <w:tcPr>
            <w:tcW w:w="44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FQ3-20</w:t>
            </w:r>
          </w:p>
        </w:tc>
        <w:tc>
          <w:tcPr>
            <w:tcW w:w="380" w:type="dxa"/>
            <w:vAlign w:val="bottom"/>
            <w:tcBorders>
              <w:bottom w:val="single" w:sz="8" w:color="0090DA"/>
            </w:tcBorders>
          </w:tcPr>
          <w:p>
            <w:pPr>
              <w:spacing w:after="0"/>
              <w:rPr>
                <w:sz w:val="21"/>
                <w:szCs w:val="21"/>
                <w:color w:val="auto"/>
              </w:rPr>
            </w:pPr>
          </w:p>
        </w:tc>
        <w:tc>
          <w:tcPr>
            <w:tcW w:w="7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FQ2-20</w:t>
            </w:r>
          </w:p>
        </w:tc>
        <w:tc>
          <w:tcPr>
            <w:tcW w:w="38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FQ3-19</w:t>
            </w:r>
          </w:p>
        </w:tc>
        <w:tc>
          <w:tcPr>
            <w:tcW w:w="220" w:type="dxa"/>
            <w:vAlign w:val="bottom"/>
            <w:tcBorders>
              <w:bottom w:val="single" w:sz="8" w:color="0090DA"/>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FQ3-20</w:t>
            </w:r>
          </w:p>
        </w:tc>
        <w:tc>
          <w:tcPr>
            <w:tcW w:w="220" w:type="dxa"/>
            <w:vAlign w:val="bottom"/>
            <w:tcBorders>
              <w:bottom w:val="single" w:sz="8" w:color="0090DA"/>
            </w:tcBorders>
          </w:tcPr>
          <w:p>
            <w:pPr>
              <w:spacing w:after="0"/>
              <w:rPr>
                <w:sz w:val="21"/>
                <w:szCs w:val="21"/>
                <w:color w:val="auto"/>
              </w:rPr>
            </w:pPr>
          </w:p>
        </w:tc>
        <w:tc>
          <w:tcPr>
            <w:tcW w:w="88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FQ2-20</w:t>
            </w:r>
          </w:p>
        </w:tc>
        <w:tc>
          <w:tcPr>
            <w:tcW w:w="40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FQ3-19</w:t>
            </w:r>
          </w:p>
        </w:tc>
        <w:tc>
          <w:tcPr>
            <w:tcW w:w="220" w:type="dxa"/>
            <w:vAlign w:val="bottom"/>
            <w:tcBorders>
              <w:bottom w:val="single" w:sz="8" w:color="0090DA"/>
            </w:tcBorders>
          </w:tcPr>
          <w:p>
            <w:pPr>
              <w:spacing w:after="0"/>
              <w:rPr>
                <w:sz w:val="21"/>
                <w:szCs w:val="21"/>
                <w:color w:val="auto"/>
              </w:rPr>
            </w:pPr>
          </w:p>
        </w:tc>
      </w:tr>
      <w:tr>
        <w:trPr>
          <w:trHeight w:val="40"/>
        </w:trPr>
        <w:tc>
          <w:tcPr>
            <w:tcW w:w="4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   5,438</w:t>
            </w:r>
          </w:p>
        </w:tc>
        <w:tc>
          <w:tcPr>
            <w:tcW w:w="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4,797</w:t>
            </w:r>
          </w:p>
        </w:tc>
        <w:tc>
          <w:tcPr>
            <w:tcW w:w="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4,788</w:t>
            </w:r>
          </w:p>
        </w:tc>
        <w:tc>
          <w:tcPr>
            <w:tcW w:w="2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   5,438</w:t>
            </w:r>
          </w:p>
        </w:tc>
        <w:tc>
          <w:tcPr>
            <w:tcW w:w="22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   4,797</w:t>
            </w: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4,788</w:t>
            </w:r>
          </w:p>
        </w:tc>
        <w:tc>
          <w:tcPr>
            <w:tcW w:w="220" w:type="dxa"/>
            <w:vAlign w:val="bottom"/>
            <w:shd w:val="clear" w:color="auto" w:fill="DDDDDD"/>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tcPr>
          <w:p>
            <w:pPr>
              <w:jc w:val="right"/>
              <w:spacing w:after="0"/>
              <w:rPr>
                <w:sz w:val="20"/>
                <w:szCs w:val="20"/>
                <w:color w:val="auto"/>
              </w:rPr>
            </w:pPr>
            <w:r>
              <w:rPr>
                <w:rFonts w:ascii="Arial" w:cs="Arial" w:eastAsia="Arial" w:hAnsi="Arial"/>
                <w:sz w:val="18"/>
                <w:szCs w:val="18"/>
                <w:color w:val="auto"/>
              </w:rPr>
              <w:t>1,763</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1,398</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21"/>
                <w:szCs w:val="21"/>
                <w:color w:val="auto"/>
              </w:rPr>
            </w:pPr>
          </w:p>
        </w:tc>
      </w:tr>
      <w:tr>
        <w:trPr>
          <w:trHeight w:val="263"/>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32.4</w:t>
            </w:r>
          </w:p>
        </w:tc>
        <w:tc>
          <w:tcPr>
            <w:tcW w:w="380" w:type="dxa"/>
            <w:vAlign w:val="bottom"/>
            <w:shd w:val="clear" w:color="auto" w:fill="DDDDDD"/>
          </w:tcPr>
          <w:p>
            <w:pPr>
              <w:jc w:val="right"/>
              <w:ind w:right="90"/>
              <w:spacing w:after="0"/>
              <w:rPr>
                <w:sz w:val="20"/>
                <w:szCs w:val="20"/>
                <w:color w:val="auto"/>
              </w:rPr>
            </w:pPr>
            <w:r>
              <w:rPr>
                <w:rFonts w:ascii="Arial" w:cs="Arial" w:eastAsia="Arial" w:hAnsi="Arial"/>
                <w:sz w:val="18"/>
                <w:szCs w:val="18"/>
                <w:i w:val="1"/>
                <w:iCs w:val="1"/>
                <w:color w:val="auto"/>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28.2</w:t>
            </w:r>
          </w:p>
        </w:tc>
        <w:tc>
          <w:tcPr>
            <w:tcW w:w="380" w:type="dxa"/>
            <w:vAlign w:val="bottom"/>
            <w:shd w:val="clear" w:color="auto" w:fill="DDDDDD"/>
          </w:tcPr>
          <w:p>
            <w:pPr>
              <w:jc w:val="right"/>
              <w:ind w:right="110"/>
              <w:spacing w:after="0"/>
              <w:rPr>
                <w:sz w:val="20"/>
                <w:szCs w:val="20"/>
                <w:color w:val="auto"/>
              </w:rPr>
            </w:pPr>
            <w:r>
              <w:rPr>
                <w:rFonts w:ascii="Arial" w:cs="Arial" w:eastAsia="Arial" w:hAnsi="Arial"/>
                <w:sz w:val="18"/>
                <w:szCs w:val="18"/>
                <w:i w:val="1"/>
                <w:iCs w:val="1"/>
                <w:color w:val="auto"/>
                <w:w w:val="99"/>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38.2</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33.2</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29.1</w:t>
            </w:r>
          </w:p>
        </w:tc>
        <w:tc>
          <w:tcPr>
            <w:tcW w:w="400" w:type="dxa"/>
            <w:vAlign w:val="bottom"/>
            <w:shd w:val="clear" w:color="auto" w:fill="DDDDDD"/>
          </w:tcPr>
          <w:p>
            <w:pPr>
              <w:jc w:val="right"/>
              <w:ind w:right="110"/>
              <w:spacing w:after="0"/>
              <w:rPr>
                <w:sz w:val="20"/>
                <w:szCs w:val="20"/>
                <w:color w:val="auto"/>
              </w:rPr>
            </w:pPr>
            <w:r>
              <w:rPr>
                <w:rFonts w:ascii="Arial" w:cs="Arial" w:eastAsia="Arial" w:hAnsi="Arial"/>
                <w:sz w:val="18"/>
                <w:szCs w:val="18"/>
                <w:i w:val="1"/>
                <w:iCs w:val="1"/>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39.3</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1"/>
                <w:szCs w:val="21"/>
                <w:color w:val="auto"/>
              </w:rPr>
            </w:pPr>
          </w:p>
        </w:tc>
      </w:tr>
      <w:tr>
        <w:trPr>
          <w:trHeight w:val="263"/>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888</w:t>
            </w:r>
          </w:p>
        </w:tc>
        <w:tc>
          <w:tcPr>
            <w:tcW w:w="380" w:type="dxa"/>
            <w:vAlign w:val="bottom"/>
            <w:shd w:val="clear" w:color="auto" w:fill="DDDDDD"/>
          </w:tcPr>
          <w:p>
            <w:pPr>
              <w:spacing w:after="0"/>
              <w:rPr>
                <w:sz w:val="22"/>
                <w:szCs w:val="22"/>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440</w:t>
            </w:r>
          </w:p>
        </w:tc>
        <w:tc>
          <w:tcPr>
            <w:tcW w:w="38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981</w:t>
            </w:r>
          </w:p>
        </w:tc>
        <w:tc>
          <w:tcPr>
            <w:tcW w:w="22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542</w:t>
            </w:r>
          </w:p>
        </w:tc>
        <w:tc>
          <w:tcPr>
            <w:tcW w:w="40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DDDDDD"/>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380" w:type="dxa"/>
            <w:vAlign w:val="bottom"/>
          </w:tcPr>
          <w:p>
            <w:pPr>
              <w:jc w:val="right"/>
              <w:ind w:right="9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380" w:type="dxa"/>
            <w:vAlign w:val="bottom"/>
          </w:tcPr>
          <w:p>
            <w:pPr>
              <w:jc w:val="right"/>
              <w:ind w:right="110"/>
              <w:spacing w:after="0"/>
              <w:rPr>
                <w:sz w:val="20"/>
                <w:szCs w:val="20"/>
                <w:color w:val="auto"/>
              </w:rPr>
            </w:pPr>
            <w:r>
              <w:rPr>
                <w:rFonts w:ascii="Arial" w:cs="Arial" w:eastAsia="Arial" w:hAnsi="Arial"/>
                <w:sz w:val="18"/>
                <w:szCs w:val="18"/>
                <w:i w:val="1"/>
                <w:i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21.1</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18.0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400" w:type="dxa"/>
            <w:vAlign w:val="bottom"/>
          </w:tcPr>
          <w:p>
            <w:pPr>
              <w:jc w:val="right"/>
              <w:ind w:right="110"/>
              <w:spacing w:after="0"/>
              <w:rPr>
                <w:sz w:val="20"/>
                <w:szCs w:val="20"/>
                <w:color w:val="auto"/>
              </w:rPr>
            </w:pPr>
            <w:r>
              <w:rPr>
                <w:rFonts w:ascii="Arial" w:cs="Arial" w:eastAsia="Arial" w:hAnsi="Arial"/>
                <w:sz w:val="18"/>
                <w:szCs w:val="18"/>
                <w:i w:val="1"/>
                <w:i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23.2</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63"/>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803</w:t>
            </w:r>
          </w:p>
        </w:tc>
        <w:tc>
          <w:tcPr>
            <w:tcW w:w="380" w:type="dxa"/>
            <w:vAlign w:val="bottom"/>
            <w:shd w:val="clear" w:color="auto" w:fill="DDDDDD"/>
          </w:tcPr>
          <w:p>
            <w:pPr>
              <w:spacing w:after="0"/>
              <w:rPr>
                <w:sz w:val="22"/>
                <w:szCs w:val="22"/>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517</w:t>
            </w:r>
          </w:p>
        </w:tc>
        <w:tc>
          <w:tcPr>
            <w:tcW w:w="40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DDDDDD"/>
          </w:tcPr>
          <w:p>
            <w:pPr>
              <w:spacing w:after="0"/>
              <w:rPr>
                <w:sz w:val="22"/>
                <w:szCs w:val="22"/>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0.71</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r>
    </w:tbl>
    <w:p>
      <w:pPr>
        <w:spacing w:after="0" w:line="36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$1.92 billion for the third quarter of fiscal 2020,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$101 million. Micron repurchased approximately 929,000 shares of its common stock for $40 million during the third quarter of fiscal 2020 and ended the quarter with cash, marketable investments, and restricted cash of $9.29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$2.60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3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59"/>
        </w:trPr>
        <w:tc>
          <w:tcPr>
            <w:tcW w:w="666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fourth quarter of fiscal 2020:</w:t>
            </w:r>
          </w:p>
        </w:tc>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3"/>
        </w:trPr>
        <w:tc>
          <w:tcPr>
            <w:tcW w:w="66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FQ4-20</w:t>
            </w:r>
          </w:p>
        </w:tc>
        <w:tc>
          <w:tcPr>
            <w:tcW w:w="23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6"/>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32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rPr>
              <w:t>$5.75 billion - $6.25 billion</w:t>
            </w:r>
          </w:p>
        </w:tc>
        <w:tc>
          <w:tcPr>
            <w:tcW w:w="2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$5.75 billion - $6.25 billion</w:t>
            </w:r>
          </w:p>
        </w:tc>
      </w:tr>
      <w:tr>
        <w:trPr>
          <w:trHeight w:val="257"/>
        </w:trPr>
        <w:tc>
          <w:tcPr>
            <w:tcW w:w="66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34.5% ± 1.5%</w:t>
            </w: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35.5% ± 1.5%</w:t>
            </w:r>
          </w:p>
        </w:tc>
      </w:tr>
      <w:tr>
        <w:trPr>
          <w:trHeight w:val="257"/>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32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rPr>
              <w:t>$900 million ± $25 million</w:t>
            </w:r>
          </w:p>
        </w:tc>
        <w:tc>
          <w:tcPr>
            <w:tcW w:w="2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$850 million ± $25 million</w:t>
            </w:r>
          </w:p>
        </w:tc>
      </w:tr>
      <w:tr>
        <w:trPr>
          <w:trHeight w:val="257"/>
        </w:trPr>
        <w:tc>
          <w:tcPr>
            <w:tcW w:w="66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$33 million</w:t>
            </w: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$30 million</w:t>
            </w:r>
          </w:p>
        </w:tc>
      </w:tr>
      <w:tr>
        <w:trPr>
          <w:trHeight w:val="257"/>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Diluted earnings per share</w:t>
            </w:r>
          </w:p>
        </w:tc>
        <w:tc>
          <w:tcPr>
            <w:tcW w:w="232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rPr>
              <w:t>$0.88 ± $0.10</w:t>
            </w:r>
          </w:p>
        </w:tc>
        <w:tc>
          <w:tcPr>
            <w:tcW w:w="2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$1.05 ± $0.10</w:t>
            </w:r>
          </w:p>
        </w:tc>
      </w:tr>
    </w:tbl>
    <w:p>
      <w:pPr>
        <w:spacing w:after="0" w:line="350"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Micron will host a conference call on Monday, June 29, 2020 at 2:30 p.m. MT to discuss its third fiscal quarter financial results and provide forward-looking guidance for its fourth fiscal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the Nasdaq under the MU symbol. To learn more about Micron Technology, Inc.,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the industry, our strategic position, and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18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8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3rd Qtr.</w:t>
            </w:r>
          </w:p>
        </w:tc>
        <w:tc>
          <w:tcPr>
            <w:tcW w:w="280" w:type="dxa"/>
            <w:vAlign w:val="bottom"/>
          </w:tcPr>
          <w:p>
            <w:pPr>
              <w:spacing w:after="0"/>
              <w:rPr>
                <w:sz w:val="20"/>
                <w:szCs w:val="20"/>
                <w:color w:val="auto"/>
              </w:rPr>
            </w:pPr>
          </w:p>
        </w:tc>
        <w:tc>
          <w:tcPr>
            <w:tcW w:w="24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February 27,</w:t>
            </w:r>
          </w:p>
        </w:tc>
        <w:tc>
          <w:tcPr>
            <w:tcW w:w="2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rPr>
              <w:t>May 30,</w:t>
            </w:r>
          </w:p>
        </w:tc>
        <w:tc>
          <w:tcPr>
            <w:tcW w:w="2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30,</w:t>
            </w:r>
          </w:p>
        </w:tc>
      </w:tr>
      <w:tr>
        <w:trPr>
          <w:trHeight w:val="246"/>
        </w:trPr>
        <w:tc>
          <w:tcPr>
            <w:tcW w:w="462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2019</w:t>
            </w:r>
          </w:p>
        </w:tc>
        <w:tc>
          <w:tcPr>
            <w:tcW w:w="28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7"/>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5,438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4,797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4,788</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15,379</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18,536</w:t>
            </w:r>
          </w:p>
        </w:tc>
      </w:tr>
      <w:tr>
        <w:trPr>
          <w:trHeight w:val="250"/>
        </w:trPr>
        <w:tc>
          <w:tcPr>
            <w:tcW w:w="4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3,675</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3,442</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2,960</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10,895</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9,229</w:t>
            </w:r>
          </w:p>
        </w:tc>
      </w:tr>
      <w:tr>
        <w:trPr>
          <w:trHeight w:val="257"/>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1,763</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1,828</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4,484</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9,307</w:t>
            </w:r>
          </w:p>
        </w:tc>
      </w:tr>
      <w:tr>
        <w:trPr>
          <w:trHeight w:val="257"/>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624</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1,818</w:t>
            </w:r>
          </w:p>
        </w:tc>
      </w:tr>
      <w:tr>
        <w:trPr>
          <w:trHeight w:val="257"/>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139</w:t>
            </w:r>
          </w:p>
        </w:tc>
      </w:tr>
      <w:tr>
        <w:trPr>
          <w:trHeight w:val="250"/>
        </w:trPr>
        <w:tc>
          <w:tcPr>
            <w:tcW w:w="46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6,726</w:t>
            </w:r>
          </w:p>
        </w:tc>
      </w:tr>
      <w:tr>
        <w:trPr>
          <w:trHeight w:val="263"/>
        </w:trPr>
        <w:tc>
          <w:tcPr>
            <w:tcW w:w="46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148</w:t>
            </w:r>
          </w:p>
        </w:tc>
      </w:tr>
      <w:tr>
        <w:trPr>
          <w:trHeight w:val="263"/>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(89)</w:t>
            </w:r>
          </w:p>
        </w:tc>
      </w:tr>
      <w:tr>
        <w:trPr>
          <w:trHeight w:val="250"/>
        </w:trPr>
        <w:tc>
          <w:tcPr>
            <w:tcW w:w="4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r>
      <w:tr>
        <w:trPr>
          <w:trHeight w:val="257"/>
        </w:trPr>
        <w:tc>
          <w:tcPr>
            <w:tcW w:w="46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1,858</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6,393</w:t>
            </w:r>
          </w:p>
        </w:tc>
      </w:tr>
      <w:tr>
        <w:trPr>
          <w:trHeight w:val="257"/>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(622)</w:t>
            </w:r>
          </w:p>
        </w:tc>
      </w:tr>
      <w:tr>
        <w:trPr>
          <w:trHeight w:val="250"/>
        </w:trPr>
        <w:tc>
          <w:tcPr>
            <w:tcW w:w="4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57"/>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851</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1,720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5,772</w:t>
            </w:r>
          </w:p>
        </w:tc>
      </w:tr>
      <w:tr>
        <w:trPr>
          <w:trHeight w:val="256"/>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462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5,752</w:t>
            </w:r>
          </w:p>
        </w:tc>
      </w:tr>
      <w:tr>
        <w:trPr>
          <w:trHeight w:val="20"/>
        </w:trPr>
        <w:tc>
          <w:tcPr>
            <w:tcW w:w="462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0.76</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5.15</w:t>
            </w:r>
          </w:p>
        </w:tc>
      </w:tr>
      <w:tr>
        <w:trPr>
          <w:trHeight w:val="250"/>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5.01</w:t>
            </w:r>
          </w:p>
        </w:tc>
      </w:tr>
      <w:tr>
        <w:trPr>
          <w:trHeight w:val="263"/>
        </w:trPr>
        <w:tc>
          <w:tcPr>
            <w:tcW w:w="46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1,105</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1,117</w:t>
            </w: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1,148</w:t>
            </w: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8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2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7,152</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803</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3,603</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3,195</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5,405</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5,208</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5,118</w:t>
            </w:r>
          </w:p>
        </w:tc>
      </w:tr>
      <w:tr>
        <w:trPr>
          <w:trHeight w:val="25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r>
      <w:tr>
        <w:trPr>
          <w:trHeight w:val="256"/>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17,899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15,976</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16,503</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1,164</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30,081</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28,240</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340</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837</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1,228</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w:t>
            </w:r>
          </w:p>
        </w:tc>
      </w:tr>
      <w:tr>
        <w:trPr>
          <w:trHeight w:val="281"/>
        </w:trPr>
        <w:tc>
          <w:tcPr>
            <w:tcW w:w="72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52,005</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49,648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6"/>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4,626</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1,310</w:t>
            </w:r>
          </w:p>
        </w:tc>
      </w:tr>
      <w:tr>
        <w:trPr>
          <w:trHeight w:val="25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w:t>
            </w:r>
          </w:p>
        </w:tc>
      </w:tr>
      <w:tr>
        <w:trPr>
          <w:trHeight w:val="257"/>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6,185</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5,822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6,390</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6,356</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5,188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4,541</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636</w:t>
            </w: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383</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452</w:t>
            </w:r>
          </w:p>
        </w:tc>
      </w:tr>
      <w:tr>
        <w:trPr>
          <w:trHeight w:val="250"/>
        </w:trPr>
        <w:tc>
          <w:tcPr>
            <w:tcW w:w="728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14,087</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12,527</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12,019</w:t>
            </w:r>
          </w:p>
        </w:tc>
      </w:tr>
      <w:tr>
        <w:trPr>
          <w:trHeight w:val="203"/>
        </w:trPr>
        <w:tc>
          <w:tcPr>
            <w:tcW w:w="728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7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23"/>
        </w:trPr>
        <w:tc>
          <w:tcPr>
            <w:tcW w:w="7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r>
      <w:tr>
        <w:trPr>
          <w:trHeight w:val="250"/>
        </w:trPr>
        <w:tc>
          <w:tcPr>
            <w:tcW w:w="728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8,725</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8,214</w:t>
            </w:r>
          </w:p>
        </w:tc>
      </w:tr>
      <w:tr>
        <w:trPr>
          <w:trHeight w:val="263"/>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32,402</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31,602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30,761</w:t>
            </w:r>
          </w:p>
        </w:tc>
      </w:tr>
      <w:tr>
        <w:trPr>
          <w:trHeight w:val="250"/>
        </w:trPr>
        <w:tc>
          <w:tcPr>
            <w:tcW w:w="728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(3,454)</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(3,414)</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(3,221)</w:t>
            </w:r>
          </w:p>
        </w:tc>
      </w:tr>
      <w:tr>
        <w:trPr>
          <w:trHeight w:val="257"/>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r>
      <w:tr>
        <w:trPr>
          <w:trHeight w:val="250"/>
        </w:trPr>
        <w:tc>
          <w:tcPr>
            <w:tcW w:w="728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37,820</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37,023</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35,881</w:t>
            </w: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2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889</w:t>
            </w:r>
          </w:p>
        </w:tc>
      </w:tr>
      <w:tr>
        <w:trPr>
          <w:trHeight w:val="250"/>
        </w:trPr>
        <w:tc>
          <w:tcPr>
            <w:tcW w:w="728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37,820</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37,023</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36,770</w:t>
            </w:r>
          </w:p>
        </w:tc>
      </w:tr>
      <w:tr>
        <w:trPr>
          <w:trHeight w:val="282"/>
        </w:trPr>
        <w:tc>
          <w:tcPr>
            <w:tcW w:w="72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52,005</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49,648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86"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30,</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5,772</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50"/>
        </w:trPr>
        <w:tc>
          <w:tcPr>
            <w:tcW w:w="860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4,083</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4,008</w:t>
            </w:r>
          </w:p>
        </w:tc>
      </w:tr>
      <w:tr>
        <w:trPr>
          <w:trHeight w:val="263"/>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39</w:t>
            </w:r>
          </w:p>
        </w:tc>
      </w:tr>
      <w:tr>
        <w:trPr>
          <w:trHeight w:val="250"/>
        </w:trPr>
        <w:tc>
          <w:tcPr>
            <w:tcW w:w="86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176</w:t>
            </w:r>
          </w:p>
        </w:tc>
      </w:tr>
      <w:tr>
        <w:trPr>
          <w:trHeight w:val="263"/>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386</w:t>
            </w:r>
          </w:p>
        </w:tc>
      </w:tr>
      <w:tr>
        <w:trPr>
          <w:trHeight w:val="257"/>
        </w:trPr>
        <w:tc>
          <w:tcPr>
            <w:tcW w:w="860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8600" w:type="dxa"/>
            <w:vAlign w:val="bottom"/>
            <w:shd w:val="clear" w:color="auto" w:fill="D1D2D4"/>
          </w:tcPr>
          <w:p>
            <w:pPr>
              <w:ind w:left="4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(461)</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2,373</w:t>
            </w:r>
          </w:p>
        </w:tc>
      </w:tr>
      <w:tr>
        <w:trPr>
          <w:trHeight w:val="250"/>
        </w:trPr>
        <w:tc>
          <w:tcPr>
            <w:tcW w:w="860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63"/>
        </w:trPr>
        <w:tc>
          <w:tcPr>
            <w:tcW w:w="8600" w:type="dxa"/>
            <w:vAlign w:val="bottom"/>
            <w:shd w:val="clear" w:color="auto" w:fill="D1D2D4"/>
          </w:tcPr>
          <w:p>
            <w:pPr>
              <w:ind w:left="4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(703)</w:t>
            </w:r>
          </w:p>
        </w:tc>
      </w:tr>
      <w:tr>
        <w:trPr>
          <w:trHeight w:val="250"/>
        </w:trPr>
        <w:tc>
          <w:tcPr>
            <w:tcW w:w="8600" w:type="dxa"/>
            <w:vAlign w:val="bottom"/>
          </w:tcPr>
          <w:p>
            <w:pPr>
              <w:ind w:left="46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195</w:t>
            </w:r>
          </w:p>
        </w:tc>
      </w:tr>
      <w:tr>
        <w:trPr>
          <w:trHeight w:val="257"/>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25</w:t>
            </w:r>
          </w:p>
        </w:tc>
      </w:tr>
      <w:tr>
        <w:trPr>
          <w:trHeight w:val="250"/>
        </w:trPr>
        <w:tc>
          <w:tcPr>
            <w:tcW w:w="860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6,035</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10,956</w:t>
            </w:r>
          </w:p>
        </w:tc>
      </w:tr>
      <w:tr>
        <w:trPr>
          <w:trHeight w:val="243"/>
        </w:trPr>
        <w:tc>
          <w:tcPr>
            <w:tcW w:w="860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06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(5,943)</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(7,752)</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(3,814)</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1,157</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1,271</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626</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668</w:t>
            </w: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r>
      <w:tr>
        <w:trPr>
          <w:trHeight w:val="250"/>
        </w:trPr>
        <w:tc>
          <w:tcPr>
            <w:tcW w:w="86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(8,985)</w:t>
            </w:r>
          </w:p>
        </w:tc>
      </w:tr>
      <w:tr>
        <w:trPr>
          <w:trHeight w:val="243"/>
        </w:trPr>
        <w:tc>
          <w:tcPr>
            <w:tcW w:w="8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(4,286)</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(2,376)</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Payments to acquire treasury stock</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(2,727)</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(54)</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1,800</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27</w:t>
            </w:r>
          </w:p>
        </w:tc>
      </w:tr>
      <w:tr>
        <w:trPr>
          <w:trHeight w:val="250"/>
        </w:trPr>
        <w:tc>
          <w:tcPr>
            <w:tcW w:w="860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(3,330)</w:t>
            </w:r>
          </w:p>
        </w:tc>
      </w:tr>
      <w:tr>
        <w:trPr>
          <w:trHeight w:val="243"/>
        </w:trPr>
        <w:tc>
          <w:tcPr>
            <w:tcW w:w="860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06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r>
      <w:tr>
        <w:trPr>
          <w:trHeight w:val="256"/>
        </w:trPr>
        <w:tc>
          <w:tcPr>
            <w:tcW w:w="860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57"/>
        </w:trPr>
        <w:tc>
          <w:tcPr>
            <w:tcW w:w="86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bl>
    <w:p>
      <w:pPr>
        <w:spacing w:after="0" w:line="26"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right="2260"/>
        <w:spacing w:after="0" w:line="339" w:lineRule="auto"/>
        <w:rPr>
          <w:sz w:val="20"/>
          <w:szCs w:val="20"/>
          <w:color w:val="auto"/>
        </w:rPr>
      </w:pPr>
      <w:r>
        <w:rPr>
          <w:rFonts w:ascii="Arial" w:cs="Arial" w:eastAsia="Arial" w:hAnsi="Arial"/>
          <w:sz w:val="17"/>
          <w:szCs w:val="17"/>
          <w:color w:val="auto"/>
        </w:rPr>
        <w:t>Net increase (decrease) in cash, cash equivalents, and restricted cash 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460" w:type="dxa"/>
            <w:vAlign w:val="bottom"/>
          </w:tcPr>
          <w:p>
            <w:pPr>
              <w:spacing w:after="0"/>
              <w:rPr>
                <w:sz w:val="18"/>
                <w:szCs w:val="18"/>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color w:val="auto"/>
              </w:rPr>
              <w:t>(1,353)</w:t>
            </w:r>
          </w:p>
        </w:tc>
      </w:tr>
      <w:tr>
        <w:trPr>
          <w:trHeight w:val="264"/>
        </w:trPr>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7"/>
              </w:rPr>
              <w:t>6,587</w:t>
            </w:r>
          </w:p>
        </w:tc>
      </w:tr>
      <w:tr>
        <w:trPr>
          <w:trHeight w:val="250"/>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7"/>
              </w:rPr>
              <w:t>5,234</w:t>
            </w:r>
          </w:p>
        </w:tc>
      </w:tr>
      <w:tr>
        <w:trPr>
          <w:trHeight w:val="27"/>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880" w:space="720"/>
            <w:col w:w="264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Property, Plant, and Equipment</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facilities from five years to seven years as of the beginning of the first quarter of fiscal 2020. This revision reduced our aggregate depreciation expense by approximately $510 million in the first nine months of fiscal 2020, of which approximately $150 million remained capitalized in inventory as of the end of the third quarter of fiscal 2020. Adjusting for the effect of the reduced amount of depreciation expense remaining in inventory, the revision in estimated useful lives benefited both operating income and net income by approximately $160 million and diluted earnings per share by approximately $0.14 for the third quarter of fiscal 2020, and benefited both operating income and net income by approximately $360 million and diluted earnings per share by approximately $0.32 for the first nine months of fiscal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Adoption of Lease Accounting Standard</w:t>
      </w:r>
    </w:p>
    <w:p>
      <w:pPr>
        <w:spacing w:after="0" w:line="2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the first quarter of fiscal 2020, we adopted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In adoption, we applied the modified retrospective method and elected to not recast prior periods. As a result, we recognized $567 million for operating lease liabilities and right-of-use assets and reclassified an additional $66 million of other balances to right-of-use assets to conform to the new presentation requirements of ASC 842.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On April 24, 2020, we issued $1.25 billion aggregate principal amount of our 2.497% senior notes due 2023 in a public offering.</w:t>
      </w:r>
    </w:p>
    <w:p>
      <w:pPr>
        <w:spacing w:after="0" w:line="25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March 13, 2020, we drew the $2.50 billion available under our revolving credit facility and on April 24, 2020, we repaid the $2.50 billion outstanding principal amount under our revolving credit facility. As of May 28, 2020, $2.50 billion was available to us under the revolving credit facility.</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3rd Qtr.</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0" w:type="dxa"/>
            <w:vAlign w:val="bottom"/>
          </w:tcPr>
          <w:p>
            <w:pPr>
              <w:spacing w:after="0"/>
              <w:rPr>
                <w:sz w:val="1"/>
                <w:szCs w:val="1"/>
                <w:color w:val="auto"/>
              </w:rPr>
            </w:pPr>
          </w:p>
        </w:tc>
      </w:tr>
      <w:tr>
        <w:trPr>
          <w:trHeight w:val="220"/>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February 27,</w:t>
            </w:r>
          </w:p>
        </w:tc>
        <w:tc>
          <w:tcPr>
            <w:tcW w:w="26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May 30,</w:t>
            </w:r>
          </w:p>
        </w:tc>
        <w:tc>
          <w:tcPr>
            <w:tcW w:w="0" w:type="dxa"/>
            <w:vAlign w:val="bottom"/>
          </w:tcPr>
          <w:p>
            <w:pPr>
              <w:spacing w:after="0"/>
              <w:rPr>
                <w:sz w:val="1"/>
                <w:szCs w:val="1"/>
                <w:color w:val="auto"/>
              </w:rPr>
            </w:pPr>
          </w:p>
        </w:tc>
      </w:tr>
      <w:tr>
        <w:trPr>
          <w:trHeight w:val="246"/>
        </w:trPr>
        <w:tc>
          <w:tcPr>
            <w:tcW w:w="728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40"/>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1,763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1,355</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2"/>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1,804</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1,398</w:t>
            </w:r>
          </w:p>
        </w:tc>
        <w:tc>
          <w:tcPr>
            <w:tcW w:w="2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915</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2"/>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823</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856</w:t>
            </w:r>
          </w:p>
        </w:tc>
        <w:tc>
          <w:tcPr>
            <w:tcW w:w="2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888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net income attributable to Micron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Start-up and preproduction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(Gain) loss on debt repurchases and conversions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Impact of U.S. income tax reform</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8"/>
        </w:trPr>
        <w:tc>
          <w:tcPr>
            <w:tcW w:w="7280" w:type="dxa"/>
            <w:vAlign w:val="bottom"/>
          </w:tcPr>
          <w:p>
            <w:pPr>
              <w:ind w:left="140"/>
              <w:spacing w:after="0" w:line="189" w:lineRule="exact"/>
              <w:rPr>
                <w:sz w:val="20"/>
                <w:szCs w:val="20"/>
                <w:color w:val="auto"/>
              </w:rPr>
            </w:pPr>
            <w:r>
              <w:rPr>
                <w:rFonts w:ascii="Arial" w:cs="Arial" w:eastAsia="Arial" w:hAnsi="Arial"/>
                <w:sz w:val="18"/>
                <w:szCs w:val="18"/>
                <w:color w:val="auto"/>
              </w:rPr>
              <w:t>Estimated tax effects of above, non-cash changes in net deferred income taxes, and</w:t>
            </w:r>
          </w:p>
        </w:tc>
        <w:tc>
          <w:tcPr>
            <w:tcW w:w="220" w:type="dxa"/>
            <w:vAlign w:val="bottom"/>
          </w:tcPr>
          <w:p>
            <w:pPr>
              <w:spacing w:after="0"/>
              <w:rPr>
                <w:sz w:val="16"/>
                <w:szCs w:val="16"/>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6"/>
                <w:szCs w:val="16"/>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6"/>
                <w:szCs w:val="16"/>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7280" w:type="dxa"/>
            <w:vAlign w:val="bottom"/>
            <w:tcBorders>
              <w:bottom w:val="single" w:sz="8" w:color="D1D2D4"/>
            </w:tcBorders>
          </w:tcPr>
          <w:p>
            <w:pPr>
              <w:ind w:left="300"/>
              <w:spacing w:after="0"/>
              <w:rPr>
                <w:sz w:val="20"/>
                <w:szCs w:val="20"/>
                <w:color w:val="auto"/>
              </w:rPr>
            </w:pPr>
            <w:r>
              <w:rPr>
                <w:rFonts w:ascii="Arial" w:cs="Arial" w:eastAsia="Arial" w:hAnsi="Arial"/>
                <w:sz w:val="18"/>
                <w:szCs w:val="18"/>
                <w:color w:val="auto"/>
              </w:rPr>
              <w:t>assessments of tax exposures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 attributable to Micron</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941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517</w:t>
            </w:r>
          </w:p>
        </w:tc>
        <w:tc>
          <w:tcPr>
            <w:tcW w:w="2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1,133</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56"/>
        </w:trPr>
        <w:tc>
          <w:tcPr>
            <w:tcW w:w="72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Adjustment for stock-based compensation and capped calls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20" w:type="dxa"/>
            <w:vAlign w:val="bottom"/>
            <w:tcBorders>
              <w:bottom w:val="single" w:sz="8" w:color="auto"/>
            </w:tcBorders>
            <w:shd w:val="clear" w:color="auto" w:fill="D1D2D4"/>
          </w:tcPr>
          <w:p>
            <w:pPr>
              <w:spacing w:after="0"/>
              <w:rPr>
                <w:sz w:val="23"/>
                <w:szCs w:val="23"/>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1,142</w:t>
            </w:r>
          </w:p>
        </w:tc>
        <w:tc>
          <w:tcPr>
            <w:tcW w:w="180" w:type="dxa"/>
            <w:vAlign w:val="bottom"/>
            <w:tcBorders>
              <w:bottom w:val="single" w:sz="8" w:color="auto"/>
            </w:tcBorders>
            <w:shd w:val="clear" w:color="auto" w:fill="D1D2D4"/>
          </w:tcPr>
          <w:p>
            <w:pPr>
              <w:spacing w:after="0"/>
              <w:rPr>
                <w:sz w:val="23"/>
                <w:szCs w:val="23"/>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auto"/>
            </w:tcBorders>
            <w:shd w:val="clear" w:color="auto" w:fill="D1D2D4"/>
          </w:tcPr>
          <w:p>
            <w:pPr>
              <w:spacing w:after="0"/>
              <w:rPr>
                <w:sz w:val="23"/>
                <w:szCs w:val="23"/>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56"/>
        </w:trPr>
        <w:tc>
          <w:tcPr>
            <w:tcW w:w="72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0.82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0.45</w:t>
            </w:r>
          </w:p>
        </w:tc>
        <w:tc>
          <w:tcPr>
            <w:tcW w:w="2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86"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13"/>
        </w:trPr>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3rd Qtr.</w:t>
            </w:r>
          </w:p>
        </w:tc>
        <w:tc>
          <w:tcPr>
            <w:tcW w:w="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r>
      <w:tr>
        <w:trPr>
          <w:trHeight w:val="220"/>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February 27,</w:t>
            </w:r>
          </w:p>
        </w:tc>
        <w:tc>
          <w:tcPr>
            <w:tcW w:w="26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May 30,</w:t>
            </w:r>
          </w:p>
        </w:tc>
      </w:tr>
      <w:tr>
        <w:trPr>
          <w:trHeight w:val="246"/>
        </w:trPr>
        <w:tc>
          <w:tcPr>
            <w:tcW w:w="728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2019</w:t>
            </w:r>
          </w:p>
        </w:tc>
      </w:tr>
      <w:tr>
        <w:trPr>
          <w:trHeight w:val="40"/>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2,001</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2,711</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Investments in capital expenditures,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7280" w:type="dxa"/>
            <w:vAlign w:val="bottom"/>
            <w:shd w:val="clear" w:color="auto" w:fill="D1D2D4"/>
          </w:tcPr>
          <w:p>
            <w:pPr>
              <w:ind w:left="140"/>
              <w:spacing w:after="0" w:line="263" w:lineRule="exact"/>
              <w:rPr>
                <w:sz w:val="20"/>
                <w:szCs w:val="20"/>
                <w:color w:val="auto"/>
              </w:rPr>
            </w:pPr>
            <w:r>
              <w:rPr>
                <w:rFonts w:ascii="Arial" w:cs="Arial" w:eastAsia="Arial" w:hAnsi="Arial"/>
                <w:sz w:val="18"/>
                <w:szCs w:val="18"/>
                <w:color w:val="auto"/>
              </w:rPr>
              <w:t>Expenditures for property, plant, and equipment, net</w:t>
            </w:r>
            <w:r>
              <w:rPr>
                <w:rFonts w:ascii="Arial" w:cs="Arial" w:eastAsia="Arial" w:hAnsi="Arial"/>
                <w:sz w:val="23"/>
                <w:szCs w:val="23"/>
                <w:color w:val="auto"/>
                <w:vertAlign w:val="superscript"/>
              </w:rPr>
              <w:t>(1)</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(2,345)</w:t>
            </w:r>
          </w:p>
        </w:tc>
      </w:tr>
      <w:tr>
        <w:trPr>
          <w:trHeight w:val="257"/>
        </w:trPr>
        <w:tc>
          <w:tcPr>
            <w:tcW w:w="7280" w:type="dxa"/>
            <w:vAlign w:val="bottom"/>
          </w:tcPr>
          <w:p>
            <w:pPr>
              <w:ind w:left="14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Amounts funded by partners</w:t>
            </w:r>
          </w:p>
        </w:tc>
        <w:tc>
          <w:tcPr>
            <w:tcW w:w="2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213</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562</w:t>
            </w: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240" w:hanging="332"/>
        <w:spacing w:after="0" w:line="22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$7 million for the third quarter of fiscal 2020, $43 million for the second quarter of fiscal 2020, and $58 million for the third quarter of fiscal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2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7280" w:type="dxa"/>
            <w:vAlign w:val="bottom"/>
            <w:shd w:val="clear" w:color="auto" w:fill="D1D2D4"/>
          </w:tcPr>
          <w:p>
            <w:pPr>
              <w:ind w:left="40"/>
              <w:spacing w:after="0"/>
              <w:rPr>
                <w:sz w:val="20"/>
                <w:szCs w:val="20"/>
                <w:color w:val="auto"/>
              </w:rPr>
            </w:pPr>
            <w:r>
              <w:rPr>
                <w:rFonts w:ascii="Arial" w:cs="Arial" w:eastAsia="Arial" w:hAnsi="Arial"/>
                <w:sz w:val="18"/>
                <w:szCs w:val="18"/>
                <w:color w:val="auto"/>
              </w:rPr>
              <w:t>Cash and short-term investments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8,658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7,955</w:t>
            </w:r>
          </w:p>
        </w:tc>
      </w:tr>
      <w:tr>
        <w:trPr>
          <w:trHeight w:val="256"/>
        </w:trPr>
        <w:tc>
          <w:tcPr>
            <w:tcW w:w="7280" w:type="dxa"/>
            <w:vAlign w:val="bottom"/>
          </w:tcPr>
          <w:p>
            <w:pPr>
              <w:ind w:left="40"/>
              <w:spacing w:after="0"/>
              <w:rPr>
                <w:sz w:val="20"/>
                <w:szCs w:val="20"/>
                <w:color w:val="auto"/>
              </w:rPr>
            </w:pPr>
            <w:r>
              <w:rPr>
                <w:rFonts w:ascii="Arial" w:cs="Arial" w:eastAsia="Arial" w:hAnsi="Arial"/>
                <w:sz w:val="18"/>
                <w:szCs w:val="18"/>
                <w:color w:val="auto"/>
              </w:rPr>
              <w:t>Current and noncurrent restricted cash</w:t>
            </w:r>
          </w:p>
        </w:tc>
        <w:tc>
          <w:tcPr>
            <w:tcW w:w="2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57"/>
        </w:trPr>
        <w:tc>
          <w:tcPr>
            <w:tcW w:w="7280" w:type="dxa"/>
            <w:vAlign w:val="bottom"/>
            <w:shd w:val="clear" w:color="auto" w:fill="D1D2D4"/>
          </w:tcPr>
          <w:p>
            <w:pPr>
              <w:ind w:left="40"/>
              <w:spacing w:after="0"/>
              <w:rPr>
                <w:sz w:val="20"/>
                <w:szCs w:val="20"/>
                <w:color w:val="auto"/>
              </w:rPr>
            </w:pPr>
            <w:r>
              <w:rPr>
                <w:rFonts w:ascii="Arial" w:cs="Arial" w:eastAsia="Arial" w:hAnsi="Arial"/>
                <w:sz w:val="18"/>
                <w:szCs w:val="18"/>
                <w:color w:val="auto"/>
              </w:rPr>
              <w:t>Long-term marketable investments</w:t>
            </w:r>
          </w:p>
        </w:tc>
        <w:tc>
          <w:tcPr>
            <w:tcW w:w="2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1,164</w:t>
            </w:r>
          </w:p>
        </w:tc>
      </w:tr>
      <w:tr>
        <w:trPr>
          <w:trHeight w:val="257"/>
        </w:trPr>
        <w:tc>
          <w:tcPr>
            <w:tcW w:w="7280" w:type="dxa"/>
            <w:vAlign w:val="bottom"/>
            <w:tcBorders>
              <w:bottom w:val="single" w:sz="8" w:color="D1D2D4"/>
            </w:tcBorders>
          </w:tcPr>
          <w:p>
            <w:pPr>
              <w:ind w:left="40"/>
              <w:spacing w:after="0"/>
              <w:rPr>
                <w:sz w:val="20"/>
                <w:szCs w:val="20"/>
                <w:color w:val="auto"/>
              </w:rPr>
            </w:pPr>
            <w:r>
              <w:rPr>
                <w:rFonts w:ascii="Arial" w:cs="Arial" w:eastAsia="Arial" w:hAnsi="Arial"/>
                <w:sz w:val="18"/>
                <w:szCs w:val="18"/>
                <w:color w:val="auto"/>
              </w:rPr>
              <w:t>Current and long-term debt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(5,851)</w:t>
            </w: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Net cash</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2,602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2,695</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3,395</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numbers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U.S. income tax reform for the one-time transition tax, release of U.S. valuation allowance, and remeasurement of net deferred taxes reflecting lower U.S. corporate tax rates;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Non-GAAP diluted shares also include the impact of capped calls, which are anti-dilutive in GAAP earnings per share but are expected to mitigate the dilutive effect of convertible notes, based on the average share price for the period the capped calls were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1"/>
                <w:szCs w:val="21"/>
                <w:color w:val="auto"/>
              </w:rPr>
            </w:pPr>
          </w:p>
        </w:tc>
        <w:tc>
          <w:tcPr>
            <w:tcW w:w="2760" w:type="dxa"/>
            <w:vAlign w:val="bottom"/>
            <w:gridSpan w:val="3"/>
          </w:tcPr>
          <w:p>
            <w:pPr>
              <w:ind w:left="500"/>
              <w:spacing w:after="0"/>
              <w:rPr>
                <w:sz w:val="20"/>
                <w:szCs w:val="20"/>
                <w:color w:val="auto"/>
              </w:rPr>
            </w:pPr>
            <w:r>
              <w:rPr>
                <w:rFonts w:ascii="Arial" w:cs="Arial" w:eastAsia="Arial" w:hAnsi="Arial"/>
                <w:sz w:val="18"/>
                <w:szCs w:val="18"/>
                <w:b w:val="1"/>
                <w:bCs w:val="1"/>
                <w:color w:val="auto"/>
              </w:rPr>
              <w:t>GAAP Outlook</w:t>
            </w: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21"/>
                <w:szCs w:val="21"/>
                <w:color w:val="auto"/>
              </w:rPr>
            </w:pPr>
          </w:p>
        </w:tc>
        <w:tc>
          <w:tcPr>
            <w:tcW w:w="218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41"/>
        </w:trPr>
        <w:tc>
          <w:tcPr>
            <w:tcW w:w="4180" w:type="dxa"/>
            <w:vAlign w:val="bottom"/>
            <w:tcBorders>
              <w:top w:val="single" w:sz="8" w:color="0090DA"/>
            </w:tcBorders>
          </w:tcPr>
          <w:p>
            <w:pPr>
              <w:spacing w:after="0"/>
              <w:rPr>
                <w:sz w:val="3"/>
                <w:szCs w:val="3"/>
                <w:color w:val="auto"/>
              </w:rPr>
            </w:pPr>
          </w:p>
        </w:tc>
        <w:tc>
          <w:tcPr>
            <w:tcW w:w="226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0090DA"/>
            </w:tcBorders>
          </w:tcPr>
          <w:p>
            <w:pPr>
              <w:spacing w:after="0"/>
              <w:rPr>
                <w:sz w:val="3"/>
                <w:szCs w:val="3"/>
                <w:color w:val="auto"/>
              </w:rPr>
            </w:pPr>
          </w:p>
        </w:tc>
        <w:tc>
          <w:tcPr>
            <w:tcW w:w="188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0090DA"/>
            </w:tcBorders>
          </w:tcPr>
          <w:p>
            <w:pPr>
              <w:spacing w:after="0"/>
              <w:rPr>
                <w:sz w:val="3"/>
                <w:szCs w:val="3"/>
                <w:color w:val="auto"/>
              </w:rPr>
            </w:pPr>
          </w:p>
        </w:tc>
        <w:tc>
          <w:tcPr>
            <w:tcW w:w="2180" w:type="dxa"/>
            <w:vAlign w:val="bottom"/>
            <w:tcBorders>
              <w:top w:val="single" w:sz="8" w:color="0090DA"/>
            </w:tcBorders>
          </w:tcPr>
          <w:p>
            <w:pPr>
              <w:spacing w:after="0"/>
              <w:rPr>
                <w:sz w:val="3"/>
                <w:szCs w:val="3"/>
                <w:color w:val="auto"/>
              </w:rPr>
            </w:pPr>
          </w:p>
        </w:tc>
      </w:tr>
      <w:tr>
        <w:trPr>
          <w:trHeight w:val="256"/>
        </w:trPr>
        <w:tc>
          <w:tcPr>
            <w:tcW w:w="41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760" w:type="dxa"/>
            <w:vAlign w:val="bottom"/>
            <w:gridSpan w:val="3"/>
            <w:shd w:val="clear" w:color="auto" w:fill="DDDDDD"/>
          </w:tcPr>
          <w:p>
            <w:pPr>
              <w:jc w:val="right"/>
              <w:ind w:right="660"/>
              <w:spacing w:after="0"/>
              <w:rPr>
                <w:sz w:val="20"/>
                <w:szCs w:val="20"/>
                <w:color w:val="auto"/>
              </w:rPr>
            </w:pPr>
            <w:r>
              <w:rPr>
                <w:rFonts w:ascii="Arial" w:cs="Arial" w:eastAsia="Arial" w:hAnsi="Arial"/>
                <w:sz w:val="18"/>
                <w:szCs w:val="18"/>
                <w:color w:val="auto"/>
                <w:w w:val="99"/>
              </w:rPr>
              <w:t>$5.75 billion - $6.25 billion</w:t>
            </w:r>
          </w:p>
        </w:tc>
        <w:tc>
          <w:tcPr>
            <w:tcW w:w="2000" w:type="dxa"/>
            <w:vAlign w:val="bottom"/>
            <w:gridSpan w:val="2"/>
            <w:shd w:val="clear" w:color="auto" w:fill="DDDDDD"/>
          </w:tcPr>
          <w:p>
            <w:pPr>
              <w:ind w:left="5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DDDDDD"/>
          </w:tcPr>
          <w:p>
            <w:pPr>
              <w:jc w:val="right"/>
              <w:ind w:right="70"/>
              <w:spacing w:after="0"/>
              <w:rPr>
                <w:sz w:val="20"/>
                <w:szCs w:val="20"/>
                <w:color w:val="auto"/>
              </w:rPr>
            </w:pPr>
            <w:r>
              <w:rPr>
                <w:rFonts w:ascii="Arial" w:cs="Arial" w:eastAsia="Arial" w:hAnsi="Arial"/>
                <w:sz w:val="18"/>
                <w:szCs w:val="18"/>
                <w:color w:val="auto"/>
              </w:rPr>
              <w:t>$5.75 billion - $6.25 billion</w:t>
            </w: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34.5% ± 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1% A</w:t>
            </w:r>
          </w:p>
        </w:tc>
        <w:tc>
          <w:tcPr>
            <w:tcW w:w="120" w:type="dxa"/>
            <w:vAlign w:val="bottom"/>
          </w:tcPr>
          <w:p>
            <w:pPr>
              <w:spacing w:after="0"/>
              <w:rPr>
                <w:sz w:val="22"/>
                <w:szCs w:val="22"/>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35.5% ± 1.5%</w:t>
            </w:r>
          </w:p>
        </w:tc>
      </w:tr>
      <w:tr>
        <w:trPr>
          <w:trHeight w:val="257"/>
        </w:trPr>
        <w:tc>
          <w:tcPr>
            <w:tcW w:w="41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760" w:type="dxa"/>
            <w:vAlign w:val="bottom"/>
            <w:gridSpan w:val="3"/>
            <w:shd w:val="clear" w:color="auto" w:fill="DDDDDD"/>
          </w:tcPr>
          <w:p>
            <w:pPr>
              <w:jc w:val="right"/>
              <w:ind w:right="660"/>
              <w:spacing w:after="0"/>
              <w:rPr>
                <w:sz w:val="20"/>
                <w:szCs w:val="20"/>
                <w:color w:val="auto"/>
              </w:rPr>
            </w:pPr>
            <w:r>
              <w:rPr>
                <w:rFonts w:ascii="Arial" w:cs="Arial" w:eastAsia="Arial" w:hAnsi="Arial"/>
                <w:sz w:val="18"/>
                <w:szCs w:val="18"/>
                <w:color w:val="auto"/>
              </w:rPr>
              <w:t>$900 million ± $25 million</w:t>
            </w:r>
          </w:p>
        </w:tc>
        <w:tc>
          <w:tcPr>
            <w:tcW w:w="2000" w:type="dxa"/>
            <w:vAlign w:val="bottom"/>
            <w:gridSpan w:val="2"/>
            <w:shd w:val="clear" w:color="auto" w:fill="DDDDDD"/>
          </w:tcPr>
          <w:p>
            <w:pPr>
              <w:jc w:val="right"/>
              <w:ind w:right="960"/>
              <w:spacing w:after="0"/>
              <w:rPr>
                <w:sz w:val="20"/>
                <w:szCs w:val="20"/>
                <w:color w:val="auto"/>
              </w:rPr>
            </w:pPr>
            <w:r>
              <w:rPr>
                <w:rFonts w:ascii="Arial" w:cs="Arial" w:eastAsia="Arial" w:hAnsi="Arial"/>
                <w:sz w:val="18"/>
                <w:szCs w:val="18"/>
                <w:color w:val="auto"/>
                <w:w w:val="98"/>
              </w:rPr>
              <w:t>$50 million B</w:t>
            </w:r>
          </w:p>
        </w:tc>
        <w:tc>
          <w:tcPr>
            <w:tcW w:w="120" w:type="dxa"/>
            <w:vAlign w:val="bottom"/>
            <w:shd w:val="clear" w:color="auto" w:fill="DDDDDD"/>
          </w:tcPr>
          <w:p>
            <w:pPr>
              <w:spacing w:after="0"/>
              <w:rPr>
                <w:sz w:val="22"/>
                <w:szCs w:val="22"/>
                <w:color w:val="auto"/>
              </w:rPr>
            </w:pPr>
          </w:p>
        </w:tc>
        <w:tc>
          <w:tcPr>
            <w:tcW w:w="21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$850 million ± $25 million</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760" w:type="dxa"/>
            <w:vAlign w:val="bottom"/>
            <w:gridSpan w:val="3"/>
          </w:tcPr>
          <w:p>
            <w:pPr>
              <w:jc w:val="right"/>
              <w:ind w:right="660"/>
              <w:spacing w:after="0"/>
              <w:rPr>
                <w:sz w:val="20"/>
                <w:szCs w:val="20"/>
                <w:color w:val="auto"/>
              </w:rPr>
            </w:pPr>
            <w:r>
              <w:rPr>
                <w:rFonts w:ascii="Arial" w:cs="Arial" w:eastAsia="Arial" w:hAnsi="Arial"/>
                <w:sz w:val="18"/>
                <w:szCs w:val="18"/>
                <w:color w:val="auto"/>
              </w:rPr>
              <w:t>$33 million</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$3 million C</w:t>
            </w:r>
          </w:p>
        </w:tc>
        <w:tc>
          <w:tcPr>
            <w:tcW w:w="120" w:type="dxa"/>
            <w:vAlign w:val="bottom"/>
          </w:tcPr>
          <w:p>
            <w:pPr>
              <w:spacing w:after="0"/>
              <w:rPr>
                <w:sz w:val="21"/>
                <w:szCs w:val="21"/>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$30 million</w:t>
            </w:r>
          </w:p>
        </w:tc>
      </w:tr>
      <w:tr>
        <w:trPr>
          <w:trHeight w:val="263"/>
        </w:trPr>
        <w:tc>
          <w:tcPr>
            <w:tcW w:w="4180" w:type="dxa"/>
            <w:vAlign w:val="bottom"/>
            <w:shd w:val="clear" w:color="auto" w:fill="DDDDDD"/>
          </w:tcPr>
          <w:p>
            <w:pPr>
              <w:ind w:left="20"/>
              <w:spacing w:after="0" w:line="263"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$0.88 ± $0.10</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2000" w:type="dxa"/>
            <w:vAlign w:val="bottom"/>
            <w:gridSpan w:val="2"/>
            <w:shd w:val="clear" w:color="auto" w:fill="DDDDDD"/>
          </w:tcPr>
          <w:p>
            <w:pPr>
              <w:ind w:left="440"/>
              <w:spacing w:after="0"/>
              <w:rPr>
                <w:sz w:val="20"/>
                <w:szCs w:val="20"/>
                <w:color w:val="auto"/>
              </w:rPr>
            </w:pPr>
            <w:r>
              <w:rPr>
                <w:rFonts w:ascii="Arial" w:cs="Arial" w:eastAsia="Arial" w:hAnsi="Arial"/>
                <w:sz w:val="18"/>
                <w:szCs w:val="18"/>
                <w:color w:val="auto"/>
              </w:rPr>
              <w:t>$0.17 A, B, C, D</w:t>
            </w:r>
          </w:p>
        </w:tc>
        <w:tc>
          <w:tcPr>
            <w:tcW w:w="120" w:type="dxa"/>
            <w:vAlign w:val="bottom"/>
            <w:shd w:val="clear" w:color="auto" w:fill="DDDDDD"/>
          </w:tcPr>
          <w:p>
            <w:pPr>
              <w:spacing w:after="0"/>
              <w:rPr>
                <w:sz w:val="22"/>
                <w:szCs w:val="22"/>
                <w:color w:val="auto"/>
              </w:rPr>
            </w:pPr>
          </w:p>
        </w:tc>
        <w:tc>
          <w:tcPr>
            <w:tcW w:w="21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$1.05 ± $0.10</w:t>
            </w:r>
          </w:p>
        </w:tc>
      </w:tr>
      <w:tr>
        <w:trPr>
          <w:trHeight w:val="628"/>
        </w:trPr>
        <w:tc>
          <w:tcPr>
            <w:tcW w:w="4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26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380" w:type="dxa"/>
            <w:vAlign w:val="bottom"/>
            <w:tcBorders>
              <w:bottom w:val="single" w:sz="8" w:color="0090DA"/>
            </w:tcBorders>
          </w:tcPr>
          <w:p>
            <w:pPr>
              <w:spacing w:after="0"/>
              <w:rPr>
                <w:sz w:val="24"/>
                <w:szCs w:val="24"/>
                <w:color w:val="auto"/>
              </w:rPr>
            </w:pPr>
          </w:p>
        </w:tc>
        <w:tc>
          <w:tcPr>
            <w:tcW w:w="188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2180" w:type="dxa"/>
            <w:vAlign w:val="bottom"/>
            <w:tcBorders>
              <w:bottom w:val="single" w:sz="8" w:color="0090DA"/>
            </w:tcBorders>
          </w:tcPr>
          <w:p>
            <w:pPr>
              <w:spacing w:after="0"/>
              <w:rPr>
                <w:sz w:val="24"/>
                <w:szCs w:val="24"/>
                <w:color w:val="auto"/>
              </w:rPr>
            </w:pPr>
          </w:p>
        </w:tc>
      </w:tr>
      <w:tr>
        <w:trPr>
          <w:trHeight w:val="41"/>
        </w:trPr>
        <w:tc>
          <w:tcPr>
            <w:tcW w:w="41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56"/>
        </w:trPr>
        <w:tc>
          <w:tcPr>
            <w:tcW w:w="4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2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18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37</w:t>
            </w: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57"/>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8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2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w:t>
            </w:r>
          </w:p>
        </w:tc>
      </w:tr>
      <w:tr>
        <w:trPr>
          <w:trHeight w:val="257"/>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56"/>
        </w:trPr>
        <w:tc>
          <w:tcPr>
            <w:tcW w:w="4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22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18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2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w:t>
            </w:r>
          </w:p>
        </w:tc>
      </w:tr>
      <w:tr>
        <w:trPr>
          <w:trHeight w:val="257"/>
        </w:trPr>
        <w:tc>
          <w:tcPr>
            <w:tcW w:w="6940" w:type="dxa"/>
            <w:vAlign w:val="bottom"/>
            <w:tcBorders>
              <w:bottom w:val="single" w:sz="8" w:color="D1D2D4"/>
            </w:tcBorders>
            <w:gridSpan w:val="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1880" w:type="dxa"/>
            <w:vAlign w:val="bottom"/>
            <w:tcBorders>
              <w:bottom w:val="single" w:sz="8" w:color="D1D2D4"/>
            </w:tcBorders>
          </w:tcPr>
          <w:p>
            <w:pPr>
              <w:spacing w:after="0"/>
              <w:rPr>
                <w:sz w:val="22"/>
                <w:szCs w:val="22"/>
                <w:color w:val="auto"/>
              </w:rPr>
            </w:pPr>
          </w:p>
        </w:tc>
        <w:tc>
          <w:tcPr>
            <w:tcW w:w="120" w:type="dxa"/>
            <w:vAlign w:val="bottom"/>
            <w:tcBorders>
              <w:bottom w:val="single" w:sz="8" w:color="D1D2D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w:t>
            </w:r>
          </w:p>
        </w:tc>
      </w:tr>
      <w:tr>
        <w:trPr>
          <w:trHeight w:val="268"/>
        </w:trPr>
        <w:tc>
          <w:tcPr>
            <w:tcW w:w="4180" w:type="dxa"/>
            <w:vAlign w:val="bottom"/>
            <w:tcBorders>
              <w:bottom w:val="single" w:sz="8" w:color="D1D2D4"/>
            </w:tcBorders>
            <w:shd w:val="clear" w:color="auto" w:fill="D1D2D4"/>
          </w:tcPr>
          <w:p>
            <w:pPr>
              <w:spacing w:after="0"/>
              <w:rPr>
                <w:sz w:val="22"/>
                <w:szCs w:val="22"/>
                <w:color w:val="auto"/>
              </w:rPr>
            </w:pPr>
          </w:p>
        </w:tc>
        <w:tc>
          <w:tcPr>
            <w:tcW w:w="2260" w:type="dxa"/>
            <w:vAlign w:val="bottom"/>
            <w:tcBorders>
              <w:bottom w:val="single" w:sz="8" w:color="D1D2D4"/>
            </w:tcBorders>
            <w:shd w:val="clear" w:color="auto" w:fill="D1D2D4"/>
          </w:tcPr>
          <w:p>
            <w:pPr>
              <w:spacing w:after="0"/>
              <w:rPr>
                <w:sz w:val="22"/>
                <w:szCs w:val="22"/>
                <w:color w:val="auto"/>
              </w:rPr>
            </w:pPr>
          </w:p>
        </w:tc>
        <w:tc>
          <w:tcPr>
            <w:tcW w:w="120" w:type="dxa"/>
            <w:vAlign w:val="bottom"/>
            <w:tcBorders>
              <w:bottom w:val="single" w:sz="8" w:color="D1D2D4"/>
            </w:tcBorders>
            <w:shd w:val="clear" w:color="auto" w:fill="D1D2D4"/>
          </w:tcPr>
          <w:p>
            <w:pPr>
              <w:spacing w:after="0"/>
              <w:rPr>
                <w:sz w:val="22"/>
                <w:szCs w:val="22"/>
                <w:color w:val="auto"/>
              </w:rPr>
            </w:pPr>
          </w:p>
        </w:tc>
        <w:tc>
          <w:tcPr>
            <w:tcW w:w="380" w:type="dxa"/>
            <w:vAlign w:val="bottom"/>
            <w:tcBorders>
              <w:bottom w:val="single" w:sz="8" w:color="D1D2D4"/>
            </w:tcBorders>
            <w:shd w:val="clear" w:color="auto" w:fill="D1D2D4"/>
          </w:tcPr>
          <w:p>
            <w:pPr>
              <w:spacing w:after="0"/>
              <w:rPr>
                <w:sz w:val="22"/>
                <w:szCs w:val="22"/>
                <w:color w:val="auto"/>
              </w:rPr>
            </w:pPr>
          </w:p>
        </w:tc>
        <w:tc>
          <w:tcPr>
            <w:tcW w:w="1880" w:type="dxa"/>
            <w:vAlign w:val="bottom"/>
            <w:tcBorders>
              <w:bottom w:val="single" w:sz="8" w:color="D1D2D4"/>
            </w:tcBorders>
            <w:shd w:val="clear" w:color="auto" w:fill="D1D2D4"/>
          </w:tcPr>
          <w:p>
            <w:pPr>
              <w:spacing w:after="0"/>
              <w:rPr>
                <w:sz w:val="22"/>
                <w:szCs w:val="22"/>
                <w:color w:val="auto"/>
              </w:rPr>
            </w:pPr>
          </w:p>
        </w:tc>
        <w:tc>
          <w:tcPr>
            <w:tcW w:w="120" w:type="dxa"/>
            <w:vAlign w:val="bottom"/>
            <w:tcBorders>
              <w:bottom w:val="single" w:sz="8" w:color="D1D2D4"/>
            </w:tcBorders>
            <w:shd w:val="clear" w:color="auto" w:fill="D1D2D4"/>
          </w:tcPr>
          <w:p>
            <w:pPr>
              <w:spacing w:after="0"/>
              <w:rPr>
                <w:sz w:val="22"/>
                <w:szCs w:val="22"/>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196</w:t>
            </w:r>
          </w:p>
        </w:tc>
      </w:tr>
      <w:tr>
        <w:trPr>
          <w:trHeight w:val="20"/>
        </w:trPr>
        <w:tc>
          <w:tcPr>
            <w:tcW w:w="4180" w:type="dxa"/>
            <w:vAlign w:val="bottom"/>
            <w:tcBorders>
              <w:top w:val="single" w:sz="8" w:color="D1D2D4"/>
            </w:tcBorders>
          </w:tcPr>
          <w:p>
            <w:pPr>
              <w:spacing w:after="0" w:line="20" w:lineRule="exact"/>
              <w:rPr>
                <w:sz w:val="1"/>
                <w:szCs w:val="1"/>
                <w:color w:val="auto"/>
              </w:rPr>
            </w:pPr>
          </w:p>
        </w:tc>
        <w:tc>
          <w:tcPr>
            <w:tcW w:w="2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380" w:type="dxa"/>
            <w:vAlign w:val="bottom"/>
            <w:tcBorders>
              <w:top w:val="single" w:sz="8" w:color="D1D2D4"/>
            </w:tcBorders>
          </w:tcPr>
          <w:p>
            <w:pPr>
              <w:spacing w:after="0" w:line="20" w:lineRule="exact"/>
              <w:rPr>
                <w:sz w:val="1"/>
                <w:szCs w:val="1"/>
                <w:color w:val="auto"/>
              </w:rPr>
            </w:pPr>
          </w:p>
        </w:tc>
        <w:tc>
          <w:tcPr>
            <w:tcW w:w="18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218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60" w:hanging="332"/>
        <w:spacing w:after="0" w:line="220"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2020-06-29T15:03:40Z</dcterms:created>
  <dcterms:modified xsi:type="dcterms:W3CDTF">2020-06-29T15:03:40Z</dcterms:modified>
</cp:coreProperties>
</file>