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297"/>
        </w:trPr>
        <w:tc>
          <w:tcPr>
            <w:tcW w:w="1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60" w:type="dxa"/>
            <w:vAlign w:val="bottom"/>
            <w:gridSpan w:val="5"/>
          </w:tcPr>
          <w:p>
            <w:pPr>
              <w:jc w:val="center"/>
              <w:ind w:right="20"/>
              <w:spacing w:after="0"/>
              <w:rPr>
                <w:sz w:val="20"/>
                <w:szCs w:val="20"/>
                <w:color w:val="auto"/>
              </w:rPr>
            </w:pPr>
            <w:r>
              <w:rPr>
                <w:rFonts w:ascii="Arial" w:cs="Arial" w:eastAsia="Arial" w:hAnsi="Arial"/>
                <w:sz w:val="25"/>
                <w:szCs w:val="25"/>
                <w:b w:val="1"/>
                <w:bCs w:val="1"/>
                <w:color w:val="auto"/>
                <w:w w:val="98"/>
              </w:rPr>
              <w:t>UNITED STATES</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40" w:type="dxa"/>
            <w:vAlign w:val="bottom"/>
          </w:tcPr>
          <w:p>
            <w:pPr>
              <w:spacing w:after="0"/>
              <w:rPr>
                <w:sz w:val="24"/>
                <w:szCs w:val="24"/>
                <w:color w:val="auto"/>
              </w:rPr>
            </w:pPr>
          </w:p>
        </w:tc>
        <w:tc>
          <w:tcPr>
            <w:tcW w:w="9740" w:type="dxa"/>
            <w:vAlign w:val="bottom"/>
            <w:gridSpan w:val="7"/>
          </w:tcPr>
          <w:p>
            <w:pPr>
              <w:jc w:val="center"/>
              <w:ind w:right="1359"/>
              <w:spacing w:after="0"/>
              <w:rPr>
                <w:sz w:val="20"/>
                <w:szCs w:val="20"/>
                <w:color w:val="auto"/>
              </w:rPr>
            </w:pPr>
            <w:r>
              <w:rPr>
                <w:rFonts w:ascii="Arial" w:cs="Arial" w:eastAsia="Arial" w:hAnsi="Arial"/>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8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9"/>
              </w:rPr>
              <w:t>Washington, D.C. 20549</w:t>
            </w: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1440" w:type="dxa"/>
            <w:vAlign w:val="bottom"/>
            <w:vMerge w:val="restart"/>
          </w:tcPr>
          <w:p>
            <w:pPr>
              <w:jc w:val="center"/>
              <w:ind w:left="98"/>
              <w:spacing w:after="0"/>
              <w:rPr>
                <w:sz w:val="20"/>
                <w:szCs w:val="20"/>
                <w:color w:val="auto"/>
              </w:rPr>
            </w:pPr>
            <w:r>
              <w:rPr>
                <w:rFonts w:ascii="Arial" w:cs="Arial" w:eastAsia="Arial" w:hAnsi="Arial"/>
                <w:sz w:val="16"/>
                <w:szCs w:val="16"/>
                <w:b w:val="1"/>
                <w:bCs w:val="1"/>
                <w:color w:val="auto"/>
              </w:rPr>
              <w:t>(Mark One)</w:t>
            </w:r>
          </w:p>
        </w:tc>
        <w:tc>
          <w:tcPr>
            <w:tcW w:w="2720" w:type="dxa"/>
            <w:vAlign w:val="bottom"/>
          </w:tcPr>
          <w:p>
            <w:pPr>
              <w:spacing w:after="0"/>
              <w:rPr>
                <w:sz w:val="24"/>
                <w:szCs w:val="24"/>
                <w:color w:val="auto"/>
              </w:rPr>
            </w:pPr>
          </w:p>
        </w:tc>
        <w:tc>
          <w:tcPr>
            <w:tcW w:w="2860" w:type="dxa"/>
            <w:vAlign w:val="bottom"/>
            <w:gridSpan w:val="5"/>
          </w:tcPr>
          <w:p>
            <w:pPr>
              <w:jc w:val="center"/>
              <w:ind w:right="20"/>
              <w:spacing w:after="0"/>
              <w:rPr>
                <w:sz w:val="20"/>
                <w:szCs w:val="20"/>
                <w:color w:val="auto"/>
              </w:rPr>
            </w:pPr>
            <w:r>
              <w:rPr>
                <w:rFonts w:ascii="Arial" w:cs="Arial" w:eastAsia="Arial" w:hAnsi="Arial"/>
                <w:sz w:val="43"/>
                <w:szCs w:val="43"/>
                <w:b w:val="1"/>
                <w:bCs w:val="1"/>
                <w:color w:val="auto"/>
              </w:rPr>
              <w:t>FORM 10-K</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40" w:type="dxa"/>
            <w:vAlign w:val="bottom"/>
            <w:vMerge w:val="continue"/>
          </w:tcPr>
          <w:p>
            <w:pPr>
              <w:spacing w:after="0"/>
              <w:rPr>
                <w:sz w:val="16"/>
                <w:szCs w:val="16"/>
                <w:color w:val="auto"/>
              </w:rPr>
            </w:pPr>
          </w:p>
        </w:tc>
        <w:tc>
          <w:tcPr>
            <w:tcW w:w="2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440" w:type="dxa"/>
            <w:vAlign w:val="bottom"/>
          </w:tcPr>
          <w:p>
            <w:pPr>
              <w:jc w:val="center"/>
              <w:ind w:left="118"/>
              <w:spacing w:after="0" w:line="181" w:lineRule="exact"/>
              <w:rPr>
                <w:sz w:val="20"/>
                <w:szCs w:val="20"/>
                <w:color w:val="auto"/>
              </w:rPr>
            </w:pPr>
            <w:r>
              <w:rPr>
                <w:rFonts w:ascii="MS PGothic" w:cs="MS PGothic" w:eastAsia="MS PGothic" w:hAnsi="MS PGothic"/>
                <w:sz w:val="18"/>
                <w:szCs w:val="18"/>
                <w:color w:val="auto"/>
                <w:w w:val="88"/>
              </w:rPr>
              <w:t>☒</w:t>
            </w:r>
          </w:p>
        </w:tc>
        <w:tc>
          <w:tcPr>
            <w:tcW w:w="9740" w:type="dxa"/>
            <w:vAlign w:val="bottom"/>
            <w:gridSpan w:val="7"/>
          </w:tcPr>
          <w:p>
            <w:pPr>
              <w:ind w:left="220"/>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9740" w:type="dxa"/>
            <w:vAlign w:val="bottom"/>
            <w:gridSpan w:val="7"/>
          </w:tcPr>
          <w:p>
            <w:pPr>
              <w:jc w:val="center"/>
              <w:ind w:right="1359"/>
              <w:spacing w:after="0"/>
              <w:rPr>
                <w:sz w:val="20"/>
                <w:szCs w:val="20"/>
                <w:color w:val="auto"/>
              </w:rPr>
            </w:pPr>
            <w:r>
              <w:rPr>
                <w:rFonts w:ascii="Arial" w:cs="Arial" w:eastAsia="Arial" w:hAnsi="Arial"/>
                <w:sz w:val="18"/>
                <w:szCs w:val="18"/>
                <w:b w:val="1"/>
                <w:bCs w:val="1"/>
                <w:color w:val="auto"/>
                <w:w w:val="99"/>
              </w:rPr>
              <w:t>For the fiscal year ended August 31, 2023</w:t>
            </w:r>
          </w:p>
        </w:tc>
        <w:tc>
          <w:tcPr>
            <w:tcW w:w="0" w:type="dxa"/>
            <w:vAlign w:val="bottom"/>
          </w:tcPr>
          <w:p>
            <w:pPr>
              <w:spacing w:after="0"/>
              <w:rPr>
                <w:sz w:val="1"/>
                <w:szCs w:val="1"/>
                <w:color w:val="auto"/>
              </w:rPr>
            </w:pPr>
          </w:p>
        </w:tc>
      </w:tr>
      <w:tr>
        <w:trPr>
          <w:trHeight w:val="200"/>
        </w:trPr>
        <w:tc>
          <w:tcPr>
            <w:tcW w:w="1440" w:type="dxa"/>
            <w:vAlign w:val="bottom"/>
            <w:vMerge w:val="restart"/>
          </w:tcPr>
          <w:p>
            <w:pPr>
              <w:jc w:val="center"/>
              <w:ind w:left="118"/>
              <w:spacing w:after="0" w:line="181" w:lineRule="exact"/>
              <w:rPr>
                <w:sz w:val="20"/>
                <w:szCs w:val="20"/>
                <w:color w:val="auto"/>
              </w:rPr>
            </w:pPr>
            <w:r>
              <w:rPr>
                <w:rFonts w:ascii="MS PGothic" w:cs="MS PGothic" w:eastAsia="MS PGothic" w:hAnsi="MS PGothic"/>
                <w:sz w:val="18"/>
                <w:szCs w:val="18"/>
                <w:color w:val="auto"/>
                <w:w w:val="88"/>
              </w:rPr>
              <w:t>☐</w:t>
            </w: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OR</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440" w:type="dxa"/>
            <w:vAlign w:val="bottom"/>
            <w:vMerge w:val="continue"/>
          </w:tcPr>
          <w:p>
            <w:pPr>
              <w:spacing w:after="0"/>
              <w:rPr>
                <w:sz w:val="23"/>
                <w:szCs w:val="23"/>
                <w:color w:val="auto"/>
              </w:rPr>
            </w:pPr>
          </w:p>
        </w:tc>
        <w:tc>
          <w:tcPr>
            <w:tcW w:w="9740" w:type="dxa"/>
            <w:vAlign w:val="bottom"/>
            <w:gridSpan w:val="7"/>
          </w:tcPr>
          <w:p>
            <w:pPr>
              <w:ind w:left="22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0"/>
        </w:trPr>
        <w:tc>
          <w:tcPr>
            <w:tcW w:w="1440" w:type="dxa"/>
            <w:vAlign w:val="bottom"/>
          </w:tcPr>
          <w:p>
            <w:pPr>
              <w:spacing w:after="0"/>
              <w:rPr>
                <w:sz w:val="22"/>
                <w:szCs w:val="22"/>
                <w:color w:val="auto"/>
              </w:rPr>
            </w:pPr>
          </w:p>
        </w:tc>
        <w:tc>
          <w:tcPr>
            <w:tcW w:w="5580" w:type="dxa"/>
            <w:vAlign w:val="bottom"/>
            <w:gridSpan w:val="6"/>
          </w:tcPr>
          <w:p>
            <w:pPr>
              <w:ind w:left="2500"/>
              <w:spacing w:after="0"/>
              <w:rPr>
                <w:sz w:val="20"/>
                <w:szCs w:val="20"/>
                <w:color w:val="auto"/>
              </w:rPr>
            </w:pPr>
            <w:r>
              <w:rPr>
                <w:rFonts w:ascii="Arial" w:cs="Arial" w:eastAsia="Arial" w:hAnsi="Arial"/>
                <w:sz w:val="18"/>
                <w:szCs w:val="18"/>
                <w:b w:val="1"/>
                <w:bCs w:val="1"/>
                <w:color w:val="auto"/>
              </w:rPr>
              <w:t>For the transition period from</w:t>
            </w:r>
          </w:p>
        </w:tc>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8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9"/>
              </w:rPr>
              <w:t>Commission file number 1-10658</w:t>
            </w:r>
          </w:p>
        </w:tc>
        <w:tc>
          <w:tcPr>
            <w:tcW w:w="4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9"/>
        </w:trPr>
        <w:tc>
          <w:tcPr>
            <w:tcW w:w="1440" w:type="dxa"/>
            <w:vAlign w:val="bottom"/>
          </w:tcPr>
          <w:p>
            <w:pPr>
              <w:spacing w:after="0"/>
              <w:rPr>
                <w:sz w:val="24"/>
                <w:szCs w:val="24"/>
                <w:color w:val="auto"/>
              </w:rPr>
            </w:pPr>
          </w:p>
        </w:tc>
        <w:tc>
          <w:tcPr>
            <w:tcW w:w="9740" w:type="dxa"/>
            <w:vAlign w:val="bottom"/>
            <w:gridSpan w:val="7"/>
          </w:tcPr>
          <w:p>
            <w:pPr>
              <w:jc w:val="center"/>
              <w:ind w:right="1359"/>
              <w:spacing w:after="0"/>
              <w:rPr>
                <w:sz w:val="20"/>
                <w:szCs w:val="20"/>
                <w:color w:val="auto"/>
              </w:rPr>
            </w:pPr>
            <w:r>
              <w:rPr>
                <w:rFonts w:ascii="Arial" w:cs="Arial" w:eastAsia="Arial" w:hAnsi="Arial"/>
                <w:sz w:val="32"/>
                <w:szCs w:val="32"/>
                <w:b w:val="1"/>
                <w:bCs w:val="1"/>
                <w:color w:val="auto"/>
                <w:w w:val="99"/>
              </w:rPr>
              <w:t>Micron Technology, Inc.</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7"/>
                <w:szCs w:val="17"/>
                <w:color w:val="auto"/>
              </w:rPr>
            </w:pPr>
          </w:p>
        </w:tc>
        <w:tc>
          <w:tcPr>
            <w:tcW w:w="9740" w:type="dxa"/>
            <w:vAlign w:val="bottom"/>
            <w:gridSpan w:val="7"/>
          </w:tcPr>
          <w:p>
            <w:pPr>
              <w:jc w:val="center"/>
              <w:ind w:right="1379"/>
              <w:spacing w:after="0"/>
              <w:rPr>
                <w:sz w:val="20"/>
                <w:szCs w:val="20"/>
                <w:color w:val="auto"/>
              </w:rPr>
            </w:pPr>
            <w:r>
              <w:rPr>
                <w:rFonts w:ascii="Arial" w:cs="Arial" w:eastAsia="Arial" w:hAnsi="Arial"/>
                <w:sz w:val="16"/>
                <w:szCs w:val="16"/>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1440" w:type="dxa"/>
            <w:vAlign w:val="bottom"/>
          </w:tcPr>
          <w:p>
            <w:pPr>
              <w:spacing w:after="0"/>
              <w:rPr>
                <w:sz w:val="22"/>
                <w:szCs w:val="22"/>
                <w:color w:val="auto"/>
              </w:rPr>
            </w:pPr>
          </w:p>
        </w:tc>
        <w:tc>
          <w:tcPr>
            <w:tcW w:w="2720" w:type="dxa"/>
            <w:vAlign w:val="bottom"/>
          </w:tcPr>
          <w:p>
            <w:pPr>
              <w:jc w:val="center"/>
              <w:ind w:right="701"/>
              <w:spacing w:after="0"/>
              <w:rPr>
                <w:sz w:val="20"/>
                <w:szCs w:val="20"/>
                <w:color w:val="auto"/>
              </w:rPr>
            </w:pPr>
            <w:r>
              <w:rPr>
                <w:rFonts w:ascii="Arial" w:cs="Arial" w:eastAsia="Arial" w:hAnsi="Arial"/>
                <w:sz w:val="16"/>
                <w:szCs w:val="16"/>
                <w:b w:val="1"/>
                <w:bCs w:val="1"/>
                <w:color w:val="auto"/>
              </w:rPr>
              <w:t>Delaware</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60" w:type="dxa"/>
            <w:vAlign w:val="bottom"/>
          </w:tcPr>
          <w:p>
            <w:pPr>
              <w:jc w:val="right"/>
              <w:ind w:right="1799"/>
              <w:spacing w:after="0"/>
              <w:rPr>
                <w:sz w:val="20"/>
                <w:szCs w:val="20"/>
                <w:color w:val="auto"/>
              </w:rPr>
            </w:pPr>
            <w:r>
              <w:rPr>
                <w:rFonts w:ascii="Arial" w:cs="Arial" w:eastAsia="Arial" w:hAnsi="Arial"/>
                <w:sz w:val="16"/>
                <w:szCs w:val="16"/>
                <w:b w:val="1"/>
                <w:bCs w:val="1"/>
                <w:color w:val="auto"/>
              </w:rPr>
              <w:t>75-1618004</w:t>
            </w:r>
          </w:p>
        </w:tc>
        <w:tc>
          <w:tcPr>
            <w:tcW w:w="0" w:type="dxa"/>
            <w:vAlign w:val="bottom"/>
          </w:tcPr>
          <w:p>
            <w:pPr>
              <w:spacing w:after="0"/>
              <w:rPr>
                <w:sz w:val="1"/>
                <w:szCs w:val="1"/>
                <w:color w:val="auto"/>
              </w:rPr>
            </w:pPr>
          </w:p>
        </w:tc>
      </w:tr>
      <w:tr>
        <w:trPr>
          <w:trHeight w:val="184"/>
        </w:trPr>
        <w:tc>
          <w:tcPr>
            <w:tcW w:w="7020" w:type="dxa"/>
            <w:vAlign w:val="bottom"/>
            <w:gridSpan w:val="7"/>
          </w:tcPr>
          <w:p>
            <w:pPr>
              <w:jc w:val="center"/>
              <w:ind w:right="2220"/>
              <w:spacing w:after="0"/>
              <w:rPr>
                <w:sz w:val="20"/>
                <w:szCs w:val="20"/>
                <w:color w:val="auto"/>
              </w:rPr>
            </w:pPr>
            <w:r>
              <w:rPr>
                <w:rFonts w:ascii="Arial" w:cs="Arial" w:eastAsia="Arial" w:hAnsi="Arial"/>
                <w:sz w:val="14"/>
                <w:szCs w:val="14"/>
                <w:color w:val="auto"/>
              </w:rPr>
              <w:t>(State or other jurisdiction of incorporation or organization)</w:t>
            </w:r>
          </w:p>
        </w:tc>
        <w:tc>
          <w:tcPr>
            <w:tcW w:w="4160" w:type="dxa"/>
            <w:vAlign w:val="bottom"/>
          </w:tcPr>
          <w:p>
            <w:pPr>
              <w:jc w:val="center"/>
              <w:ind w:right="399"/>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6"/>
                <w:szCs w:val="16"/>
                <w:color w:val="auto"/>
              </w:rPr>
              <w:t>Address of principal executive offices, including zip code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60" w:type="dxa"/>
            <w:vAlign w:val="bottom"/>
          </w:tcPr>
          <w:p>
            <w:pPr>
              <w:jc w:val="center"/>
              <w:ind w:right="419"/>
              <w:spacing w:after="0"/>
              <w:rPr>
                <w:sz w:val="20"/>
                <w:szCs w:val="20"/>
                <w:color w:val="auto"/>
              </w:rPr>
            </w:pPr>
            <w:r>
              <w:rPr>
                <w:rFonts w:ascii="Arial" w:cs="Arial" w:eastAsia="Arial" w:hAnsi="Arial"/>
                <w:sz w:val="16"/>
                <w:szCs w:val="16"/>
                <w:b w:val="1"/>
                <w:bCs w:val="1"/>
                <w:color w:val="auto"/>
              </w:rPr>
              <w:t>8000 S. Federal Way, Boise, Idaho 83716-9632</w:t>
            </w:r>
          </w:p>
        </w:tc>
        <w:tc>
          <w:tcPr>
            <w:tcW w:w="0" w:type="dxa"/>
            <w:vAlign w:val="bottom"/>
          </w:tcPr>
          <w:p>
            <w:pPr>
              <w:spacing w:after="0"/>
              <w:rPr>
                <w:sz w:val="1"/>
                <w:szCs w:val="1"/>
                <w:color w:val="auto"/>
              </w:rPr>
            </w:pPr>
          </w:p>
        </w:tc>
      </w:tr>
      <w:tr>
        <w:trPr>
          <w:trHeight w:val="227"/>
        </w:trPr>
        <w:tc>
          <w:tcPr>
            <w:tcW w:w="4160" w:type="dxa"/>
            <w:vAlign w:val="bottom"/>
            <w:gridSpan w:val="2"/>
          </w:tcPr>
          <w:p>
            <w:pPr>
              <w:spacing w:after="0"/>
              <w:rPr>
                <w:sz w:val="20"/>
                <w:szCs w:val="20"/>
                <w:color w:val="auto"/>
              </w:rPr>
            </w:pPr>
            <w:r>
              <w:rPr>
                <w:rFonts w:ascii="Arial" w:cs="Arial" w:eastAsia="Arial" w:hAnsi="Arial"/>
                <w:sz w:val="16"/>
                <w:szCs w:val="16"/>
                <w:color w:val="auto"/>
              </w:rPr>
              <w:t>Registrant’s telephone number, including area code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160" w:type="dxa"/>
            <w:vAlign w:val="bottom"/>
          </w:tcPr>
          <w:p>
            <w:pPr>
              <w:jc w:val="right"/>
              <w:ind w:right="1679"/>
              <w:spacing w:after="0"/>
              <w:rPr>
                <w:sz w:val="20"/>
                <w:szCs w:val="20"/>
                <w:color w:val="auto"/>
              </w:rPr>
            </w:pPr>
            <w:r>
              <w:rPr>
                <w:rFonts w:ascii="Arial" w:cs="Arial" w:eastAsia="Arial" w:hAnsi="Arial"/>
                <w:sz w:val="16"/>
                <w:szCs w:val="16"/>
                <w:b w:val="1"/>
                <w:bCs w:val="1"/>
                <w:color w:val="auto"/>
              </w:rPr>
              <w:t>(208) 368-4000</w:t>
            </w:r>
          </w:p>
        </w:tc>
        <w:tc>
          <w:tcPr>
            <w:tcW w:w="0" w:type="dxa"/>
            <w:vAlign w:val="bottom"/>
          </w:tcPr>
          <w:p>
            <w:pPr>
              <w:spacing w:after="0"/>
              <w:rPr>
                <w:sz w:val="1"/>
                <w:szCs w:val="1"/>
                <w:color w:val="auto"/>
              </w:rPr>
            </w:pPr>
          </w:p>
        </w:tc>
      </w:tr>
      <w:tr>
        <w:trPr>
          <w:trHeight w:val="298"/>
        </w:trPr>
        <w:tc>
          <w:tcPr>
            <w:tcW w:w="41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center"/>
              <w:ind w:right="701"/>
              <w:spacing w:after="0"/>
              <w:rPr>
                <w:sz w:val="20"/>
                <w:szCs w:val="20"/>
                <w:color w:val="auto"/>
              </w:rPr>
            </w:pPr>
            <w:r>
              <w:rPr>
                <w:rFonts w:ascii="Arial" w:cs="Arial" w:eastAsia="Arial" w:hAnsi="Arial"/>
                <w:sz w:val="16"/>
                <w:szCs w:val="16"/>
                <w:b w:val="1"/>
                <w:bCs w:val="1"/>
                <w:color w:val="auto"/>
              </w:rPr>
              <w:t>Title of each class</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4160" w:type="dxa"/>
            <w:vAlign w:val="bottom"/>
            <w:gridSpan w:val="2"/>
          </w:tcPr>
          <w:p>
            <w:pPr>
              <w:jc w:val="center"/>
              <w:ind w:left="558"/>
              <w:spacing w:after="0"/>
              <w:rPr>
                <w:sz w:val="20"/>
                <w:szCs w:val="20"/>
                <w:color w:val="auto"/>
              </w:rPr>
            </w:pPr>
            <w:r>
              <w:rPr>
                <w:rFonts w:ascii="Arial" w:cs="Arial" w:eastAsia="Arial" w:hAnsi="Arial"/>
                <w:sz w:val="16"/>
                <w:szCs w:val="16"/>
                <w:color w:val="auto"/>
              </w:rPr>
              <w:t>Common Stock, par value $0.10 per share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jc w:val="center"/>
              <w:ind w:right="600"/>
              <w:spacing w:after="0"/>
              <w:rPr>
                <w:sz w:val="20"/>
                <w:szCs w:val="20"/>
                <w:color w:val="auto"/>
              </w:rPr>
            </w:pPr>
            <w:r>
              <w:rPr>
                <w:rFonts w:ascii="Arial" w:cs="Arial" w:eastAsia="Arial" w:hAnsi="Arial"/>
                <w:sz w:val="16"/>
                <w:szCs w:val="16"/>
                <w:color w:val="auto"/>
              </w:rPr>
              <w:t>MU</w:t>
            </w:r>
          </w:p>
        </w:tc>
        <w:tc>
          <w:tcPr>
            <w:tcW w:w="4160" w:type="dxa"/>
            <w:vAlign w:val="bottom"/>
          </w:tcPr>
          <w:p>
            <w:pPr>
              <w:jc w:val="center"/>
              <w:ind w:right="399"/>
              <w:spacing w:after="0"/>
              <w:rPr>
                <w:sz w:val="20"/>
                <w:szCs w:val="20"/>
                <w:color w:val="auto"/>
              </w:rPr>
            </w:pPr>
            <w:r>
              <w:rPr>
                <w:rFonts w:ascii="Arial" w:cs="Arial" w:eastAsia="Arial" w:hAnsi="Arial"/>
                <w:sz w:val="16"/>
                <w:szCs w:val="16"/>
                <w:color w:val="auto"/>
              </w:rPr>
              <w:t>Nasdaq 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sectPr>
          <w:pgSz w:w="11900" w:h="16838" w:orient="portrait"/>
          <w:cols w:equalWidth="0" w:num="1">
            <w:col w:w="11220"/>
          </w:cols>
          <w:pgMar w:left="320" w:top="1027" w:right="359" w:bottom="1440" w:gutter="0" w:footer="0" w:header="0"/>
        </w:sectPr>
      </w:pPr>
    </w:p>
    <w:p>
      <w:pPr>
        <w:ind w:left="3460"/>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82"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46" w:lineRule="exact"/>
        <w:rPr>
          <w:sz w:val="24"/>
          <w:szCs w:val="24"/>
          <w:color w:val="auto"/>
        </w:rPr>
      </w:pPr>
    </w:p>
    <w:p>
      <w:pPr>
        <w:ind w:left="2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32" w:lineRule="exact"/>
        <w:rPr>
          <w:sz w:val="24"/>
          <w:szCs w:val="24"/>
          <w:color w:val="auto"/>
        </w:rPr>
      </w:pPr>
    </w:p>
    <w:p>
      <w:pPr>
        <w:ind w:left="2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 w:lineRule="exact"/>
        <w:rPr>
          <w:sz w:val="24"/>
          <w:szCs w:val="24"/>
          <w:color w:val="auto"/>
        </w:rPr>
      </w:pPr>
    </w:p>
    <w:p>
      <w:pPr>
        <w:ind w:left="20"/>
        <w:spacing w:after="0" w:line="27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77"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79"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36"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sectPr>
          <w:pgSz w:w="11900" w:h="16838" w:orient="portrait"/>
          <w:cols w:equalWidth="0" w:num="2">
            <w:col w:w="9580" w:space="200"/>
            <w:col w:w="1440"/>
          </w:cols>
          <w:pgMar w:left="320" w:top="1027" w:right="359" w:bottom="1440" w:gutter="0" w:footer="0" w:header="0"/>
          <w:type w:val="continuous"/>
        </w:sectPr>
      </w:pPr>
    </w:p>
    <w:p>
      <w:pPr>
        <w:ind w:left="20" w:right="16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194"/>
        </w:trPr>
        <w:tc>
          <w:tcPr>
            <w:tcW w:w="2360" w:type="dxa"/>
            <w:vAlign w:val="bottom"/>
          </w:tcPr>
          <w:p>
            <w:pPr>
              <w:jc w:val="center"/>
              <w:ind w:right="37"/>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40" w:type="dxa"/>
            <w:vAlign w:val="bottom"/>
          </w:tcPr>
          <w:p>
            <w:pPr>
              <w:jc w:val="center"/>
              <w:ind w:left="135"/>
              <w:spacing w:after="0"/>
              <w:rPr>
                <w:sz w:val="20"/>
                <w:szCs w:val="20"/>
                <w:color w:val="auto"/>
              </w:rPr>
            </w:pPr>
            <w:r>
              <w:rPr>
                <w:rFonts w:ascii="Arial" w:cs="Arial" w:eastAsia="Arial" w:hAnsi="Arial"/>
                <w:sz w:val="16"/>
                <w:szCs w:val="16"/>
                <w:color w:val="auto"/>
              </w:rPr>
              <w:t>Non-Accelerated Filer</w:t>
            </w:r>
          </w:p>
        </w:tc>
        <w:tc>
          <w:tcPr>
            <w:tcW w:w="2380" w:type="dxa"/>
            <w:vAlign w:val="bottom"/>
          </w:tcPr>
          <w:p>
            <w:pPr>
              <w:jc w:val="center"/>
              <w:ind w:left="55"/>
              <w:spacing w:after="0"/>
              <w:rPr>
                <w:sz w:val="20"/>
                <w:szCs w:val="20"/>
                <w:color w:val="auto"/>
              </w:rPr>
            </w:pPr>
            <w:r>
              <w:rPr>
                <w:rFonts w:ascii="Arial" w:cs="Arial" w:eastAsia="Arial" w:hAnsi="Arial"/>
                <w:sz w:val="16"/>
                <w:szCs w:val="16"/>
                <w:color w:val="auto"/>
              </w:rPr>
              <w:t>Smaller Reporting Company</w:t>
            </w:r>
          </w:p>
        </w:tc>
        <w:tc>
          <w:tcPr>
            <w:tcW w:w="2100" w:type="dxa"/>
            <w:vAlign w:val="bottom"/>
          </w:tcPr>
          <w:p>
            <w:pPr>
              <w:jc w:val="center"/>
              <w:ind w:left="13"/>
              <w:spacing w:after="0"/>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303"/>
        </w:trPr>
        <w:tc>
          <w:tcPr>
            <w:tcW w:w="2360" w:type="dxa"/>
            <w:vAlign w:val="bottom"/>
          </w:tcPr>
          <w:p>
            <w:pPr>
              <w:jc w:val="center"/>
              <w:ind w:right="37"/>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40" w:type="dxa"/>
            <w:vAlign w:val="bottom"/>
          </w:tcPr>
          <w:p>
            <w:pPr>
              <w:jc w:val="center"/>
              <w:ind w:left="155"/>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9"/>
        </w:trPr>
        <w:tc>
          <w:tcPr>
            <w:tcW w:w="11140" w:type="dxa"/>
            <w:vAlign w:val="bottom"/>
            <w:gridSpan w:val="5"/>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tc>
        <w:tc>
          <w:tcPr>
            <w:tcW w:w="0" w:type="dxa"/>
            <w:vAlign w:val="bottom"/>
          </w:tcPr>
          <w:p>
            <w:pPr>
              <w:spacing w:after="0"/>
              <w:rPr>
                <w:sz w:val="1"/>
                <w:szCs w:val="1"/>
                <w:color w:val="auto"/>
              </w:rPr>
            </w:pPr>
          </w:p>
        </w:tc>
      </w:tr>
      <w:tr>
        <w:trPr>
          <w:trHeight w:val="207"/>
        </w:trPr>
        <w:tc>
          <w:tcPr>
            <w:tcW w:w="9040" w:type="dxa"/>
            <w:vAlign w:val="bottom"/>
            <w:gridSpan w:val="4"/>
          </w:tcPr>
          <w:p>
            <w:pPr>
              <w:spacing w:after="0"/>
              <w:rPr>
                <w:sz w:val="20"/>
                <w:szCs w:val="20"/>
                <w:color w:val="auto"/>
              </w:rPr>
            </w:pPr>
            <w:r>
              <w:rPr>
                <w:rFonts w:ascii="Arial" w:cs="Arial" w:eastAsia="Arial" w:hAnsi="Arial"/>
                <w:sz w:val="16"/>
                <w:szCs w:val="16"/>
                <w:color w:val="auto"/>
              </w:rPr>
              <w:t>new or revised financial accounting standards provided pursuant to Section 13(a) of the Exchange Act.</w:t>
            </w:r>
          </w:p>
        </w:tc>
        <w:tc>
          <w:tcPr>
            <w:tcW w:w="2100" w:type="dxa"/>
            <w:vAlign w:val="bottom"/>
            <w:vMerge w:val="restart"/>
          </w:tcPr>
          <w:p>
            <w:pPr>
              <w:ind w:left="18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20" w:right="540"/>
        <w:spacing w:after="0" w:line="250"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20" w:right="160"/>
        <w:spacing w:after="0" w:line="220" w:lineRule="exact"/>
        <w:rPr>
          <w:sz w:val="20"/>
          <w:szCs w:val="20"/>
          <w:color w:val="auto"/>
        </w:rPr>
      </w:pPr>
      <w:r>
        <w:rPr>
          <w:rFonts w:ascii="Arial" w:cs="Arial" w:eastAsia="Arial" w:hAnsi="Arial"/>
          <w:sz w:val="16"/>
          <w:szCs w:val="16"/>
          <w:color w:val="auto"/>
        </w:rPr>
        <w:t xml:space="preserve">prepared or issued its audit report. </w:t>
      </w:r>
      <w:r>
        <w:rPr>
          <w:rFonts w:ascii="MS PGothic" w:cs="MS PGothic" w:eastAsia="MS PGothic" w:hAnsi="MS PGothic"/>
          <w:sz w:val="17"/>
          <w:szCs w:val="17"/>
          <w:color w:val="auto"/>
        </w:rPr>
        <w:t>☒</w:t>
      </w:r>
      <w:r>
        <w:rPr>
          <w:rFonts w:ascii="Arial" w:cs="Arial" w:eastAsia="Arial" w:hAnsi="Arial"/>
          <w:sz w:val="16"/>
          <w:szCs w:val="16"/>
          <w:color w:val="auto"/>
        </w:rPr>
        <w:t xml:space="preserve"> If securities are registered pursuant to Section 12(b) of the Act, indicate by check mark whether the financial statements of the registrant included in the</w:t>
      </w:r>
    </w:p>
    <w:tbl>
      <w:tblPr>
        <w:tblLayout w:type="fixed"/>
        <w:tblInd w:w="20" w:type="dxa"/>
        <w:tblCellMar>
          <w:top w:w="0" w:type="dxa"/>
          <w:left w:w="0" w:type="dxa"/>
          <w:bottom w:w="0" w:type="dxa"/>
          <w:right w:w="0" w:type="dxa"/>
        </w:tblCellMar>
      </w:tblPr>
      <w:tr>
        <w:trPr>
          <w:trHeight w:val="244"/>
        </w:trPr>
        <w:tc>
          <w:tcPr>
            <w:tcW w:w="9000" w:type="dxa"/>
            <w:vAlign w:val="bottom"/>
          </w:tcPr>
          <w:p>
            <w:pPr>
              <w:spacing w:after="0"/>
              <w:rPr>
                <w:sz w:val="20"/>
                <w:szCs w:val="20"/>
                <w:color w:val="auto"/>
              </w:rPr>
            </w:pPr>
            <w:r>
              <w:rPr>
                <w:rFonts w:ascii="Arial" w:cs="Arial" w:eastAsia="Arial" w:hAnsi="Arial"/>
                <w:sz w:val="16"/>
                <w:szCs w:val="16"/>
                <w:color w:val="auto"/>
              </w:rPr>
              <w:t>filing reflect the correction of an error to previously issued financial statements.</w:t>
            </w:r>
          </w:p>
        </w:tc>
        <w:tc>
          <w:tcPr>
            <w:tcW w:w="1560" w:type="dxa"/>
            <w:vAlign w:val="bottom"/>
          </w:tcPr>
          <w:p>
            <w:pPr>
              <w:spacing w:after="0"/>
              <w:rPr>
                <w:sz w:val="21"/>
                <w:szCs w:val="21"/>
                <w:color w:val="auto"/>
              </w:rPr>
            </w:pPr>
          </w:p>
        </w:tc>
        <w:tc>
          <w:tcPr>
            <w:tcW w:w="4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10560" w:type="dxa"/>
            <w:vAlign w:val="bottom"/>
            <w:gridSpan w:val="2"/>
          </w:tcPr>
          <w:p>
            <w:pPr>
              <w:spacing w:after="0"/>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9000" w:type="dxa"/>
            <w:vAlign w:val="bottom"/>
          </w:tcPr>
          <w:p>
            <w:pPr>
              <w:spacing w:after="0"/>
              <w:rPr>
                <w:sz w:val="20"/>
                <w:szCs w:val="20"/>
                <w:color w:val="auto"/>
              </w:rPr>
            </w:pPr>
            <w:r>
              <w:rPr>
                <w:rFonts w:ascii="Arial" w:cs="Arial" w:eastAsia="Arial" w:hAnsi="Arial"/>
                <w:sz w:val="16"/>
                <w:szCs w:val="16"/>
                <w:color w:val="auto"/>
              </w:rPr>
              <w:t>received by any of the registrant’s executive officers during the relevant recovery period pursuant to §240.10D-1(b).</w:t>
            </w: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000" w:type="dxa"/>
            <w:vAlign w:val="bottom"/>
            <w:vMerge w:val="restart"/>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1560" w:type="dxa"/>
            <w:vAlign w:val="bottom"/>
          </w:tcPr>
          <w:p>
            <w:pPr>
              <w:spacing w:after="0"/>
              <w:rPr>
                <w:sz w:val="24"/>
                <w:szCs w:val="24"/>
                <w:color w:val="auto"/>
              </w:rPr>
            </w:pPr>
          </w:p>
        </w:tc>
        <w:tc>
          <w:tcPr>
            <w:tcW w:w="4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5"/>
        </w:trPr>
        <w:tc>
          <w:tcPr>
            <w:tcW w:w="9000" w:type="dxa"/>
            <w:vAlign w:val="bottom"/>
            <w:vMerge w:val="continue"/>
          </w:tcPr>
          <w:p>
            <w:pPr>
              <w:spacing w:after="0"/>
              <w:rPr>
                <w:sz w:val="17"/>
                <w:szCs w:val="17"/>
                <w:color w:val="auto"/>
              </w:rPr>
            </w:pPr>
          </w:p>
        </w:tc>
        <w:tc>
          <w:tcPr>
            <w:tcW w:w="1560" w:type="dxa"/>
            <w:vAlign w:val="bottom"/>
            <w:vMerge w:val="restart"/>
          </w:tcPr>
          <w:p>
            <w:pPr>
              <w:ind w:left="7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80" w:type="dxa"/>
            <w:vAlign w:val="bottom"/>
            <w:vMerge w:val="restart"/>
          </w:tcPr>
          <w:p>
            <w:pPr>
              <w:jc w:val="right"/>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56"/>
        </w:trPr>
        <w:tc>
          <w:tcPr>
            <w:tcW w:w="90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4"/>
          <w:szCs w:val="24"/>
          <w:color w:val="auto"/>
        </w:rPr>
      </w:pPr>
    </w:p>
    <w:p>
      <w:pPr>
        <w:ind w:right="140"/>
        <w:spacing w:after="0" w:line="262" w:lineRule="auto"/>
        <w:rPr>
          <w:sz w:val="20"/>
          <w:szCs w:val="20"/>
          <w:color w:val="auto"/>
        </w:rPr>
      </w:pPr>
      <w:r>
        <w:rPr>
          <w:rFonts w:ascii="Arial" w:cs="Arial" w:eastAsia="Arial" w:hAnsi="Arial"/>
          <w:sz w:val="16"/>
          <w:szCs w:val="16"/>
          <w:color w:val="auto"/>
        </w:rPr>
        <w:t>The aggregate market value of the voting and non-voting common equity held by non-affiliates was $47.9 billion based on the closing price reported on the Nasdaq Global Select Market on March 2, 2023. Shares of common stock held by each executive officer and director and by each person who owns 5% or more of the outstanding common stock were excluded as they may be deemed to be affiliates. This determination of affiliate status is not necessarily a conclusive determination for other purposes.</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registrant’s common stock as of September 29, 2023 was 1,098,034,471.</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68" w:lineRule="exact"/>
        <w:rPr>
          <w:sz w:val="24"/>
          <w:szCs w:val="24"/>
          <w:color w:val="auto"/>
        </w:rPr>
      </w:pPr>
    </w:p>
    <w:p>
      <w:pPr>
        <w:ind w:right="640"/>
        <w:spacing w:after="0" w:line="293" w:lineRule="auto"/>
        <w:rPr>
          <w:sz w:val="20"/>
          <w:szCs w:val="20"/>
          <w:color w:val="auto"/>
        </w:rPr>
      </w:pPr>
      <w:r>
        <w:rPr>
          <w:rFonts w:ascii="Arial" w:cs="Arial" w:eastAsia="Arial" w:hAnsi="Arial"/>
          <w:sz w:val="16"/>
          <w:szCs w:val="16"/>
          <w:color w:val="auto"/>
        </w:rPr>
        <w:t>Portions of the Proxy Statement for the registrant’s Fiscal 2023 Annual Meeting of Shareholders to be held on January 18, 2024 are incorporated by reference into Part II and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7" w:right="3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070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07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auto"/>
        </w:rPr>
        <w:t>Micron’s Global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63590" cy="3454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6359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Micron’s global presence map highlights locations that include our manufacturing sites, centers of excellence, customer labs, and large offices. Not all Micron locations are represented on this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5863590" cy="3291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ectPr>
          <w:pgSz w:w="11900" w:h="16838" w:orient="portrait"/>
          <w:cols w:equalWidth="0" w:num="1">
            <w:col w:w="10840"/>
          </w:cols>
          <w:pgMar w:left="320" w:top="919" w:right="739" w:bottom="1440"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944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4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Business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440" w:type="dxa"/>
            <w:vAlign w:val="bottom"/>
          </w:tcPr>
          <w:p>
            <w:pPr>
              <w:ind w:left="28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1B.</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Unresolved Staff Comments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2.</w:t>
            </w:r>
          </w:p>
        </w:tc>
        <w:tc>
          <w:tcPr>
            <w:tcW w:w="9440" w:type="dxa"/>
            <w:vAlign w:val="bottom"/>
          </w:tcPr>
          <w:p>
            <w:pPr>
              <w:ind w:left="280"/>
              <w:spacing w:after="0"/>
              <w:rPr>
                <w:sz w:val="20"/>
                <w:szCs w:val="20"/>
                <w:color w:val="auto"/>
              </w:rPr>
            </w:pPr>
            <w:r>
              <w:rPr>
                <w:rFonts w:ascii="Arial" w:cs="Arial" w:eastAsia="Arial" w:hAnsi="Arial"/>
                <w:sz w:val="18"/>
                <w:szCs w:val="18"/>
                <w:color w:val="auto"/>
              </w:rPr>
              <w:t>Properties</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3.</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4.</w:t>
            </w:r>
          </w:p>
        </w:tc>
        <w:tc>
          <w:tcPr>
            <w:tcW w:w="9440" w:type="dxa"/>
            <w:vAlign w:val="bottom"/>
          </w:tcPr>
          <w:p>
            <w:pPr>
              <w:ind w:left="28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PART II</w:t>
            </w:r>
          </w:p>
        </w:tc>
        <w:tc>
          <w:tcPr>
            <w:tcW w:w="9440" w:type="dxa"/>
            <w:vAlign w:val="bottom"/>
            <w:shd w:val="clear" w:color="auto" w:fill="D1D2D4"/>
          </w:tcPr>
          <w:p>
            <w:pPr>
              <w:spacing w:after="0"/>
              <w:rPr>
                <w:sz w:val="19"/>
                <w:szCs w:val="19"/>
                <w:color w:val="auto"/>
              </w:rPr>
            </w:pPr>
          </w:p>
        </w:tc>
        <w:tc>
          <w:tcPr>
            <w:tcW w:w="560" w:type="dxa"/>
            <w:vAlign w:val="bottom"/>
            <w:shd w:val="clear" w:color="auto" w:fill="D1D2D4"/>
          </w:tcPr>
          <w:p>
            <w:pPr>
              <w:spacing w:after="0"/>
              <w:rPr>
                <w:sz w:val="19"/>
                <w:szCs w:val="19"/>
                <w:color w:val="auto"/>
              </w:rPr>
            </w:pP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5.</w:t>
            </w:r>
          </w:p>
        </w:tc>
        <w:tc>
          <w:tcPr>
            <w:tcW w:w="9440" w:type="dxa"/>
            <w:vAlign w:val="bottom"/>
          </w:tcPr>
          <w:p>
            <w:pPr>
              <w:ind w:left="2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6.</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[Reserved]</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7.</w:t>
            </w:r>
          </w:p>
        </w:tc>
        <w:tc>
          <w:tcPr>
            <w:tcW w:w="944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7A.</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8.</w:t>
            </w:r>
          </w:p>
        </w:tc>
        <w:tc>
          <w:tcPr>
            <w:tcW w:w="9440" w:type="dxa"/>
            <w:vAlign w:val="bottom"/>
          </w:tcPr>
          <w:p>
            <w:pPr>
              <w:ind w:left="280"/>
              <w:spacing w:after="0"/>
              <w:rPr>
                <w:sz w:val="20"/>
                <w:szCs w:val="20"/>
                <w:color w:val="auto"/>
              </w:rPr>
            </w:pPr>
            <w:r>
              <w:rPr>
                <w:rFonts w:ascii="Arial" w:cs="Arial" w:eastAsia="Arial" w:hAnsi="Arial"/>
                <w:sz w:val="18"/>
                <w:szCs w:val="18"/>
                <w:color w:val="auto"/>
              </w:rPr>
              <w:t>Financial Statements and Supplementary Data</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9.</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9A.</w:t>
            </w:r>
          </w:p>
        </w:tc>
        <w:tc>
          <w:tcPr>
            <w:tcW w:w="944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9B.</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9C.</w:t>
            </w:r>
          </w:p>
        </w:tc>
        <w:tc>
          <w:tcPr>
            <w:tcW w:w="9440" w:type="dxa"/>
            <w:vAlign w:val="bottom"/>
          </w:tcPr>
          <w:p>
            <w:pPr>
              <w:ind w:left="28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PART III</w:t>
            </w:r>
          </w:p>
        </w:tc>
        <w:tc>
          <w:tcPr>
            <w:tcW w:w="9440" w:type="dxa"/>
            <w:vAlign w:val="bottom"/>
            <w:shd w:val="clear" w:color="auto" w:fill="D1D2D4"/>
          </w:tcPr>
          <w:p>
            <w:pPr>
              <w:spacing w:after="0"/>
              <w:rPr>
                <w:sz w:val="19"/>
                <w:szCs w:val="19"/>
                <w:color w:val="auto"/>
              </w:rPr>
            </w:pPr>
          </w:p>
        </w:tc>
        <w:tc>
          <w:tcPr>
            <w:tcW w:w="560" w:type="dxa"/>
            <w:vAlign w:val="bottom"/>
            <w:shd w:val="clear" w:color="auto" w:fill="D1D2D4"/>
          </w:tcPr>
          <w:p>
            <w:pPr>
              <w:spacing w:after="0"/>
              <w:rPr>
                <w:sz w:val="19"/>
                <w:szCs w:val="19"/>
                <w:color w:val="auto"/>
              </w:rPr>
            </w:pP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10.</w:t>
            </w:r>
          </w:p>
        </w:tc>
        <w:tc>
          <w:tcPr>
            <w:tcW w:w="9440" w:type="dxa"/>
            <w:vAlign w:val="bottom"/>
          </w:tcPr>
          <w:p>
            <w:pPr>
              <w:ind w:left="280"/>
              <w:spacing w:after="0"/>
              <w:rPr>
                <w:sz w:val="20"/>
                <w:szCs w:val="20"/>
                <w:color w:val="auto"/>
              </w:rPr>
            </w:pPr>
            <w:r>
              <w:rPr>
                <w:rFonts w:ascii="Arial" w:cs="Arial" w:eastAsia="Arial" w:hAnsi="Arial"/>
                <w:sz w:val="18"/>
                <w:szCs w:val="18"/>
                <w:color w:val="auto"/>
              </w:rPr>
              <w:t>Directors, Executive Officers, and Corporate Governance</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11.</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Executive Compensation</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40" w:type="dxa"/>
            <w:vAlign w:val="bottom"/>
          </w:tcPr>
          <w:p>
            <w:pPr>
              <w:ind w:left="2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13.</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14.</w:t>
            </w:r>
          </w:p>
        </w:tc>
        <w:tc>
          <w:tcPr>
            <w:tcW w:w="9440" w:type="dxa"/>
            <w:vAlign w:val="bottom"/>
          </w:tcPr>
          <w:p>
            <w:pPr>
              <w:ind w:left="280"/>
              <w:spacing w:after="0"/>
              <w:rPr>
                <w:sz w:val="20"/>
                <w:szCs w:val="20"/>
                <w:color w:val="auto"/>
              </w:rPr>
            </w:pPr>
            <w:r>
              <w:rPr>
                <w:rFonts w:ascii="Arial" w:cs="Arial" w:eastAsia="Arial" w:hAnsi="Arial"/>
                <w:sz w:val="18"/>
                <w:szCs w:val="18"/>
                <w:color w:val="auto"/>
              </w:rPr>
              <w:t>Principal Accountant Fees and Services</w:t>
            </w: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PART IV</w:t>
            </w:r>
          </w:p>
        </w:tc>
        <w:tc>
          <w:tcPr>
            <w:tcW w:w="9440" w:type="dxa"/>
            <w:vAlign w:val="bottom"/>
            <w:shd w:val="clear" w:color="auto" w:fill="D1D2D4"/>
          </w:tcPr>
          <w:p>
            <w:pPr>
              <w:spacing w:after="0"/>
              <w:rPr>
                <w:sz w:val="19"/>
                <w:szCs w:val="19"/>
                <w:color w:val="auto"/>
              </w:rPr>
            </w:pPr>
          </w:p>
        </w:tc>
        <w:tc>
          <w:tcPr>
            <w:tcW w:w="560" w:type="dxa"/>
            <w:vAlign w:val="bottom"/>
            <w:shd w:val="clear" w:color="auto" w:fill="D1D2D4"/>
          </w:tcPr>
          <w:p>
            <w:pPr>
              <w:spacing w:after="0"/>
              <w:rPr>
                <w:sz w:val="19"/>
                <w:szCs w:val="19"/>
                <w:color w:val="auto"/>
              </w:rPr>
            </w:pP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15.</w:t>
            </w:r>
          </w:p>
        </w:tc>
        <w:tc>
          <w:tcPr>
            <w:tcW w:w="9440" w:type="dxa"/>
            <w:vAlign w:val="bottom"/>
          </w:tcPr>
          <w:p>
            <w:pPr>
              <w:ind w:left="280"/>
              <w:spacing w:after="0"/>
              <w:rPr>
                <w:sz w:val="20"/>
                <w:szCs w:val="20"/>
                <w:color w:val="auto"/>
              </w:rPr>
            </w:pPr>
            <w:r>
              <w:rPr>
                <w:rFonts w:ascii="Arial" w:cs="Arial" w:eastAsia="Arial" w:hAnsi="Arial"/>
                <w:sz w:val="18"/>
                <w:szCs w:val="18"/>
                <w:color w:val="auto"/>
              </w:rPr>
              <w:t>Exhibits and Financial Statement Schedule</w:t>
            </w: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16.</w:t>
            </w:r>
          </w:p>
        </w:tc>
        <w:tc>
          <w:tcPr>
            <w:tcW w:w="9440" w:type="dxa"/>
            <w:vAlign w:val="bottom"/>
            <w:shd w:val="clear" w:color="auto" w:fill="D1D2D4"/>
          </w:tcPr>
          <w:p>
            <w:pPr>
              <w:ind w:left="280"/>
              <w:spacing w:after="0"/>
              <w:rPr>
                <w:sz w:val="20"/>
                <w:szCs w:val="20"/>
                <w:color w:val="auto"/>
              </w:rPr>
            </w:pPr>
            <w:r>
              <w:rPr>
                <w:rFonts w:ascii="Arial" w:cs="Arial" w:eastAsia="Arial" w:hAnsi="Arial"/>
                <w:sz w:val="18"/>
                <w:szCs w:val="18"/>
                <w:color w:val="auto"/>
              </w:rPr>
              <w:t>Form 10-K Summary</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9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659765" cy="1797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6"/>
          <w:szCs w:val="16"/>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Term</w:t>
            </w:r>
          </w:p>
        </w:tc>
        <w:tc>
          <w:tcPr>
            <w:tcW w:w="760" w:type="dxa"/>
            <w:vAlign w:val="bottom"/>
          </w:tcPr>
          <w:p>
            <w:pPr>
              <w:spacing w:after="0"/>
              <w:rPr>
                <w:sz w:val="20"/>
                <w:szCs w:val="20"/>
                <w:color w:val="auto"/>
              </w:rPr>
            </w:pPr>
          </w:p>
        </w:tc>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Definition</w:t>
            </w:r>
          </w:p>
        </w:tc>
        <w:tc>
          <w:tcPr>
            <w:tcW w:w="1680" w:type="dxa"/>
            <w:vAlign w:val="bottom"/>
          </w:tcPr>
          <w:p>
            <w:pPr>
              <w:ind w:left="680"/>
              <w:spacing w:after="0"/>
              <w:rPr>
                <w:sz w:val="20"/>
                <w:szCs w:val="20"/>
                <w:color w:val="auto"/>
              </w:rPr>
            </w:pPr>
            <w:r>
              <w:rPr>
                <w:rFonts w:ascii="Arial" w:cs="Arial" w:eastAsia="Arial" w:hAnsi="Arial"/>
                <w:sz w:val="18"/>
                <w:szCs w:val="18"/>
                <w:b w:val="1"/>
                <w:bCs w:val="1"/>
                <w:color w:val="auto"/>
              </w:rPr>
              <w:t>Term</w:t>
            </w:r>
          </w:p>
        </w:tc>
        <w:tc>
          <w:tcPr>
            <w:tcW w:w="3940" w:type="dxa"/>
            <w:vAlign w:val="bottom"/>
          </w:tcPr>
          <w:p>
            <w:pPr>
              <w:ind w:left="160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3940" w:type="dxa"/>
            <w:vAlign w:val="bottom"/>
            <w:tcBorders>
              <w:top w:val="single" w:sz="8" w:color="auto"/>
            </w:tcBorders>
          </w:tcPr>
          <w:p>
            <w:pPr>
              <w:spacing w:after="0"/>
              <w:rPr>
                <w:sz w:val="2"/>
                <w:szCs w:val="2"/>
                <w:color w:val="auto"/>
              </w:rPr>
            </w:pPr>
          </w:p>
        </w:tc>
      </w:tr>
      <w:tr>
        <w:trPr>
          <w:trHeight w:val="176"/>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2023</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2.497%</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April 2023, repaid</w:t>
            </w:r>
          </w:p>
        </w:tc>
        <w:tc>
          <w:tcPr>
            <w:tcW w:w="168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GDDR</w:t>
            </w:r>
          </w:p>
        </w:tc>
        <w:tc>
          <w:tcPr>
            <w:tcW w:w="3940" w:type="dxa"/>
            <w:vAlign w:val="bottom"/>
            <w:shd w:val="clear" w:color="auto" w:fill="DBDBDB"/>
          </w:tcPr>
          <w:p>
            <w:pPr>
              <w:ind w:left="120"/>
              <w:spacing w:after="0" w:line="176" w:lineRule="exact"/>
              <w:rPr>
                <w:sz w:val="20"/>
                <w:szCs w:val="20"/>
                <w:color w:val="auto"/>
              </w:rPr>
            </w:pPr>
            <w:r>
              <w:rPr>
                <w:rFonts w:ascii="Arial" w:cs="Arial" w:eastAsia="Arial" w:hAnsi="Arial"/>
                <w:sz w:val="18"/>
                <w:szCs w:val="18"/>
                <w:color w:val="auto"/>
              </w:rPr>
              <w:t>Graphics double data rate</w:t>
            </w:r>
          </w:p>
        </w:tc>
      </w:tr>
      <w:tr>
        <w:trPr>
          <w:trHeight w:val="242"/>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November 2021</w:t>
            </w:r>
          </w:p>
        </w:tc>
        <w:tc>
          <w:tcPr>
            <w:tcW w:w="1680" w:type="dxa"/>
            <w:vAlign w:val="bottom"/>
            <w:shd w:val="clear" w:color="auto" w:fill="DBDBDB"/>
          </w:tcPr>
          <w:p>
            <w:pPr>
              <w:spacing w:after="0"/>
              <w:rPr>
                <w:sz w:val="21"/>
                <w:szCs w:val="21"/>
                <w:color w:val="auto"/>
              </w:rPr>
            </w:pPr>
          </w:p>
        </w:tc>
        <w:tc>
          <w:tcPr>
            <w:tcW w:w="3940" w:type="dxa"/>
            <w:vAlign w:val="bottom"/>
            <w:shd w:val="clear" w:color="auto" w:fill="DBDBDB"/>
          </w:tcPr>
          <w:p>
            <w:pPr>
              <w:spacing w:after="0"/>
              <w:rPr>
                <w:sz w:val="21"/>
                <w:szCs w:val="21"/>
                <w:color w:val="auto"/>
              </w:rPr>
            </w:pP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2024</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4.640%</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2024,</w:t>
            </w:r>
          </w:p>
        </w:tc>
        <w:tc>
          <w:tcPr>
            <w:tcW w:w="1680" w:type="dxa"/>
            <w:vAlign w:val="bottom"/>
          </w:tcPr>
          <w:p>
            <w:pPr>
              <w:spacing w:after="0" w:line="176" w:lineRule="exact"/>
              <w:rPr>
                <w:sz w:val="20"/>
                <w:szCs w:val="20"/>
                <w:color w:val="auto"/>
              </w:rPr>
            </w:pPr>
            <w:r>
              <w:rPr>
                <w:rFonts w:ascii="Arial" w:cs="Arial" w:eastAsia="Arial" w:hAnsi="Arial"/>
                <w:sz w:val="18"/>
                <w:szCs w:val="18"/>
                <w:color w:val="auto"/>
              </w:rPr>
              <w:t>HBM</w:t>
            </w: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High-bandwidth memory, a stacked DRAM</w:t>
            </w:r>
          </w:p>
        </w:tc>
      </w:tr>
      <w:tr>
        <w:trPr>
          <w:trHeight w:val="175"/>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repaid November 2021</w:t>
            </w:r>
          </w:p>
        </w:tc>
        <w:tc>
          <w:tcPr>
            <w:tcW w:w="1680" w:type="dxa"/>
            <w:vAlign w:val="bottom"/>
          </w:tcPr>
          <w:p>
            <w:pPr>
              <w:spacing w:after="0"/>
              <w:rPr>
                <w:sz w:val="15"/>
                <w:szCs w:val="15"/>
                <w:color w:val="auto"/>
              </w:rPr>
            </w:pP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technology optimized for memory-bandwidth</w:t>
            </w:r>
          </w:p>
        </w:tc>
      </w:tr>
      <w:tr>
        <w:trPr>
          <w:trHeight w:val="236"/>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intensive applications</w:t>
            </w:r>
          </w:p>
        </w:tc>
      </w:tr>
      <w:tr>
        <w:trPr>
          <w:trHeight w:val="236"/>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October 2024</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Inotera</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Inotera Memories, Inc.</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12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Senior Term Loan A due November 2025</w:t>
            </w:r>
          </w:p>
        </w:tc>
        <w:tc>
          <w:tcPr>
            <w:tcW w:w="1680" w:type="dxa"/>
            <w:vAlign w:val="bottom"/>
          </w:tcPr>
          <w:p>
            <w:pPr>
              <w:spacing w:after="0"/>
              <w:rPr>
                <w:sz w:val="20"/>
                <w:szCs w:val="20"/>
                <w:color w:val="auto"/>
              </w:rPr>
            </w:pPr>
            <w:r>
              <w:rPr>
                <w:rFonts w:ascii="Arial" w:cs="Arial" w:eastAsia="Arial" w:hAnsi="Arial"/>
                <w:sz w:val="18"/>
                <w:szCs w:val="18"/>
                <w:color w:val="auto"/>
              </w:rPr>
              <w:t>LIBOR</w:t>
            </w:r>
          </w:p>
        </w:tc>
        <w:tc>
          <w:tcPr>
            <w:tcW w:w="3940" w:type="dxa"/>
            <w:vAlign w:val="bottom"/>
          </w:tcPr>
          <w:p>
            <w:pPr>
              <w:ind w:left="120"/>
              <w:spacing w:after="0"/>
              <w:rPr>
                <w:sz w:val="20"/>
                <w:szCs w:val="20"/>
                <w:color w:val="auto"/>
              </w:rPr>
            </w:pPr>
            <w:r>
              <w:rPr>
                <w:rFonts w:ascii="Arial" w:cs="Arial" w:eastAsia="Arial" w:hAnsi="Arial"/>
                <w:sz w:val="18"/>
                <w:szCs w:val="18"/>
                <w:color w:val="auto"/>
              </w:rPr>
              <w:t>London Interbank Offered Rate</w:t>
            </w:r>
          </w:p>
        </w:tc>
      </w:tr>
      <w:tr>
        <w:trPr>
          <w:trHeight w:val="230"/>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2026 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November 2026</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LPDDR</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Low-power double data rate DRAM</w:t>
            </w: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2027 Term Loan A</w:t>
            </w: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Senior Term Loan A due November 2027</w:t>
            </w:r>
          </w:p>
        </w:tc>
        <w:tc>
          <w:tcPr>
            <w:tcW w:w="1680" w:type="dxa"/>
            <w:vAlign w:val="bottom"/>
          </w:tcPr>
          <w:p>
            <w:pPr>
              <w:spacing w:after="0"/>
              <w:rPr>
                <w:sz w:val="20"/>
                <w:szCs w:val="20"/>
                <w:color w:val="auto"/>
              </w:rPr>
            </w:pPr>
            <w:r>
              <w:rPr>
                <w:rFonts w:ascii="Arial" w:cs="Arial" w:eastAsia="Arial" w:hAnsi="Arial"/>
                <w:sz w:val="18"/>
                <w:szCs w:val="18"/>
                <w:color w:val="auto"/>
              </w:rPr>
              <w:t>LPDRAM</w:t>
            </w:r>
          </w:p>
        </w:tc>
        <w:tc>
          <w:tcPr>
            <w:tcW w:w="3940" w:type="dxa"/>
            <w:vAlign w:val="bottom"/>
          </w:tcPr>
          <w:p>
            <w:pPr>
              <w:ind w:left="120"/>
              <w:spacing w:after="0"/>
              <w:rPr>
                <w:sz w:val="20"/>
                <w:szCs w:val="20"/>
                <w:color w:val="auto"/>
              </w:rPr>
            </w:pPr>
            <w:r>
              <w:rPr>
                <w:rFonts w:ascii="Arial" w:cs="Arial" w:eastAsia="Arial" w:hAnsi="Arial"/>
                <w:sz w:val="18"/>
                <w:szCs w:val="18"/>
                <w:color w:val="auto"/>
              </w:rPr>
              <w:t>Low-power DRAM</w:t>
            </w:r>
          </w:p>
        </w:tc>
      </w:tr>
      <w:tr>
        <w:trPr>
          <w:trHeight w:val="176"/>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2026</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February 2026</w:t>
            </w:r>
          </w:p>
        </w:tc>
        <w:tc>
          <w:tcPr>
            <w:tcW w:w="168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MCP</w:t>
            </w:r>
          </w:p>
        </w:tc>
        <w:tc>
          <w:tcPr>
            <w:tcW w:w="3940" w:type="dxa"/>
            <w:vAlign w:val="bottom"/>
            <w:shd w:val="clear" w:color="auto" w:fill="DBDBDB"/>
          </w:tcPr>
          <w:p>
            <w:pPr>
              <w:ind w:left="120"/>
              <w:spacing w:after="0" w:line="176" w:lineRule="exact"/>
              <w:rPr>
                <w:sz w:val="20"/>
                <w:szCs w:val="20"/>
                <w:color w:val="auto"/>
              </w:rPr>
            </w:pPr>
            <w:r>
              <w:rPr>
                <w:rFonts w:ascii="Arial" w:cs="Arial" w:eastAsia="Arial" w:hAnsi="Arial"/>
                <w:sz w:val="18"/>
                <w:szCs w:val="18"/>
                <w:color w:val="auto"/>
              </w:rPr>
              <w:t>Multichip packaged solutions with managed</w:t>
            </w:r>
          </w:p>
        </w:tc>
      </w:tr>
      <w:tr>
        <w:trPr>
          <w:trHeight w:val="242"/>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80" w:type="dxa"/>
            <w:vAlign w:val="bottom"/>
            <w:shd w:val="clear" w:color="auto" w:fill="DBDBDB"/>
          </w:tcPr>
          <w:p>
            <w:pPr>
              <w:spacing w:after="0"/>
              <w:rPr>
                <w:sz w:val="21"/>
                <w:szCs w:val="21"/>
                <w:color w:val="auto"/>
              </w:rPr>
            </w:pP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NAND and LPDRAM</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2027</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2027</w:t>
            </w:r>
          </w:p>
        </w:tc>
        <w:tc>
          <w:tcPr>
            <w:tcW w:w="1680" w:type="dxa"/>
            <w:vAlign w:val="bottom"/>
          </w:tcPr>
          <w:p>
            <w:pPr>
              <w:spacing w:after="0"/>
              <w:rPr>
                <w:sz w:val="20"/>
                <w:szCs w:val="20"/>
                <w:color w:val="auto"/>
              </w:rPr>
            </w:pPr>
            <w:r>
              <w:rPr>
                <w:rFonts w:ascii="Arial" w:cs="Arial" w:eastAsia="Arial" w:hAnsi="Arial"/>
                <w:sz w:val="18"/>
                <w:szCs w:val="18"/>
                <w:color w:val="auto"/>
              </w:rPr>
              <w:t>Micron</w:t>
            </w:r>
          </w:p>
        </w:tc>
        <w:tc>
          <w:tcPr>
            <w:tcW w:w="3940" w:type="dxa"/>
            <w:vAlign w:val="bottom"/>
          </w:tcPr>
          <w:p>
            <w:pPr>
              <w:ind w:left="120"/>
              <w:spacing w:after="0"/>
              <w:rPr>
                <w:sz w:val="20"/>
                <w:szCs w:val="20"/>
                <w:color w:val="auto"/>
              </w:rPr>
            </w:pPr>
            <w:r>
              <w:rPr>
                <w:rFonts w:ascii="Arial" w:cs="Arial" w:eastAsia="Arial" w:hAnsi="Arial"/>
                <w:sz w:val="18"/>
                <w:szCs w:val="18"/>
                <w:color w:val="auto"/>
              </w:rPr>
              <w:t>Micron Technology, Inc. (Parent Company)</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2028</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5.375%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April 2028</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MTU</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Micron Technology Utah, LLC</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2029</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A 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5.327%</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2029</w:t>
            </w:r>
          </w:p>
        </w:tc>
        <w:tc>
          <w:tcPr>
            <w:tcW w:w="1680" w:type="dxa"/>
            <w:vAlign w:val="bottom"/>
          </w:tcPr>
          <w:p>
            <w:pPr>
              <w:spacing w:after="0" w:line="176" w:lineRule="exact"/>
              <w:rPr>
                <w:sz w:val="20"/>
                <w:szCs w:val="20"/>
                <w:color w:val="auto"/>
              </w:rPr>
            </w:pPr>
            <w:r>
              <w:rPr>
                <w:rFonts w:ascii="Arial" w:cs="Arial" w:eastAsia="Arial" w:hAnsi="Arial"/>
                <w:sz w:val="18"/>
                <w:szCs w:val="18"/>
                <w:color w:val="auto"/>
              </w:rPr>
              <w:t>Multi-Tranche Term</w:t>
            </w: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Borrowing agreement executed November 3,</w:t>
            </w:r>
          </w:p>
        </w:tc>
      </w:tr>
      <w:tr>
        <w:trPr>
          <w:trHeight w:val="176"/>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line="176" w:lineRule="exact"/>
              <w:rPr>
                <w:sz w:val="20"/>
                <w:szCs w:val="20"/>
                <w:color w:val="auto"/>
              </w:rPr>
            </w:pPr>
            <w:r>
              <w:rPr>
                <w:rFonts w:ascii="Arial" w:cs="Arial" w:eastAsia="Arial" w:hAnsi="Arial"/>
                <w:sz w:val="18"/>
                <w:szCs w:val="18"/>
                <w:color w:val="auto"/>
              </w:rPr>
              <w:t>Loan Agreement</w:t>
            </w: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2022 that governs the 2025 Term Loan A, 2026</w:t>
            </w:r>
          </w:p>
        </w:tc>
      </w:tr>
      <w:tr>
        <w:trPr>
          <w:trHeight w:val="236"/>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Term Loan A, and 2027 Term Loan A</w:t>
            </w:r>
          </w:p>
        </w:tc>
      </w:tr>
      <w:tr>
        <w:trPr>
          <w:trHeight w:val="236"/>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2029</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6.750%</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November 2029</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NRV</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Net realizable value</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2030</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4.663%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2030</w:t>
            </w:r>
          </w:p>
        </w:tc>
        <w:tc>
          <w:tcPr>
            <w:tcW w:w="1680" w:type="dxa"/>
            <w:vAlign w:val="bottom"/>
          </w:tcPr>
          <w:p>
            <w:pPr>
              <w:spacing w:after="0"/>
              <w:rPr>
                <w:sz w:val="20"/>
                <w:szCs w:val="20"/>
                <w:color w:val="auto"/>
              </w:rPr>
            </w:pPr>
            <w:r>
              <w:rPr>
                <w:rFonts w:ascii="Arial" w:cs="Arial" w:eastAsia="Arial" w:hAnsi="Arial"/>
                <w:sz w:val="18"/>
                <w:szCs w:val="18"/>
                <w:color w:val="auto"/>
              </w:rPr>
              <w:t>OEM</w:t>
            </w:r>
          </w:p>
        </w:tc>
        <w:tc>
          <w:tcPr>
            <w:tcW w:w="3940" w:type="dxa"/>
            <w:vAlign w:val="bottom"/>
          </w:tcPr>
          <w:p>
            <w:pPr>
              <w:ind w:left="120"/>
              <w:spacing w:after="0"/>
              <w:rPr>
                <w:sz w:val="20"/>
                <w:szCs w:val="20"/>
                <w:color w:val="auto"/>
              </w:rPr>
            </w:pPr>
            <w:r>
              <w:rPr>
                <w:rFonts w:ascii="Arial" w:cs="Arial" w:eastAsia="Arial" w:hAnsi="Arial"/>
                <w:sz w:val="18"/>
                <w:szCs w:val="18"/>
                <w:color w:val="auto"/>
              </w:rPr>
              <w:t>Original equipment manufacturer</w:t>
            </w:r>
          </w:p>
        </w:tc>
      </w:tr>
      <w:tr>
        <w:trPr>
          <w:trHeight w:val="176"/>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2032</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Green Bonds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2.703%</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April 2032</w:t>
            </w:r>
          </w:p>
        </w:tc>
        <w:tc>
          <w:tcPr>
            <w:tcW w:w="168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PCIe</w:t>
            </w:r>
          </w:p>
        </w:tc>
        <w:tc>
          <w:tcPr>
            <w:tcW w:w="3940" w:type="dxa"/>
            <w:vAlign w:val="bottom"/>
            <w:shd w:val="clear" w:color="auto" w:fill="DBDBDB"/>
          </w:tcPr>
          <w:p>
            <w:pPr>
              <w:ind w:left="120"/>
              <w:spacing w:after="0" w:line="176" w:lineRule="exact"/>
              <w:rPr>
                <w:sz w:val="20"/>
                <w:szCs w:val="20"/>
                <w:color w:val="auto"/>
              </w:rPr>
            </w:pPr>
            <w:r>
              <w:rPr>
                <w:rFonts w:ascii="Arial" w:cs="Arial" w:eastAsia="Arial" w:hAnsi="Arial"/>
                <w:sz w:val="18"/>
                <w:szCs w:val="18"/>
                <w:color w:val="auto"/>
              </w:rPr>
              <w:t>High-speed motherboard connection for</w:t>
            </w:r>
          </w:p>
        </w:tc>
      </w:tr>
      <w:tr>
        <w:trPr>
          <w:trHeight w:val="242"/>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80" w:type="dxa"/>
            <w:vAlign w:val="bottom"/>
            <w:shd w:val="clear" w:color="auto" w:fill="DBDBDB"/>
          </w:tcPr>
          <w:p>
            <w:pPr>
              <w:spacing w:after="0"/>
              <w:rPr>
                <w:sz w:val="21"/>
                <w:szCs w:val="21"/>
                <w:color w:val="auto"/>
              </w:rPr>
            </w:pP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peripheral devices such as storage drives</w:t>
            </w:r>
          </w:p>
        </w:tc>
      </w:tr>
      <w:tr>
        <w:trPr>
          <w:trHeight w:val="176"/>
        </w:trPr>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2032D 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3.125%</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Convertible Senior Notes due May</w:t>
            </w:r>
          </w:p>
        </w:tc>
        <w:tc>
          <w:tcPr>
            <w:tcW w:w="1680" w:type="dxa"/>
            <w:vAlign w:val="bottom"/>
          </w:tcPr>
          <w:p>
            <w:pPr>
              <w:spacing w:after="0" w:line="176" w:lineRule="exact"/>
              <w:rPr>
                <w:sz w:val="20"/>
                <w:szCs w:val="20"/>
                <w:color w:val="auto"/>
              </w:rPr>
            </w:pPr>
            <w:r>
              <w:rPr>
                <w:rFonts w:ascii="Arial" w:cs="Arial" w:eastAsia="Arial" w:hAnsi="Arial"/>
                <w:sz w:val="18"/>
                <w:szCs w:val="18"/>
                <w:color w:val="auto"/>
              </w:rPr>
              <w:t>Qimonda</w:t>
            </w: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Qimonda AG</w:t>
            </w:r>
          </w:p>
        </w:tc>
      </w:tr>
      <w:tr>
        <w:trPr>
          <w:trHeight w:val="236"/>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2032, settled August 2021</w:t>
            </w:r>
          </w:p>
        </w:tc>
        <w:tc>
          <w:tcPr>
            <w:tcW w:w="168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236"/>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2033</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 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5.875%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2033</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QLC</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Quad-level cell (four bits per cell)</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2033</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B 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5.875%</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September 2033</w:t>
            </w:r>
          </w:p>
        </w:tc>
        <w:tc>
          <w:tcPr>
            <w:tcW w:w="1680" w:type="dxa"/>
            <w:vAlign w:val="bottom"/>
          </w:tcPr>
          <w:p>
            <w:pPr>
              <w:spacing w:after="0" w:line="176" w:lineRule="exact"/>
              <w:rPr>
                <w:sz w:val="20"/>
                <w:szCs w:val="20"/>
                <w:color w:val="auto"/>
              </w:rPr>
            </w:pPr>
            <w:r>
              <w:rPr>
                <w:rFonts w:ascii="Arial" w:cs="Arial" w:eastAsia="Arial" w:hAnsi="Arial"/>
                <w:sz w:val="18"/>
                <w:szCs w:val="18"/>
                <w:color w:val="auto"/>
              </w:rPr>
              <w:t>Revolving Credit</w:t>
            </w: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$2.5 billion Revolving Credit Facility due May</w:t>
            </w:r>
          </w:p>
        </w:tc>
      </w:tr>
      <w:tr>
        <w:trPr>
          <w:trHeight w:val="236"/>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Facility</w:t>
            </w:r>
          </w:p>
        </w:tc>
        <w:tc>
          <w:tcPr>
            <w:tcW w:w="3940" w:type="dxa"/>
            <w:vAlign w:val="bottom"/>
          </w:tcPr>
          <w:p>
            <w:pPr>
              <w:ind w:left="120"/>
              <w:spacing w:after="0"/>
              <w:rPr>
                <w:sz w:val="20"/>
                <w:szCs w:val="20"/>
                <w:color w:val="auto"/>
              </w:rPr>
            </w:pPr>
            <w:r>
              <w:rPr>
                <w:rFonts w:ascii="Arial" w:cs="Arial" w:eastAsia="Arial" w:hAnsi="Arial"/>
                <w:sz w:val="18"/>
                <w:szCs w:val="18"/>
                <w:color w:val="auto"/>
              </w:rPr>
              <w:t>2026</w:t>
            </w:r>
          </w:p>
        </w:tc>
      </w:tr>
      <w:tr>
        <w:trPr>
          <w:trHeight w:val="183"/>
        </w:trPr>
        <w:tc>
          <w:tcPr>
            <w:tcW w:w="460" w:type="dxa"/>
            <w:vAlign w:val="bottom"/>
            <w:shd w:val="clear" w:color="auto" w:fill="DBDBDB"/>
          </w:tcPr>
          <w:p>
            <w:pPr>
              <w:ind w:left="20"/>
              <w:spacing w:after="0" w:line="183" w:lineRule="exact"/>
              <w:rPr>
                <w:sz w:val="20"/>
                <w:szCs w:val="20"/>
                <w:color w:val="auto"/>
              </w:rPr>
            </w:pPr>
            <w:r>
              <w:rPr>
                <w:rFonts w:ascii="Arial" w:cs="Arial" w:eastAsia="Arial" w:hAnsi="Arial"/>
                <w:sz w:val="18"/>
                <w:szCs w:val="18"/>
                <w:color w:val="auto"/>
              </w:rPr>
              <w:t>2041</w:t>
            </w:r>
          </w:p>
        </w:tc>
        <w:tc>
          <w:tcPr>
            <w:tcW w:w="1200" w:type="dxa"/>
            <w:vAlign w:val="bottom"/>
            <w:shd w:val="clear" w:color="auto" w:fill="DBDBDB"/>
          </w:tcPr>
          <w:p>
            <w:pPr>
              <w:ind w:left="20"/>
              <w:spacing w:after="0" w:line="183"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83" w:lineRule="exact"/>
              <w:rPr>
                <w:sz w:val="20"/>
                <w:szCs w:val="20"/>
                <w:color w:val="auto"/>
              </w:rPr>
            </w:pPr>
            <w:r>
              <w:rPr>
                <w:rFonts w:ascii="Arial" w:cs="Arial" w:eastAsia="Arial" w:hAnsi="Arial"/>
                <w:sz w:val="18"/>
                <w:szCs w:val="18"/>
                <w:color w:val="auto"/>
                <w:w w:val="98"/>
              </w:rPr>
              <w:t>3.366%</w:t>
            </w:r>
          </w:p>
        </w:tc>
        <w:tc>
          <w:tcPr>
            <w:tcW w:w="3200" w:type="dxa"/>
            <w:vAlign w:val="bottom"/>
            <w:gridSpan w:val="2"/>
            <w:shd w:val="clear" w:color="auto" w:fill="DBDBDB"/>
          </w:tcPr>
          <w:p>
            <w:pPr>
              <w:ind w:left="40"/>
              <w:spacing w:after="0" w:line="183" w:lineRule="exact"/>
              <w:rPr>
                <w:sz w:val="20"/>
                <w:szCs w:val="20"/>
                <w:color w:val="auto"/>
              </w:rPr>
            </w:pPr>
            <w:r>
              <w:rPr>
                <w:rFonts w:ascii="Arial" w:cs="Arial" w:eastAsia="Arial" w:hAnsi="Arial"/>
                <w:sz w:val="18"/>
                <w:szCs w:val="18"/>
                <w:color w:val="auto"/>
              </w:rPr>
              <w:t>Senior Notes due November 2041</w:t>
            </w:r>
          </w:p>
        </w:tc>
        <w:tc>
          <w:tcPr>
            <w:tcW w:w="1680" w:type="dxa"/>
            <w:vAlign w:val="bottom"/>
            <w:shd w:val="clear" w:color="auto" w:fill="DBDBDB"/>
          </w:tcPr>
          <w:p>
            <w:pPr>
              <w:spacing w:after="0" w:line="183" w:lineRule="exact"/>
              <w:rPr>
                <w:sz w:val="20"/>
                <w:szCs w:val="20"/>
                <w:color w:val="auto"/>
              </w:rPr>
            </w:pPr>
            <w:r>
              <w:rPr>
                <w:rFonts w:ascii="Arial" w:cs="Arial" w:eastAsia="Arial" w:hAnsi="Arial"/>
                <w:sz w:val="18"/>
                <w:szCs w:val="18"/>
                <w:color w:val="auto"/>
              </w:rPr>
              <w:t>SATA</w:t>
            </w:r>
          </w:p>
        </w:tc>
        <w:tc>
          <w:tcPr>
            <w:tcW w:w="3940" w:type="dxa"/>
            <w:vAlign w:val="bottom"/>
            <w:shd w:val="clear" w:color="auto" w:fill="DBDBDB"/>
          </w:tcPr>
          <w:p>
            <w:pPr>
              <w:ind w:left="120"/>
              <w:spacing w:after="0" w:line="183" w:lineRule="exact"/>
              <w:rPr>
                <w:sz w:val="20"/>
                <w:szCs w:val="20"/>
                <w:color w:val="auto"/>
              </w:rPr>
            </w:pPr>
            <w:r>
              <w:rPr>
                <w:rFonts w:ascii="Arial" w:cs="Arial" w:eastAsia="Arial" w:hAnsi="Arial"/>
                <w:sz w:val="18"/>
                <w:szCs w:val="18"/>
                <w:color w:val="auto"/>
              </w:rPr>
              <w:t>Hardware interface for connecting to storage</w:t>
            </w:r>
          </w:p>
        </w:tc>
      </w:tr>
      <w:tr>
        <w:trPr>
          <w:trHeight w:val="242"/>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80" w:type="dxa"/>
            <w:vAlign w:val="bottom"/>
            <w:shd w:val="clear" w:color="auto" w:fill="DBDBDB"/>
          </w:tcPr>
          <w:p>
            <w:pPr>
              <w:spacing w:after="0"/>
              <w:rPr>
                <w:sz w:val="21"/>
                <w:szCs w:val="21"/>
                <w:color w:val="auto"/>
              </w:rPr>
            </w:pP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devices such as hard disk drives and SSDs</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2051</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3.477%</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November 2051</w:t>
            </w:r>
          </w:p>
        </w:tc>
        <w:tc>
          <w:tcPr>
            <w:tcW w:w="1680" w:type="dxa"/>
            <w:vAlign w:val="bottom"/>
          </w:tcPr>
          <w:p>
            <w:pPr>
              <w:spacing w:after="0"/>
              <w:rPr>
                <w:sz w:val="20"/>
                <w:szCs w:val="20"/>
                <w:color w:val="auto"/>
              </w:rPr>
            </w:pPr>
            <w:r>
              <w:rPr>
                <w:rFonts w:ascii="Arial" w:cs="Arial" w:eastAsia="Arial" w:hAnsi="Arial"/>
                <w:sz w:val="18"/>
                <w:szCs w:val="18"/>
                <w:color w:val="auto"/>
              </w:rPr>
              <w:t>SLC</w:t>
            </w:r>
          </w:p>
        </w:tc>
        <w:tc>
          <w:tcPr>
            <w:tcW w:w="3940" w:type="dxa"/>
            <w:vAlign w:val="bottom"/>
          </w:tcPr>
          <w:p>
            <w:pPr>
              <w:ind w:left="120"/>
              <w:spacing w:after="0"/>
              <w:rPr>
                <w:sz w:val="20"/>
                <w:szCs w:val="20"/>
                <w:color w:val="auto"/>
              </w:rPr>
            </w:pPr>
            <w:r>
              <w:rPr>
                <w:rFonts w:ascii="Arial" w:cs="Arial" w:eastAsia="Arial" w:hAnsi="Arial"/>
                <w:sz w:val="18"/>
                <w:szCs w:val="18"/>
                <w:color w:val="auto"/>
              </w:rPr>
              <w:t>Single-level cell (one bit per cell)</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AI</w:t>
            </w:r>
          </w:p>
        </w:tc>
        <w:tc>
          <w:tcPr>
            <w:tcW w:w="1200" w:type="dxa"/>
            <w:vAlign w:val="bottom"/>
            <w:shd w:val="clear" w:color="auto" w:fill="DBDBDB"/>
          </w:tcPr>
          <w:p>
            <w:pPr>
              <w:spacing w:after="0"/>
              <w:rPr>
                <w:sz w:val="19"/>
                <w:szCs w:val="19"/>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Artificial intelligence</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SOFR</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CAC</w:t>
            </w:r>
          </w:p>
        </w:tc>
        <w:tc>
          <w:tcPr>
            <w:tcW w:w="120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China’s Cyberspace Administration</w:t>
            </w:r>
          </w:p>
        </w:tc>
        <w:tc>
          <w:tcPr>
            <w:tcW w:w="1680" w:type="dxa"/>
            <w:vAlign w:val="bottom"/>
          </w:tcPr>
          <w:p>
            <w:pPr>
              <w:spacing w:after="0"/>
              <w:rPr>
                <w:sz w:val="20"/>
                <w:szCs w:val="20"/>
                <w:color w:val="auto"/>
              </w:rPr>
            </w:pPr>
            <w:r>
              <w:rPr>
                <w:rFonts w:ascii="Arial" w:cs="Arial" w:eastAsia="Arial" w:hAnsi="Arial"/>
                <w:sz w:val="18"/>
                <w:szCs w:val="18"/>
                <w:color w:val="auto"/>
              </w:rPr>
              <w:t>SSD</w:t>
            </w:r>
          </w:p>
        </w:tc>
        <w:tc>
          <w:tcPr>
            <w:tcW w:w="3940" w:type="dxa"/>
            <w:vAlign w:val="bottom"/>
          </w:tcPr>
          <w:p>
            <w:pPr>
              <w:ind w:left="120"/>
              <w:spacing w:after="0"/>
              <w:rPr>
                <w:sz w:val="20"/>
                <w:szCs w:val="20"/>
                <w:color w:val="auto"/>
              </w:rPr>
            </w:pPr>
            <w:r>
              <w:rPr>
                <w:rFonts w:ascii="Arial" w:cs="Arial" w:eastAsia="Arial" w:hAnsi="Arial"/>
                <w:sz w:val="18"/>
                <w:szCs w:val="18"/>
                <w:color w:val="auto"/>
              </w:rPr>
              <w:t>Solid state drive</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DDR</w:t>
            </w:r>
          </w:p>
        </w:tc>
        <w:tc>
          <w:tcPr>
            <w:tcW w:w="1200" w:type="dxa"/>
            <w:vAlign w:val="bottom"/>
            <w:shd w:val="clear" w:color="auto" w:fill="DBDBDB"/>
          </w:tcPr>
          <w:p>
            <w:pPr>
              <w:spacing w:after="0"/>
              <w:rPr>
                <w:sz w:val="19"/>
                <w:szCs w:val="19"/>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Double data rate DRAM</w:t>
            </w:r>
          </w:p>
        </w:tc>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TI</w:t>
            </w:r>
          </w:p>
        </w:tc>
        <w:tc>
          <w:tcPr>
            <w:tcW w:w="3940" w:type="dxa"/>
            <w:vAlign w:val="bottom"/>
            <w:shd w:val="clear" w:color="auto" w:fill="DBDBDB"/>
          </w:tcPr>
          <w:p>
            <w:pPr>
              <w:ind w:left="120"/>
              <w:spacing w:after="0"/>
              <w:rPr>
                <w:sz w:val="20"/>
                <w:szCs w:val="20"/>
                <w:color w:val="auto"/>
              </w:rPr>
            </w:pPr>
            <w:r>
              <w:rPr>
                <w:rFonts w:ascii="Arial" w:cs="Arial" w:eastAsia="Arial" w:hAnsi="Arial"/>
                <w:sz w:val="18"/>
                <w:szCs w:val="18"/>
                <w:color w:val="auto"/>
              </w:rPr>
              <w:t>Texas Instruments Incorporated</w:t>
            </w:r>
          </w:p>
        </w:tc>
      </w:tr>
      <w:tr>
        <w:trPr>
          <w:trHeight w:val="176"/>
        </w:trPr>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EBITDA</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Earnings before interest, taxes, depreciation,</w:t>
            </w:r>
          </w:p>
        </w:tc>
        <w:tc>
          <w:tcPr>
            <w:tcW w:w="1680" w:type="dxa"/>
            <w:vAlign w:val="bottom"/>
          </w:tcPr>
          <w:p>
            <w:pPr>
              <w:spacing w:after="0" w:line="176" w:lineRule="exact"/>
              <w:rPr>
                <w:sz w:val="20"/>
                <w:szCs w:val="20"/>
                <w:color w:val="auto"/>
              </w:rPr>
            </w:pPr>
            <w:r>
              <w:rPr>
                <w:rFonts w:ascii="Arial" w:cs="Arial" w:eastAsia="Arial" w:hAnsi="Arial"/>
                <w:sz w:val="18"/>
                <w:szCs w:val="18"/>
                <w:color w:val="auto"/>
              </w:rPr>
              <w:t>TLC</w:t>
            </w:r>
          </w:p>
        </w:tc>
        <w:tc>
          <w:tcPr>
            <w:tcW w:w="3940" w:type="dxa"/>
            <w:vAlign w:val="bottom"/>
          </w:tcPr>
          <w:p>
            <w:pPr>
              <w:ind w:left="120"/>
              <w:spacing w:after="0" w:line="176" w:lineRule="exact"/>
              <w:rPr>
                <w:sz w:val="20"/>
                <w:szCs w:val="20"/>
                <w:color w:val="auto"/>
              </w:rPr>
            </w:pPr>
            <w:r>
              <w:rPr>
                <w:rFonts w:ascii="Arial" w:cs="Arial" w:eastAsia="Arial" w:hAnsi="Arial"/>
                <w:sz w:val="18"/>
                <w:szCs w:val="18"/>
                <w:color w:val="auto"/>
              </w:rPr>
              <w:t>Triple-level cell (three bits per cell)</w:t>
            </w:r>
          </w:p>
        </w:tc>
      </w:tr>
      <w:tr>
        <w:trPr>
          <w:trHeight w:val="236"/>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and amortization</w:t>
            </w:r>
          </w:p>
        </w:tc>
        <w:tc>
          <w:tcPr>
            <w:tcW w:w="168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183"/>
        </w:trPr>
        <w:tc>
          <w:tcPr>
            <w:tcW w:w="1660" w:type="dxa"/>
            <w:vAlign w:val="bottom"/>
            <w:gridSpan w:val="2"/>
            <w:shd w:val="clear" w:color="auto" w:fill="DBDBDB"/>
          </w:tcPr>
          <w:p>
            <w:pPr>
              <w:ind w:left="20"/>
              <w:spacing w:after="0" w:line="183" w:lineRule="exact"/>
              <w:rPr>
                <w:sz w:val="20"/>
                <w:szCs w:val="20"/>
                <w:color w:val="auto"/>
              </w:rPr>
            </w:pPr>
            <w:r>
              <w:rPr>
                <w:rFonts w:ascii="Arial" w:cs="Arial" w:eastAsia="Arial" w:hAnsi="Arial"/>
                <w:sz w:val="18"/>
                <w:szCs w:val="18"/>
                <w:color w:val="auto"/>
              </w:rPr>
              <w:t>eMCP</w:t>
            </w:r>
          </w:p>
        </w:tc>
        <w:tc>
          <w:tcPr>
            <w:tcW w:w="3960" w:type="dxa"/>
            <w:vAlign w:val="bottom"/>
            <w:gridSpan w:val="3"/>
            <w:shd w:val="clear" w:color="auto" w:fill="DBDBDB"/>
          </w:tcPr>
          <w:p>
            <w:pPr>
              <w:ind w:left="140"/>
              <w:spacing w:after="0" w:line="183" w:lineRule="exact"/>
              <w:rPr>
                <w:sz w:val="20"/>
                <w:szCs w:val="20"/>
                <w:color w:val="auto"/>
              </w:rPr>
            </w:pPr>
            <w:r>
              <w:rPr>
                <w:rFonts w:ascii="Arial" w:cs="Arial" w:eastAsia="Arial" w:hAnsi="Arial"/>
                <w:sz w:val="18"/>
                <w:szCs w:val="18"/>
                <w:color w:val="auto"/>
              </w:rPr>
              <w:t>Embedded multichip packaged solutions with</w:t>
            </w:r>
          </w:p>
        </w:tc>
        <w:tc>
          <w:tcPr>
            <w:tcW w:w="1680" w:type="dxa"/>
            <w:vAlign w:val="bottom"/>
            <w:shd w:val="clear" w:color="auto" w:fill="DBDBDB"/>
          </w:tcPr>
          <w:p>
            <w:pPr>
              <w:spacing w:after="0" w:line="183" w:lineRule="exact"/>
              <w:rPr>
                <w:sz w:val="20"/>
                <w:szCs w:val="20"/>
                <w:color w:val="auto"/>
              </w:rPr>
            </w:pPr>
            <w:r>
              <w:rPr>
                <w:rFonts w:ascii="Arial" w:cs="Arial" w:eastAsia="Arial" w:hAnsi="Arial"/>
                <w:sz w:val="18"/>
                <w:szCs w:val="18"/>
                <w:color w:val="auto"/>
              </w:rPr>
              <w:t>UFS</w:t>
            </w:r>
          </w:p>
        </w:tc>
        <w:tc>
          <w:tcPr>
            <w:tcW w:w="3940" w:type="dxa"/>
            <w:vAlign w:val="bottom"/>
            <w:shd w:val="clear" w:color="auto" w:fill="DBDBDB"/>
          </w:tcPr>
          <w:p>
            <w:pPr>
              <w:ind w:left="120"/>
              <w:spacing w:after="0" w:line="183" w:lineRule="exact"/>
              <w:rPr>
                <w:sz w:val="20"/>
                <w:szCs w:val="20"/>
                <w:color w:val="auto"/>
              </w:rPr>
            </w:pPr>
            <w:r>
              <w:rPr>
                <w:rFonts w:ascii="Arial" w:cs="Arial" w:eastAsia="Arial" w:hAnsi="Arial"/>
                <w:sz w:val="18"/>
                <w:szCs w:val="18"/>
                <w:color w:val="auto"/>
              </w:rPr>
              <w:t>Universal flash storage</w:t>
            </w:r>
          </w:p>
        </w:tc>
      </w:tr>
      <w:tr>
        <w:trPr>
          <w:trHeight w:val="176"/>
        </w:trPr>
        <w:tc>
          <w:tcPr>
            <w:tcW w:w="4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3960" w:type="dxa"/>
            <w:vAlign w:val="bottom"/>
            <w:gridSpan w:val="3"/>
            <w:shd w:val="clear" w:color="auto" w:fill="DBDBDB"/>
          </w:tcPr>
          <w:p>
            <w:pPr>
              <w:ind w:left="140"/>
              <w:spacing w:after="0" w:line="176" w:lineRule="exact"/>
              <w:rPr>
                <w:sz w:val="20"/>
                <w:szCs w:val="20"/>
                <w:color w:val="auto"/>
              </w:rPr>
            </w:pPr>
            <w:r>
              <w:rPr>
                <w:rFonts w:ascii="Arial" w:cs="Arial" w:eastAsia="Arial" w:hAnsi="Arial"/>
                <w:sz w:val="18"/>
                <w:szCs w:val="18"/>
                <w:color w:val="auto"/>
              </w:rPr>
              <w:t>embedded multimedia card storage and</w:t>
            </w:r>
          </w:p>
        </w:tc>
        <w:tc>
          <w:tcPr>
            <w:tcW w:w="1680" w:type="dxa"/>
            <w:vAlign w:val="bottom"/>
            <w:shd w:val="clear" w:color="auto" w:fill="DBDBDB"/>
          </w:tcPr>
          <w:p>
            <w:pPr>
              <w:spacing w:after="0"/>
              <w:rPr>
                <w:sz w:val="15"/>
                <w:szCs w:val="15"/>
                <w:color w:val="auto"/>
              </w:rPr>
            </w:pPr>
          </w:p>
        </w:tc>
        <w:tc>
          <w:tcPr>
            <w:tcW w:w="3940" w:type="dxa"/>
            <w:vAlign w:val="bottom"/>
            <w:shd w:val="clear" w:color="auto" w:fill="DBDBDB"/>
          </w:tcPr>
          <w:p>
            <w:pPr>
              <w:spacing w:after="0"/>
              <w:rPr>
                <w:sz w:val="15"/>
                <w:szCs w:val="15"/>
                <w:color w:val="auto"/>
              </w:rPr>
            </w:pPr>
          </w:p>
        </w:tc>
      </w:tr>
      <w:tr>
        <w:trPr>
          <w:trHeight w:val="242"/>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LPDDR</w:t>
            </w: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80" w:type="dxa"/>
            <w:vAlign w:val="bottom"/>
            <w:shd w:val="clear" w:color="auto" w:fill="DBDBDB"/>
          </w:tcPr>
          <w:p>
            <w:pPr>
              <w:spacing w:after="0"/>
              <w:rPr>
                <w:sz w:val="21"/>
                <w:szCs w:val="21"/>
                <w:color w:val="auto"/>
              </w:rPr>
            </w:pPr>
          </w:p>
        </w:tc>
        <w:tc>
          <w:tcPr>
            <w:tcW w:w="3940" w:type="dxa"/>
            <w:vAlign w:val="bottom"/>
            <w:shd w:val="clear" w:color="auto" w:fill="DBDBDB"/>
          </w:tcPr>
          <w:p>
            <w:pPr>
              <w:spacing w:after="0"/>
              <w:rPr>
                <w:sz w:val="21"/>
                <w:szCs w:val="21"/>
                <w:color w:val="auto"/>
              </w:rPr>
            </w:pP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EUV</w:t>
            </w:r>
          </w:p>
        </w:tc>
        <w:tc>
          <w:tcPr>
            <w:tcW w:w="120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Extreme ultraviolet lithography</w:t>
            </w:r>
          </w:p>
        </w:tc>
        <w:tc>
          <w:tcPr>
            <w:tcW w:w="1680" w:type="dxa"/>
            <w:vAlign w:val="bottom"/>
          </w:tcPr>
          <w:p>
            <w:pPr>
              <w:spacing w:after="0"/>
              <w:rPr>
                <w:sz w:val="20"/>
                <w:szCs w:val="20"/>
                <w:color w:val="auto"/>
              </w:rPr>
            </w:pPr>
            <w:r>
              <w:rPr>
                <w:rFonts w:ascii="Arial" w:cs="Arial" w:eastAsia="Arial" w:hAnsi="Arial"/>
                <w:sz w:val="18"/>
                <w:szCs w:val="18"/>
                <w:color w:val="auto"/>
              </w:rPr>
              <w:t>uMCP</w:t>
            </w:r>
          </w:p>
        </w:tc>
        <w:tc>
          <w:tcPr>
            <w:tcW w:w="3940" w:type="dxa"/>
            <w:vAlign w:val="bottom"/>
          </w:tcPr>
          <w:p>
            <w:pPr>
              <w:ind w:left="120"/>
              <w:spacing w:after="0"/>
              <w:rPr>
                <w:sz w:val="20"/>
                <w:szCs w:val="20"/>
                <w:color w:val="auto"/>
              </w:rPr>
            </w:pPr>
            <w:r>
              <w:rPr>
                <w:rFonts w:ascii="Arial" w:cs="Arial" w:eastAsia="Arial" w:hAnsi="Arial"/>
                <w:sz w:val="18"/>
                <w:szCs w:val="18"/>
                <w:color w:val="auto"/>
              </w:rPr>
              <w:t>UFS-based MCP</w:t>
            </w:r>
          </w:p>
        </w:tc>
      </w:tr>
      <w:tr>
        <w:trPr>
          <w:trHeight w:val="176"/>
        </w:trPr>
        <w:tc>
          <w:tcPr>
            <w:tcW w:w="1660" w:type="dxa"/>
            <w:vAlign w:val="bottom"/>
            <w:gridSpan w:val="2"/>
            <w:shd w:val="clear" w:color="auto" w:fill="DBDBDB"/>
          </w:tcPr>
          <w:p>
            <w:pPr>
              <w:ind w:left="20"/>
              <w:spacing w:after="0" w:line="176" w:lineRule="exact"/>
              <w:rPr>
                <w:sz w:val="20"/>
                <w:szCs w:val="20"/>
                <w:color w:val="auto"/>
              </w:rPr>
            </w:pPr>
            <w:r>
              <w:rPr>
                <w:rFonts w:ascii="Arial" w:cs="Arial" w:eastAsia="Arial" w:hAnsi="Arial"/>
                <w:sz w:val="18"/>
                <w:szCs w:val="18"/>
                <w:color w:val="auto"/>
              </w:rPr>
              <w:t>Extinguished 2024</w:t>
            </w:r>
          </w:p>
        </w:tc>
        <w:tc>
          <w:tcPr>
            <w:tcW w:w="3960" w:type="dxa"/>
            <w:vAlign w:val="bottom"/>
            <w:gridSpan w:val="3"/>
            <w:shd w:val="clear" w:color="auto" w:fill="DBDBDB"/>
          </w:tcPr>
          <w:p>
            <w:pPr>
              <w:ind w:left="140"/>
              <w:spacing w:after="0" w:line="176" w:lineRule="exact"/>
              <w:rPr>
                <w:sz w:val="20"/>
                <w:szCs w:val="20"/>
                <w:color w:val="auto"/>
              </w:rPr>
            </w:pPr>
            <w:r>
              <w:rPr>
                <w:rFonts w:ascii="Arial" w:cs="Arial" w:eastAsia="Arial" w:hAnsi="Arial"/>
                <w:sz w:val="18"/>
                <w:szCs w:val="18"/>
                <w:color w:val="auto"/>
              </w:rPr>
              <w:t>Senior Term Loan A due October 2024, repaid</w:t>
            </w:r>
          </w:p>
        </w:tc>
        <w:tc>
          <w:tcPr>
            <w:tcW w:w="1680" w:type="dxa"/>
            <w:vAlign w:val="bottom"/>
            <w:shd w:val="clear" w:color="auto" w:fill="DBDBDB"/>
          </w:tcPr>
          <w:p>
            <w:pPr>
              <w:spacing w:after="0"/>
              <w:rPr>
                <w:sz w:val="15"/>
                <w:szCs w:val="15"/>
                <w:color w:val="auto"/>
              </w:rPr>
            </w:pPr>
          </w:p>
        </w:tc>
        <w:tc>
          <w:tcPr>
            <w:tcW w:w="3940" w:type="dxa"/>
            <w:vAlign w:val="bottom"/>
            <w:shd w:val="clear" w:color="auto" w:fill="DBDBDB"/>
          </w:tcPr>
          <w:p>
            <w:pPr>
              <w:spacing w:after="0"/>
              <w:rPr>
                <w:sz w:val="15"/>
                <w:szCs w:val="15"/>
                <w:color w:val="auto"/>
              </w:rPr>
            </w:pPr>
          </w:p>
        </w:tc>
      </w:tr>
      <w:tr>
        <w:trPr>
          <w:trHeight w:val="242"/>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May 2021</w:t>
            </w:r>
          </w:p>
        </w:tc>
        <w:tc>
          <w:tcPr>
            <w:tcW w:w="1680" w:type="dxa"/>
            <w:vAlign w:val="bottom"/>
            <w:shd w:val="clear" w:color="auto" w:fill="DBDBDB"/>
          </w:tcPr>
          <w:p>
            <w:pPr>
              <w:spacing w:after="0"/>
              <w:rPr>
                <w:sz w:val="21"/>
                <w:szCs w:val="21"/>
                <w:color w:val="auto"/>
              </w:rPr>
            </w:pPr>
          </w:p>
        </w:tc>
        <w:tc>
          <w:tcPr>
            <w:tcW w:w="3940" w:type="dxa"/>
            <w:vAlign w:val="bottom"/>
            <w:shd w:val="clear" w:color="auto" w:fill="DBDBDB"/>
          </w:tcPr>
          <w:p>
            <w:pPr>
              <w:spacing w:after="0"/>
              <w:rPr>
                <w:sz w:val="21"/>
                <w:szCs w:val="21"/>
                <w:color w:val="auto"/>
              </w:rPr>
            </w:pPr>
          </w:p>
        </w:tc>
      </w:tr>
    </w:tbl>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Micron, Crucial, any associated logos, and all other Micron trademarks are the property of Micron. 3D XPoint is a trademark of Intel Corporation or its subsidiaries. Other product names or trademarks that are not owned by Micron are for identification purposes only and may be the trademarks of their respective owners.</w:t>
      </w:r>
    </w:p>
    <w:p>
      <w:pPr>
        <w:spacing w:after="0" w:line="21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All period references are to our fiscal periods unless otherwise indicated. Our fiscal year is the 52 or 53-week period ending on the Thursday closest to August 31. Fiscal 2023, 2022, and 2021 each contained 52 weeks.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7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Form 10-K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expected production ramp of certain products; plans to implement EUV lithography; restructure plans and expected related savings; potential increases in our effective tax rate; the timing for construction and ramping of production for new memory manufacturing fabs in the United States; intent to make investments at our backend facility in Xi’an, China and build a new assembly and test facility in Gujarat, India; the receipt of government grants and investment tax credits; estimates of tax expense for 2024; the payment of future cash dividends; market conditions and profitability in our industry; potential write-downs of inventories in future quarters; the impact of the Cyberspace Administration of China decision; capital spending in 2024; the sufficiency of our cash and investments; allocation and dispersal of the net proceeds of our 2032 Green Bonds; and results of tax return examinations. Our actual results could differ materially from our historical results and those discussed in the forward-looking statements. Factors that could cause actual results to differ materially include, but are not limited to, those identified in “Part I – Item 1A. Risk Factors.”</w:t>
      </w:r>
    </w:p>
    <w:p>
      <w:pPr>
        <w:spacing w:after="0" w:line="345" w:lineRule="exact"/>
        <w:rPr>
          <w:sz w:val="20"/>
          <w:szCs w:val="20"/>
          <w:color w:val="auto"/>
        </w:rPr>
      </w:pPr>
    </w:p>
    <w:p>
      <w:pPr>
        <w:ind w:left="10060"/>
        <w:spacing w:after="0"/>
        <w:rPr>
          <w:sz w:val="20"/>
          <w:szCs w:val="20"/>
          <w:color w:val="auto"/>
        </w:rPr>
      </w:pPr>
      <w:r>
        <w:rPr>
          <w:sz w:val="1"/>
          <w:szCs w:val="1"/>
          <w:color w:val="auto"/>
        </w:rPr>
        <w:drawing>
          <wp:inline distT="0" distB="0" distL="0" distR="0">
            <wp:extent cx="659765" cy="1797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1"/>
          <w:szCs w:val="11"/>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w:t>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6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Sales, Markets, and Products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Technologies</w:t>
      </w:r>
    </w:p>
    <w:p>
      <w:pPr>
        <w:spacing w:after="0" w:line="26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and NOR. We sell our products into various markets through our business units in numerous forms, including components, modules, SSDs, managed NAND, MCPs, and wafers. Our system-level solutions, including SSDs and managed NAND, combine NAND, a controller, firmware, and in some cases DRAM.</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Products by Business Unit and Market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 and Networking Business Unit (“CNBU”)</w:t>
      </w:r>
    </w:p>
    <w:p>
      <w:pPr>
        <w:spacing w:after="0" w:line="26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CNBU includes memory products and solutions sold into client, cloud server, enterprise, graphics, and networking markets. CNBU reported revenue of $5.71 billion in 2023, $13.69 billion in 2022, and $12.28 billion in 2021. CNBU sales in 2023 consisted primarily of DRAM products produced on 1x, 1y, 1z, and 1α (1-alpha) technology nodes. In 2023, we achieved several important product qualifications on our industry-leading 1ß (1-beta) DRAM node and are well positioned to ramp manufacturing of CNBU products in 2024.</w:t>
      </w:r>
    </w:p>
    <w:p>
      <w:pPr>
        <w:spacing w:after="0" w:line="21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u w:val="single" w:color="auto"/>
          <w:color w:val="auto"/>
        </w:rPr>
        <w:t>Client</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client market in 2023 consisted primarily of DDR4, DDR5, LPDDR5, and LPDDR4 DRAM products.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sold to the client market support both commercial and consumer PC unit growth.</w:t>
      </w:r>
    </w:p>
    <w:p>
      <w:pPr>
        <w:spacing w:after="0" w:line="18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u w:val="single" w:color="auto"/>
          <w:color w:val="auto"/>
        </w:rPr>
        <w:t>Cloud Server</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cloud market in 2023 consisted primarily of our DDR4 and DDR5 DRAM products. Overall cloud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continues to be driven by the shift of both infrastructure and workloads from on-premises to the cloud. Cloud-native workloads are drivers of growth through use-cases like intelligent edge devices capable of AI and augmented reality that store and access data in the cloud or rely on the cloud for compute capability. Cloud servers supporting AI and data-centric workloads require significantly increasing quantities of DRAM, HBM, and NAND as the task of turning data into insight becomes increasingly memory-centric. As modern servers pack more processing cores into CPUs, the memory bandwidth per CPU core has been decreasing. Our DDR5 alleviates this bottleneck by providing higher bandwidth compared to previous generations, enabling improved performance and scaling. We expect that our new server DDR5 memory will be a key enabler of CPU core count growth and the bandwidth that DDR5 delivers will be central to unlocking overall server system performance gains for data-intensive workloads like AI and high-performance computing. HBM, used in high performance computing, had very strong demand this year, driven by demand for generative AI. We are working closely with our customers and have begun sampling our industry-leading HBM3E product offering. We expect to begin a mass production ramp for HBM3E in early calendar 2024. In 2023, we announced the introduction of 128GB and 256GB Compute Express Link (“CXL”) 2.0 memory expansion modules. By leveraging a unique dual-channel memory architecture, we are able to deliver higher module capacity and increased bandwidth.</w:t>
      </w:r>
    </w:p>
    <w:p>
      <w:pPr>
        <w:spacing w:after="0" w:line="21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u w:val="single" w:color="auto"/>
          <w:color w:val="auto"/>
        </w:rPr>
        <w:t>Enterprise</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enterprise market in 2023 consisted primarily of our DDR4 and DDR5 DRAM products. In 2023, we</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volume shipments of our 96GB DDR5 high-density module built on 1α technology, using 24Gb die, which delivers equivalent performance for the majority of workloads versus the more expensive through-silicon via (“TSV”) dual-die package-based 128GB modules. The enterprise market continues to grow beyond the mature OEM-sourced server consumption model with the further maturing of hybrid cloud and edge solutions as part of the digital transformation.</w:t>
      </w:r>
    </w:p>
    <w:p>
      <w:pPr>
        <w:spacing w:after="0" w:line="21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u w:val="single" w:color="auto"/>
          <w:color w:val="auto"/>
        </w:rPr>
        <w:t>Graphics</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graphics market in 2023 consisted primarily of GDDR6 graphics products. The graphics market is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need for high-performance and HBM solutions. Our GDDR6 and GDDR6X DRAM graphics products are incorporated into gaming consoles, PC graphics cards, and graphics processing unit-based data center solutions, which are the driving force behind applications such as AI, virtual and augmented reality, 4K and 8K gaming, and professional design.</w:t>
      </w:r>
    </w:p>
    <w:p>
      <w:pPr>
        <w:spacing w:after="0" w:line="20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u w:val="single" w:color="auto"/>
          <w:color w:val="auto"/>
        </w:rPr>
        <w:t>Networking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networking market in 2023 consisted primarily of DDR4 and DDR5 DRAM products. In 2023, demand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5G infrastructure deployments, data center networking growth, and increasing data transfer requirements across multiple industries.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60"/>
        <w:spacing w:after="0"/>
        <w:rPr>
          <w:sz w:val="20"/>
          <w:szCs w:val="20"/>
          <w:color w:val="auto"/>
        </w:rPr>
      </w:pPr>
      <w:r>
        <w:rPr>
          <w:sz w:val="1"/>
          <w:szCs w:val="1"/>
          <w:color w:val="auto"/>
        </w:rPr>
        <w:drawing>
          <wp:inline distT="0" distB="0" distL="0" distR="0">
            <wp:extent cx="659765" cy="1803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1"/>
          <w:szCs w:val="11"/>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p>
    <w:p>
      <w:pPr>
        <w:spacing w:after="0" w:line="2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MBU includes memory and storage products sold into the mobile market including discrete NAND, DRAM, and managed NAND products. MBU managed NAND includes embedded multi-media controller (“e.MMC”) and universal flash storage (“UFS”) solutions, each of which combine high-capacity NAND with a high-speed controller and firmware, and eMCP/uMCP products, which combine an e.MMC/UFS solution with LPDRAM. MBU reported revenue of $3.63 billion in 2023, $7.26 billion in 2022, and $7.20 billion in 2021. In 2023, we achieved key mobile customer qualifications on our 1ß based LPDDR5X and started high-volume revenue shipments to tier-1 OEMs. In addition, we achieved significant milestones in UFS with the qualification and ramp of a high-capacity uMCP5 featuring 16GB of DRAM and 512GB of NAND. We also started to sample a new UFS 4.0 product based on our latest 232-layer NAND technology, which enables industry-leading performance for flagship handsets.</w:t>
      </w:r>
    </w:p>
    <w:p>
      <w:pPr>
        <w:spacing w:after="0" w:line="21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u w:val="single" w:color="auto"/>
          <w:color w:val="auto"/>
        </w:rPr>
        <w:t>Mobile</w:t>
      </w:r>
      <w:r>
        <w:rPr>
          <w:rFonts w:ascii="Arial" w:cs="Arial" w:eastAsia="Arial" w:hAnsi="Arial"/>
          <w:sz w:val="18"/>
          <w:szCs w:val="18"/>
          <w:i w:val="1"/>
          <w:iCs w:val="1"/>
          <w:color w:val="auto"/>
        </w:rPr>
        <w:t xml:space="preserve">: </w:t>
      </w:r>
      <w:r>
        <w:rPr>
          <w:rFonts w:ascii="Arial" w:cs="Arial" w:eastAsia="Arial" w:hAnsi="Arial"/>
          <w:sz w:val="18"/>
          <w:szCs w:val="18"/>
          <w:color w:val="auto"/>
        </w:rPr>
        <w:t>MBU sales to the mobile market in 2023 consisted primarily of LPDDR4 and LPDDR5 DRAM and managed NAND solutions. 5G-enabled products require higher DRAM and NAND content per device and the market penetration rate for 5G continued to increase. Our smartphone, tablet, and mobile PC products are utilized by OEMs to enable AI, augmented reality, and life-like virtual reality capabilities into high-end phones, including facial and voice recognition, real-time translation, fast image search, and scene detection.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p>
    <w:p>
      <w:pPr>
        <w:spacing w:after="0" w:line="2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EBU includes memory and storage products and solutions sold into automotive, industrial, and consumer markets and includes discrete and module DRAM, discrete NAND, managed NAND, SSDs, and NOR. EBU reported revenue of $3.64 billion in 2023, $5.24 billion in 2022, and $4.21 billion in 2021. The embedded market has traditionally been characterized by long life-cycle DRAM and non-volatile products manufactured on mature process technologies. Strong trends of digitization, connectivity, and intelligence in every device, are driving increasing demand in embedded markets for memory and storage products that incorporate leading process technologies. Our embedded products enable edge devices to store, connect, and transform information in the internet of things (“IoT”) market and are utilized in a diverse set of applications in the automotive, industrial, and consumer markets.</w:t>
      </w:r>
    </w:p>
    <w:p>
      <w:pPr>
        <w:spacing w:after="0" w:line="2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Automotive</w:t>
      </w:r>
      <w:r>
        <w:rPr>
          <w:rFonts w:ascii="Arial" w:cs="Arial" w:eastAsia="Arial" w:hAnsi="Arial"/>
          <w:sz w:val="18"/>
          <w:szCs w:val="18"/>
          <w:color w:val="auto"/>
        </w:rPr>
        <w:t>: EBU sales to the automotive market in 2023 consisted primarily of LPDDR4 and LPDDR5 DRAM, DDR3 and DDR4 DRAM, and</w:t>
      </w:r>
      <w:r>
        <w:rPr>
          <w:rFonts w:ascii="Arial" w:cs="Arial" w:eastAsia="Arial" w:hAnsi="Arial"/>
          <w:sz w:val="18"/>
          <w:szCs w:val="18"/>
          <w:i w:val="1"/>
          <w:iCs w:val="1"/>
          <w:color w:val="auto"/>
        </w:rPr>
        <w:t xml:space="preserve"> </w:t>
      </w:r>
      <w:r>
        <w:rPr>
          <w:rFonts w:ascii="Arial" w:cs="Arial" w:eastAsia="Arial" w:hAnsi="Arial"/>
          <w:sz w:val="18"/>
          <w:szCs w:val="18"/>
          <w:color w:val="auto"/>
        </w:rPr>
        <w:t>e.MMC managed NAND. Advancements in autonomous driving, advanced driver-assistance systems, and in-vehicle infotainment systems continue to increase the requirements for high-performing memory and storage products, with higher reliability requirements for leading-edge products. Automotive memory and storage products enable connected, advanced infotainment systems with increasingly larger and higher definition displays and support improved voice and gesture control. In addition, our products enable increasingly advanced vision and sensor based automated systems to support driver assistance solutions and vehicle safety. Our comprehensive and expanding portfolio of DRAM, NAND, and NOR solutions to the automotive market, as well as our extensive customer support network, enable us to maintain our strong leadership position in this market.</w:t>
      </w:r>
    </w:p>
    <w:p>
      <w:pPr>
        <w:spacing w:after="0" w:line="212"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i w:val="1"/>
          <w:iCs w:val="1"/>
          <w:u w:val="single" w:color="auto"/>
          <w:color w:val="auto"/>
        </w:rPr>
        <w:t>Industrial</w:t>
      </w:r>
      <w:r>
        <w:rPr>
          <w:rFonts w:ascii="Arial" w:cs="Arial" w:eastAsia="Arial" w:hAnsi="Arial"/>
          <w:sz w:val="18"/>
          <w:szCs w:val="18"/>
          <w:color w:val="auto"/>
        </w:rPr>
        <w:t>: EBU sales to the industrial market in 2023 consisted primarily of DDR3 and DDR4 DRAM, LPDDR4 DRAM, NAND MCPs, and</w:t>
      </w:r>
      <w:r>
        <w:rPr>
          <w:rFonts w:ascii="Arial" w:cs="Arial" w:eastAsia="Arial" w:hAnsi="Arial"/>
          <w:sz w:val="18"/>
          <w:szCs w:val="18"/>
          <w:i w:val="1"/>
          <w:iCs w:val="1"/>
          <w:color w:val="auto"/>
        </w:rPr>
        <w:t xml:space="preserve"> </w:t>
      </w:r>
      <w:r>
        <w:rPr>
          <w:rFonts w:ascii="Arial" w:cs="Arial" w:eastAsia="Arial" w:hAnsi="Arial"/>
          <w:sz w:val="18"/>
          <w:szCs w:val="18"/>
          <w:color w:val="auto"/>
        </w:rPr>
        <w:t>SLC NAND. Our products enable applications in the growing industrial IoT market, including machine-to-machine communication, factory automation, transportation, surveillance, retail, and smart infrastructure.</w:t>
      </w:r>
    </w:p>
    <w:p>
      <w:pPr>
        <w:spacing w:after="0" w:line="20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u w:val="single" w:color="auto"/>
          <w:color w:val="auto"/>
        </w:rPr>
        <w:t>Consumer</w:t>
      </w:r>
      <w:r>
        <w:rPr>
          <w:rFonts w:ascii="Arial" w:cs="Arial" w:eastAsia="Arial" w:hAnsi="Arial"/>
          <w:sz w:val="18"/>
          <w:szCs w:val="18"/>
          <w:color w:val="auto"/>
        </w:rPr>
        <w:t>: EBU sales to the consumer market in 2023 consisted primarily of our LPDDR4 and LPDDR5 DRAM, DDR4 and DDR3 DRAM,</w:t>
      </w:r>
      <w:r>
        <w:rPr>
          <w:rFonts w:ascii="Arial" w:cs="Arial" w:eastAsia="Arial" w:hAnsi="Arial"/>
          <w:sz w:val="18"/>
          <w:szCs w:val="18"/>
          <w:i w:val="1"/>
          <w:iCs w:val="1"/>
          <w:color w:val="auto"/>
        </w:rPr>
        <w:t xml:space="preserve"> </w:t>
      </w:r>
      <w:r>
        <w:rPr>
          <w:rFonts w:ascii="Arial" w:cs="Arial" w:eastAsia="Arial" w:hAnsi="Arial"/>
          <w:sz w:val="18"/>
          <w:szCs w:val="18"/>
          <w:color w:val="auto"/>
        </w:rPr>
        <w:t>and SLC NAND. These embedded memory and storage solutions are used in a diverse set of consumer products, including service provider and IP set-top boxes, digital home assistants, digital still and video cameras, home networking, ultra-high definition televisions, augmented reality and virtual reality (“AR/VR”) headsets, and many more applications. Our embedded memory and storage solutions enable edge devices in the consumer products market to store, connect, and transform information in the IoT.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Business Unit (“SBU”)</w:t>
      </w:r>
    </w:p>
    <w:p>
      <w:pPr>
        <w:spacing w:after="0" w:line="26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SBU includes SSDs and component-level solutions sold into enterprise and cloud, client, and consumer storage markets. SBU reported revenue of $2.55 billion in 2023, $4.55 billion in 2022, and $3.97 billion in 2021. In 2023, 176-layer NAND comprised the largest portion of SBU’s NAND bit shipments. In 2023, we also began shipping client, consumer, and data center SSDs featuring 232-layer NAND technology. It features higher areal density and delivers higher capacity and improved energy efficiency over previous generations of our NAND, to enable best-in-class support of the most data-intensive use cases from client to cloud.</w:t>
      </w:r>
    </w:p>
    <w:p>
      <w:pPr>
        <w:spacing w:after="0" w:line="21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i w:val="1"/>
          <w:iCs w:val="1"/>
          <w:u w:val="single" w:color="auto"/>
          <w:color w:val="auto"/>
        </w:rPr>
        <w:t>SSDs</w:t>
      </w:r>
      <w:r>
        <w:rPr>
          <w:rFonts w:ascii="Arial" w:cs="Arial" w:eastAsia="Arial" w:hAnsi="Arial"/>
          <w:sz w:val="18"/>
          <w:szCs w:val="18"/>
          <w:i w:val="1"/>
          <w:iCs w:val="1"/>
          <w:color w:val="auto"/>
        </w:rPr>
        <w:t xml:space="preserve">: </w:t>
      </w:r>
      <w:r>
        <w:rPr>
          <w:rFonts w:ascii="Arial" w:cs="Arial" w:eastAsia="Arial" w:hAnsi="Arial"/>
          <w:sz w:val="18"/>
          <w:szCs w:val="18"/>
          <w:color w:val="auto"/>
        </w:rPr>
        <w:t>SSD storage products incorporate NAND, a controller, and firmware and offer significant performance and features over hard disk</w:t>
      </w:r>
      <w:r>
        <w:rPr>
          <w:rFonts w:ascii="Arial" w:cs="Arial" w:eastAsia="Arial" w:hAnsi="Arial"/>
          <w:sz w:val="18"/>
          <w:szCs w:val="18"/>
          <w:i w:val="1"/>
          <w:iCs w:val="1"/>
          <w:color w:val="auto"/>
        </w:rPr>
        <w:t xml:space="preserve"> </w:t>
      </w:r>
      <w:r>
        <w:rPr>
          <w:rFonts w:ascii="Arial" w:cs="Arial" w:eastAsia="Arial" w:hAnsi="Arial"/>
          <w:sz w:val="18"/>
          <w:szCs w:val="18"/>
          <w:color w:val="auto"/>
        </w:rPr>
        <w:t>drives, including smaller form factors, faster read and write speeds, higher reliability, and lower power consumption. We offer SSD solutions utilizing our NAND technology to the enterprise and cloud, client, and consumer markets.</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Enterprise and Cloud SSDs: </w:t>
      </w:r>
      <w:r>
        <w:rPr>
          <w:rFonts w:ascii="Arial" w:cs="Arial" w:eastAsia="Arial" w:hAnsi="Arial"/>
          <w:sz w:val="18"/>
          <w:szCs w:val="18"/>
          <w:color w:val="auto"/>
        </w:rPr>
        <w:t>SBU sales to the enterprise and cloud SSD markets in 2023 consisted primarily of our 5300, 7450, 5400, 9400,</w:t>
      </w:r>
      <w:r>
        <w:rPr>
          <w:rFonts w:ascii="Arial" w:cs="Arial" w:eastAsia="Arial" w:hAnsi="Arial"/>
          <w:sz w:val="18"/>
          <w:szCs w:val="18"/>
          <w:i w:val="1"/>
          <w:iCs w:val="1"/>
          <w:color w:val="auto"/>
        </w:rPr>
        <w:t xml:space="preserve"> </w:t>
      </w:r>
      <w:r>
        <w:rPr>
          <w:rFonts w:ascii="Arial" w:cs="Arial" w:eastAsia="Arial" w:hAnsi="Arial"/>
          <w:sz w:val="18"/>
          <w:szCs w:val="18"/>
          <w:color w:val="auto"/>
        </w:rPr>
        <w:t>and 6500 series SSDs. In data center SSDs, our entire portfolio is now on 176-layer or 232-layer NAND, demonstrating our product and technology leadership. We are in a strong position to serve AI demand for fast storage as these data-intensive applications proliferate. In 2023, we launched our first 200+ layer NAND data center SSD, and qualification has completed at some customers and is in progress at other customers largely to support AI cluster installations. The enterprise and cloud storage markets are driven by the growth of applications that store, access, and analyze data in the cloud. Applications such as machine learning servers require fast access to data with low latency, predictable performance, and high storage capacities.</w:t>
      </w:r>
    </w:p>
    <w:p>
      <w:pPr>
        <w:spacing w:after="0" w:line="21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Client SSDs: </w:t>
      </w:r>
      <w:r>
        <w:rPr>
          <w:rFonts w:ascii="Arial" w:cs="Arial" w:eastAsia="Arial" w:hAnsi="Arial"/>
          <w:sz w:val="18"/>
          <w:szCs w:val="18"/>
          <w:color w:val="auto"/>
        </w:rPr>
        <w:t>SBU sales to the client SSD market in 2023 consisted primarily of our 2450, 2400, and 3400 series client SSDs. Our client</w:t>
      </w:r>
      <w:r>
        <w:rPr>
          <w:rFonts w:ascii="Arial" w:cs="Arial" w:eastAsia="Arial" w:hAnsi="Arial"/>
          <w:sz w:val="18"/>
          <w:szCs w:val="18"/>
          <w:i w:val="1"/>
          <w:iCs w:val="1"/>
          <w:color w:val="auto"/>
        </w:rPr>
        <w:t xml:space="preserve"> </w:t>
      </w:r>
      <w:r>
        <w:rPr>
          <w:rFonts w:ascii="Arial" w:cs="Arial" w:eastAsia="Arial" w:hAnsi="Arial"/>
          <w:sz w:val="18"/>
          <w:szCs w:val="18"/>
          <w:color w:val="auto"/>
        </w:rPr>
        <w:t>SSDs, targeted for leading personal computer OEMs, have mostly replaced hard disk drives used in notebooks, desktops, workstations, and other consumer applications, and deliver high performance, power efficiency, security, and capacity.</w:t>
      </w:r>
    </w:p>
    <w:p>
      <w:pPr>
        <w:spacing w:after="0" w:line="203"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Consumer SSDs: </w:t>
      </w:r>
      <w:r>
        <w:rPr>
          <w:rFonts w:ascii="Arial" w:cs="Arial" w:eastAsia="Arial" w:hAnsi="Arial"/>
          <w:sz w:val="18"/>
          <w:szCs w:val="18"/>
          <w:color w:val="auto"/>
        </w:rPr>
        <w:t>SBU sales to the consumer SSD market in 2023 consisted primarily of our Crucial-branded MX500 and BX500 SATA SSDs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P3, P3 Plus, and P5 Plus PCIe SSDs, which utilize our NAND QLC and TLC technologies. In 2023, we began production shipments of Crucial T700, a Gen5 PCIe consumer SSD built with our 232-layer NAND. Our consumer SSD solutions have mostly replaced hard disk drives as end users and system builders and integrators seek the higher performance, power savings, and reliability of SSDs.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SBU sales of components in 2023 consisted primarily of our 96-layer, 176-layer, and 232-layer TLC and QLC NAND products.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 and Customers</w:t>
      </w:r>
    </w:p>
    <w:p>
      <w:pPr>
        <w:spacing w:after="0" w:line="2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seek to build collaborative relationships with our customers to understand their unique opportunities and challenges. By engaging with our customers early in the product life-cycle to identify and design features and performance characteristics into our products, we are able to manufacture products that anticipate and address our customers’ changing needs. Collaborating with our customers on their design needs in changing end markets and meeting their timelines for qualifying new products allows us to differentiate our memory and storage solutions, which provides greater value to our customers.</w:t>
      </w: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semiconductor memory and storage products are offered under our Micron and Crucial brand names and through private labels. We market our semiconductor memory and storage products primarily through our own direct sales force and maintain sales or representative offices to support our worldwide customer base. Our products are also offered through distributors, retailers, and independent sales representatives. Our distributors carry our products in inventory and typically sell a variety of other semiconductor products, including our competitors’ products. Our independent sales representatives obtain orders, subject to final acceptance by us, and we then make shipments against these orders directly to customers or through our distributors. We sell our Crucial-branded products through a web-based customer-direct sales channel as well as through channel and distribution partners. We maintain inventory at locations in close proximity to certain key customers to facilitate rapid delivery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421005</wp:posOffset>
            </wp:positionV>
            <wp:extent cx="65976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Due to volatile industry conditions, our customers are generally reluctant to enter into long-term, fixed-price purchase contracts. We typically enter into long-term agreements with our customers with acknowledgment that pricing, quantity, and other terms will be periodically negotiated to reflect market conditions and our customer’s demand for our products.</w:t>
      </w:r>
    </w:p>
    <w:p>
      <w:pPr>
        <w:spacing w:after="0" w:line="21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For other information regarding our concentrations and customers, see “Part II – Item 8. Financial Statements and Supplementary Data – Notes to Consolidated Financial Statements – Certain Concentrations.”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Conditions</w:t>
      </w:r>
    </w:p>
    <w:p>
      <w:pPr>
        <w:spacing w:after="0" w:line="25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22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May 21, 2023 decision by China’s Cyberspace Administration (the “CAC”) that critical information infrastructure operators in China may not purchase Micron products had an impact on our ability to compete effectively in China and elsewhere.</w:t>
      </w: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and our competitors generally seek to increase wafer output, improve yields, and reduce die size, which could result in significant increases in worldwide supply and downward pressure on prices. During periods of supply overcapacity, the industry may experience a temporary interruption in increased wafer output due to curtailed capital expenditures.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Manufacturing</w:t>
      </w:r>
    </w:p>
    <w:p>
      <w:pPr>
        <w:spacing w:after="0" w:line="2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manufacture our products within our own facilities located in Taiwan, Singapore, Japan, the United States, Malaysia, and China, and also utilize subcontractors to perform certain manufacturing processes. Our products are manufactured on 300mm wafers in facilities that generally operate 24 hours per day, seven days per week. Semiconductor manufacturing is capital intensive, requiring large investments in sophisticated facilities and equipment. Our DRAM, NAND, and NOR products share a number of common manufacturing processes, enabling us to leverage our product and process technology and certain resources and manufacturing infrastructure across these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process for manufacturing semiconductor products is complex and involves numerous precise steps, including wafer fabrication, post fabrication processing, assembly, and test. Efficient production of semiconductor products requires utilization of advanced semiconductor manufacturing techniques and effectively deploying those techniques across multiple facilities. The primary determinants of manufacturing cost are process line-width, 3D non-volatile layers, NAND cell levels, process complexity (including the number of mask layers and fabrication steps), and manufacturing yield. Other factors include the cost and sophistication of manufacturing equipment, equipment utilization, cost of raw materials, labor productivity, package type, cleanliness of our manufacturing environment, and utilization of subcontractors to perform certain manufacturing processes. As we continue to increase our production of high value products and solutions, manufacturing costs are increasingly affected by the costs of application-specific integrated circuit (“ASIC”) controllers and other semiconductors, advanced and complex packaging configurations, and testing at progressively higher performance speeds and quality levels. We continuously enhance our production processes, increase bits per wafer, transition to higher density products, and utilize advanced testing and assembly processes.</w:t>
      </w:r>
    </w:p>
    <w:p>
      <w:pPr>
        <w:spacing w:after="0" w:line="22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Wafer fabrication occurs in a highly-controlled clean environment to minimize yield loss from contaminants. Despite stringent manufacturing controls, individual circuits may be nonfunctional or wafers may be scrapped due to equipment errors, minute impurities in materials, defects in photomasks, circuit design marginalities or defects, or contamination from airborne particles, among other factors. Success of our manufacturing operations depends largely on minimizing defects and improving process margin to maximize yield of high-quality circuits. In this regard, we employ rigorous quality controls throughout the manufacturing, screening, and testing processes. We continue to heighten quality control as our product offerings expand into higher-end segments that require increasing performance targets.</w:t>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products are manufactured and sold in both packaged form and as unpackaged bare die. Our packaged products include packaged die, memory modules, and system-level solutions, such as SSDs, managed NAND, and MCPs. We assemble many products in-house and, in some cases, outsource assembly services for certain packaged die, memory modules, SSDs, and MCPs. We test our products at various stages in the manufacturing process, conduct numerous quality control inspections throughout the entire production flow, and perform high temperature burn-in on finished products. In addition, we use our proprietary AMBYX™ line of intelligent test and burn-in systems to perform simultaneous circuit tests of semiconductor die, capturing quality and reliability data and reducing testing time and cost.</w:t>
      </w:r>
    </w:p>
    <w:p>
      <w:pPr>
        <w:spacing w:after="0" w:line="21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costs can be affected by frequent conversions to new products; the allocation of manufacturing capacity to more complex, smaller-volume products; and the reallocation of manufacturing capacity across various product lines.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Resources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Supply Chain, Materials, and Third-Party Service Providers</w:t>
      </w:r>
    </w:p>
    <w:p>
      <w:pPr>
        <w:spacing w:after="0" w:line="25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422910</wp:posOffset>
            </wp:positionV>
            <wp:extent cx="65976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2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21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1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 and Licenses</w:t>
      </w:r>
    </w:p>
    <w:p>
      <w:pPr>
        <w:spacing w:after="0" w:line="25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As of August 31, 2023, we owned approximately 13,100 active U.S. patents and 6,300 active foreign patents. In addition, we have thousands of U.S. and foreign patent applications pending. Our patents have various terms expiring through 2042.</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From time to time, we sell and/or license our technology to other parties and continue to pursue opportunities to monetize our investments in our intellectual property through partnering and other arrangements. We have also jointly developed memory and storage product and process technology with third parties on a limited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Research and Development</w:t>
      </w:r>
    </w:p>
    <w:p>
      <w:pPr>
        <w:spacing w:after="0" w:line="27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R&amp;D efforts are focused primarily on development of memory and storage solutions, including our industry-leading DRAM and NAND technology, that enable continuous improvement in performance and cost structure for our products. In DRAM, our 1ß node was introduced ahead of the industry and we ramped our manufacturing of it during 2023. We plan to implement EUV lithography on the DRAM node after 1ß. In NAND, the introduction of our 232-layer node was also ahead of the industry and we ramped our manufacturing of it during 2023. We are also focused on developing new fundamentally different memory structures, materials, and packages designed to facilitate our transition to next generation products. Additional R&amp;D efforts are concentrated on the enablement of advanced computing, storage, and mobile memory architectures and the investigation of new opportunities that leverage our core semiconductor expertise. Product design and development efforts include high-density DDR5, LPDDR5, HBM, CXL based products, and advanced graphics DRAM; 3D NAND (including TLC and QLC technologies); mobile and storage solutions (including firmware and controllers); managed NAND; SSDs; and other memory technologies and systems.</w:t>
      </w:r>
    </w:p>
    <w:p>
      <w:pPr>
        <w:spacing w:after="0" w:line="22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To compete in the semiconductor memory and storage markets, we must continue to develop technologically advanced products and processes. The continued evolution of our semiconductor product offerings is necessary to meet expected customer requirements for memory and storage products and solutions. Our process, design, firmware, controller, package, and system development efforts occur at multiple locations across the world. Our primary R&amp;D centers are located in Boise, Idaho; India; Japan; Taiwan; China; Italy; Singapore; Germany; Malaysia; and other sites in the United States.</w:t>
      </w:r>
    </w:p>
    <w:p>
      <w:pPr>
        <w:spacing w:after="0" w:line="21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R&amp;D expenses vary primarily with the number of development and pre-qualification wafers processed and end-product solutions developed, personnel costs, and the cost of advanced equipment dedicated to new product and process development, such as investments in EUV lithography equipment.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Human Capital</w:t>
      </w:r>
    </w:p>
    <w:p>
      <w:pPr>
        <w:spacing w:after="0" w:line="27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depend on a highly educated and experienced workforce to design, develop, and manufacture high-quality, cutting-edge memory and storage solutions. As of August 31, 2023, we had approximately 43,000 employees located in the following regions:</w:t>
      </w:r>
    </w:p>
    <w:tbl>
      <w:tblPr>
        <w:tblLayout w:type="fixed"/>
        <w:tblInd w:w="0" w:type="dxa"/>
        <w:tblCellMar>
          <w:top w:w="0" w:type="dxa"/>
          <w:left w:w="0" w:type="dxa"/>
          <w:bottom w:w="0" w:type="dxa"/>
          <w:right w:w="0" w:type="dxa"/>
        </w:tblCellMar>
      </w:tblPr>
      <w:tr>
        <w:trPr>
          <w:trHeight w:val="239"/>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Region</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Percent All</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 Women</w:t>
            </w:r>
          </w:p>
        </w:tc>
      </w:tr>
      <w:tr>
        <w:trPr>
          <w:trHeight w:val="34"/>
        </w:trPr>
        <w:tc>
          <w:tcPr>
            <w:tcW w:w="7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7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Asia</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78 %</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Americas</w:t>
            </w:r>
          </w:p>
        </w:tc>
        <w:tc>
          <w:tcPr>
            <w:tcW w:w="1660" w:type="dxa"/>
            <w:vAlign w:val="bottom"/>
          </w:tcPr>
          <w:p>
            <w:pPr>
              <w:jc w:val="right"/>
              <w:spacing w:after="0"/>
              <w:rPr>
                <w:sz w:val="20"/>
                <w:szCs w:val="20"/>
                <w:color w:val="auto"/>
              </w:rPr>
            </w:pPr>
            <w:r>
              <w:rPr>
                <w:rFonts w:ascii="Arial" w:cs="Arial" w:eastAsia="Arial" w:hAnsi="Arial"/>
                <w:sz w:val="18"/>
                <w:szCs w:val="18"/>
                <w:color w:val="auto"/>
              </w:rPr>
              <w:t>20 %</w:t>
            </w:r>
          </w:p>
        </w:tc>
        <w:tc>
          <w:tcPr>
            <w:tcW w:w="16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7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Europe, Middle East, and Africa</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2 %</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79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0"/>
        </w:trPr>
        <w:tc>
          <w:tcPr>
            <w:tcW w:w="79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32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As of August 31, 2023 and September 1, 2022, 31% of our global workforce were women. As of August 31, 2023, 25% of our technical or engineering roles were held by women, as compared to 24% as of September 1, 2022. Women comprised 17% of our senior leaders as of August 31, 2023 and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415925</wp:posOffset>
            </wp:positionV>
            <wp:extent cx="65976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Board of Directors was comprised of four men and four women as of August 31, 2023. In addition, as of August 31, 2023, based on self-identification, one member of our Board of Directors is Asian, one member is African-American, and six members are White. One member of our Board of Directors is a veteran of the U.S. military.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Talent Acquisition, Development, and Engagement</w:t>
      </w:r>
    </w:p>
    <w:p>
      <w:pPr>
        <w:spacing w:after="0" w:line="25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Finding and retaining the best and brightest people in an extremely competitive industry environment is a strategic imperative for our business. We partner with our communities, institutions, governments, and associations to expand the pipeline of diverse, highly skilled STEM talent globally. Our partnerships with K-12 and post-secondary education systems are key to training and inspiring the next generation to consider STEM careers in the semiconductor industry. We use AI to reduce or eliminate the potential for bias from resumes, allowing us to focus on individual merit over personal characteristics. We are committed to developing team members at all stages of their careers, including on-the-job training, continuing education, a robust mentoring program, and numerous internal certifications and training. In addition, we develop and accelerate our leaders’ careers through targeted learning that helps them move to higher-level positions or across functions.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use a research-based, people-centric approach to understanding and improving team member engagement. Periodically, we invite all team members to participate in our internal engagement survey, which covers questions that measure and provide insight into three driving factors: meaningfulness, availability, and psychological safety. In April 2023, 82% of our team members participated in the survey. The results of the survey are shared with all team members and management uses feedback from the survey to identify and implement continuous improvements to our culture and workplace practices.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and Benefits</w:t>
      </w:r>
    </w:p>
    <w:p>
      <w:pPr>
        <w:spacing w:after="0" w:line="25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compensation programs are designed to support our team members’ financial and personal wellbeing by providing a valuable return for their contributions to the company. Our total compensation strategy includes base salary, annual bonuses, equity awards, a discounted stock purchase plan, and a comprehensive benefits package.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Diversity, Equality, and Inclusion</w:t>
      </w:r>
    </w:p>
    <w:p>
      <w:pPr>
        <w:spacing w:after="0" w:line="2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have five diversity, equality, and inclusion (“DEI”) commitments that serve as the roadmap of our DEI work internally, within our industry, and in the community at large. To hold ourselves accountable, each commitment is assigned an executive sponsor who is responsible for its strategy and execution. Our five DEI commitments are summarized as follows:</w:t>
      </w:r>
    </w:p>
    <w:p>
      <w:pPr>
        <w:spacing w:after="0" w:line="21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representation of underrepresented groups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Drive equitable pay and inclusive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Champion advocacy and strengthen our culture of inclusion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Engage with diverse financial institutions for cash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diverse supplier representation and spending</w:t>
      </w:r>
    </w:p>
    <w:p>
      <w:pPr>
        <w:spacing w:after="0" w:line="2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regular review of pay globally, including base pay and stock awards, to drive compensation equitably. In 2023, due to challenging industry conditions, base pay increases were suspended, however we achieved global pay equity for all underrepresented employees in compensation across bonuses and stock rewards. In 2022 and 2021, we achieved comprehensive global pay equity for all employees in total compensation across base pay, bonuses, and stock rewards. A pay equity analysis will be conducted in 2024 with our base pay merit review. We also continually assess our global leave, medical, and financial benefits to ensure inclusiveness. In addition, a portion of our company-wide annual bonus program is based on the achievement of DEI-related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 Safety, and Wellbeing</w:t>
      </w:r>
    </w:p>
    <w:p>
      <w:pPr>
        <w:spacing w:after="0" w:line="25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Proactive efforts to prevent occupational illnesses and injuries allow us to maintain a safe, healthy, and secure workplace. Each of our sites have health and safety committees, which are designed to promote overall operations and communications regarding safety and to help lead and implement secure and compliant work areas. Our safety program creates a unified corporate safety culture by establishing a formal training structure and common safety practices across our global facilities.</w:t>
      </w:r>
    </w:p>
    <w:p>
      <w:pPr>
        <w:spacing w:after="0" w:line="203"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In addition to our proactive efforts on safety, our team member wellness program offers resources across our five pillars of wellbeing (physical, mental, social, career, and financial). We provide services to our team members including free mental health and counseling support, on-site and near-site fitness centers, wellness spaces and health clinics at certain Micron sites, money management and other financial education tools, and encouraging team members to form healthy habits, reduce stress and reinforce mindfulness solutions by participating in wellbeing challenges and measuring their personal progress. We also provide exclusive access to near-site, company-sponsored childcare centers, financial subsidies to help families with cost, and partnerships with community centers.</w:t>
      </w:r>
    </w:p>
    <w:p>
      <w:pPr>
        <w:spacing w:after="0" w:line="23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We are a member of the Responsible Business Alliance (“RBA”), a group of leading companies focused on promoting responsible working conditions, ethical business practices, and environmental stewardship throughout our global supply chain. We strive to adhere to both our Code of Business Conduct and Ethics (available on our website, www.micron.com) and the RBA code of conduct, which is a demonstration of our commitment to integrity and responsible practices.</w:t>
      </w:r>
    </w:p>
    <w:p>
      <w:pPr>
        <w:spacing w:after="0" w:line="2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Additional information about our human capital is included in our 2023 Sustainability Report and our 2022 DEI Annual Report, each available on our website. Information contained or referenced on our website is not incorporated by reference and does not form a part of this Annual Report on Form 10-K.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Government Regulations</w:t>
      </w:r>
    </w:p>
    <w:p>
      <w:pPr>
        <w:spacing w:after="0" w:line="2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worldwide business activities are subject to various federal, state, local, and foreign laws and our products are governed by a number of rules and regulations and customer expectations. The efforts and expenditures needed to comply with these laws, rules, and regulations do not presently have a material impact on our results of operations, capital expenditures, or competitive position. Nevertheless, compliance with existing or future government laws, including, but not limited to, our operations, products, global trade, business acquisitions, employee health and safety, and taxes could have a material adverse effect on our future results of operations, capital expenditures, or competitive position. See “Item 1A. Risk Factors” for a discussion of these potential impacts.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Compliance</w:t>
      </w:r>
    </w:p>
    <w:p>
      <w:pPr>
        <w:spacing w:after="0" w:line="2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Manufacturing of our products is subject to complex and evolving federal, state, local, and foreign environmental, health, safety and product laws and regulations and expectations. We approach environmental compliance and sustainability proactively to ensure we meet applicable government regulations regarding use of raw materials and chemicals, discharges, emissions, climate change and energy use, and waste disposal and management from our manufacturing processes. Our approach also considers the expectations of our investors, customers, team members, community members, and other stakeholders. Compliance with the law and other obligations is a minimum environmental expectation at Micron. Our wafer fabrication facilities continued to conform to the requirements of the ISO 14001:2015 environmental management systems standard to ensure we are continuously improving our performance. As part of the ISO 14001 framework, we have established a global environmental policy and meet requirements, such as environmental aspects evaluation and control, compliance obligations, commitment, training, communication, document control, operational control, emergency preparedness and response, and management review. While we have not experienced any material adverse effects to our operations from environmental regulations, changes in regulations could necessitate additional capital expenditures, modification of our operations or chemical usage, or other compliance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426720</wp:posOffset>
            </wp:positionV>
            <wp:extent cx="65976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 Regulations</w:t>
      </w:r>
    </w:p>
    <w:p>
      <w:pPr>
        <w:spacing w:after="0" w:line="2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Sales of our memory and storage products, and the transfer of related technical information and know-how, including support, are subject to laws and regulations governing international trade, including, but not limited to, export control, customs, and sanctions regulations administered by U.S. government agencies such as the Bureau of Industry and Security (“BIS”) of the U.S. Department of Commerce and the Office of Foreign Asset Control of the U.S. Department of the Treasury. Other jurisdictions, such as the European Union or China, also maintain, or may implement, similar laws and regulations with which we must comply. Any such laws or regulations may require that we either obtain licenses or other authorizations to export certain of our products or sell them to certain countries, companies, or individuals, or, in the absence of such licenses or authorizations, not export or sell the applicable products or transfer the related technical information and know-how to the affected countries, companies, or individuals. In addition, increased tariffs imposed by the countries in which our products are sold can increase the cost of our product to our customers. The laws and regulations that govern international trade change frequently, sometimes without advance notice. See “Item 1A. Risk Factors – Risks Related to Laws and Regulations – Government actions and regulations, such as export restrictions, tariffs and trade protection measures, may limit our ability to sell our products to certain customers or markets, or could otherwise restrict our ability to conduct operations” and “ – Risks Related to Our Business, Operations, and Industry – We face geopolitical and other risks associated with our international operations that could materially adversely affect our business, results of operations, or financial condition.”</w:t>
      </w:r>
    </w:p>
    <w:p>
      <w:pPr>
        <w:spacing w:after="0" w:line="2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 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Information About Our Executive Officers</w:t>
      </w:r>
    </w:p>
    <w:p>
      <w:pPr>
        <w:spacing w:after="0" w:line="273"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Our executive officers are appointed annually by our Board of Directors and our directors are elected annually by our shareholders. All officers serve until their successors are duly chosen or elected and qualified, except in the case of earlier death, resignation, or removal.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information, as of August 31, 2023,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6934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934835"/>
                    </a:xfrm>
                    <a:prstGeom prst="rect">
                      <a:avLst/>
                    </a:prstGeom>
                    <a:noFill/>
                  </pic:spPr>
                </pic:pic>
              </a:graphicData>
            </a:graphic>
          </wp:anchor>
        </w:drawing>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Scott R. Allen</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Corporate Vice President and Chief Accounting Officer</w:t>
      </w:r>
    </w:p>
    <w:p>
      <w:pPr>
        <w:spacing w:after="0" w:line="87" w:lineRule="exact"/>
        <w:rPr>
          <w:sz w:val="20"/>
          <w:szCs w:val="20"/>
          <w:color w:val="auto"/>
        </w:rPr>
      </w:pPr>
    </w:p>
    <w:p>
      <w:pPr>
        <w:ind w:left="2060" w:right="60"/>
        <w:spacing w:after="0" w:line="243" w:lineRule="auto"/>
        <w:rPr>
          <w:sz w:val="20"/>
          <w:szCs w:val="20"/>
          <w:color w:val="auto"/>
        </w:rPr>
      </w:pPr>
      <w:r>
        <w:rPr>
          <w:rFonts w:ascii="Arial" w:cs="Arial" w:eastAsia="Arial" w:hAnsi="Arial"/>
          <w:sz w:val="18"/>
          <w:szCs w:val="18"/>
          <w:color w:val="auto"/>
        </w:rPr>
        <w:t>Mr. Allen, 55, joined us in September 2020 as Corporate Vice President of Accounting. Mr. Allen was named Corporate Vice President and Chief Accounting Officer in October 2020. From August 2016 to September 2020, Mr. Allen held several executive roles at NetApp, Inc. including Senior Vice President, Chief Accounting Officer. Mr. Allen holds a Bachelor of Business Administration in Accounting from Siena College.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April S. Arnzen</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and Chief People Officer</w:t>
      </w:r>
    </w:p>
    <w:p>
      <w:pPr>
        <w:spacing w:after="0" w:line="87" w:lineRule="exact"/>
        <w:rPr>
          <w:sz w:val="20"/>
          <w:szCs w:val="20"/>
          <w:color w:val="auto"/>
        </w:rPr>
      </w:pPr>
    </w:p>
    <w:p>
      <w:pPr>
        <w:ind w:left="2060" w:right="120"/>
        <w:spacing w:after="0" w:line="255" w:lineRule="auto"/>
        <w:rPr>
          <w:sz w:val="20"/>
          <w:szCs w:val="20"/>
          <w:color w:val="auto"/>
        </w:rPr>
      </w:pPr>
      <w:r>
        <w:rPr>
          <w:rFonts w:ascii="Arial" w:cs="Arial" w:eastAsia="Arial" w:hAnsi="Arial"/>
          <w:sz w:val="17"/>
          <w:szCs w:val="17"/>
          <w:color w:val="auto"/>
        </w:rPr>
        <w:t>Ms. Arnzen, 52, joined us in December 1996 and has served in various leadership positions since that time. Ms. Arnzen was named Senior Vice President, Human Resources in June 2017 and named Senior Vice President and</w:t>
      </w:r>
    </w:p>
    <w:p>
      <w:pPr>
        <w:spacing w:after="0" w:line="2" w:lineRule="exact"/>
        <w:rPr>
          <w:sz w:val="20"/>
          <w:szCs w:val="20"/>
          <w:color w:val="auto"/>
        </w:rPr>
      </w:pPr>
    </w:p>
    <w:p>
      <w:pPr>
        <w:ind w:left="2060" w:right="300"/>
        <w:spacing w:after="0" w:line="235" w:lineRule="auto"/>
        <w:rPr>
          <w:sz w:val="20"/>
          <w:szCs w:val="20"/>
          <w:color w:val="auto"/>
        </w:rPr>
      </w:pPr>
      <w:r>
        <w:rPr>
          <w:rFonts w:ascii="Arial" w:cs="Arial" w:eastAsia="Arial" w:hAnsi="Arial"/>
          <w:sz w:val="18"/>
          <w:szCs w:val="18"/>
          <w:color w:val="auto"/>
        </w:rPr>
        <w:t>Chief People Officer in October 2020. Ms. Arnzen holds a BS in Human Resource Management and Marketing from the University of Idaho and is a graduate of the Stanford Graduate School of Business Executive Program.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Manish Bhatia</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Global Operations</w:t>
      </w:r>
    </w:p>
    <w:p>
      <w:pPr>
        <w:spacing w:after="0" w:line="87" w:lineRule="exact"/>
        <w:rPr>
          <w:sz w:val="20"/>
          <w:szCs w:val="20"/>
          <w:color w:val="auto"/>
        </w:rPr>
      </w:pPr>
    </w:p>
    <w:p>
      <w:pPr>
        <w:ind w:left="2060" w:right="220"/>
        <w:spacing w:after="0" w:line="241" w:lineRule="auto"/>
        <w:rPr>
          <w:sz w:val="20"/>
          <w:szCs w:val="20"/>
          <w:color w:val="auto"/>
        </w:rPr>
      </w:pPr>
      <w:r>
        <w:rPr>
          <w:rFonts w:ascii="Arial" w:cs="Arial" w:eastAsia="Arial" w:hAnsi="Arial"/>
          <w:sz w:val="18"/>
          <w:szCs w:val="18"/>
          <w:color w:val="auto"/>
        </w:rPr>
        <w:t>Mr. Bhatia, 51, joined us in October 2017 as our Executive Vice President, Global Operations. From May 2016 to October 2017, Mr. Bhatia served as the Executive Vice President of Silicon Operations at Western Digital</w:t>
      </w:r>
    </w:p>
    <w:p>
      <w:pPr>
        <w:spacing w:after="0" w:line="1" w:lineRule="exact"/>
        <w:rPr>
          <w:sz w:val="20"/>
          <w:szCs w:val="20"/>
          <w:color w:val="auto"/>
        </w:rPr>
      </w:pPr>
    </w:p>
    <w:p>
      <w:pPr>
        <w:ind w:left="2060" w:right="200"/>
        <w:spacing w:after="0"/>
        <w:rPr>
          <w:sz w:val="20"/>
          <w:szCs w:val="20"/>
          <w:color w:val="auto"/>
        </w:rPr>
      </w:pPr>
      <w:r>
        <w:rPr>
          <w:rFonts w:ascii="Arial" w:cs="Arial" w:eastAsia="Arial" w:hAnsi="Arial"/>
          <w:sz w:val="17"/>
          <w:szCs w:val="17"/>
          <w:color w:val="auto"/>
        </w:rPr>
        <w:t>Corporation. From March 2010 to May 2016, Mr. Bhatia held several executive roles at SanDisk Corporation including Executive Vice President of Worldwide Operations until it was acquired by Western Digital in May 2016.</w:t>
      </w:r>
    </w:p>
    <w:p>
      <w:pPr>
        <w:spacing w:after="0" w:line="1" w:lineRule="exact"/>
        <w:rPr>
          <w:sz w:val="20"/>
          <w:szCs w:val="20"/>
          <w:color w:val="auto"/>
        </w:rPr>
      </w:pPr>
    </w:p>
    <w:p>
      <w:pPr>
        <w:ind w:left="2060" w:right="240"/>
        <w:spacing w:after="0" w:line="235" w:lineRule="auto"/>
        <w:rPr>
          <w:sz w:val="20"/>
          <w:szCs w:val="20"/>
          <w:color w:val="auto"/>
        </w:rPr>
      </w:pPr>
      <w:r>
        <w:rPr>
          <w:rFonts w:ascii="Arial" w:cs="Arial" w:eastAsia="Arial" w:hAnsi="Arial"/>
          <w:sz w:val="18"/>
          <w:szCs w:val="18"/>
          <w:color w:val="auto"/>
        </w:rPr>
        <w:t>Mr. Bhatia holds a BS and MS in Mechanical Engineering and an MBA, each from the Massachusetts Institute of Technology.</w:t>
      </w:r>
    </w:p>
    <w:p>
      <w:pPr>
        <w:spacing w:after="0" w:line="230"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Michael W. Bokan</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Worldwide Sales</w:t>
      </w:r>
    </w:p>
    <w:p>
      <w:pPr>
        <w:spacing w:after="0" w:line="87" w:lineRule="exact"/>
        <w:rPr>
          <w:sz w:val="20"/>
          <w:szCs w:val="20"/>
          <w:color w:val="auto"/>
        </w:rPr>
      </w:pPr>
    </w:p>
    <w:p>
      <w:pPr>
        <w:ind w:left="2060" w:right="100"/>
        <w:spacing w:after="0" w:line="247" w:lineRule="auto"/>
        <w:rPr>
          <w:sz w:val="20"/>
          <w:szCs w:val="20"/>
          <w:color w:val="auto"/>
        </w:rPr>
      </w:pPr>
      <w:r>
        <w:rPr>
          <w:rFonts w:ascii="Arial" w:cs="Arial" w:eastAsia="Arial" w:hAnsi="Arial"/>
          <w:sz w:val="18"/>
          <w:szCs w:val="18"/>
          <w:color w:val="auto"/>
        </w:rPr>
        <w:t>Mr. Bokan, 62, joined us in 1996 and has served in various leadership positions since that time. Mr. Bokan was named Senior Vice President, Worldwide Sales in October 2018. Mr. Bokan holds a BS in Business Administration from Colorado State University.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Scott J. DeBoer</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Technology &amp; Products</w:t>
      </w:r>
    </w:p>
    <w:p>
      <w:pPr>
        <w:spacing w:after="0" w:line="87" w:lineRule="exact"/>
        <w:rPr>
          <w:sz w:val="20"/>
          <w:szCs w:val="20"/>
          <w:color w:val="auto"/>
        </w:rPr>
      </w:pPr>
    </w:p>
    <w:p>
      <w:pPr>
        <w:ind w:left="2060" w:right="180"/>
        <w:spacing w:after="0" w:line="255" w:lineRule="auto"/>
        <w:rPr>
          <w:sz w:val="20"/>
          <w:szCs w:val="20"/>
          <w:color w:val="auto"/>
        </w:rPr>
      </w:pPr>
      <w:r>
        <w:rPr>
          <w:rFonts w:ascii="Arial" w:cs="Arial" w:eastAsia="Arial" w:hAnsi="Arial"/>
          <w:sz w:val="17"/>
          <w:szCs w:val="17"/>
          <w:color w:val="auto"/>
        </w:rPr>
        <w:t>Dr. DeBoer, 57, joined us in February 1995 and has served in various leadership positions since that time. Dr. DeBoer was named Executive Vice President, Technology Development in June 2017 and named Executive Vice</w:t>
      </w:r>
    </w:p>
    <w:p>
      <w:pPr>
        <w:spacing w:after="0" w:line="2" w:lineRule="exact"/>
        <w:rPr>
          <w:sz w:val="20"/>
          <w:szCs w:val="20"/>
          <w:color w:val="auto"/>
        </w:rPr>
      </w:pPr>
    </w:p>
    <w:p>
      <w:pPr>
        <w:ind w:left="2060" w:right="300"/>
        <w:spacing w:after="0" w:line="235" w:lineRule="auto"/>
        <w:rPr>
          <w:sz w:val="20"/>
          <w:szCs w:val="20"/>
          <w:color w:val="auto"/>
        </w:rPr>
      </w:pPr>
      <w:r>
        <w:rPr>
          <w:rFonts w:ascii="Arial" w:cs="Arial" w:eastAsia="Arial" w:hAnsi="Arial"/>
          <w:sz w:val="18"/>
          <w:szCs w:val="18"/>
          <w:color w:val="auto"/>
        </w:rPr>
        <w:t>President, Technology &amp; Products in September 2019. Dr. DeBoer holds a PhD in Electrical Engineering and an MS in Physics from Iowa State University. He completed his undergraduate degree at Hastings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703580</wp:posOffset>
            </wp:positionV>
            <wp:extent cx="65976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4226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22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Sanjay Mehrotra</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President, Chief Executive Officer, and Director</w:t>
      </w:r>
    </w:p>
    <w:p>
      <w:pPr>
        <w:spacing w:after="0" w:line="60" w:lineRule="exact"/>
        <w:rPr>
          <w:sz w:val="20"/>
          <w:szCs w:val="20"/>
          <w:color w:val="auto"/>
        </w:rPr>
      </w:pPr>
    </w:p>
    <w:p>
      <w:pPr>
        <w:ind w:left="2060" w:right="60"/>
        <w:spacing w:after="0" w:line="224" w:lineRule="auto"/>
        <w:rPr>
          <w:sz w:val="20"/>
          <w:szCs w:val="20"/>
          <w:color w:val="auto"/>
        </w:rPr>
      </w:pPr>
      <w:r>
        <w:rPr>
          <w:rFonts w:ascii="Arial" w:cs="Arial" w:eastAsia="Arial" w:hAnsi="Arial"/>
          <w:sz w:val="18"/>
          <w:szCs w:val="18"/>
          <w:color w:val="auto"/>
        </w:rPr>
        <w:t>Mr. Mehrotra, 65, joined us in May 2017 as our President, Chief Executive Officer, and Director. Mr. Mehrotra co-founded and led SanDisk Corporation 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and has served since March 2021 as a member of the Board of Directors of CDW Corporation. Mr. Mehrotra holds a BS and an MS in Electrical Engineering and Computer Science from the University of California, Berkeley and is a graduate of the Stanford Graduate School of Business Executive Program.</w:t>
      </w:r>
    </w:p>
    <w:p>
      <w:pPr>
        <w:spacing w:after="0" w:line="155"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Mark J. Murphy</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73" w:lineRule="exact"/>
        <w:rPr>
          <w:sz w:val="20"/>
          <w:szCs w:val="20"/>
          <w:color w:val="auto"/>
        </w:rPr>
      </w:pPr>
    </w:p>
    <w:p>
      <w:pPr>
        <w:ind w:left="2060" w:right="80"/>
        <w:spacing w:after="0" w:line="226" w:lineRule="auto"/>
        <w:rPr>
          <w:sz w:val="20"/>
          <w:szCs w:val="20"/>
          <w:color w:val="auto"/>
        </w:rPr>
      </w:pPr>
      <w:r>
        <w:rPr>
          <w:rFonts w:ascii="Arial" w:cs="Arial" w:eastAsia="Arial" w:hAnsi="Arial"/>
          <w:sz w:val="18"/>
          <w:szCs w:val="18"/>
          <w:color w:val="auto"/>
        </w:rPr>
        <w:t>Mr. Murphy, 55, joined us in April 2022 as Executive Vice President and Chief Financial Officer. From June 2016 to April 2022, Mr. Murphy served as the Chief Financial Officer of Qorvo, Inc. Prior to Qorvo, Mr. Murphy served as Executive Vice President and Chief Financial Officer of Delphi Automotive PLC, and prior to Delphi, held executive roles at Praxair, Inc. and MEMC Electronic Materials, Inc. Mr. Murphy currently serves on the Board of Directors of Albany International Corp. Mr. Murphy is a veteran of the U.S. Marine Corps and holds an MBA from Harvard University and BS in Business from Marquette University.</w:t>
      </w:r>
    </w:p>
    <w:p>
      <w:pPr>
        <w:spacing w:after="0" w:line="248"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Sumit Sadana</w:t>
      </w:r>
    </w:p>
    <w:p>
      <w:pPr>
        <w:spacing w:after="0" w:line="102"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and Chief Business Officer</w:t>
      </w:r>
    </w:p>
    <w:p>
      <w:pPr>
        <w:spacing w:after="0" w:line="73" w:lineRule="exact"/>
        <w:rPr>
          <w:sz w:val="20"/>
          <w:szCs w:val="20"/>
          <w:color w:val="auto"/>
        </w:rPr>
      </w:pPr>
    </w:p>
    <w:p>
      <w:pPr>
        <w:ind w:left="2060" w:right="60"/>
        <w:spacing w:after="0" w:line="226" w:lineRule="auto"/>
        <w:rPr>
          <w:sz w:val="20"/>
          <w:szCs w:val="20"/>
          <w:color w:val="auto"/>
        </w:rPr>
      </w:pPr>
      <w:r>
        <w:rPr>
          <w:rFonts w:ascii="Arial" w:cs="Arial" w:eastAsia="Arial" w:hAnsi="Arial"/>
          <w:sz w:val="18"/>
          <w:szCs w:val="18"/>
          <w:color w:val="auto"/>
        </w:rPr>
        <w:t>Mr. Sadana, 54, joined us in June 2017 as our Executive Vice President and Chief Business Officer. From April 2010 to May 2016, Mr. Sadana served in various roles at SanDisk Corporation, including Executive Vice President, Chief Strategy Officer, and General Manager, Enterprise Solutions until it was acquired by Western Digital in May 2016. Mr. Sadana currently serves on the Board of Directors of Silicon Laboratories, Inc. Mr. Sadana holds a B.Tech. in Electrical Engineering from the Indian Institute of Technology, Kharagpur, India and an MS in Electrical Engineering from Stanford University.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at 8000 South Federal Way, Boise, Idaho 83716-9632 and our telephone number is (208) 368-4000.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us is available on our website, www.micron.com. Also available on our website are our Corporate Governance Guidelines,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Governance and Sustainability Committee Charter, Compensation Committee Charter, Audit Committee Charter, Finance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Security Committee Charter, and Code of Business Conduct and Ethics. We intend to satisfy the disclosure requirement under Item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5.05 of Form 8-K regarding any amendments to, or waivers from, our Code of Business Conduct and Ethics by posting such information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website within four business days of the amendment or waiver. Copies of these documents are available to shareholders upon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 Information contained or referenced on our website is not incorporated by reference and does not form a part of this Annual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Form 10-K.</w:t>
      </w:r>
    </w:p>
    <w:p>
      <w:pPr>
        <w:spacing w:after="0" w:line="2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filings are available free of charge on our website as soon as reasonably practicable after they are electronically filed with, or furnished to, the SEC, including our annual and quarterly reports on Forms 10-K and 10-Q and current reports on Form 8-K, our proxy statements, and any amendments to those reports or statements. The SEC’s website, www.sec.gov,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575945</wp:posOffset>
            </wp:positionV>
            <wp:extent cx="65976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to the factors discussed elsewhere in this Form 10-K,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3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range of factors that may adversely affect our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and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realizing expected returns from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achieving or maintaining certain performance or other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quality of materials, supplies, and capital equipment and dependency on third-party service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downturn in regional or worldwide economies;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dependency on a select number of key customers, including international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of our security systems or products,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social, and governance considerations;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and/or alliances;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restructure plans may not realize expected savings or other benefits.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3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and claims; and</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3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of government actions and 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environmental considerations.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3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amount and frequency of our common stock repurchases and payment of cash dividends and resulting impacts.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average selling prices for our semiconductor memory and storage products may adversely affect our business.</w:t>
      </w:r>
    </w:p>
    <w:p>
      <w:pPr>
        <w:spacing w:after="0" w:line="2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experienced significant volatility in our average selling prices and may continue to experience such volatility in the future. For example, average selling prices for DRAM declined in the high-40s percent range and NAND declined in the low-50s percent range for 2023 as compared to 2022. Since 2017, annual percentage changes in DRAM average selling prices have ranged from approximately plus 35% to a minus high-40s percent range. Since 2017, annual percentage changes in NAND average selling prices have ranged from nearly flat to a minus low-50s percent range. In current and recent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in future periods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gross margins may be adversely affected by a range of factors.</w:t>
      </w:r>
    </w:p>
    <w:p>
      <w:pPr>
        <w:spacing w:after="0" w:line="2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2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product diversification decisions affecting product mix;</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complexity of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transitioning to smaller line-width process technologies or additional 3D memory layers or NAND cell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process complexity including number of mask layers and fabrication steps;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manufacturing yield;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process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products that may require relatively larger die sizes;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start-up or other costs associated with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costs of goods and services due to inflationary pressures or market conditions; and</w:t>
      </w:r>
    </w:p>
    <w:p>
      <w:pPr>
        <w:spacing w:after="0" w:line="9"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manufacturing costs per gigabit due to fabrication facility underutilization, lower wafer output, and insufficient volume to run new technology nodes to achieve cost optimization.</w:t>
      </w:r>
    </w:p>
    <w:p>
      <w:pPr>
        <w:spacing w:after="0" w:line="2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See “Part II – Item 7. Management’s Discussion and Analysis of Financial Condition and Results of Operations – Overview – Industry Conditions” for information regarding our current underutilization. A significant portion of our manufacturing costs are fixed and do not vary proportionally with changes in production output. As a result, lower utilization, lower wafer output, and corresponding increases in our per gigabit manufacturing costs have resulted in higher inventory carrying costs, and have had, and may continue to have, an adverse effect on our gross margins,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421005</wp:posOffset>
            </wp:positionV>
            <wp:extent cx="65976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For example, in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2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21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Our inability to prevent deterioration of or improve gross margins could have a material adverse effect on our business, results of operations, or financial condition.</w:t>
      </w:r>
    </w:p>
    <w:p>
      <w:pPr>
        <w:spacing w:after="0" w:line="191" w:lineRule="exact"/>
        <w:rPr>
          <w:sz w:val="20"/>
          <w:szCs w:val="20"/>
          <w:color w:val="auto"/>
        </w:rPr>
      </w:pPr>
    </w:p>
    <w:p>
      <w:pPr>
        <w:ind w:right="780"/>
        <w:spacing w:after="0" w:line="301" w:lineRule="auto"/>
        <w:rPr>
          <w:sz w:val="20"/>
          <w:szCs w:val="20"/>
          <w:color w:val="auto"/>
        </w:rPr>
      </w:pPr>
      <w:r>
        <w:rPr>
          <w:rFonts w:ascii="Arial" w:cs="Arial" w:eastAsia="Arial" w:hAnsi="Arial"/>
          <w:sz w:val="18"/>
          <w:szCs w:val="18"/>
          <w:b w:val="1"/>
          <w:bCs w:val="1"/>
          <w:color w:val="auto"/>
        </w:rPr>
        <w:t>We face geopolitical and other risks associated with our international operations that could materially adversely affect our business, results of operations, or financial condition.</w:t>
      </w:r>
    </w:p>
    <w:p>
      <w:pPr>
        <w:spacing w:after="0" w:line="166"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In 2023, nearly half of our revenue was from sales to customers who have headquarters located outside the United States, while over 80% of our revenue in 2023 was from products shipped to customer locations outside the United States.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number of risks, including:</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sales of goods or services to one or more of our significant foreign customers;</w:t>
      </w:r>
    </w:p>
    <w:p>
      <w:pPr>
        <w:spacing w:after="0" w:line="2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instability, including instability resulting from domestic and international conflicts;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health issues.</w:t>
      </w:r>
    </w:p>
    <w:p>
      <w:pPr>
        <w:spacing w:after="0" w:line="24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Following the May 21,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Some revenue with customers headquartered outside of China has also been impacted. As we try to mitigate possible impacts due to the CAC decision, revenue may come at lower prices or gross margins due to product or customer mix changes, which may impact our business results. Further actions by the Chinese government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22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Political, economic, or other actions may adversely affect our operations in Taiwan. A majority of our DRAM production output in 2023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the U.S. government has in the past restricted American firms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6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Kioxia Holdings Corporation; Samsung Electronics Co., Ltd.; SK hynix Inc.; and Western Digital Corporation. Our competitors may use aggressive pricing to obtain market share. Some of our competitors are large corporations or conglomerates that may have a larger market share and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We operate in different jurisdictions than our competitors and may be impacted by unfavorable changes in currency exchange rates.</w:t>
      </w:r>
    </w:p>
    <w:p>
      <w:pPr>
        <w:spacing w:after="0" w:line="22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in companies such as Yangtze Memory Technologies Co., Ltd. (“YMTC”) and ChangXin Memory Technologies, Inc. (“CXMT”). In addition, the CAC’s decision that critical information infrastructure operators in China may not purchase Micron products had an impact on our ability to compete effectively in China and elsewhere.</w:t>
      </w:r>
    </w:p>
    <w:p>
      <w:pPr>
        <w:spacing w:after="0" w:line="21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and our competitors generally seek to increase wafer output,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442595</wp:posOffset>
            </wp:positionV>
            <wp:extent cx="65976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color w:val="auto"/>
        </w:rPr>
        <w:t>Our future success depends on our ability to develop and produce new and competitive memory and storage technologies and products.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key semiconductor memory and storage technologies face technological barriers to continue to meet long-term customer needs. These barriers include potential limitations on stacking additional 3D memory layers, increasing bits per cell (i.e., cell levels), meeting higher density requirements,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of the following:</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successful in developing competitive new semiconductor memory and storage technologies and products;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able to successfully market these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w:t>
      </w:r>
    </w:p>
    <w:p>
      <w:pPr>
        <w:spacing w:after="0" w:line="24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achieve expected returns from capacity expansions.</w:t>
      </w:r>
    </w:p>
    <w:p>
      <w:pPr>
        <w:spacing w:after="0" w:line="26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have announced our intent to expand our production capacity and/or make capital investments in the United States and in other regions where we operate.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These expansions involve several risks including the following:</w:t>
      </w:r>
    </w:p>
    <w:p>
      <w:pPr>
        <w:spacing w:after="0" w:line="252" w:lineRule="exact"/>
        <w:rPr>
          <w:sz w:val="20"/>
          <w:szCs w:val="20"/>
          <w:color w:val="auto"/>
        </w:rPr>
      </w:pPr>
    </w:p>
    <w:p>
      <w:pPr>
        <w:ind w:left="660" w:right="32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 requirements for capacity expansions during periods of relatively low free cash flow generation, resulting from challenging memory and storage industry conditions;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necessary funding, which may include external sources;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realize expected grants, investment tax credits, and other government incentives, including through the U.S. CHIPS and Science Act of 2022 (“CHIPS Act”) and other national, international, state, and local grants;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changes in laws or provisions of grants, investment tax credits, and other government incentives;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restrictions on expanding in certain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equipment and construction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complete construction as scheduled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the necessary workforce;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timely ramp production in a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to our cost structure until new production is ramped to adequate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sufficient customer demand to utilize our increased capacity.</w:t>
      </w:r>
    </w:p>
    <w:p>
      <w:pPr>
        <w:spacing w:after="0" w:line="2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have a material adverse effect on our business, results of operations, or financial condition.</w:t>
      </w:r>
    </w:p>
    <w:p>
      <w:pPr>
        <w:spacing w:after="0" w:line="242"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color w:val="auto"/>
        </w:rPr>
        <w:t>Our incentives from various governments are conditional upon achieving or maintaining certain performance or other obligations and are subject to reduction, termination, clawback, or could impose certain limitations on our business.</w:t>
      </w:r>
    </w:p>
    <w:p>
      <w:pPr>
        <w:spacing w:after="0" w:line="1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achieve or maintain certain levels of investment, capital spending, employment, technology deployment, or research and development activities to qualify for such incentives or could restrict us from undertaking certain activities. We may be unable to obtain significant future incentives to continue to fund a portion of our capital expenditures and operating costs, without which our cost structure would be adversely impacted. We also cannot guarantee that we will successfully achieve performance or other obligations required to qualify for these incentives or that the granting agencies will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427355</wp:posOffset>
            </wp:positionV>
            <wp:extent cx="65976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availability and quality of materials, supplies, and capital equipment, or dependency on third-party service providers.</w:t>
      </w:r>
    </w:p>
    <w:p>
      <w:pPr>
        <w:spacing w:after="0" w:line="16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2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21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and/or our suppliers and service providers could be affected by regional conflicts, civil unrest, labor disruptions, sanctions, tariffs, embargoes, or other trade restrictions,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2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Downturns in regional or worldwide economies may harm our business.</w:t>
      </w:r>
    </w:p>
    <w:p>
      <w:pPr>
        <w:spacing w:after="0" w:line="2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Downturns in regional or worldwide economies,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regional or worldwide economies could have a material adverse effect on our business, results of operations, or financial condition.</w:t>
      </w:r>
    </w:p>
    <w:p>
      <w:pPr>
        <w:spacing w:after="0" w:line="209" w:lineRule="exact"/>
        <w:rPr>
          <w:sz w:val="20"/>
          <w:szCs w:val="20"/>
          <w:color w:val="auto"/>
        </w:rPr>
      </w:pPr>
    </w:p>
    <w:p>
      <w:pPr>
        <w:ind w:right="720"/>
        <w:spacing w:after="0" w:line="301" w:lineRule="auto"/>
        <w:rPr>
          <w:sz w:val="20"/>
          <w:szCs w:val="20"/>
          <w:color w:val="auto"/>
        </w:rPr>
      </w:pPr>
      <w:r>
        <w:rPr>
          <w:rFonts w:ascii="Arial" w:cs="Arial" w:eastAsia="Arial" w:hAnsi="Arial"/>
          <w:sz w:val="18"/>
          <w:szCs w:val="18"/>
          <w:b w:val="1"/>
          <w:bCs w:val="1"/>
          <w:color w:val="auto"/>
        </w:rPr>
        <w:t>If our manufacturing process is disrupted by operational issues, natural disasters, or other events, our business, results of operations, or financial condition could be materially adversely affected.</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422910</wp:posOffset>
            </wp:positionV>
            <wp:extent cx="659765"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2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 is concentrated with a select number of customers.</w:t>
      </w:r>
    </w:p>
    <w:p>
      <w:pPr>
        <w:spacing w:after="0" w:line="2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209"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qualify, and manufacture our system solutions.</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Manufacturing system-level solutions, such as SSDs, managed NAND, and HBM,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18"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color w:val="auto"/>
        </w:rPr>
        <w:t>Products that fail to meet specifications, are defective, or are otherwise incompatible with end uses could impose significant costs on us.</w:t>
      </w:r>
    </w:p>
    <w:p>
      <w:pPr>
        <w:spacing w:after="0" w:line="16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28" w:lineRule="exact"/>
        <w:rPr>
          <w:sz w:val="20"/>
          <w:szCs w:val="20"/>
          <w:color w:val="auto"/>
        </w:rPr>
      </w:pPr>
    </w:p>
    <w:p>
      <w:pPr>
        <w:ind w:left="660" w:right="10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5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442595</wp:posOffset>
            </wp:positionV>
            <wp:extent cx="659765"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color w:val="auto"/>
        </w:rPr>
        <w:t>Breaches of our security systems or products, or those of our customers, suppliers, or business partners, could expose us to losses.</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employees, former employees, nation states, or other parties may gain access to our facilities or technology infrastructure and systems to steal trade secrets or other proprietary information, compromise confidential information, create system disruptions, or cause shutdowns.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open source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Additionally, some actors are using artificial intelligence technology to launch more automated, targeted and coordinated attacks.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attacks on our technology infrastructure and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34"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Our products are also targets for cyberattacks,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ind w:right="20"/>
        <w:spacing w:after="0" w:line="254" w:lineRule="auto"/>
        <w:rPr>
          <w:sz w:val="20"/>
          <w:szCs w:val="20"/>
          <w:color w:val="auto"/>
        </w:rPr>
      </w:pPr>
      <w:r>
        <w:rPr>
          <w:rFonts w:ascii="Arial" w:cs="Arial" w:eastAsia="Arial" w:hAnsi="Arial"/>
          <w:sz w:val="18"/>
          <w:szCs w:val="18"/>
          <w:color w:val="auto"/>
        </w:rPr>
        <w:t>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security risks could have a material adverse effect on our business, results of operations, or financial condition.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6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succession for key employees. Competition for experienced employees in our industry can be intense. Hiring and retaining qualified executives and other employees is critical to our business. If our total compensation programs, employment benefits, and workplace culture are not viewed as competitive and inclusive, our ability to attract, retain, and motivate employees could be compromised.</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times, we experience higher levels of attrition, increasing compensation costs, and more intense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21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Our inability to attract, retain, and motivate executives and other employees or effectively manage succession of key roles may inhibit our ability to maintain or expand our business operations.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environmental, social and governance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12"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color w:val="auto"/>
        </w:rPr>
        <w:t>Failure to meet environmental, social, and governance expectations or standards or achieve our related goals could adversely affect our business, results of operations, financial condition, or stock price.</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recent years, there has been an increased focus from stakeholders on environmental, social, and governance matters, including greenhouse gas emissions and climate-related risks, sustainability, renewable energy, water stewardship, waste management, diversity, equality and inclusion, responsible sourcing and supply chain, human rights, and social responsibility. Given our commitment to relevant social and environmental issues as it relates to our business,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impacts on our ability to manufacture and sell products and maintain our market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environmental, social, and governance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environmental, social, and governance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280670</wp:posOffset>
            </wp:positionV>
            <wp:extent cx="65976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Any failure, or perceived failure, to meet evolving stakeholder expectations and industry standards or achieve our environmental, social, and governance goals, commitments, and targets could have an adverse effect on our business, results of operations, financial condition, or stock price.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and/or alliances involve numerous risks.</w:t>
      </w:r>
    </w:p>
    <w:p>
      <w:pPr>
        <w:spacing w:after="0" w:line="26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0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right="9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underestimating the costs or overestimating the benefits, including product, revenue, cost and other synergies and growth opportunities that we expect to realize, and we may not achieve those benefits;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or technological advancements.</w:t>
      </w:r>
    </w:p>
    <w:p>
      <w:pPr>
        <w:spacing w:after="0" w:line="213"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alliances with, technology companies are inherently risky and may not be successful and could have a material adverse effect on our business, results of operations, or financial condition.</w:t>
      </w:r>
    </w:p>
    <w:p>
      <w:pPr>
        <w:spacing w:after="0" w:line="207"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color w:val="auto"/>
        </w:rPr>
        <w:t>We have incurred restructure charges and may incur restructure charges in future periods and may not realize expected savings or other benefits from restructure plans.</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2023, we initiated a restructure plan in response to current market conditions. See “Part II – Item 8. Financial Statements and Supplementary Data – Notes to Consolidated Financial Statements – Restructure and Asset Impairments” and “Part II – Item 7. Management’s Discussion and Analysis of Financial Condition and Results of Operations – Overview.” In addition, we may in the future enter into other restructure initiatives in order to, among other items, streamline our operations, respond to changes in business conditions, our markets, or product offerings, or to centralize certain key functions.</w:t>
      </w:r>
    </w:p>
    <w:p>
      <w:pPr>
        <w:spacing w:after="0" w:line="21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We may not realize expected savings or other benefits from our current or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33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63" w:lineRule="exact"/>
        <w:rPr>
          <w:sz w:val="20"/>
          <w:szCs w:val="20"/>
          <w:color w:val="auto"/>
        </w:rPr>
      </w:pPr>
    </w:p>
    <w:p>
      <w:pPr>
        <w:ind w:right="840"/>
        <w:spacing w:after="0" w:line="301" w:lineRule="auto"/>
        <w:rPr>
          <w:sz w:val="20"/>
          <w:szCs w:val="20"/>
          <w:color w:val="auto"/>
        </w:rPr>
      </w:pPr>
      <w:r>
        <w:rPr>
          <w:rFonts w:ascii="Arial" w:cs="Arial" w:eastAsia="Arial" w:hAnsi="Arial"/>
          <w:sz w:val="18"/>
          <w:szCs w:val="18"/>
          <w:b w:val="1"/>
          <w:bCs w:val="1"/>
          <w:color w:val="auto"/>
        </w:rPr>
        <w:t>We may be unable to protect our intellectual property or retain key employees who are knowledgeable of and develop our intellectual property.</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1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21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and claims could have a material adverse effect on our business, results of operations, or financial condition.</w:t>
      </w:r>
    </w:p>
    <w:p>
      <w:pPr>
        <w:spacing w:after="0" w:line="2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Such claims include, but are not limited to, allegations of anticompetitive conduct and infringement of intellectual property. See “Part II – Item 8. Financial Statements and Supplementary Data – Notes to Consolidated Financial Statements – Contingencies.”</w:t>
      </w:r>
    </w:p>
    <w:p>
      <w:pPr>
        <w:spacing w:after="0" w:line="2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211" w:lineRule="exact"/>
        <w:rPr>
          <w:sz w:val="20"/>
          <w:szCs w:val="20"/>
          <w:color w:val="auto"/>
        </w:rPr>
      </w:pPr>
    </w:p>
    <w:p>
      <w:pPr>
        <w:ind w:left="660" w:right="52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422910</wp:posOffset>
            </wp:positionV>
            <wp:extent cx="65976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1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21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II – Item 8. Financial Statements and Supplementary Data – Notes to Consolidated Financial Statements – Contingencies.”</w:t>
      </w:r>
    </w:p>
    <w:p>
      <w:pPr>
        <w:spacing w:after="0" w:line="21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63"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 For example, following the May 21,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Some revenue with customers headquartered outside of China has also been impacted. Further actions by the Chinese government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35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22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matters could have a material adverse effect on our business, results of operations, or financial condition.</w:t>
      </w:r>
    </w:p>
    <w:p>
      <w:pPr>
        <w:spacing w:after="0" w:line="26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1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Beginning in 2024, the Inflation Reduction Act of 2022 imposes a 15% book minimum tax on corporations with three-year average annual adjusted financial statement income exceeding $1 billion. The impact of this tax will depend on our facts in each year, anticipated guidance from the U.S. Department of the Treasury, and other developing global tax legislation. Further changes in the tax laws of foreign jurisdictions could arise as a result of the base erosion and profit shifting project undertaken by the Organisation for Economic Co-operation and Development (“OECD”). In December 2022, the European Union (“EU”) member states reached an agreement to implement the minimum tax component (“Pillar Two”) of the OECD’s tax reform initiative. The directive is expected to be enacted into the national law of the EU member states by December 31, 2023. If similar directives under Pillar Two are adopted by taxing authorities in other countries where we do business, such changes could have a material adverse effect on our business, results of operations, or financial condition.</w:t>
      </w:r>
    </w:p>
    <w:p>
      <w:pPr>
        <w:spacing w:after="0" w:line="21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manufacture of our products requires the use of facilities, equipment, chemicals,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421005</wp:posOffset>
            </wp:positionV>
            <wp:extent cx="659765"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considerations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supplies of chemicals or materials used to make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penalties, fines, civil or criminal sanctions, and other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4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63"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2024 for property, plant, and equipment, net of partner contributions, to be slightly above $7 billion.</w:t>
      </w: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37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realign our capital structure. As of August 31, 2023, we had debt with a carrying value of $13.33 billion and may incur additional debt, including under our $2.50 billion Revolving Credit Facility. Our debt obligations could adversely impact us as follows:</w:t>
      </w:r>
    </w:p>
    <w:p>
      <w:pPr>
        <w:spacing w:after="0" w:line="211" w:lineRule="exact"/>
        <w:rPr>
          <w:sz w:val="20"/>
          <w:szCs w:val="20"/>
          <w:color w:val="auto"/>
        </w:rPr>
      </w:pPr>
    </w:p>
    <w:p>
      <w:pPr>
        <w:ind w:left="660" w:right="42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our business activities;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 and</w:t>
      </w:r>
    </w:p>
    <w:p>
      <w:pPr>
        <w:spacing w:after="0" w:line="9"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certain of our debt instruments becoming immediately due and payable or being deemed to be in default if applicable cross default, cross-acceleration and/or similar provisions are triggered.</w:t>
      </w:r>
    </w:p>
    <w:p>
      <w:pPr>
        <w:spacing w:after="0" w:line="1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light of industry conditions, in 2023, we amended the financial covenants in our</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Revolving Credit Facility and term loan agreements. See “Part II – Item 7. Management’s Discussion and Analysis of Financial Condition and Results of Operations – Overview – Industry Conditions” and “Part II - Item 8. Financial Statements and Supplementary Data – Notes to</w:t>
      </w:r>
    </w:p>
    <w:p>
      <w:pPr>
        <w:spacing w:after="0" w:line="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Consolidated Financial Statements – Debt.”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23" w:lineRule="exact"/>
        <w:rPr>
          <w:sz w:val="20"/>
          <w:szCs w:val="20"/>
          <w:color w:val="auto"/>
        </w:rPr>
      </w:pPr>
    </w:p>
    <w:p>
      <w:pPr>
        <w:ind w:right="500"/>
        <w:spacing w:after="0" w:line="301" w:lineRule="auto"/>
        <w:rPr>
          <w:sz w:val="20"/>
          <w:szCs w:val="20"/>
          <w:color w:val="auto"/>
        </w:rPr>
      </w:pPr>
      <w:r>
        <w:rPr>
          <w:rFonts w:ascii="Arial" w:cs="Arial" w:eastAsia="Arial" w:hAnsi="Arial"/>
          <w:sz w:val="18"/>
          <w:szCs w:val="18"/>
          <w:b w:val="1"/>
          <w:bCs w:val="1"/>
          <w:color w:val="auto"/>
        </w:rPr>
        <w:t>Changes in foreign currency exchange rates could materially adversely affect our business, results of operations, or financial condition.</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Chinese yuan, euro, Indian rupee, Japanese yen, Malaysian ringgit, New Taiwan dollar, and Singapore dollar.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421640</wp:posOffset>
            </wp:positionV>
            <wp:extent cx="65976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has been and may continue to be volatile.</w:t>
      </w:r>
    </w:p>
    <w:p>
      <w:pPr>
        <w:spacing w:after="0" w:line="2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2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amount, frequency, and execution of our share repurchases pursuant to our share repurchase authorization may fluctuate based on our operating results, cash flows, and priorities for the use of cash for other purposes. Our expenditures for share repurchases were $425 million in 2023, $ 2.43 billion in 2022, $1.20 billion in 2021.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1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we will continue to declare cash dividends in any particular amounts or at all.</w:t>
      </w:r>
    </w:p>
    <w:p>
      <w:pPr>
        <w:spacing w:after="0" w:line="26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39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UNRESOLVED STAFF COMMENTS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PROPERTIES</w:t>
      </w:r>
    </w:p>
    <w:p>
      <w:pPr>
        <w:spacing w:after="0" w:line="2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corporate headquarters are located in Boise, Idaho. In addition to our principal facilities described below, we own or lease numerous other facilities in locations throughout the world used for design, R&amp;D, and sales and marketing activities. The following is a summary of our principal facilities as of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5863590" cy="3086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359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95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Principal Operations</w:t>
            </w:r>
          </w:p>
        </w:tc>
      </w:tr>
      <w:tr>
        <w:trPr>
          <w:trHeight w:val="34"/>
        </w:trPr>
        <w:tc>
          <w:tcPr>
            <w:tcW w:w="168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Taiwan</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Singapore</w:t>
            </w:r>
          </w:p>
        </w:tc>
        <w:tc>
          <w:tcPr>
            <w:tcW w:w="9560" w:type="dxa"/>
            <w:vAlign w:val="bottom"/>
          </w:tcPr>
          <w:p>
            <w:pPr>
              <w:ind w:left="58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R&amp;D, wafer fabrication</w:t>
            </w:r>
          </w:p>
        </w:tc>
      </w:tr>
      <w:tr>
        <w:trPr>
          <w:trHeight w:val="229"/>
        </w:trPr>
        <w:tc>
          <w:tcPr>
            <w:tcW w:w="16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9560" w:type="dxa"/>
            <w:vAlign w:val="bottom"/>
          </w:tcPr>
          <w:p>
            <w:pPr>
              <w:ind w:left="580"/>
              <w:spacing w:after="0"/>
              <w:rPr>
                <w:sz w:val="20"/>
                <w:szCs w:val="20"/>
                <w:color w:val="auto"/>
              </w:rPr>
            </w:pPr>
            <w:r>
              <w:rPr>
                <w:rFonts w:ascii="Arial" w:cs="Arial" w:eastAsia="Arial" w:hAnsi="Arial"/>
                <w:sz w:val="18"/>
                <w:szCs w:val="18"/>
                <w:color w:val="auto"/>
              </w:rPr>
              <w:t>R&amp;D, wafer fabrication, reticle manufacturing</w:t>
            </w: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Malaysia</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China</w:t>
            </w:r>
          </w:p>
        </w:tc>
        <w:tc>
          <w:tcPr>
            <w:tcW w:w="9560" w:type="dxa"/>
            <w:vAlign w:val="bottom"/>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bl>
    <w:p>
      <w:pPr>
        <w:spacing w:after="0" w:line="325"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We believe that our existing facilities are suitable and adequate for our present purposes. We generally utilize all of our manufacturing capacity; however, a portion of our facilities were underutilized for 2023 due to industry conditions. See “Part II – Item 7. Management’s Discussion and Analysis of Financial Condition and Results of Operations – Overview – Industry Conditions” for information regarding our current underutilization.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266065</wp:posOffset>
            </wp:positionV>
            <wp:extent cx="65976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To support expected memory demand in the second half of the decade, we will need to add new DRAM wafer capacity. Following the enactment of the CHIPS Act in 2022,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began in October 2023 with DRAM production targeted to start in calendar 2025 and first output in early calendar 2026. In addition, in October 2022, we announced plans to build a second leading-edge DRAM manufacturing fab in Clay, New York. We expect construction to begin in calendar 2024, with production anticipated to ramp in the latter half of the decade. We expect these new fabs to fulfill our requirements for additional wafer capacity starting in the second half of the decade and beyond, in line with industry demand trends. On August 21, 2023 we announced that two of our subsidiaries had each submitted full applications on August 18, 2023 for federal funding in the form of grants under the CHIPS Act for both of these projects.</w:t>
      </w:r>
    </w:p>
    <w:p>
      <w:pPr>
        <w:spacing w:after="0" w:line="223"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We are also advancing our global back-end assembly and test network in order to support our product portfolio and extend our ability to deliver on global customer demand in the future. We intend to make investments at our backend facility in Xi’an, China, including a new building to provide space to add more product capability, to allow us over time to serve more of the demand from our customers in China from the Xi’an facility. We also intend to build a new assembly and test facility in Gujarat, India to address demand in the latter half of this decade.</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do not identify or allocate assets by operating segment, other than goodwill. For a breakout of the carrying value of our long-lived assets by geographic area see “Part II – Item 8. Financial Statements and Supplementary Data – Notes to Consolidated Financial Statements – Geographic Information.”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LEGAL PROCEEDINGS</w:t>
      </w:r>
    </w:p>
    <w:p>
      <w:pPr>
        <w:spacing w:after="0" w:line="27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For a discussion of legal proceedings, see “Part II – Item 8. Financial Statements and Supplementary Data – Notes to Consolidated Financial Statements – Contingencies” and “Item 1A. Risk Factors” of this Annual Report on Form 10-K.</w:t>
      </w:r>
    </w:p>
    <w:p>
      <w:pPr>
        <w:spacing w:after="0" w:line="20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57" w:lineRule="exact"/>
        <w:rPr>
          <w:sz w:val="20"/>
          <w:szCs w:val="20"/>
          <w:color w:val="auto"/>
        </w:rPr>
      </w:pPr>
    </w:p>
    <w:p>
      <w:pPr>
        <w:ind w:right="1120"/>
        <w:spacing w:after="0" w:line="314"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9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Market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trading symbol “MU.”</w:t>
      </w:r>
    </w:p>
    <w:p>
      <w:pPr>
        <w:spacing w:after="0" w:line="23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Holders of Record</w:t>
      </w:r>
    </w:p>
    <w:p>
      <w:pPr>
        <w:spacing w:after="0" w:line="2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September 29, 2023, there were approximately 1,719 shareholders of record of our common stock. A substantially greater number of holders of our common stock are "street name" or beneficial holders, whose shares are held of record by banks, brokers, and other financial institutions.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41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Dividends</w:t>
      </w:r>
    </w:p>
    <w:p>
      <w:pPr>
        <w:spacing w:after="0" w:line="27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On September 27, 2023, our Board of Directors declared a quarterly dividend of $0.115 per share, payable in cash on October 25, 2023, to shareholders of record as of the close of business on October 10, 2023.</w:t>
      </w:r>
    </w:p>
    <w:p>
      <w:pPr>
        <w:spacing w:after="0" w:line="20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currently expect quarterly dividends to continue in future periods and aim to grow our dividend payments over time. However, the declaration and payment of any future cash dividends are at the discretion and subject to the approval of our Board of Directors. Our Board of Directors' decisions regarding the amount and payment of dividends will depend on many factors, such as our financial condition, results of operations, capital requirements, business conditions, debt service obligations, contractual restrictions, industry practice, legal requirements, regulatory constraints, and other factors that our Board of Directors may deem relevant. We cannot guarantee that we will continue to pay a dividend in any future period.</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Compensation Plan Information</w:t>
      </w:r>
    </w:p>
    <w:p>
      <w:pPr>
        <w:spacing w:after="0" w:line="27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information required by this item is incorporated by reference from the information to be included in our 2023 Proxy Statement under the section entitled “Equity Compensation Plan Information,” which will be filed with the SEC within 120 days after August 31, 2023.</w:t>
      </w:r>
    </w:p>
    <w:p>
      <w:pPr>
        <w:spacing w:after="0" w:line="18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Issuer Purchase of Equity Securities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Repurchase Authorization</w:t>
      </w:r>
    </w:p>
    <w:p>
      <w:pPr>
        <w:spacing w:after="0" w:line="25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During the quarter ended August 31, 2023, we did not repurchase any common stock under the authorization and as of August 31, 2023, $3.11 billion of the authorization remained available for the repurchase of our common stock.</w:t>
      </w:r>
    </w:p>
    <w:p>
      <w:pPr>
        <w:spacing w:after="0" w:line="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419735</wp:posOffset>
            </wp:positionV>
            <wp:extent cx="659765"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Performance Graph</w:t>
      </w:r>
    </w:p>
    <w:p>
      <w:pPr>
        <w:spacing w:after="0" w:line="2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following graph illustrates a five-year comparison of cumulative total returns for our common stock, the S&amp;P 500 Composite Index, and the Philadelphia Semiconductor Index (SOX) from August 31, 2018, through August 31, 2023. We operate on a 52 or 53-week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09285" cy="26231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928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Note: Management cautions that the stock price performance information shown in the graph above may not be indicative of current stock price levels or future stock price performance.</w:t>
      </w:r>
    </w:p>
    <w:p>
      <w:pPr>
        <w:spacing w:after="0" w:line="195"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The performance graph above assumes $100 was invested on August 31, 2018 in common stock of Micron Technology, Inc., the S&amp;P 500 Composite Index, and the Philadelphia Semiconductor Index (SOX). Any dividends paid during the period presented were assumed to be reinvested. The performance was plotted using the following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r>
      <w:tr>
        <w:trPr>
          <w:trHeight w:val="34"/>
        </w:trPr>
        <w:tc>
          <w:tcPr>
            <w:tcW w:w="3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Inc.</w:t>
            </w:r>
          </w:p>
        </w:tc>
        <w:tc>
          <w:tcPr>
            <w:tcW w:w="8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S&amp;P 500 Composite Index</w:t>
            </w:r>
          </w:p>
        </w:tc>
        <w:tc>
          <w:tcPr>
            <w:tcW w:w="8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Philadelphia Semiconductor Index (SOX)</w:t>
            </w:r>
          </w:p>
        </w:tc>
        <w:tc>
          <w:tcPr>
            <w:tcW w:w="8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43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700"/>
        <w:spacing w:after="0" w:line="303"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for the year ended</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August 31, 2023. All period references are to our fiscal periods unless otherwise indicated. Our fiscal year is the 52 or 53-week period ending on the Thursday closest to August 31. Fiscal 2023, 2022, and 2021 each contained 52 weeks. All tabular dollar amounts are in millions, except per share amounts.</w:t>
      </w:r>
    </w:p>
    <w:p>
      <w:pPr>
        <w:spacing w:after="0" w:line="1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For an overview of our business, see “Part I – Item 1. Business – Overview.”</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Conditions</w:t>
      </w:r>
    </w:p>
    <w:p>
      <w:pPr>
        <w:spacing w:after="0" w:line="2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memory and storage industry environment deteriorated sharply in the fourth quarter of 2022 and throughout 2023 due to weak demand in many end markets combined with global and macroeconomic challenges and lower demand resulting from customer actions to reduce inventory levels. This led to significant reductions in average selling prices for both DRAM and NAND and bit shipments for DRAM, resulting in declines in revenue across all our business segments and nearly all our end markets. Due to the challenging pricing environment, we recognized charges of $1.83 billion in 2023 to write down inventories to their estimated net realizable value. Ongoing demand growth, customer inventory normalization, and industry-wide supply discipline have set the stage for increased revenue, and improved pricing and profitability throughout fiscal 2024. As a result, pricing trends have started to improve and there were no write downs of inventories to net realizable value in the fourth quarter of 2023. However, further write-downs of inventories in future quarters could occur if pricing expectations deteriorate. Given the challenging pricing environment, elevated levels of inventories for suppliers and customers, and significant supply-demand mismatch, we expect industry profitability will remain challenged into 2024.</w:t>
      </w:r>
    </w:p>
    <w:p>
      <w:pPr>
        <w:spacing w:after="0" w:line="2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result of these conditions and increases in our inventory levels, we have reduced capital expenditures and also significantly reduced wafer starts in 2023 for both DRAM and NAND. We expect wafer starts will remain significantly below peak capacity levels for the foreseeable future as we remain focused on managing down our inventories and controlling our supply. We recognized period costs from fabrication facility underutilization of $382 million in 2023 due to wafer start reductions. We estimate that we will recognize approximately $200 million of period costs from underutilization due to wafer start reductions in the first quarter of 2024. We have also taken significant steps to reduce our costs and operating expenses. These actions include the 2023 Restructure Plan discussed below and additional reductions in external spending, including implementing productivity programs across the business, suspension of our 2023 bonus company-wide, reductions in select product programs, lower discretionary spending, and cuts to 2023 executive salaries across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China Cyberspace Administration Decision</w:t>
      </w:r>
    </w:p>
    <w:p>
      <w:pPr>
        <w:spacing w:after="0" w:line="2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March 31, 2023, China’s Cyberspace Administration (the “CAC”) notified us that it was conducting a cybersecurity review of our products sold in China. On May 21, 2023, we received notice that the CAC had concluded its review and decided that our products presented a cybersecurity risk. As such, the CAC determined that critical information infrastructure operators in China may not purchase Micron products. There is no list of the companies that have been designated as critical information infrastructure operators published by the Chinese government or otherwise available to us. Therefore, the full impact of the CAC decision on our business remains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421640</wp:posOffset>
            </wp:positionV>
            <wp:extent cx="65976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CAC decision has impacted our business, particularly in the domestic data center and networking markets in China. In addition, although demand for DRAM and NAND is improving as customer inventory levels continue to normalize and secular growth drivers remain intact, the CAC decision continues to impact our revenue opportunity in China. This significant headwind is impacting our outlook and slowing our recovery. We are working to mitigate this impact over time and expect quarter-to-quarter revenue variability. Our revenue with companies headquartered in mainland China and Hong Kong, including direct sales as well as indirect sales through distributors, is approximately a quarter of our worldwide revenue and remains our principal exposure to the CAC decision. Although the impact of the CAC decision remains uncertain, we believe that approximately half of that China-headquartered customer revenue, which equates to a low-double-digit percentage of our worldwide revenue, is at risk of being impacted. Despite the near-term impact to our demand as a result of the CAC decision, our long-term goal is to retain our worldwide DRAM and NAND market share.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Restructure Plan</w:t>
      </w:r>
    </w:p>
    <w:p>
      <w:pPr>
        <w:spacing w:after="0" w:line="25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initiated a restructure plan in response to challenging industry conditions (the “2023 Restructure Plan”). Under the plan, we expect our headcount reduction to approach 15% by the end of calendar 2023, through a combination of voluntary attrition and personnel reductions. In connection with the plan, we incurred restructure charges of $171 million in 2023 primarily related to employee severance costs. The 2023 Restructure Plan was substantially completed in 2023. As a result of the 2023 Restructure Plan, we expect to realize cost savings of approximately $130 million per quarter (approximately 60% in cost of goods sold, 30% in R&amp;D, and 10% in SG&amp;A) subsequent to 2023. Further information on restructure activities can be found in “Item 8. Financial Statements and Supplementary Data – Notes to Consolidated Financial Statements – Restructure and Asset Impairments.”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Lehi, Utah Fab and 3D XPoint</w:t>
      </w:r>
    </w:p>
    <w:p>
      <w:pPr>
        <w:spacing w:after="0" w:line="25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for the sale of our facility located in Lehi, Utah that was dedicated to 3D XPoint production. As a result, we classified the property, plant, and equipment as held for sale in 2021, ceased depreciating the assets, and recognized a $435 million restructure and asset impairment charge and a $104 million tax benefit.</w:t>
      </w:r>
    </w:p>
    <w:p>
      <w:pPr>
        <w:spacing w:after="0" w:line="219"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We closed the sale of our Lehi facility to TI in 2022 for $893 million and disposed of $ 918 million of net assets, consisting primarily of property, plant, and equipment, resulting in a $23 million loss, net of selling expenses and other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45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15,540</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30,758</w:t>
            </w:r>
          </w:p>
        </w:tc>
        <w:tc>
          <w:tcPr>
            <w:tcW w:w="28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27,705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58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16,956</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109 %</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w:t>
            </w:r>
          </w:p>
        </w:tc>
        <w:tc>
          <w:tcPr>
            <w:tcW w:w="280" w:type="dxa"/>
            <w:vAlign w:val="bottom"/>
            <w:tcBorders>
              <w:bottom w:val="single" w:sz="8" w:color="D1D2D4"/>
            </w:tcBorders>
          </w:tcPr>
          <w:p>
            <w:pPr>
              <w:spacing w:after="0"/>
              <w:rPr>
                <w:sz w:val="19"/>
                <w:szCs w:val="19"/>
                <w:color w:val="auto"/>
              </w:rPr>
            </w:pP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55 %</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62 %</w:t>
            </w:r>
          </w:p>
        </w:tc>
      </w:tr>
      <w:tr>
        <w:trPr>
          <w:trHeight w:val="223"/>
        </w:trPr>
        <w:tc>
          <w:tcPr>
            <w:tcW w:w="58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(1,416)</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13,898</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10,423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r>
      <w:tr>
        <w:trPr>
          <w:trHeight w:val="257"/>
        </w:trPr>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3,114</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3,116</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2,663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20" w:type="dxa"/>
            <w:vAlign w:val="bottom"/>
            <w:tcBorders>
              <w:top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(5,745)</w:t>
            </w:r>
          </w:p>
        </w:tc>
        <w:tc>
          <w:tcPr>
            <w:tcW w:w="30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9,702</w:t>
            </w:r>
          </w:p>
        </w:tc>
        <w:tc>
          <w:tcPr>
            <w:tcW w:w="280" w:type="dxa"/>
            <w:vAlign w:val="bottom"/>
            <w:tcBorders>
              <w:top w:val="single" w:sz="8" w:color="D1D2D4"/>
            </w:tcBorders>
            <w:shd w:val="clear" w:color="auto" w:fill="D1D2D4"/>
          </w:tcPr>
          <w:p>
            <w:pPr>
              <w:spacing w:after="0"/>
              <w:rPr>
                <w:sz w:val="19"/>
                <w:szCs w:val="19"/>
                <w:color w:val="auto"/>
              </w:rPr>
            </w:pPr>
          </w:p>
        </w:tc>
        <w:tc>
          <w:tcPr>
            <w:tcW w:w="64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32 %</w:t>
            </w:r>
          </w:p>
        </w:tc>
        <w:tc>
          <w:tcPr>
            <w:tcW w:w="18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6,283</w:t>
            </w:r>
          </w:p>
        </w:tc>
        <w:tc>
          <w:tcPr>
            <w:tcW w:w="30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23 %</w:t>
            </w:r>
          </w:p>
        </w:tc>
      </w:tr>
      <w:tr>
        <w:trPr>
          <w:trHeight w:val="257"/>
        </w:trPr>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8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D1D2D4"/>
            </w:tcBorders>
          </w:tcPr>
          <w:p>
            <w:pPr>
              <w:spacing w:after="0"/>
              <w:rPr>
                <w:sz w:val="19"/>
                <w:szCs w:val="19"/>
                <w:color w:val="auto"/>
              </w:rPr>
            </w:pP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820" w:type="dxa"/>
            <w:vAlign w:val="bottom"/>
            <w:shd w:val="clear" w:color="auto" w:fill="D1D2D4"/>
          </w:tcPr>
          <w:p>
            <w:pPr>
              <w:ind w:left="40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(5,833)</w:t>
            </w:r>
          </w:p>
        </w:tc>
        <w:tc>
          <w:tcPr>
            <w:tcW w:w="300" w:type="dxa"/>
            <w:vAlign w:val="bottom"/>
            <w:shd w:val="clear" w:color="auto" w:fill="D1D2D4"/>
          </w:tcPr>
          <w:p>
            <w:pPr>
              <w:spacing w:after="0"/>
              <w:rPr>
                <w:sz w:val="21"/>
                <w:szCs w:val="21"/>
                <w:color w:val="auto"/>
              </w:rPr>
            </w:pPr>
          </w:p>
        </w:tc>
        <w:tc>
          <w:tcPr>
            <w:tcW w:w="82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(38)%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8,687</w:t>
            </w:r>
          </w:p>
        </w:tc>
        <w:tc>
          <w:tcPr>
            <w:tcW w:w="280" w:type="dxa"/>
            <w:vAlign w:val="bottom"/>
            <w:shd w:val="clear" w:color="auto" w:fill="D1D2D4"/>
          </w:tcPr>
          <w:p>
            <w:pPr>
              <w:spacing w:after="0"/>
              <w:rPr>
                <w:sz w:val="21"/>
                <w:szCs w:val="21"/>
                <w:color w:val="auto"/>
              </w:rPr>
            </w:pPr>
          </w:p>
        </w:tc>
        <w:tc>
          <w:tcPr>
            <w:tcW w:w="82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28 %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300" w:type="dxa"/>
            <w:vAlign w:val="bottom"/>
            <w:shd w:val="clear" w:color="auto" w:fill="D1D2D4"/>
          </w:tcPr>
          <w:p>
            <w:pPr>
              <w:spacing w:after="0"/>
              <w:rPr>
                <w:sz w:val="21"/>
                <w:szCs w:val="21"/>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582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1D2D4"/>
            </w:tcBorders>
          </w:tcPr>
          <w:p>
            <w:pPr>
              <w:spacing w:after="0" w:line="20" w:lineRule="exact"/>
              <w:rPr>
                <w:sz w:val="1"/>
                <w:szCs w:val="1"/>
                <w:color w:val="auto"/>
              </w:rPr>
            </w:pPr>
          </w:p>
        </w:tc>
        <w:tc>
          <w:tcPr>
            <w:tcW w:w="64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for 2023 was adversely impacted by the factors described in the section titled “Industry Conditions” above.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2023 decreased 49% as compared to 2022 primarily due to decreases in sales of both DRAM and NAND products.</w:t>
      </w:r>
    </w:p>
    <w:p>
      <w:pPr>
        <w:spacing w:after="0" w:line="240" w:lineRule="exact"/>
        <w:rPr>
          <w:sz w:val="20"/>
          <w:szCs w:val="20"/>
          <w:color w:val="auto"/>
        </w:rPr>
      </w:pPr>
    </w:p>
    <w:p>
      <w:pPr>
        <w:ind w:left="660" w:right="160" w:hanging="328"/>
        <w:spacing w:after="0" w:line="25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DRAM products decreased 51% primarily due to a high-40s percent range decline in average selling prices and decreases in bit shipments in the high-single-digit percent range.</w:t>
      </w:r>
    </w:p>
    <w:p>
      <w:pPr>
        <w:ind w:left="660" w:right="8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NAND products decreased 46% primarily due to a low-50s percent range decline in average selling prices partially offset by increases in bit shipments in the high-single-digit percent range.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2022 increased 11% as compared to 2021 primarily due to increases in sales of both DRAM and NAND products.</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color w:val="auto"/>
        </w:rPr>
        <w:t>Sales of DRAM products increased 12% primarily due to increases in bit shipments of slightly over 10%.</w:t>
      </w:r>
    </w:p>
    <w:p>
      <w:pPr>
        <w:spacing w:after="0" w:line="21" w:lineRule="exact"/>
        <w:rPr>
          <w:rFonts w:ascii="Arial" w:cs="Arial" w:eastAsia="Arial" w:hAnsi="Arial"/>
          <w:sz w:val="18"/>
          <w:szCs w:val="18"/>
          <w:b w:val="1"/>
          <w:bCs w:val="1"/>
          <w:i w:val="1"/>
          <w:iCs w:val="1"/>
          <w:color w:val="auto"/>
        </w:rPr>
      </w:pPr>
    </w:p>
    <w:p>
      <w:pPr>
        <w:ind w:left="660" w:right="2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NAND products increased 11% primarily due to a high-single-digit percent increase in bit shipments and a low-single-digit percent increase in average selling prices.</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gross margin has been adversely impacted by the factors described in the section titled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Conditions” above. Our consolidated gross margin percentage decreased to negative 9% for 2023 from 45% for 2022 primarily due to declines in average selling prices for both DRAM and NAND and charges to write down inventories (as detailed in “Inventory NRV write-downs” below), and $382 million of facility underutilization costs in 2023.</w:t>
      </w:r>
    </w:p>
    <w:p>
      <w:pPr>
        <w:spacing w:after="0" w:line="20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u w:val="single" w:color="auto"/>
          <w:color w:val="auto"/>
        </w:rPr>
        <w:t>Inventory NRV write-downs:</w:t>
      </w:r>
      <w:r>
        <w:rPr>
          <w:rFonts w:ascii="Arial" w:cs="Arial" w:eastAsia="Arial" w:hAnsi="Arial"/>
          <w:sz w:val="18"/>
          <w:szCs w:val="18"/>
          <w:i w:val="1"/>
          <w:iCs w:val="1"/>
          <w:color w:val="auto"/>
        </w:rPr>
        <w:t xml:space="preserve"> </w:t>
      </w:r>
      <w:r>
        <w:rPr>
          <w:rFonts w:ascii="Arial" w:cs="Arial" w:eastAsia="Arial" w:hAnsi="Arial"/>
          <w:sz w:val="18"/>
          <w:szCs w:val="18"/>
          <w:color w:val="auto"/>
        </w:rPr>
        <w:t>Our consolidated gross margin was impacted by charges to write down inventories to their estimated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as a result of declines in average selling prices for both DRAM and NAND. As charges to write down inventories are recorded in advance of when inventories are sold, costs of goods sold in subsequent periods are lower than they otherwise would be.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419735</wp:posOffset>
            </wp:positionV>
            <wp:extent cx="65976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to write down inventory to NRV</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(1,831)</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ind w:left="8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DBDBDB"/>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Lower costs from sale of inventory written down in prior periods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r>
      <w:tr>
        <w:trPr>
          <w:trHeight w:val="248"/>
        </w:trPr>
        <w:tc>
          <w:tcPr>
            <w:tcW w:w="69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(987)</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8"/>
                <w:szCs w:val="18"/>
                <w:color w:val="auto"/>
              </w:rPr>
              <w:t>—</w:t>
            </w:r>
          </w:p>
        </w:tc>
      </w:tr>
      <w:tr>
        <w:trPr>
          <w:trHeight w:val="20"/>
        </w:trPr>
        <w:tc>
          <w:tcPr>
            <w:tcW w:w="69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consolidated gross margin percentage increased to 45% for 2022 from 38% for 2021, as a result of improvements in margins for both DRAM and NAND products, primarily due to reductions in manufacturing costs. Manufacturing cost reductions were driven by strong execution in ramping our 1α DRAM and 176-layer NAND technology nodes. For 2021, our gross margins included the impact of underutilization costs at MTU of $ 335 million. See “Item 8. Financial Statements and Supplementary Data – Notes to Consolidated Financial Statements – Lehi, Utah Fab and 3D XPoint.” Also, effective as of the beginning of the second quarter of 2021, we changed our method of inventory costing from average cost to first-in, first-out (“FIFO”). Concurrently, as of the beginning of the second quarter of 2021, we modified our inventory cost absorption processes used to estimate inventory values, which affects the timing of when costs are recognized. These changes resulted in a one-time increase to cost of goods sold of approximately $293 million in 2021.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5,710</w:t>
            </w:r>
          </w:p>
        </w:tc>
        <w:tc>
          <w:tcPr>
            <w:tcW w:w="3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37 %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13,693</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45 %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12,280</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MBU</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3,630</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7,260</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3,637</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5,235</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4,209</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SBU</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15,540</w:t>
            </w:r>
          </w:p>
        </w:tc>
        <w:tc>
          <w:tcPr>
            <w:tcW w:w="3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30,758</w:t>
            </w:r>
          </w:p>
        </w:tc>
        <w:tc>
          <w:tcPr>
            <w:tcW w:w="3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27,705</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2023 as compared to 2022 were as follows:</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CNBU revenue decreased 58% primarily due to declines in average selling prices for DRAM and decreases in bit shipments.</w:t>
      </w:r>
    </w:p>
    <w:p>
      <w:pPr>
        <w:spacing w:after="0" w:line="2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MBU revenue decreased 50% primarily due to declines in average selling prices for both DRAM and NAND and decreases in NAND bit shipments.</w:t>
      </w:r>
    </w:p>
    <w:p>
      <w:pPr>
        <w:ind w:left="660" w:right="44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EBU revenue decreased 31% primarily due to declines in average selling prices for both DRAM and NAND and decreases in bit shipments.</w:t>
      </w:r>
    </w:p>
    <w:p>
      <w:pPr>
        <w:ind w:left="660" w:right="7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SBU revenue decreased 44% primarily due to declines in average selling prices for NAND partially offset by increases in bit shipments.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2022 as compared to 2021 were as follows:</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CNBU revenue increased 12% primarily due to increases in bit shipments to cloud, enterprise, and networking markets.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MBU revenue was relatively unchanged as both DRAM and NAND revenue was relatively flat.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EBU revenue increased 24% primarily due to strong demand growth in industrial and automotive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SBU revenue increased 15% primarily due to higher average selling prices and increases in shipments of SSD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47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(Loss)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(585)</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(10)%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5,844</w:t>
            </w:r>
          </w:p>
        </w:tc>
        <w:tc>
          <w:tcPr>
            <w:tcW w:w="36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43 %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4,295</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MBU</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(1,750)</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2,160</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382</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1,752</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1,006</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SBU</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80 %</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71 %</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r>
      <w:tr>
        <w:trPr>
          <w:trHeight w:val="223"/>
        </w:trPr>
        <w:tc>
          <w:tcPr>
            <w:tcW w:w="58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(3,832)</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10,281</w:t>
            </w:r>
          </w:p>
        </w:tc>
        <w:tc>
          <w:tcPr>
            <w:tcW w:w="3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7,667</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income or loss for each business unit for 2023 as compared to 2022 were as follows:</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CNBU operating income (loss) deteriorated primarily due to declines in average selling prices and lower bit shipments.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MBU operating income (loss) deteriorated primarily due to declines in average selling prices and lower NAND bit shipments.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declines in average selling prices and lower bit shipments.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SBU operating income (loss) deteriorated primarily due to declines in average selling prices.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income or loss for each business unit for 2022 as compared to 2021 were as follows:</w:t>
      </w:r>
    </w:p>
    <w:p>
      <w:pPr>
        <w:spacing w:after="0" w:line="2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CNBU operating income increased primarily due to higher bit shipments and manufacturing cost reductions.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MBU operating income was relatively unchanged as slight increases in gross margins were offset by higher operating expenses.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EBU operating income increased primarily due to manufacturing cost reductions from an increasing mix of leading-edge bits, higher bit shipments, and improved DRAM pricing in industrial and consumer markets, partially offset by higher R&amp;D expenses.</w:t>
      </w:r>
    </w:p>
    <w:p>
      <w:pPr>
        <w:ind w:left="660" w:right="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SBU operating income increased primarily due to improved product mix driving increases in average selling prices, increases in SSD shipments, and manufacturing cost reductions, partially offset by higher R&amp;D expenses.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R&amp;D expenses for 2023 were relatively unchanged as compared to 2022 as decreases in employee compensation were offset by higher depreciation expense. R&amp;D expenses for 2022 increased 17% as compared to 2021 primarily due to higher employee compensation from increases in headcount, higher volumes of development and prequalification wafers, and higher depreciation expense.</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expenses for 2023 were 14% lower as compared to 2022 primarily due to decreases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compensation, legal fees, advertising, and professional services. SG&amp;A expenses for 2022 were 19% higher as compared to 2021 primarily due to increases in employee compensation, professional services, and legal fees.</w:t>
      </w:r>
    </w:p>
    <w:p>
      <w:pPr>
        <w:spacing w:after="0" w:line="19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 xml:space="preserve">Restructure and Asset Impairments: </w:t>
      </w:r>
      <w:r>
        <w:rPr>
          <w:rFonts w:ascii="Arial" w:cs="Arial" w:eastAsia="Arial" w:hAnsi="Arial"/>
          <w:sz w:val="18"/>
          <w:szCs w:val="18"/>
          <w:color w:val="auto"/>
        </w:rPr>
        <w:t>For a discussion of restructure and asset impairments, see the Overview sections above titled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Restructure Plan” and “Lehi, Utah Fab and 3D XPoint.”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403225</wp:posOffset>
            </wp:positionV>
            <wp:extent cx="659765"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Interest Income (Expense),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(expense) improved for 2023 as compared to 2022 primarily as a result of increases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due to higher interest rates on our cash and investments, partially offset by increases in interest expense due to higher debt balances and interest rates. Interest income (expense) improved for 2022 as compared to 2021 primarily due to an increase of $59 million in interest income as a result of increases in interest rates on our cash and investments.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3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income tax (provision) benefit consisted of the following:</w:t>
            </w: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5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34"/>
        </w:trPr>
        <w:tc>
          <w:tcPr>
            <w:tcW w:w="6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5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(5,658)</w:t>
            </w:r>
          </w:p>
        </w:tc>
        <w:tc>
          <w:tcPr>
            <w:tcW w:w="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9,571</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6,218</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5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(177)</w:t>
            </w:r>
          </w:p>
        </w:tc>
        <w:tc>
          <w:tcPr>
            <w:tcW w:w="36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(888)</w:t>
            </w:r>
          </w:p>
        </w:tc>
        <w:tc>
          <w:tcPr>
            <w:tcW w:w="3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(394)</w:t>
            </w:r>
          </w:p>
        </w:tc>
      </w:tr>
      <w:tr>
        <w:trPr>
          <w:trHeight w:val="230"/>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5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9.3 %</w:t>
            </w:r>
          </w:p>
        </w:tc>
        <w:tc>
          <w:tcPr>
            <w:tcW w:w="3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6.3 %</w:t>
            </w:r>
          </w:p>
        </w:tc>
      </w:tr>
    </w:tbl>
    <w:p>
      <w:pPr>
        <w:spacing w:after="0" w:line="32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change in our effective tax rate for 2023 as compared to 2022 was primarily due to a pre-tax loss in 2023. Despite a consolidated pre-tax loss on a worldwide basis, we have taxes payable in certain geographies due to minimum taxable income reportable in those geographies. Our effective tax rate increased in 2022 as compared to 2021 primarily due to the geographic mix of our earnings and a valuation allowance recorded against our Idaho deferred tax assets of $189 million, partially offset by tax impacts of changes in foreign currency exchange rates.</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a loss before taxes and geographical mix of income, the benefit from tax incentive arrangements was not material for 2023. The effect of tax incentive arrangements reduced our tax provision by $1.12 billion (benefiting our diluted earnings per share by $1.00) for 2022 and by $758 million ($0.66 per diluted share) for 2021.</w:t>
      </w:r>
    </w:p>
    <w:p>
      <w:pPr>
        <w:spacing w:after="0" w:line="21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Beginning in 2024, the Inflation Reduction Act of 2022 imposes a 15% book minimum tax on corporations with three-year average annual adjusted financial statement income exceeding $1 billion. The impact of this tax will depend on our facts in each year, anticipated guidance from the U.S. Department of the Treasury, and other developing global tax legislation.</w:t>
      </w:r>
    </w:p>
    <w:p>
      <w:pPr>
        <w:spacing w:after="0" w:line="211"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20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information can be found in the following notes contained in “Item 8. Financial Statements and Supplementary Data –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Consolidated Financial Statements”:</w:t>
      </w:r>
    </w:p>
    <w:p>
      <w:pPr>
        <w:spacing w:after="0" w:line="19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Lehi, Utah Fab and 3D XPoint</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Goodwill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Equity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Operating (Income) Expense,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Non-Operating Income (Expense),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49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7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$10.44 billion as of August 31, 2023, and $10.98 billion as of September 1, 2022.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August 31, 2023, $2.45 billion of our cash and marketable investments was held by our foreign subsidiaries.</w:t>
      </w:r>
    </w:p>
    <w:p>
      <w:pPr>
        <w:spacing w:after="0" w:line="22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continuously evaluate alternatives for efficiently funding our capital expenditures and ongoing operations. We expect, from time to time, to engage in a variety of financing transactions for such purposes, including the issuance of securities. As of August 31, 2023, $2.50 billion was available to draw under our Revolving Credit Facility. On March 27, 2023, we entered into amendments to the Multi-Tranche Term Loan Agreement and the agreements governing the Revolving Credit Facility and the 2024 Term Loan A to revise the leverage ratio covenant in each such agreement, as further described in “Item 8. Financial Statements and Supplementary Data – Notes to Consolidated Financial Statements – Debt.” Funding of certain significant capital projects is also dependent on the receipt of government incentives, which are subject to conditions and may not be obtained.</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2024 for property, plant, and equipment, net of partner contributions, to be slightly above $7 billion. Actual amounts for 2024 will vary depending on market conditions. As of August 31, 2023, we had purchase obligations of approximately $915 million for the acquisition of property, plant, and equipment, of which approximately $812 million is expected to be paid within one year. For a description of other contractual obligations, such as leases, debt, and commitments, see “Item 8. Financial Statements and Supplementary Data – Notes to Consolidated Financial Statements – Leases,” “ – Debt,” and “ – Commitments.”</w:t>
      </w:r>
    </w:p>
    <w:p>
      <w:pPr>
        <w:spacing w:after="0" w:line="22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To support expected memory demand in the second half of the decade, we will need to add new DRAM wafer capacity. Following the enactment of the CHIPS Act in 2022,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began in October 2023 with DRAM production targeted to start in calendar 2025 and first output in early calendar 2026. In addition, in October 2022, we announced plans to build a second leading-edge DRAM manufacturing fab in Clay, New York. We expect construction to begin in calendar 2024, with production anticipated to ramp in the latter half of the decade. We expect these new fabs to fulfill our requirements for additional wafer capacity starting in the second half of the decade and beyond, in line with industry demand trends. On August 21, 2023 we announced that two of our subsidiaries had each submitted full applications on August 18, 2023 for federal funding in the form of grants under the CHIPS Act for both of these projects.</w:t>
      </w:r>
    </w:p>
    <w:p>
      <w:pPr>
        <w:spacing w:after="0" w:line="223"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We are also advancing our global back-end assembly and test network in order to support our product portfolio and extend our ability to deliver on global customer demand in the future. We intend to make investments at our backend facility in Xi’an, China, including a new building to provide space to add more product capability, to allow us over time to serve more of the demand from our customers in China from the Xi’an facility. We also intend to build a new assembly and test facility in Gujarat, India to address demand in the latter half of this decade.</w:t>
      </w:r>
    </w:p>
    <w:p>
      <w:pPr>
        <w:spacing w:after="0" w:line="21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August 31, 2023, we had repurchased an aggregate of $6.89 billion of the authorized amount. See “Item 8. Financial Statements and Supplementary Data – Notes to Consolidated Financial Statements –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411480</wp:posOffset>
            </wp:positionV>
            <wp:extent cx="659765"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27, 2023, our Board of Directors declared a quarterly dividend of $0.115 per share, payable in cash on October 25, 2023, to shareholders of record as of the close of business on October 10, 2023.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1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We expect that our cash and investments, cash flows from operations, and available financing will be sufficient to meet our requirements at least through the next 12 months and thereafter for the foreseeable future.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1,559</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15,181</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12,468</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(11,585)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(10,589)</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4,983</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(2,980)</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(1,781)</w:t>
            </w:r>
          </w:p>
        </w:tc>
      </w:tr>
      <w:tr>
        <w:trPr>
          <w:trHeight w:val="190"/>
        </w:trPr>
        <w:tc>
          <w:tcPr>
            <w:tcW w:w="6900" w:type="dxa"/>
            <w:vAlign w:val="bottom"/>
          </w:tcPr>
          <w:p>
            <w:pPr>
              <w:ind w:left="20"/>
              <w:spacing w:after="0" w:line="189" w:lineRule="exact"/>
              <w:rPr>
                <w:sz w:val="20"/>
                <w:szCs w:val="20"/>
                <w:color w:val="auto"/>
              </w:rPr>
            </w:pPr>
            <w:r>
              <w:rPr>
                <w:rFonts w:ascii="Arial" w:cs="Arial" w:eastAsia="Arial" w:hAnsi="Arial"/>
                <w:sz w:val="18"/>
                <w:szCs w:val="18"/>
                <w:color w:val="auto"/>
              </w:rPr>
              <w:t>Effect of changes in currency exchange rates on cash, cash equivalents, and</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317</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510</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(loss) adjusted for certain non-cash items,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expense, amortization of intangible assets, inventory write-downs, asset impairments, and stock-based compensation, and the effects of changes in operating assets and liabilities. The decrease in cash provided by operating activities for 2023 as compared to 2022 was primarily due to a net loss in the current year adjusted for non-cash items and the effect of an increase in inventories and a decline in accounts payable and accrued expenses, partially offset by a decrease in receivables.</w:t>
      </w:r>
    </w:p>
    <w:p>
      <w:pPr>
        <w:spacing w:after="0" w:line="21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increase in cash provided by operating activities for 2022 as compared to 2021 was primarily due to higher net income adjusted for non-cash items and the effect of lower receivables, partially offset by an increase in inventories.</w:t>
      </w:r>
    </w:p>
    <w:p>
      <w:pPr>
        <w:spacing w:after="0" w:line="19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2023, net cash used for investing activities consisted primarily of $7.68 billion of expenditures for property, plant,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equipment; contributions of $710 million received from partners to offset capital expenditures; and $868 million of net inflows from maturities, sales, and purchases of available-for-sale securities.</w:t>
      </w:r>
    </w:p>
    <w:p>
      <w:pPr>
        <w:spacing w:after="0" w:line="2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2022, net cash used for investing activities consisted primarily of $12.07 billion of expenditures for property, plant, and equipment; contributions of $115 million received from partners to offset capital expenditures; $888 million of net inflows from the sale of the Lehi, Utah fab; and $155 million of net outflows from purchases, sales, and maturities of available-for-sale securities.</w:t>
      </w:r>
    </w:p>
    <w:p>
      <w:pPr>
        <w:spacing w:after="0" w:line="21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For 2021, net cash used for investing activities consisted primarily of $10.03 billion of expenditures for property, plant, and equipment, partially offset by contributions of $502 million received from partners to offset capital expenditures, and $1.06 billion of net outflows from purchases, sales, and maturities of available-for-sale securities.</w:t>
      </w:r>
    </w:p>
    <w:p>
      <w:pPr>
        <w:spacing w:after="0" w:line="20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2023, net cash provided by financing activities consisted primarily of $3.20 billion of proceeds from our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 and 2027 Term Loan A borrowings, $1.27 billion from the issuance of the 2029 B Notes, $896 million from the issuance of the 2033 B Notes, $749 million from the issuance of the 2033 A Notes, and $599 million from the issuance of the 2028 Notes. Cash used for financing activities included $761 million for repayments of debt, $504 million for payments of dividends to shareholders, $425 million for the acquisition of 8.6 million shares of our common stock under our share repurchase authorization, and $138 million of payments on equipment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51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2022, net cash used for financing activities included $2.43 billion for the acquisition of 35.4 million shares of our common stock under our share repurchase authorization, $2.03 billion of repayments of debt primarily to redeem the 2023 Notes and 2024 Notes, $461 million of cash payments of dividends to shareholders, and $141 million of payments on equipment purchase contracts. Cash used for financing activities was partially offset by aggregate proceeds of $2.00 billion from the issuance of the unsecured 2032 Green Bonds, 2041 Notes, and 2051 Notes.</w:t>
      </w:r>
    </w:p>
    <w:p>
      <w:pPr>
        <w:spacing w:after="0" w:line="21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2021, net cash used for financing activities consisted primarily of $1.20 billion for the acquisition of 15.6 million shares of our common stock under our share repurchase authorization, $295 million of payments on equipment purchase contracts, $185 million of cash payments to settle conversions of our 2032D Notes, and $147 million of repayments of finance leases and other debt. In addition, we received proceeds of $1.19 billion under an unsecured 2024 Term Loan A and used the proceeds to repay the $1.19 billion Extinguished 2024 Term Loan 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Debt.”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and involve a significant level of uncertainty.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200" w:lineRule="exact"/>
        <w:rPr>
          <w:sz w:val="20"/>
          <w:szCs w:val="20"/>
          <w:color w:val="auto"/>
        </w:rPr>
      </w:pP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Contingencies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the possibility of losses from various contingencies. Significant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Goodwill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test goodwill for impairment in our fourth quarter each year, or more frequently if indicators of an impairment exist,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whether it 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 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we recognize an impairment loss up to the difference between the carrying value and implied fair value. We recognized a charge of $101 million in 2023 to impair all of the goodwill assigned to our SBU reporting unit based on our quantitative assessment for impairment in the current year. The quantitative assessment indicated that the fair value for all of our other reporting units substantially exceeded their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426085</wp:posOffset>
            </wp:positionV>
            <wp:extent cx="659765"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long-term manufacturing capacity analysis.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 We assess the reasonableness of our methodology, forecasts, and assumptions by comparing the aggregate calculated fair value for our reporting units to our market capitalization.</w:t>
      </w:r>
    </w:p>
    <w:p>
      <w:pPr>
        <w:spacing w:after="0" w:line="21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required to estimate our provision for income taxes and amounts ultimately payable or recoverable in numerous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around the world. These estimates involve significant judgment and interpretations of regulations and are inherently complex. Resolution of income tax treatments in individual jurisdictions may not be known for many years after completion of the applicable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 Our income tax provision or benefit is dependent, in part, on our ability to forecast future taxable income in Japan, Malaysia, the United States, Taiwan,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cost or net realizable value, with cost being determined on a first-in, first-out (“FIFO”)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Cost includes depreciation, labor, material, and overhead costs, including product and process technology costs. Determining net realizable value of finished goods and work in process inventories involves significant judgments, including projecting future average selling prices, future sales volumes, and future cost per part. To project average selling prices and sales volumes, we review recent sales volumes, existing customer orders, current contract prices, industry analyses of supply and demand, and general economic trends. To project cost per part, we review trends with historical results and consider known changes in our cost structure as applicable. Actual selling prices may vary significantly from projected prices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 significantly. Differences in future average selling prices used in calculating lower of cost or net realizable value adjustments can result in significant changes in the estimated net realizable value of finished goods and work in process inventories and accordingly the amount of write-down recorded. For example, a 5% decrease in future average selling prices would have changed the estimated net realizable value of our finished goods and work in process inventories by approximately $600 million as of August 31, 2023.</w:t>
      </w:r>
    </w:p>
    <w:p>
      <w:pPr>
        <w:spacing w:after="0" w:line="224"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2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periodically assess the estimated useful lives of our property, plant, and equipment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node transitions, capital spending, and equipment re-use rates. We also review the carrying value of property, plant, and equipment for impairment when events and 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53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primarily recognized at a point in time when control of the promised goods is transferred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QUANTITATIVE AND QUALITATIVE DISCLOSURES ABOUT MARKET RISK</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2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exposed to interest rate risk related to our indebtedness and our investment portfolio. As of August 31, 2023 and September 1, 2022, we had fixed-rate debt with an aggregate carrying value of $7.52 billion and $4.03 billion, respectively, and as a result, the fair value of our debt fluctuates with changes in market interest rates. We estimate that, as of August 31, 2023 and September 1, 2022, a hypothetical 1% decrease in market interest rates would increase the fair value of our fixed-rate debt by approximately $475 million and $275 million, respectively.</w:t>
      </w:r>
    </w:p>
    <w:p>
      <w:pPr>
        <w:spacing w:after="0" w:line="219" w:lineRule="exact"/>
        <w:rPr>
          <w:sz w:val="20"/>
          <w:szCs w:val="20"/>
          <w:color w:val="auto"/>
        </w:rPr>
      </w:pPr>
    </w:p>
    <w:p>
      <w:pPr>
        <w:jc w:val="both"/>
        <w:ind w:right="560"/>
        <w:spacing w:after="0" w:line="285" w:lineRule="auto"/>
        <w:rPr>
          <w:sz w:val="20"/>
          <w:szCs w:val="20"/>
          <w:color w:val="auto"/>
        </w:rPr>
      </w:pPr>
      <w:r>
        <w:rPr>
          <w:rFonts w:ascii="Arial" w:cs="Arial" w:eastAsia="Arial" w:hAnsi="Arial"/>
          <w:sz w:val="17"/>
          <w:szCs w:val="17"/>
          <w:color w:val="auto"/>
        </w:rPr>
        <w:t>Interest rate risk related to our investment portfolio is managed by primarily investing in shorter term securities. We estimate that, as of August 31, 2023 and September 1, 2022, a hypothetical 1% increase in interest rates would decrease the fair value of our portfolio by approximately $20 million and $30 million, respectively. Such impact would only be realized if investments were sold prior to maturity.</w:t>
      </w:r>
    </w:p>
    <w:p>
      <w:pPr>
        <w:spacing w:after="0" w:line="195"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As of August 31, 2023 and September 1, 2022, we had floating-rate debt, including fixed-rate debt that is swapped to floating-rate debt, with an aggregate principal amount of $4.63 billion and $2.09 billion, respectively. A hypothetical 1% increase in the interest rates of this floating-rate debt would result in an increase in annual interest expense of $46 million and $21 million as of August 31, 2023 and September 1, 2022, respectively.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section should be read in conjunction with the information related to changes in the currency exchange rates in “Part I</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Item 1A. Risk Factors.” Changes in foreign currency exchange rates could materially adversely affect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417830</wp:posOffset>
            </wp:positionV>
            <wp:extent cx="65976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functional currency for all of our operations is the U.S. dollar. The substantial majority of our sales are transacted in the U.S. dollar; however, significant amounts of our operating expenses and capital expenditures, and certain assets and liabilities, are incurred in or exposed to other currencies, primarily the Chinese yuan, euro, Indian rupee, Japanese yen, Malaysian ringgit, New Taiwan dollar, and Singapore dollar. We have established currency risk management programs for our monetary assets and liabilities denominated in foreign currencies to hedge against fluctuations in the fair value and volatility of future cash flows caused by changes in currency exchange rates. We generally utilize currency forward contracts in these hedging programs, which reduce, but do not always entirely eliminate, the impact of currency exchange rate movements. We do not use derivative financial instruments for trading or speculative purposes.</w:t>
      </w:r>
    </w:p>
    <w:p>
      <w:pPr>
        <w:spacing w:after="0" w:line="22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Based on monetary assets and liabilities denominated in foreign currencies, we estimate that a hypothetical 10% adverse change in exchange rates versus the U.S. dollar would result in losses of approximately $ 129 million as of August 31, 2023 and $186 million as of September 1, 2022. We hedge our exposure to changes in currency exchange rates by utilizing a rolling hedge strategy for our primary currency exposures with currency forward contracts that generally mature within three months. The effectiveness of our hedges is dependent, among other factors, upon our ability to accurately measure exposures on a timely basis. To hedge the exposure of changes in cash flows from changes in currency exchange rates for certain capital expenditures and manufacturing costs, we may utilize currency forward contracts that generally mature within two years. See “Item 8. Financial Statements and Supplementary Data – Notes to Consolidated Financial Statements – Derivative Instruments.”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55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904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952"/>
        </w:trPr>
        <w:tc>
          <w:tcPr>
            <w:tcW w:w="9040" w:type="dxa"/>
            <w:vAlign w:val="bottom"/>
          </w:tcPr>
          <w:p>
            <w:pPr>
              <w:spacing w:after="0"/>
              <w:rPr>
                <w:sz w:val="20"/>
                <w:szCs w:val="20"/>
                <w:color w:val="auto"/>
              </w:rPr>
            </w:pPr>
            <w:r>
              <w:rPr>
                <w:rFonts w:ascii="Arial" w:cs="Arial" w:eastAsia="Arial" w:hAnsi="Arial"/>
                <w:sz w:val="25"/>
                <w:szCs w:val="25"/>
                <w:b w:val="1"/>
                <w:bCs w:val="1"/>
                <w:color w:val="auto"/>
              </w:rPr>
              <w:t>ITEM 8. FINANCIAL STATEMENTS AND SUPPLEMENTARY DATA</w:t>
            </w:r>
          </w:p>
        </w:tc>
        <w:tc>
          <w:tcPr>
            <w:tcW w:w="840" w:type="dxa"/>
            <w:vAlign w:val="bottom"/>
          </w:tcPr>
          <w:p>
            <w:pPr>
              <w:spacing w:after="0"/>
              <w:rPr>
                <w:sz w:val="24"/>
                <w:szCs w:val="24"/>
                <w:color w:val="auto"/>
              </w:rPr>
            </w:pPr>
          </w:p>
        </w:tc>
        <w:tc>
          <w:tcPr>
            <w:tcW w:w="1360" w:type="dxa"/>
            <w:vAlign w:val="bottom"/>
            <w:tcBorders>
              <w:top w:val="single" w:sz="8" w:color="BD03F7"/>
            </w:tcBorders>
          </w:tcPr>
          <w:p>
            <w:pPr>
              <w:spacing w:after="0"/>
              <w:rPr>
                <w:sz w:val="24"/>
                <w:szCs w:val="24"/>
                <w:color w:val="auto"/>
              </w:rPr>
            </w:pPr>
          </w:p>
        </w:tc>
      </w:tr>
      <w:tr>
        <w:trPr>
          <w:trHeight w:val="729"/>
        </w:trPr>
        <w:tc>
          <w:tcPr>
            <w:tcW w:w="9040" w:type="dxa"/>
            <w:vAlign w:val="bottom"/>
            <w:tcBorders>
              <w:bottom w:val="single" w:sz="8" w:color="auto"/>
            </w:tcBorders>
          </w:tcPr>
          <w:p>
            <w:pPr>
              <w:spacing w:after="0"/>
              <w:rPr>
                <w:sz w:val="20"/>
                <w:szCs w:val="20"/>
                <w:color w:val="auto"/>
              </w:rPr>
            </w:pPr>
            <w:r>
              <w:rPr>
                <w:rFonts w:ascii="Arial" w:cs="Arial" w:eastAsia="Arial" w:hAnsi="Arial"/>
                <w:sz w:val="40"/>
                <w:szCs w:val="40"/>
                <w:b w:val="1"/>
                <w:bCs w:val="1"/>
                <w:color w:val="auto"/>
              </w:rPr>
              <w:t>Index to Consolidated Financial Statements</w:t>
            </w:r>
          </w:p>
        </w:tc>
        <w:tc>
          <w:tcPr>
            <w:tcW w:w="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34"/>
        </w:trPr>
        <w:tc>
          <w:tcPr>
            <w:tcW w:w="9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Consolidated Statements of Operations</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57</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Consolidated Statements of Comprehensive Income (Loss)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29"/>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Consolidated Balance Sheets</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59</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Consolidated Statements of Changes in Equity</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30"/>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Consolidated Statements of Cash Flows</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61</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30"/>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480060</wp:posOffset>
            </wp:positionV>
            <wp:extent cx="65976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70"/>
        </w:trPr>
        <w:tc>
          <w:tcPr>
            <w:tcW w:w="690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BD03F7"/>
            </w:tcBorders>
          </w:tcPr>
          <w:p>
            <w:pPr>
              <w:spacing w:after="0"/>
              <w:rPr>
                <w:sz w:val="24"/>
                <w:szCs w:val="24"/>
                <w:color w:val="auto"/>
              </w:rPr>
            </w:pPr>
          </w:p>
        </w:tc>
        <w:tc>
          <w:tcPr>
            <w:tcW w:w="13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8340" w:type="dxa"/>
            <w:vAlign w:val="bottom"/>
            <w:gridSpan w:val="3"/>
          </w:tcPr>
          <w:p>
            <w:pPr>
              <w:spacing w:after="0"/>
              <w:rPr>
                <w:sz w:val="20"/>
                <w:szCs w:val="20"/>
                <w:color w:val="auto"/>
              </w:rPr>
            </w:pPr>
            <w:r>
              <w:rPr>
                <w:rFonts w:ascii="Arial" w:cs="Arial" w:eastAsia="Arial" w:hAnsi="Arial"/>
                <w:sz w:val="40"/>
                <w:szCs w:val="40"/>
                <w:b w:val="1"/>
                <w:bCs w:val="1"/>
                <w:color w:val="auto"/>
              </w:rPr>
              <w:t>Consolidated Statements of Operations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(In millions, except per share amounts)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17"/>
                <w:szCs w:val="17"/>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31,</w:t>
            </w:r>
          </w:p>
        </w:tc>
        <w:tc>
          <w:tcPr>
            <w:tcW w:w="14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39"/>
        </w:trPr>
        <w:tc>
          <w:tcPr>
            <w:tcW w:w="69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15,540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30,758</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27,705</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16,956</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(1,416)</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3,114</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(5,745)</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9,702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(5,658)</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57"/>
        </w:trPr>
        <w:tc>
          <w:tcPr>
            <w:tcW w:w="69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0"/>
        </w:trPr>
        <w:tc>
          <w:tcPr>
            <w:tcW w:w="690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9"/>
        </w:trPr>
        <w:tc>
          <w:tcPr>
            <w:tcW w:w="69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57"/>
        </w:trPr>
        <w:tc>
          <w:tcPr>
            <w:tcW w:w="690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1,093</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57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 (Loss)</w:t>
      </w:r>
    </w:p>
    <w:tbl>
      <w:tblPr>
        <w:tblLayout w:type="fixed"/>
        <w:tblInd w:w="0" w:type="dxa"/>
        <w:tblCellMar>
          <w:top w:w="0" w:type="dxa"/>
          <w:left w:w="0" w:type="dxa"/>
          <w:bottom w:w="0" w:type="dxa"/>
          <w:right w:w="0" w:type="dxa"/>
        </w:tblCellMar>
      </w:tblP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Pr>
          <w:p>
            <w:pPr>
              <w:spacing w:after="0"/>
              <w:rPr>
                <w:sz w:val="16"/>
                <w:szCs w:val="16"/>
                <w:color w:val="auto"/>
              </w:rPr>
            </w:pPr>
          </w:p>
        </w:tc>
        <w:tc>
          <w:tcPr>
            <w:tcW w:w="1260" w:type="dxa"/>
            <w:vAlign w:val="bottom"/>
          </w:tcPr>
          <w:p>
            <w:pPr>
              <w:jc w:val="right"/>
              <w:ind w:right="170"/>
              <w:spacing w:after="0" w:line="195" w:lineRule="exact"/>
              <w:rPr>
                <w:sz w:val="20"/>
                <w:szCs w:val="20"/>
                <w:color w:val="auto"/>
              </w:rPr>
            </w:pPr>
            <w:r>
              <w:rPr>
                <w:rFonts w:ascii="Arial" w:cs="Arial" w:eastAsia="Arial" w:hAnsi="Arial"/>
                <w:sz w:val="18"/>
                <w:szCs w:val="18"/>
                <w:b w:val="1"/>
                <w:bCs w:val="1"/>
                <w:color w:val="auto"/>
              </w:rPr>
              <w:t>August 31,</w:t>
            </w:r>
          </w:p>
        </w:tc>
        <w:tc>
          <w:tcPr>
            <w:tcW w:w="120" w:type="dxa"/>
            <w:vAlign w:val="bottom"/>
          </w:tcPr>
          <w:p>
            <w:pPr>
              <w:spacing w:after="0"/>
              <w:rPr>
                <w:sz w:val="16"/>
                <w:szCs w:val="16"/>
                <w:color w:val="auto"/>
              </w:rPr>
            </w:pPr>
          </w:p>
        </w:tc>
        <w:tc>
          <w:tcPr>
            <w:tcW w:w="1300" w:type="dxa"/>
            <w:vAlign w:val="bottom"/>
          </w:tcPr>
          <w:p>
            <w:pPr>
              <w:jc w:val="right"/>
              <w:ind w:right="50"/>
              <w:spacing w:after="0" w:line="195" w:lineRule="exact"/>
              <w:rPr>
                <w:sz w:val="20"/>
                <w:szCs w:val="20"/>
                <w:color w:val="auto"/>
              </w:rPr>
            </w:pPr>
            <w:r>
              <w:rPr>
                <w:rFonts w:ascii="Arial" w:cs="Arial" w:eastAsia="Arial" w:hAnsi="Arial"/>
                <w:sz w:val="18"/>
                <w:szCs w:val="18"/>
                <w:b w:val="1"/>
                <w:bCs w:val="1"/>
                <w:color w:val="auto"/>
              </w:rPr>
              <w:t>September 1,</w:t>
            </w:r>
          </w:p>
        </w:tc>
        <w:tc>
          <w:tcPr>
            <w:tcW w:w="140" w:type="dxa"/>
            <w:vAlign w:val="bottom"/>
          </w:tcPr>
          <w:p>
            <w:pPr>
              <w:spacing w:after="0"/>
              <w:rPr>
                <w:sz w:val="16"/>
                <w:szCs w:val="16"/>
                <w:color w:val="auto"/>
              </w:rPr>
            </w:pPr>
          </w:p>
        </w:tc>
        <w:tc>
          <w:tcPr>
            <w:tcW w:w="1300" w:type="dxa"/>
            <w:vAlign w:val="bottom"/>
          </w:tcPr>
          <w:p>
            <w:pPr>
              <w:jc w:val="right"/>
              <w:ind w:right="70"/>
              <w:spacing w:after="0" w:line="195" w:lineRule="exact"/>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39"/>
        </w:trPr>
        <w:tc>
          <w:tcPr>
            <w:tcW w:w="69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(5,833)</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8,687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69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Pension liability adjustments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Unrealized gains (losses) on investments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9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comprehensive income (loss)</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(5,585)</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8,125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0"/>
        </w:trPr>
        <w:tc>
          <w:tcPr>
            <w:tcW w:w="694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292100</wp:posOffset>
            </wp:positionV>
            <wp:extent cx="659765"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7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BD03F7"/>
            </w:tcBorders>
          </w:tcPr>
          <w:p>
            <w:pPr>
              <w:spacing w:after="0"/>
              <w:rPr>
                <w:sz w:val="24"/>
                <w:szCs w:val="24"/>
                <w:color w:val="auto"/>
              </w:rPr>
            </w:pPr>
          </w:p>
        </w:tc>
        <w:tc>
          <w:tcPr>
            <w:tcW w:w="130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39"/>
        </w:trPr>
        <w:tc>
          <w:tcPr>
            <w:tcW w:w="83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8,577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21,244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21,781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37,928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3,958</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6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360" w:type="dxa"/>
            <w:vAlign w:val="bottom"/>
            <w:shd w:val="clear" w:color="auto" w:fill="D1D2D4"/>
          </w:tcPr>
          <w:p>
            <w:pPr>
              <w:ind w:left="220"/>
              <w:spacing w:after="0" w:line="189" w:lineRule="exact"/>
              <w:rPr>
                <w:sz w:val="20"/>
                <w:szCs w:val="20"/>
                <w:color w:val="auto"/>
              </w:rPr>
            </w:pPr>
            <w:r>
              <w:rPr>
                <w:rFonts w:ascii="Arial" w:cs="Arial" w:eastAsia="Arial" w:hAnsi="Arial"/>
                <w:sz w:val="18"/>
                <w:szCs w:val="18"/>
                <w:color w:val="auto"/>
              </w:rPr>
              <w:t>Common stock, $0.10 par value, 3,000 shares authorized, 1,239 shares issued and 1,098</w:t>
            </w:r>
          </w:p>
        </w:tc>
        <w:tc>
          <w:tcPr>
            <w:tcW w:w="180" w:type="dxa"/>
            <w:vAlign w:val="bottom"/>
            <w:shd w:val="clear" w:color="auto" w:fill="D1D2D4"/>
          </w:tcPr>
          <w:p>
            <w:pPr>
              <w:spacing w:after="0"/>
              <w:rPr>
                <w:sz w:val="16"/>
                <w:szCs w:val="16"/>
                <w:color w:val="auto"/>
              </w:rPr>
            </w:pPr>
          </w:p>
        </w:tc>
        <w:tc>
          <w:tcPr>
            <w:tcW w:w="1260" w:type="dxa"/>
            <w:vAlign w:val="bottom"/>
            <w:shd w:val="clear" w:color="auto" w:fill="D1D2D4"/>
          </w:tcPr>
          <w:p>
            <w:pPr>
              <w:spacing w:after="0"/>
              <w:rPr>
                <w:sz w:val="16"/>
                <w:szCs w:val="16"/>
                <w:color w:val="auto"/>
              </w:rPr>
            </w:pPr>
          </w:p>
        </w:tc>
        <w:tc>
          <w:tcPr>
            <w:tcW w:w="80" w:type="dxa"/>
            <w:vAlign w:val="bottom"/>
            <w:shd w:val="clear" w:color="auto" w:fill="D1D2D4"/>
          </w:tcPr>
          <w:p>
            <w:pPr>
              <w:spacing w:after="0"/>
              <w:rPr>
                <w:sz w:val="16"/>
                <w:szCs w:val="16"/>
                <w:color w:val="auto"/>
              </w:rPr>
            </w:pPr>
          </w:p>
        </w:tc>
        <w:tc>
          <w:tcPr>
            <w:tcW w:w="60" w:type="dxa"/>
            <w:vAlign w:val="bottom"/>
            <w:shd w:val="clear" w:color="auto" w:fill="D1D2D4"/>
          </w:tcPr>
          <w:p>
            <w:pPr>
              <w:spacing w:after="0"/>
              <w:rPr>
                <w:sz w:val="16"/>
                <w:szCs w:val="16"/>
                <w:color w:val="auto"/>
              </w:rPr>
            </w:pPr>
          </w:p>
        </w:tc>
        <w:tc>
          <w:tcPr>
            <w:tcW w:w="130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outstanding (1,226 shares issued and 1,094 outstanding as of September 1, 2022)</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11,036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40,824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Treasury stock, 141 shares held (132 shares as of September 1, 2022)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59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20" w:type="dxa"/>
            <w:vAlign w:val="bottom"/>
          </w:tcPr>
          <w:p>
            <w:pPr>
              <w:spacing w:after="0"/>
              <w:rPr>
                <w:sz w:val="20"/>
                <w:szCs w:val="20"/>
                <w:color w:val="auto"/>
              </w:rPr>
            </w:pPr>
          </w:p>
        </w:tc>
        <w:tc>
          <w:tcPr>
            <w:tcW w:w="19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1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6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of SharesAmount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0" w:right="1040"/>
        <w:spacing w:after="0" w:line="271" w:lineRule="auto"/>
        <w:rPr>
          <w:sz w:val="20"/>
          <w:szCs w:val="20"/>
          <w:color w:val="auto"/>
        </w:rPr>
      </w:pPr>
      <w:r>
        <w:rPr>
          <w:rFonts w:ascii="Arial" w:cs="Arial" w:eastAsia="Arial" w:hAnsi="Arial"/>
          <w:sz w:val="18"/>
          <w:szCs w:val="18"/>
          <w:b w:val="1"/>
          <w:bCs w:val="1"/>
          <w:color w:val="auto"/>
        </w:rPr>
        <w:t xml:space="preserve">Balance at September 3, 2020 </w:t>
      </w:r>
      <w:r>
        <w:rPr>
          <w:rFonts w:ascii="Arial" w:cs="Arial" w:eastAsia="Arial" w:hAnsi="Arial"/>
          <w:sz w:val="18"/>
          <w:szCs w:val="18"/>
          <w:color w:val="auto"/>
        </w:rPr>
        <w:t>Net income (loss)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4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right="660"/>
        <w:spacing w:after="0" w:line="281" w:lineRule="auto"/>
        <w:rPr>
          <w:sz w:val="20"/>
          <w:szCs w:val="20"/>
          <w:color w:val="auto"/>
        </w:rPr>
      </w:pPr>
      <w:r>
        <w:rPr>
          <w:rFonts w:ascii="Arial" w:cs="Arial" w:eastAsia="Arial" w:hAnsi="Arial"/>
          <w:sz w:val="17"/>
          <w:szCs w:val="17"/>
          <w:color w:val="auto"/>
        </w:rPr>
        <w:t>Stock issued for convertible notes Cash settlement of convertible notes</w:t>
      </w:r>
    </w:p>
    <w:p>
      <w:pPr>
        <w:spacing w:after="0" w:line="1" w:lineRule="exact"/>
        <w:rPr>
          <w:sz w:val="20"/>
          <w:szCs w:val="20"/>
          <w:color w:val="auto"/>
        </w:rPr>
      </w:pPr>
    </w:p>
    <w:p>
      <w:pPr>
        <w:ind w:left="40"/>
        <w:spacing w:after="0" w:line="244" w:lineRule="auto"/>
        <w:rPr>
          <w:sz w:val="20"/>
          <w:szCs w:val="20"/>
          <w:color w:val="auto"/>
        </w:rPr>
      </w:pPr>
      <w:r>
        <w:rPr>
          <w:rFonts w:ascii="Arial" w:cs="Arial" w:eastAsia="Arial" w:hAnsi="Arial"/>
          <w:sz w:val="18"/>
          <w:szCs w:val="18"/>
          <w:color w:val="auto"/>
        </w:rPr>
        <w:t>Dividends and dividend equivalents declared ($0.10 per share)</w:t>
      </w:r>
    </w:p>
    <w:p>
      <w:pPr>
        <w:spacing w:after="0" w:line="1" w:lineRule="exact"/>
        <w:rPr>
          <w:sz w:val="20"/>
          <w:szCs w:val="20"/>
          <w:color w:val="auto"/>
        </w:rPr>
      </w:pPr>
    </w:p>
    <w:p>
      <w:pPr>
        <w:ind w:left="40" w:right="1040"/>
        <w:spacing w:after="0" w:line="271" w:lineRule="auto"/>
        <w:rPr>
          <w:sz w:val="20"/>
          <w:szCs w:val="20"/>
          <w:color w:val="auto"/>
        </w:rPr>
      </w:pPr>
      <w:r>
        <w:rPr>
          <w:rFonts w:ascii="Arial" w:cs="Arial" w:eastAsia="Arial" w:hAnsi="Arial"/>
          <w:sz w:val="18"/>
          <w:szCs w:val="18"/>
          <w:b w:val="1"/>
          <w:bCs w:val="1"/>
          <w:color w:val="auto"/>
        </w:rPr>
        <w:t xml:space="preserve">Balance at September 2, 2021 </w:t>
      </w:r>
      <w:r>
        <w:rPr>
          <w:rFonts w:ascii="Arial" w:cs="Arial" w:eastAsia="Arial" w:hAnsi="Arial"/>
          <w:sz w:val="18"/>
          <w:szCs w:val="18"/>
          <w:color w:val="auto"/>
        </w:rPr>
        <w:t>Net income (loss)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4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4" w:lineRule="auto"/>
        <w:rPr>
          <w:sz w:val="20"/>
          <w:szCs w:val="20"/>
          <w:color w:val="auto"/>
        </w:rPr>
      </w:pPr>
      <w:r>
        <w:rPr>
          <w:rFonts w:ascii="Arial" w:cs="Arial" w:eastAsia="Arial" w:hAnsi="Arial"/>
          <w:sz w:val="18"/>
          <w:szCs w:val="18"/>
          <w:color w:val="auto"/>
        </w:rPr>
        <w:t>Dividends and dividend equivalents declared ($0.315 per share)</w:t>
      </w:r>
    </w:p>
    <w:p>
      <w:pPr>
        <w:spacing w:after="0" w:line="1" w:lineRule="exact"/>
        <w:rPr>
          <w:sz w:val="20"/>
          <w:szCs w:val="20"/>
          <w:color w:val="auto"/>
        </w:rPr>
      </w:pPr>
    </w:p>
    <w:p>
      <w:pPr>
        <w:ind w:left="40" w:right="1040"/>
        <w:spacing w:after="0" w:line="271" w:lineRule="auto"/>
        <w:rPr>
          <w:sz w:val="20"/>
          <w:szCs w:val="20"/>
          <w:color w:val="auto"/>
        </w:rPr>
      </w:pPr>
      <w:r>
        <w:rPr>
          <w:rFonts w:ascii="Arial" w:cs="Arial" w:eastAsia="Arial" w:hAnsi="Arial"/>
          <w:sz w:val="18"/>
          <w:szCs w:val="18"/>
          <w:b w:val="1"/>
          <w:bCs w:val="1"/>
          <w:color w:val="auto"/>
        </w:rPr>
        <w:t xml:space="preserve">Balance at September 1, 2022 </w:t>
      </w:r>
      <w:r>
        <w:rPr>
          <w:rFonts w:ascii="Arial" w:cs="Arial" w:eastAsia="Arial" w:hAnsi="Arial"/>
          <w:sz w:val="18"/>
          <w:szCs w:val="18"/>
          <w:color w:val="auto"/>
        </w:rPr>
        <w:t>Net income (loss)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4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4" w:lineRule="auto"/>
        <w:rPr>
          <w:sz w:val="20"/>
          <w:szCs w:val="20"/>
          <w:color w:val="auto"/>
        </w:rPr>
      </w:pPr>
      <w:r>
        <w:rPr>
          <w:rFonts w:ascii="Arial" w:cs="Arial" w:eastAsia="Arial" w:hAnsi="Arial"/>
          <w:sz w:val="18"/>
          <w:szCs w:val="18"/>
          <w:color w:val="auto"/>
        </w:rPr>
        <w:t>Dividends and dividend equivalents declared ($0.460 per share)</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August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1,194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33,384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(3,495)</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38,996</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5,861</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(1,200)</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960" w:type="dxa"/>
            <w:vAlign w:val="bottom"/>
          </w:tcPr>
          <w:p>
            <w:pPr>
              <w:jc w:val="right"/>
              <w:spacing w:after="0"/>
              <w:rPr>
                <w:sz w:val="20"/>
                <w:szCs w:val="20"/>
                <w:color w:val="auto"/>
              </w:rPr>
            </w:pPr>
            <w:r>
              <w:rPr>
                <w:rFonts w:ascii="Arial" w:cs="Arial" w:eastAsia="Arial" w:hAnsi="Arial"/>
                <w:sz w:val="18"/>
                <w:szCs w:val="18"/>
                <w:color w:val="auto"/>
              </w:rPr>
              <w:t>1,216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9,453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39,051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(4,695)</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43,933</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8,687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8,687</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(2,432)</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(2,432)</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18"/>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23"/>
        </w:trPr>
        <w:tc>
          <w:tcPr>
            <w:tcW w:w="960" w:type="dxa"/>
            <w:vAlign w:val="bottom"/>
          </w:tcPr>
          <w:p>
            <w:pPr>
              <w:jc w:val="right"/>
              <w:spacing w:after="0"/>
              <w:rPr>
                <w:sz w:val="20"/>
                <w:szCs w:val="20"/>
                <w:color w:val="auto"/>
              </w:rPr>
            </w:pPr>
            <w:r>
              <w:rPr>
                <w:rFonts w:ascii="Arial" w:cs="Arial" w:eastAsia="Arial" w:hAnsi="Arial"/>
                <w:sz w:val="18"/>
                <w:szCs w:val="18"/>
                <w:color w:val="auto"/>
              </w:rPr>
              <w:t>1,226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10,197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47,274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(7,127)</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49,907</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418"/>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40,824</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-4714240</wp:posOffset>
            </wp:positionV>
            <wp:extent cx="7115175"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-4422775</wp:posOffset>
            </wp:positionV>
            <wp:extent cx="711517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-4131310</wp:posOffset>
            </wp:positionV>
            <wp:extent cx="711517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-3839845</wp:posOffset>
            </wp:positionV>
            <wp:extent cx="7115175"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-3428365</wp:posOffset>
            </wp:positionV>
            <wp:extent cx="711517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-3016885</wp:posOffset>
            </wp:positionV>
            <wp:extent cx="711517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-2716530</wp:posOffset>
            </wp:positionV>
            <wp:extent cx="711517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-2425065</wp:posOffset>
            </wp:positionV>
            <wp:extent cx="7115175"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-2133600</wp:posOffset>
            </wp:positionV>
            <wp:extent cx="7115175" cy="265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-1602105</wp:posOffset>
            </wp:positionV>
            <wp:extent cx="711517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-1302385</wp:posOffset>
            </wp:positionV>
            <wp:extent cx="711517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-1010920</wp:posOffset>
            </wp:positionV>
            <wp:extent cx="711517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-719455</wp:posOffset>
            </wp:positionV>
            <wp:extent cx="7115175" cy="265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-187960</wp:posOffset>
            </wp:positionV>
            <wp:extent cx="711517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40"/>
            <w:col w:w="7600"/>
          </w:cols>
          <w:pgMar w:left="320" w:top="121" w:right="339" w:bottom="1440" w:gutter="0" w:footer="0" w:header="0"/>
          <w:type w:val="continuous"/>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273685</wp:posOffset>
            </wp:positionV>
            <wp:extent cx="659765"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070"/>
        </w:trPr>
        <w:tc>
          <w:tcPr>
            <w:tcW w:w="698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BD03F7"/>
            </w:tcBorders>
          </w:tcPr>
          <w:p>
            <w:pPr>
              <w:spacing w:after="0"/>
              <w:rPr>
                <w:sz w:val="24"/>
                <w:szCs w:val="24"/>
                <w:color w:val="auto"/>
              </w:rPr>
            </w:pPr>
          </w:p>
        </w:tc>
        <w:tc>
          <w:tcPr>
            <w:tcW w:w="128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8400" w:type="dxa"/>
            <w:vAlign w:val="bottom"/>
            <w:gridSpan w:val="3"/>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17"/>
                <w:szCs w:val="17"/>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August 31,</w:t>
            </w:r>
          </w:p>
        </w:tc>
        <w:tc>
          <w:tcPr>
            <w:tcW w:w="140" w:type="dxa"/>
            <w:vAlign w:val="bottom"/>
          </w:tcPr>
          <w:p>
            <w:pPr>
              <w:spacing w:after="0"/>
              <w:rPr>
                <w:sz w:val="17"/>
                <w:szCs w:val="17"/>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September 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39"/>
        </w:trPr>
        <w:tc>
          <w:tcPr>
            <w:tcW w:w="69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8,687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7,756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7,116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Provision to write down inventories to net realizable value</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1,831</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Goodwill impairment</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Loss on debt repurchases and conversions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2,763</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(3,555)</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(2,104)</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1D2D4"/>
            </w:tcBorders>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69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1,559</w:t>
            </w:r>
          </w:p>
        </w:tc>
        <w:tc>
          <w:tcPr>
            <w:tcW w:w="14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15,181</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(12,067)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(723)</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(1,770)</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9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0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(6,191)</w:t>
            </w:r>
          </w:p>
        </w:tc>
        <w:tc>
          <w:tcPr>
            <w:tcW w:w="14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(11,585)</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(10,589)</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6,716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(761)</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(2,032)</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(2,432)</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196"/>
        </w:trPr>
        <w:tc>
          <w:tcPr>
            <w:tcW w:w="698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22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28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128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80" w:type="dxa"/>
            <w:vAlign w:val="bottom"/>
          </w:tcPr>
          <w:p>
            <w:pPr>
              <w:ind w:left="20"/>
              <w:spacing w:after="0" w:line="189" w:lineRule="exact"/>
              <w:rPr>
                <w:sz w:val="20"/>
                <w:szCs w:val="20"/>
                <w:color w:val="auto"/>
              </w:rPr>
            </w:pPr>
            <w:r>
              <w:rPr>
                <w:rFonts w:ascii="Arial" w:cs="Arial" w:eastAsia="Arial" w:hAnsi="Arial"/>
                <w:sz w:val="18"/>
                <w:szCs w:val="18"/>
                <w:color w:val="auto"/>
              </w:rPr>
              <w:t>Effect of changes in currency exchange rates on cash, cash equivalents, and restricted</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980" w:type="dxa"/>
            <w:vAlign w:val="bottom"/>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122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6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2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0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8,339</w:t>
            </w:r>
          </w:p>
        </w:tc>
        <w:tc>
          <w:tcPr>
            <w:tcW w:w="14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6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0"/>
        </w:trPr>
        <w:tc>
          <w:tcPr>
            <w:tcW w:w="698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2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80" w:type="dxa"/>
            <w:vAlign w:val="bottom"/>
            <w:shd w:val="clear" w:color="auto" w:fill="D1D2D4"/>
          </w:tcPr>
          <w:p>
            <w:pPr>
              <w:spacing w:after="0"/>
              <w:rPr>
                <w:sz w:val="15"/>
                <w:szCs w:val="15"/>
                <w:color w:val="auto"/>
              </w:rPr>
            </w:pPr>
          </w:p>
        </w:tc>
        <w:tc>
          <w:tcPr>
            <w:tcW w:w="60" w:type="dxa"/>
            <w:vAlign w:val="bottom"/>
            <w:shd w:val="clear" w:color="auto" w:fill="D1D2D4"/>
          </w:tcPr>
          <w:p>
            <w:pPr>
              <w:spacing w:after="0"/>
              <w:rPr>
                <w:sz w:val="15"/>
                <w:szCs w:val="15"/>
                <w:color w:val="auto"/>
              </w:rPr>
            </w:pPr>
          </w:p>
        </w:tc>
        <w:tc>
          <w:tcPr>
            <w:tcW w:w="80" w:type="dxa"/>
            <w:vAlign w:val="bottom"/>
            <w:shd w:val="clear" w:color="auto" w:fill="D1D2D4"/>
          </w:tcPr>
          <w:p>
            <w:pPr>
              <w:spacing w:after="0"/>
              <w:rPr>
                <w:sz w:val="15"/>
                <w:szCs w:val="15"/>
                <w:color w:val="auto"/>
              </w:rPr>
            </w:pPr>
          </w:p>
        </w:tc>
        <w:tc>
          <w:tcPr>
            <w:tcW w:w="128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taxes paid, net</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(493)</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6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Noncash equipment acquisitions on contracts payable</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61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4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Intercompany balances and transactions have been eliminated in consolidation. Certain reclassifications have been made to prior period amounts to conform to current period presentation. See “Inventories” below for changes to our significant accounting policies, and the “Inventories” note for additional information.</w:t>
      </w:r>
    </w:p>
    <w:p>
      <w:pPr>
        <w:spacing w:after="0" w:line="21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Our fiscal year is the 52 or 53-week period ending on the Thursday closest to August 31. Fiscal 2023, 2022, and 2021 each contained 52 weeks. All period references are to our fiscal periods unless otherwise indicated.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and Hedging Instruments</w:t>
      </w:r>
    </w:p>
    <w:p>
      <w:pPr>
        <w:spacing w:after="0" w:line="25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use derivative instruments to manage our exposure to changes in currency exchange rates from (1) our monetary assets and liabilities denominated in currencies other than the U.S. dollar and (2) forecasted cash flows for certain capital expenditures and manufacturing costs. We also use derivative instruments to manage our exposure to changes in commodity prices for manufacturing supplies and to minimize certain exposures to changes in the fair value of fixed-rate debt that result from fluctuations in benchmark interest rates. Derivative instruments are measured at their fair values and recognized as either assets or liabilities.</w:t>
      </w:r>
    </w:p>
    <w:p>
      <w:pPr>
        <w:spacing w:after="0" w:line="2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 and cash flows are classified as investing activities in the statement of cash flows. For derivative instruments designated as cash flow hedges, gains or losses are included as a component of accumulated other comprehensive income and reclassified into earnings in the same line items and in the same periods in which the underlying transactions affect earnings. For derivative instruments designated as cash flow hedges, time value is excluded from the assessment of effectiveness and the gains and losses attributable to time value are recognized in earnings through an amortization approach. For derivative instruments designated as fair value hedges, changes in the fair values of the derivative instruments and the offsetting changes in the fair values of the underlying hedged items are both recognized in earnings. Cash flows from derivative instruments designated as cash flow hedges or fair value hedges are classified in the same category as the items being hedged.</w:t>
      </w:r>
    </w:p>
    <w:p>
      <w:pPr>
        <w:spacing w:after="0" w:line="2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415925</wp:posOffset>
            </wp:positionV>
            <wp:extent cx="659765"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5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Cash equivalents include highly liquid short-term investments with original maturities to us of three months or less that are 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Functional Currency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U.S. dollar is the functional currency for us and all of our consolidated subsidiaries.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perform an annual impairment assessment for goodwill in our fourth quarter each year.</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Incentives</w:t>
      </w:r>
    </w:p>
    <w:p>
      <w:pPr>
        <w:spacing w:after="0" w:line="25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receive incentives from governmental entities related to capital expenditures, expenses, and other activities. Our government incentives may require that we meet or maintain specified spending levels and other operational metrics and may be subject to reimbursement if such conditions are not met or maintained. Government incentives are recorded in the financial statements in accordance with their purpose: as a reduction of asset costs or a reduction of expenses. Incentives related to the acquisition or construction of fixed assets are recognized as a reduction in the carrying amounts of the related assets and reduce depreciation expense over the useful lives of the assets. Incentives related to specific operating activities are offset against the related expense in the period the expense is incurred. Government incentives received prior to being earned are recognized in current or noncurrent deferred income or restricted cash, whereas government incentives earned prior to being received are recognized in current or noncurrent receivables. Cash received from government incentives related to operating expenses is included as an operating activity in the statement of cash flows, whereas cash received from incentives related to the acquisition of property, plant, and equipment is included as an investing activity.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5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Effective as of the beginning of the second quarter of 2021, we changed the method of inventory costing from average cost to FIFO. The difference between average cost and FIFO was not material to any previously reported financial statements. Therefore, we have recognized the cumulative effect of the change as a reduction of inventories and a charge to cost of goods sold of $133 million as of the beginning of the second quarter of 2021.</w:t>
      </w:r>
    </w:p>
    <w:p>
      <w:pPr>
        <w:spacing w:after="0" w:line="20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Inventories are stated at the lower of cost or net realizable value, with cost being determined on a FIFO basis. Cost includes depreciation, labor, material, and overhead costs, including product and process technology costs. Determining net realizable value of finished goods and work in process inventories requires projecting future average selling prices, sales volumes, and costs per part. When net realizable value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w:t>
      </w:r>
    </w:p>
    <w:p>
      <w:pPr>
        <w:spacing w:after="0" w:line="3"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perform the lower of cost or net realizable value analysis and categorize all inventories (including DRAM, NAND, and other memory) as a single group.</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Leases</w:t>
      </w:r>
    </w:p>
    <w:p>
      <w:pPr>
        <w:spacing w:after="0" w:line="26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determine if an arrangement is a lease, or contains a lease, at the inception of the arrangement and evaluate whether the lease is an operating lease or a finance lease at the commencement date. We recognize right-of-use assets and lease liabilities for operating and finance leases with terms greater than 12 months. Right-of-use assets represent our right to use an asset for the lease term, while lease liabilities represent our obligation to make lease payments. We do not separate lease and non-lease components for real-estate and gas plant leases. Sublease income is included within lease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63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and Process Technology</w:t>
      </w:r>
    </w:p>
    <w:p>
      <w:pPr>
        <w:spacing w:after="0" w:line="25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Costs incurred to (1) acquire product and process technology, (2) patent technology, and (3) maintain patent technology, are capitalized and amortized on a straight-line basis over periods ranging up to 12.5 years. We capitalize a portion of costs incurred to patent technology based on historical data of patents issued as a percent of patents we file. Product and process technology costs are amortized over the shorter of</w:t>
      </w:r>
    </w:p>
    <w:p>
      <w:pPr>
        <w:ind w:right="300" w:firstLine="8"/>
        <w:spacing w:after="0" w:line="261"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estimated useful life of the technology, (2) the patent term, or (3) the term of the technology agreement. Fully-amortized assets are removed from product and process technology and accumulated amortization.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Warranty</w:t>
      </w:r>
    </w:p>
    <w:p>
      <w:pPr>
        <w:spacing w:after="0" w:line="25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generally provide a limited warranty that our products are in compliance with applicable specifications existing at the time of 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26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Property, plant, and equipment is stated at cost and depreciated using the straight-line method over estimated useful lives of generally 10 to 30 years for buildings, 7 years for production equipment, up to 7 years for other equipment, and 3 to 5 years for software. Assets held for sale are carried at the lower of estimated fair value or carrying value and are included in current assets. When property, plant, or equipment is retired or otherwise disposed, the net book value is removed and we recognize any gain or loss in results of operations.</w:t>
      </w:r>
    </w:p>
    <w:p>
      <w:pPr>
        <w:spacing w:after="0" w:line="21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We capitalize interest on borrowings during the period of time we carry out the activities necessary to bring assets to the condition of their intended use and location. Capitalized interest becomes part of the cost of assets.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5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Costs related to the conceptual formulation and design of products and processes are charged to R&amp;D expense as incurred. Development of a product is deemed complete when it is qualified through reviews and tests for performance and reliability. Subsequent to product qualification, product costs are included in cost of goods sold. Amounts from cost-sharing arrangements are reflected as a reduction of R&amp;D expense.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5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w:t>
      </w:r>
    </w:p>
    <w:p>
      <w:pPr>
        <w:spacing w:after="0" w:line="25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Stock-based compensation is measured at the grant date, based on the fair value of the award, and recognized as expense under the straight-line attribution method over the requisite service period. We account for forfeitures as they occur. We issue new shares upon the exercise of stock options, conversion of share units, or issuance of shares under our ESPP.</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Treasury Stock</w:t>
      </w:r>
    </w:p>
    <w:p>
      <w:pPr>
        <w:spacing w:after="0" w:line="253"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Treasury stock is carried at cost. When we retire our treasury stock, any excess of the repurchase price paid over par value is allocated between additional capital and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255905</wp:posOffset>
            </wp:positionV>
            <wp:extent cx="659765"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w:t>
      </w:r>
    </w:p>
    <w:p>
      <w:pPr>
        <w:spacing w:after="0" w:line="25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Lehi, Utah Fab and 3D XPoint</w:t>
      </w:r>
    </w:p>
    <w:p>
      <w:pPr>
        <w:spacing w:after="0" w:line="2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for the sale of our facility located in Lehi, Utah that was dedicated to 3D XPoint production. As a result, we classified the property, plant, and equipment as held for sale in 2021, ceased depreciating the assets, and recognized a $435 million restructure and asset impairment charge and a $104 million tax benefit.</w:t>
      </w:r>
    </w:p>
    <w:p>
      <w:pPr>
        <w:spacing w:after="0" w:line="219"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We closed the sale of our Lehi facility to TI in 2022 for $893 million and disposed of $ 918 million of net assets, consisting primarily of property, plant, and equipment, resulting in a $23 million loss, net of selling expenses and other adjustments.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number of special purpose entities (the "Lease SPEs") were created by a third-party to facilitate equipment lease financing transactions between us and financial institutions that fund the lease financing transactions ("Financing Entities"). Neither we nor the Financing Entities have an equity interest in the Lease SPEs. The Lease SPEs are variable interest entities because their equity is not sufficient to permit them to finance their activities without additional support from the Financing Entities and because the third-party equity holder lacks characteristics of a controlling financial interest. By design, the arrangements with the Lease SPEs are merely financing vehicles and we do not bear any significant risks from variable interests with the Lease SPEs. We have determined that we do not have the power to direct the activities of the Lease SPEs that most significantly impact their economic performance and we do not consolidate the Lease SPEs.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65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All of our short-term investments and long-term marketable investments were classified as available-for-sale as of the dates noted below.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ectPr>
          <w:pgSz w:w="11900" w:h="16838" w:orient="portrait"/>
          <w:cols w:equalWidth="0" w:num="1">
            <w:col w:w="11240"/>
          </w:cols>
          <w:pgMar w:left="320" w:top="121" w:right="339" w:bottom="1440" w:gutter="0" w:footer="0" w:header="0"/>
        </w:sectPr>
      </w:pPr>
    </w:p>
    <w:p>
      <w:pPr>
        <w:spacing w:after="0" w:line="2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As of August 31, 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Cash and</w:t>
            </w: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Short-term</w:t>
            </w:r>
          </w:p>
        </w:tc>
        <w:tc>
          <w:tcPr>
            <w:tcW w:w="13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Long-term</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Total Fair</w:t>
            </w:r>
          </w:p>
        </w:tc>
        <w:tc>
          <w:tcPr>
            <w:tcW w:w="0" w:type="dxa"/>
            <w:vAlign w:val="bottom"/>
          </w:tcPr>
          <w:p>
            <w:pPr>
              <w:spacing w:after="0"/>
              <w:rPr>
                <w:sz w:val="1"/>
                <w:szCs w:val="1"/>
                <w:color w:val="auto"/>
              </w:rPr>
            </w:pPr>
          </w:p>
        </w:tc>
      </w:tr>
      <w:tr>
        <w:trPr>
          <w:trHeight w:val="185"/>
        </w:trPr>
        <w:tc>
          <w:tcPr>
            <w:tcW w:w="20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Equivalents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Investments</w:t>
            </w:r>
          </w:p>
        </w:tc>
        <w:tc>
          <w:tcPr>
            <w:tcW w:w="13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1,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Cash and</w:t>
            </w: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Short-term</w:t>
            </w:r>
          </w:p>
        </w:tc>
        <w:tc>
          <w:tcPr>
            <w:tcW w:w="13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Long-term</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Total Fair</w:t>
            </w:r>
          </w:p>
        </w:tc>
        <w:tc>
          <w:tcPr>
            <w:tcW w:w="0" w:type="dxa"/>
            <w:vAlign w:val="bottom"/>
          </w:tcPr>
          <w:p>
            <w:pPr>
              <w:spacing w:after="0"/>
              <w:rPr>
                <w:sz w:val="1"/>
                <w:szCs w:val="1"/>
                <w:color w:val="auto"/>
              </w:rPr>
            </w:pPr>
          </w:p>
        </w:tc>
      </w:tr>
      <w:tr>
        <w:trPr>
          <w:trHeight w:val="185"/>
        </w:trPr>
        <w:tc>
          <w:tcPr>
            <w:tcW w:w="11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340" w:type="dxa"/>
            <w:vAlign w:val="bottom"/>
          </w:tcPr>
          <w:p>
            <w:pPr>
              <w:jc w:val="center"/>
              <w:spacing w:after="0" w:line="185"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Equivalents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Investments</w:t>
            </w:r>
          </w:p>
        </w:tc>
        <w:tc>
          <w:tcPr>
            <w:tcW w:w="13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2">
            <w:col w:w="6560" w:space="120"/>
            <w:col w:w="45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5,771</w:t>
            </w:r>
          </w:p>
        </w:tc>
        <w:tc>
          <w:tcPr>
            <w:tcW w:w="38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D1D2D4"/>
          </w:tcPr>
          <w:p>
            <w:pPr>
              <w:jc w:val="right"/>
              <w:ind w:right="35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5,771</w:t>
            </w:r>
          </w:p>
        </w:tc>
        <w:tc>
          <w:tcPr>
            <w:tcW w:w="120" w:type="dxa"/>
            <w:vAlign w:val="bottom"/>
            <w:shd w:val="clear" w:color="auto" w:fill="D1D2D4"/>
          </w:tcPr>
          <w:p>
            <w:pPr>
              <w:spacing w:after="0"/>
              <w:rPr>
                <w:sz w:val="19"/>
                <w:szCs w:val="19"/>
                <w:color w:val="auto"/>
              </w:rPr>
            </w:pPr>
          </w:p>
        </w:tc>
        <w:tc>
          <w:tcPr>
            <w:tcW w:w="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6,055</w:t>
            </w:r>
          </w:p>
        </w:tc>
        <w:tc>
          <w:tcPr>
            <w:tcW w:w="38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D1D2D4"/>
          </w:tcPr>
          <w:p>
            <w:pPr>
              <w:jc w:val="right"/>
              <w:ind w:right="27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1,629</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1,196</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1,172</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976</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737</w:t>
            </w: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759</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190"/>
        </w:trPr>
        <w:tc>
          <w:tcPr>
            <w:tcW w:w="2020" w:type="dxa"/>
            <w:vAlign w:val="bottom"/>
            <w:shd w:val="clear" w:color="auto" w:fill="D1D2D4"/>
          </w:tcPr>
          <w:p>
            <w:pPr>
              <w:ind w:left="140"/>
              <w:spacing w:after="0" w:line="189" w:lineRule="exact"/>
              <w:rPr>
                <w:sz w:val="20"/>
                <w:szCs w:val="20"/>
                <w:color w:val="auto"/>
              </w:rPr>
            </w:pPr>
            <w:r>
              <w:rPr>
                <w:rFonts w:ascii="Arial" w:cs="Arial" w:eastAsia="Arial" w:hAnsi="Arial"/>
                <w:sz w:val="18"/>
                <w:szCs w:val="18"/>
                <w:color w:val="auto"/>
              </w:rPr>
              <w:t>Asset-backed</w:t>
            </w:r>
          </w:p>
        </w:tc>
        <w:tc>
          <w:tcPr>
            <w:tcW w:w="360" w:type="dxa"/>
            <w:vAlign w:val="bottom"/>
            <w:shd w:val="clear" w:color="auto" w:fill="D1D2D4"/>
          </w:tcPr>
          <w:p>
            <w:pPr>
              <w:spacing w:after="0"/>
              <w:rPr>
                <w:sz w:val="16"/>
                <w:szCs w:val="16"/>
                <w:color w:val="auto"/>
              </w:rPr>
            </w:pPr>
          </w:p>
        </w:tc>
        <w:tc>
          <w:tcPr>
            <w:tcW w:w="760" w:type="dxa"/>
            <w:vAlign w:val="bottom"/>
            <w:shd w:val="clear" w:color="auto" w:fill="D1D2D4"/>
          </w:tcPr>
          <w:p>
            <w:pPr>
              <w:spacing w:after="0"/>
              <w:rPr>
                <w:sz w:val="16"/>
                <w:szCs w:val="16"/>
                <w:color w:val="auto"/>
              </w:rPr>
            </w:pPr>
          </w:p>
        </w:tc>
        <w:tc>
          <w:tcPr>
            <w:tcW w:w="380" w:type="dxa"/>
            <w:vAlign w:val="bottom"/>
            <w:shd w:val="clear" w:color="auto" w:fill="D1D2D4"/>
          </w:tcPr>
          <w:p>
            <w:pPr>
              <w:spacing w:after="0"/>
              <w:rPr>
                <w:sz w:val="16"/>
                <w:szCs w:val="16"/>
                <w:color w:val="auto"/>
              </w:rPr>
            </w:pPr>
          </w:p>
        </w:tc>
        <w:tc>
          <w:tcPr>
            <w:tcW w:w="780" w:type="dxa"/>
            <w:vAlign w:val="bottom"/>
            <w:shd w:val="clear" w:color="auto" w:fill="D1D2D4"/>
          </w:tcPr>
          <w:p>
            <w:pPr>
              <w:spacing w:after="0"/>
              <w:rPr>
                <w:sz w:val="16"/>
                <w:szCs w:val="16"/>
                <w:color w:val="auto"/>
              </w:rPr>
            </w:pPr>
          </w:p>
        </w:tc>
        <w:tc>
          <w:tcPr>
            <w:tcW w:w="580" w:type="dxa"/>
            <w:vAlign w:val="bottom"/>
            <w:shd w:val="clear" w:color="auto" w:fill="D1D2D4"/>
          </w:tcPr>
          <w:p>
            <w:pPr>
              <w:spacing w:after="0"/>
              <w:rPr>
                <w:sz w:val="16"/>
                <w:szCs w:val="16"/>
                <w:color w:val="auto"/>
              </w:rPr>
            </w:pPr>
          </w:p>
        </w:tc>
        <w:tc>
          <w:tcPr>
            <w:tcW w:w="780" w:type="dxa"/>
            <w:vAlign w:val="bottom"/>
            <w:shd w:val="clear" w:color="auto" w:fill="D1D2D4"/>
          </w:tcPr>
          <w:p>
            <w:pPr>
              <w:spacing w:after="0"/>
              <w:rPr>
                <w:sz w:val="16"/>
                <w:szCs w:val="16"/>
                <w:color w:val="auto"/>
              </w:rPr>
            </w:pPr>
          </w:p>
        </w:tc>
        <w:tc>
          <w:tcPr>
            <w:tcW w:w="220" w:type="dxa"/>
            <w:vAlign w:val="bottom"/>
            <w:shd w:val="clear" w:color="auto" w:fill="D1D2D4"/>
          </w:tcPr>
          <w:p>
            <w:pPr>
              <w:spacing w:after="0"/>
              <w:rPr>
                <w:sz w:val="16"/>
                <w:szCs w:val="16"/>
                <w:color w:val="auto"/>
              </w:rPr>
            </w:pPr>
          </w:p>
        </w:tc>
        <w:tc>
          <w:tcPr>
            <w:tcW w:w="68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360" w:type="dxa"/>
            <w:vAlign w:val="bottom"/>
            <w:shd w:val="clear" w:color="auto" w:fill="D1D2D4"/>
          </w:tcPr>
          <w:p>
            <w:pPr>
              <w:spacing w:after="0"/>
              <w:rPr>
                <w:sz w:val="16"/>
                <w:szCs w:val="16"/>
                <w:color w:val="auto"/>
              </w:rPr>
            </w:pPr>
          </w:p>
        </w:tc>
        <w:tc>
          <w:tcPr>
            <w:tcW w:w="760" w:type="dxa"/>
            <w:vAlign w:val="bottom"/>
            <w:shd w:val="clear" w:color="auto" w:fill="D1D2D4"/>
          </w:tcPr>
          <w:p>
            <w:pPr>
              <w:spacing w:after="0"/>
              <w:rPr>
                <w:sz w:val="16"/>
                <w:szCs w:val="16"/>
                <w:color w:val="auto"/>
              </w:rPr>
            </w:pPr>
          </w:p>
        </w:tc>
        <w:tc>
          <w:tcPr>
            <w:tcW w:w="380" w:type="dxa"/>
            <w:vAlign w:val="bottom"/>
            <w:shd w:val="clear" w:color="auto" w:fill="D1D2D4"/>
          </w:tcPr>
          <w:p>
            <w:pPr>
              <w:spacing w:after="0"/>
              <w:rPr>
                <w:sz w:val="16"/>
                <w:szCs w:val="16"/>
                <w:color w:val="auto"/>
              </w:rPr>
            </w:pPr>
          </w:p>
        </w:tc>
        <w:tc>
          <w:tcPr>
            <w:tcW w:w="780" w:type="dxa"/>
            <w:vAlign w:val="bottom"/>
            <w:shd w:val="clear" w:color="auto" w:fill="D1D2D4"/>
          </w:tcPr>
          <w:p>
            <w:pPr>
              <w:spacing w:after="0"/>
              <w:rPr>
                <w:sz w:val="16"/>
                <w:szCs w:val="16"/>
                <w:color w:val="auto"/>
              </w:rPr>
            </w:pPr>
          </w:p>
        </w:tc>
        <w:tc>
          <w:tcPr>
            <w:tcW w:w="500" w:type="dxa"/>
            <w:vAlign w:val="bottom"/>
            <w:shd w:val="clear" w:color="auto" w:fill="D1D2D4"/>
          </w:tcPr>
          <w:p>
            <w:pPr>
              <w:spacing w:after="0"/>
              <w:rPr>
                <w:sz w:val="16"/>
                <w:szCs w:val="16"/>
                <w:color w:val="auto"/>
              </w:rPr>
            </w:pPr>
          </w:p>
        </w:tc>
        <w:tc>
          <w:tcPr>
            <w:tcW w:w="88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w:t>
            </w:r>
          </w:p>
        </w:tc>
        <w:tc>
          <w:tcPr>
            <w:tcW w:w="58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D1D2D4"/>
          </w:tcPr>
          <w:p>
            <w:pPr>
              <w:spacing w:after="0"/>
              <w:rPr>
                <w:sz w:val="19"/>
                <w:szCs w:val="19"/>
                <w:color w:val="auto"/>
              </w:rPr>
            </w:pPr>
          </w:p>
        </w:tc>
        <w:tc>
          <w:tcPr>
            <w:tcW w:w="36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500" w:type="dxa"/>
            <w:vAlign w:val="bottom"/>
            <w:tcBorders>
              <w:bottom w:val="single" w:sz="8" w:color="auto"/>
            </w:tcBorders>
            <w:shd w:val="clear" w:color="auto" w:fill="D1D2D4"/>
          </w:tcPr>
          <w:p>
            <w:pPr>
              <w:spacing w:after="0"/>
              <w:rPr>
                <w:sz w:val="19"/>
                <w:szCs w:val="19"/>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8,577</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8,262</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10,978</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360" w:type="dxa"/>
            <w:vAlign w:val="bottom"/>
            <w:tcBorders>
              <w:bottom w:val="single" w:sz="8" w:color="D1D2D4"/>
            </w:tcBorders>
          </w:tcPr>
          <w:p>
            <w:pPr>
              <w:spacing w:after="0" w:line="20" w:lineRule="exact"/>
              <w:rPr>
                <w:sz w:val="1"/>
                <w:szCs w:val="1"/>
                <w:color w:val="auto"/>
              </w:rPr>
            </w:pPr>
          </w:p>
        </w:tc>
        <w:tc>
          <w:tcPr>
            <w:tcW w:w="760" w:type="dxa"/>
            <w:vAlign w:val="bottom"/>
            <w:tcBorders>
              <w:bottom w:val="single" w:sz="8" w:color="D1D2D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360" w:type="dxa"/>
            <w:vAlign w:val="bottom"/>
            <w:tcBorders>
              <w:bottom w:val="single" w:sz="8" w:color="D1D2D4"/>
            </w:tcBorders>
          </w:tcPr>
          <w:p>
            <w:pPr>
              <w:spacing w:after="0" w:line="20" w:lineRule="exact"/>
              <w:rPr>
                <w:sz w:val="1"/>
                <w:szCs w:val="1"/>
                <w:color w:val="auto"/>
              </w:rPr>
            </w:pPr>
          </w:p>
        </w:tc>
        <w:tc>
          <w:tcPr>
            <w:tcW w:w="760" w:type="dxa"/>
            <w:vAlign w:val="bottom"/>
            <w:tcBorders>
              <w:bottom w:val="single" w:sz="8" w:color="D1D2D4"/>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360" w:type="dxa"/>
            <w:vAlign w:val="bottom"/>
            <w:tcBorders>
              <w:bottom w:val="single" w:sz="8" w:color="auto"/>
            </w:tcBorders>
            <w:shd w:val="clear" w:color="auto" w:fill="D1D2D4"/>
          </w:tcPr>
          <w:p>
            <w:pPr>
              <w:spacing w:after="0"/>
              <w:rPr>
                <w:sz w:val="17"/>
                <w:szCs w:val="17"/>
                <w:color w:val="auto"/>
              </w:rPr>
            </w:pPr>
          </w:p>
        </w:tc>
        <w:tc>
          <w:tcPr>
            <w:tcW w:w="76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79</w:t>
            </w:r>
          </w:p>
        </w:tc>
        <w:tc>
          <w:tcPr>
            <w:tcW w:w="380" w:type="dxa"/>
            <w:vAlign w:val="bottom"/>
            <w:shd w:val="clear" w:color="auto" w:fill="D1D2D4"/>
          </w:tcPr>
          <w:p>
            <w:pPr>
              <w:spacing w:after="0"/>
              <w:rPr>
                <w:sz w:val="17"/>
                <w:szCs w:val="17"/>
                <w:color w:val="auto"/>
              </w:rPr>
            </w:pPr>
          </w:p>
        </w:tc>
        <w:tc>
          <w:tcPr>
            <w:tcW w:w="780" w:type="dxa"/>
            <w:vAlign w:val="bottom"/>
            <w:shd w:val="clear" w:color="auto" w:fill="D1D2D4"/>
          </w:tcPr>
          <w:p>
            <w:pPr>
              <w:spacing w:after="0"/>
              <w:rPr>
                <w:sz w:val="17"/>
                <w:szCs w:val="17"/>
                <w:color w:val="auto"/>
              </w:rPr>
            </w:pPr>
          </w:p>
        </w:tc>
        <w:tc>
          <w:tcPr>
            <w:tcW w:w="580" w:type="dxa"/>
            <w:vAlign w:val="bottom"/>
            <w:shd w:val="clear" w:color="auto" w:fill="D1D2D4"/>
          </w:tcPr>
          <w:p>
            <w:pPr>
              <w:spacing w:after="0"/>
              <w:rPr>
                <w:sz w:val="17"/>
                <w:szCs w:val="17"/>
                <w:color w:val="auto"/>
              </w:rPr>
            </w:pPr>
          </w:p>
        </w:tc>
        <w:tc>
          <w:tcPr>
            <w:tcW w:w="78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68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360" w:type="dxa"/>
            <w:vAlign w:val="bottom"/>
            <w:tcBorders>
              <w:bottom w:val="single" w:sz="8" w:color="auto"/>
            </w:tcBorders>
            <w:shd w:val="clear" w:color="auto" w:fill="D1D2D4"/>
          </w:tcPr>
          <w:p>
            <w:pPr>
              <w:spacing w:after="0"/>
              <w:rPr>
                <w:sz w:val="17"/>
                <w:szCs w:val="17"/>
                <w:color w:val="auto"/>
              </w:rPr>
            </w:pPr>
          </w:p>
        </w:tc>
        <w:tc>
          <w:tcPr>
            <w:tcW w:w="76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77</w:t>
            </w:r>
          </w:p>
        </w:tc>
        <w:tc>
          <w:tcPr>
            <w:tcW w:w="380" w:type="dxa"/>
            <w:vAlign w:val="bottom"/>
            <w:shd w:val="clear" w:color="auto" w:fill="D1D2D4"/>
          </w:tcPr>
          <w:p>
            <w:pPr>
              <w:spacing w:after="0"/>
              <w:rPr>
                <w:sz w:val="17"/>
                <w:szCs w:val="17"/>
                <w:color w:val="auto"/>
              </w:rPr>
            </w:pPr>
          </w:p>
        </w:tc>
        <w:tc>
          <w:tcPr>
            <w:tcW w:w="780" w:type="dxa"/>
            <w:vAlign w:val="bottom"/>
            <w:shd w:val="clear" w:color="auto" w:fill="D1D2D4"/>
          </w:tcPr>
          <w:p>
            <w:pPr>
              <w:spacing w:after="0"/>
              <w:rPr>
                <w:sz w:val="17"/>
                <w:szCs w:val="17"/>
                <w:color w:val="auto"/>
              </w:rPr>
            </w:pPr>
          </w:p>
        </w:tc>
        <w:tc>
          <w:tcPr>
            <w:tcW w:w="500" w:type="dxa"/>
            <w:vAlign w:val="bottom"/>
            <w:shd w:val="clear" w:color="auto" w:fill="D1D2D4"/>
          </w:tcPr>
          <w:p>
            <w:pPr>
              <w:spacing w:after="0"/>
              <w:rPr>
                <w:sz w:val="17"/>
                <w:szCs w:val="17"/>
                <w:color w:val="auto"/>
              </w:rPr>
            </w:pPr>
          </w:p>
        </w:tc>
        <w:tc>
          <w:tcPr>
            <w:tcW w:w="88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20" w:type="dxa"/>
            <w:vAlign w:val="bottom"/>
          </w:tcPr>
          <w:p>
            <w:pPr>
              <w:ind w:left="20"/>
              <w:spacing w:after="0" w:line="170" w:lineRule="exact"/>
              <w:rPr>
                <w:sz w:val="20"/>
                <w:szCs w:val="20"/>
                <w:color w:val="auto"/>
              </w:rPr>
            </w:pPr>
            <w:r>
              <w:rPr>
                <w:rFonts w:ascii="Arial" w:cs="Arial" w:eastAsia="Arial" w:hAnsi="Arial"/>
                <w:sz w:val="18"/>
                <w:szCs w:val="18"/>
                <w:color w:val="auto"/>
              </w:rPr>
              <w:t>Cash, cash equivalents,</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8,656</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8,339</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line="202" w:lineRule="exact"/>
              <w:rPr>
                <w:sz w:val="20"/>
                <w:szCs w:val="20"/>
                <w:color w:val="auto"/>
              </w:rPr>
            </w:pPr>
            <w:r>
              <w:rPr>
                <w:rFonts w:ascii="Arial" w:cs="Arial" w:eastAsia="Arial" w:hAnsi="Arial"/>
                <w:sz w:val="18"/>
                <w:szCs w:val="18"/>
                <w:color w:val="auto"/>
              </w:rPr>
              <w:t>and restricted cash</w:t>
            </w:r>
          </w:p>
        </w:tc>
        <w:tc>
          <w:tcPr>
            <w:tcW w:w="3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60" w:right="240" w:hanging="252"/>
        <w:spacing w:after="0" w:line="229" w:lineRule="auto"/>
        <w:tabs>
          <w:tab w:leader="none" w:pos="254" w:val="left"/>
        </w:tabs>
        <w:numPr>
          <w:ilvl w:val="0"/>
          <w:numId w:val="2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investments primarily range from one to five years, except for asset-backed securities which are not due at a single maturity date.</w:t>
      </w:r>
    </w:p>
    <w:p>
      <w:pPr>
        <w:ind w:left="240" w:hanging="232"/>
        <w:spacing w:after="0" w:line="196" w:lineRule="auto"/>
        <w:tabs>
          <w:tab w:leader="none" w:pos="2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140" w:hanging="252"/>
        <w:spacing w:after="0" w:line="237" w:lineRule="auto"/>
        <w:tabs>
          <w:tab w:leader="none" w:pos="254" w:val="left"/>
        </w:tabs>
        <w:numPr>
          <w:ilvl w:val="0"/>
          <w:numId w:val="2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August 31, 2023 or September 1, 2022.</w:t>
      </w:r>
    </w:p>
    <w:p>
      <w:pPr>
        <w:spacing w:after="0" w:line="1" w:lineRule="exact"/>
        <w:rPr>
          <w:rFonts w:ascii="Arial" w:cs="Arial" w:eastAsia="Arial" w:hAnsi="Arial"/>
          <w:sz w:val="23"/>
          <w:szCs w:val="23"/>
          <w:i w:val="1"/>
          <w:iCs w:val="1"/>
          <w:color w:val="auto"/>
          <w:vertAlign w:val="superscript"/>
        </w:rPr>
      </w:pPr>
    </w:p>
    <w:p>
      <w:pPr>
        <w:ind w:left="260" w:right="180" w:hanging="252"/>
        <w:spacing w:after="0" w:line="229" w:lineRule="auto"/>
        <w:tabs>
          <w:tab w:leader="none" w:pos="254" w:val="left"/>
        </w:tabs>
        <w:numPr>
          <w:ilvl w:val="0"/>
          <w:numId w:val="2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Non-marketable Equity Investments</w:t>
      </w:r>
    </w:p>
    <w:p>
      <w:pPr>
        <w:spacing w:after="0" w:line="239"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In addition to the amounts included in the table above, we had $218 million and $222 million of non-marketable equity investments without a readily determinable fair value that were included in other noncurrent assets as of August 31, 2023 and September 1, 2022, respectively. For non-marketable investments, we recognized in other non-operating income (expense) a net loss of $7 million for 2023 and net gains of</w:t>
      </w:r>
    </w:p>
    <w:p>
      <w:pPr>
        <w:spacing w:after="0" w:line="1"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$36 million for 2022 and $70 million for 2021. Our non-marketable equity investments are recorded at fair value on a non-recurring basis and classified as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579755</wp:posOffset>
            </wp:positionV>
            <wp:extent cx="659765"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8360" w:type="dxa"/>
            <w:vAlign w:val="bottom"/>
          </w:tcPr>
          <w:p>
            <w:pPr>
              <w:spacing w:after="0"/>
              <w:rPr>
                <w:sz w:val="20"/>
                <w:szCs w:val="20"/>
                <w:color w:val="auto"/>
              </w:rPr>
            </w:pPr>
            <w:r>
              <w:rPr>
                <w:rFonts w:ascii="Arial" w:cs="Arial" w:eastAsia="Arial" w:hAnsi="Arial"/>
                <w:sz w:val="40"/>
                <w:szCs w:val="40"/>
                <w:b w:val="1"/>
                <w:bCs w:val="1"/>
                <w:color w:val="auto"/>
              </w:rPr>
              <w:t>Receivables</w:t>
            </w:r>
          </w:p>
        </w:tc>
        <w:tc>
          <w:tcPr>
            <w:tcW w:w="180" w:type="dxa"/>
            <w:vAlign w:val="bottom"/>
          </w:tcPr>
          <w:p>
            <w:pPr>
              <w:spacing w:after="0"/>
              <w:rPr>
                <w:sz w:val="24"/>
                <w:szCs w:val="24"/>
                <w:color w:val="auto"/>
              </w:rPr>
            </w:pPr>
          </w:p>
        </w:tc>
        <w:tc>
          <w:tcPr>
            <w:tcW w:w="12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August 31,</w:t>
            </w:r>
          </w:p>
        </w:tc>
        <w:tc>
          <w:tcPr>
            <w:tcW w:w="120" w:type="dxa"/>
            <w:vAlign w:val="bottom"/>
          </w:tcPr>
          <w:p>
            <w:pPr>
              <w:spacing w:after="0"/>
              <w:rPr>
                <w:sz w:val="24"/>
                <w:szCs w:val="24"/>
                <w:color w:val="auto"/>
              </w:rPr>
            </w:pPr>
          </w:p>
        </w:tc>
        <w:tc>
          <w:tcPr>
            <w:tcW w:w="60" w:type="dxa"/>
            <w:vAlign w:val="bottom"/>
            <w:tcBorders>
              <w:top w:val="single" w:sz="8" w:color="BD03F7"/>
            </w:tcBorders>
          </w:tcPr>
          <w:p>
            <w:pPr>
              <w:spacing w:after="0"/>
              <w:rPr>
                <w:sz w:val="24"/>
                <w:szCs w:val="24"/>
                <w:color w:val="auto"/>
              </w:rPr>
            </w:pPr>
          </w:p>
        </w:tc>
        <w:tc>
          <w:tcPr>
            <w:tcW w:w="1300" w:type="dxa"/>
            <w:vAlign w:val="bottom"/>
            <w:tcBorders>
              <w:top w:val="single" w:sz="8" w:color="BD03F7"/>
            </w:tcBorders>
            <w:vMerge w:val="restart"/>
          </w:tcPr>
          <w:p>
            <w:pPr>
              <w:jc w:val="center"/>
              <w:ind w:right="5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153"/>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83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2,048</w:t>
            </w:r>
          </w:p>
        </w:tc>
        <w:tc>
          <w:tcPr>
            <w:tcW w:w="1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1"/>
        </w:trPr>
        <w:tc>
          <w:tcPr>
            <w:tcW w:w="8360" w:type="dxa"/>
            <w:vAlign w:val="bottom"/>
            <w:vMerge w:val="restart"/>
          </w:tcPr>
          <w:p>
            <w:pPr>
              <w:spacing w:after="0"/>
              <w:rPr>
                <w:sz w:val="20"/>
                <w:szCs w:val="20"/>
                <w:color w:val="auto"/>
              </w:rPr>
            </w:pPr>
            <w:r>
              <w:rPr>
                <w:rFonts w:ascii="Arial" w:cs="Arial" w:eastAsia="Arial" w:hAnsi="Arial"/>
                <w:sz w:val="40"/>
                <w:szCs w:val="40"/>
                <w:b w:val="1"/>
                <w:bCs w:val="1"/>
                <w:color w:val="auto"/>
              </w:rPr>
              <w:t>Inventories</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8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August 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1,616</w:t>
            </w:r>
          </w:p>
        </w:tc>
        <w:tc>
          <w:tcPr>
            <w:tcW w:w="1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18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w:t>
            </w: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In 2023, we recorded charges of $1.83 billion to cost of goods sold to write down the carrying value of work in process and finished goods inventories to their estimated net realizable value.</w:t>
      </w:r>
    </w:p>
    <w:p>
      <w:pPr>
        <w:spacing w:after="0" w:line="20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This change in accounting principle is preferable because in an environment with continuously changing production costs FIFO more closely matches the actual cost of goods sold with the revenues from sales of those specific units, better represents the actual cost of inventories remaining on hand at any period-end, and improves comparability with our semiconductor industry peers. The change to FIFO was not material to any prior periods, nor was the cumulative effect of $133 million material to the second quarter of 2021. As such, prior periods were not retrospectively adjusted, and the cumulative effect was reported as an increase to cost of goods sold for the second quarter of 2021 of $133 million, with an offsetting reduction to beginning inventories. This charge resulted in a corresponding reduction to operating income (loss), a $128 million reduction to net income (loss), and an $0.11 reduction to diluted earnings per share for both the second quarter and the year ended 2021.</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31,</w:t>
            </w:r>
          </w:p>
        </w:tc>
        <w:tc>
          <w:tcPr>
            <w:tcW w:w="1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39"/>
        </w:trPr>
        <w:tc>
          <w:tcPr>
            <w:tcW w:w="83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17,967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65,555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61,354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2,464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1,316</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87,585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81,331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(49,657)</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(42,782)</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right="380" w:hanging="252"/>
        <w:spacing w:after="0" w:line="229" w:lineRule="auto"/>
        <w:tabs>
          <w:tab w:leader="none" w:pos="254" w:val="left"/>
        </w:tabs>
        <w:numPr>
          <w:ilvl w:val="0"/>
          <w:numId w:val="2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$2.91 billion as of August 31, 2023 and $3.35 billion as of September 1, 2022.</w:t>
      </w:r>
    </w:p>
    <w:p>
      <w:pPr>
        <w:ind w:left="240" w:hanging="232"/>
        <w:spacing w:after="0" w:line="196" w:lineRule="auto"/>
        <w:tabs>
          <w:tab w:leader="none" w:pos="240" w:val="left"/>
        </w:tabs>
        <w:numPr>
          <w:ilvl w:val="0"/>
          <w:numId w:val="2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3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Depreciation expense was $7.67 billion, $ 7.03 billion, and $6.13 billion for 2023, 2022, and 2021, respectively. Interest capitalized as part of the cost of property, plant, and equipment was $208 million, $77 million, and $66 million for 2023, 2022, and 2021,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67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w:t>
      </w:r>
    </w:p>
    <w:p>
      <w:pPr>
        <w:sectPr>
          <w:pgSz w:w="11900" w:h="16838" w:orient="portrait"/>
          <w:cols w:equalWidth="0" w:num="1">
            <w:col w:w="11240"/>
          </w:cols>
          <w:pgMar w:left="320" w:top="121" w:right="339" w:bottom="1440" w:gutter="0" w:footer="0" w:header="0"/>
        </w:sectPr>
      </w:pPr>
    </w:p>
    <w:p>
      <w:pPr>
        <w:spacing w:after="0" w:line="8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As of August 31, 2023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2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Gross</w:t>
            </w:r>
          </w:p>
        </w:tc>
        <w:tc>
          <w:tcPr>
            <w:tcW w:w="1540" w:type="dxa"/>
            <w:vAlign w:val="bottom"/>
            <w:tcBorders>
              <w:top w:val="single" w:sz="8" w:color="auto"/>
            </w:tcBorders>
          </w:tcPr>
          <w:p>
            <w:pPr>
              <w:ind w:left="240"/>
              <w:spacing w:after="0" w:line="173" w:lineRule="exact"/>
              <w:rPr>
                <w:sz w:val="20"/>
                <w:szCs w:val="20"/>
                <w:color w:val="auto"/>
              </w:rPr>
            </w:pPr>
            <w:r>
              <w:rPr>
                <w:rFonts w:ascii="Arial" w:cs="Arial" w:eastAsia="Arial" w:hAnsi="Arial"/>
                <w:sz w:val="18"/>
                <w:szCs w:val="18"/>
                <w:b w:val="1"/>
                <w:bCs w:val="1"/>
                <w:color w:val="auto"/>
              </w:rPr>
              <w:t>Accumulated</w:t>
            </w:r>
          </w:p>
        </w:tc>
        <w:tc>
          <w:tcPr>
            <w:tcW w:w="13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Net Carrying</w:t>
            </w:r>
          </w:p>
        </w:tc>
      </w:tr>
      <w:tr>
        <w:trPr>
          <w:trHeight w:val="239"/>
        </w:trPr>
        <w:tc>
          <w:tcPr>
            <w:tcW w:w="2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7"/>
              </w:rPr>
              <w:t>Amount</w:t>
            </w:r>
          </w:p>
        </w:tc>
        <w:tc>
          <w:tcPr>
            <w:tcW w:w="15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Amortization</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1,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Borders>
              <w:top w:val="single" w:sz="8" w:color="auto"/>
            </w:tcBorders>
          </w:tcPr>
          <w:p>
            <w:pPr>
              <w:jc w:val="center"/>
              <w:ind w:left="30"/>
              <w:spacing w:after="0" w:line="173" w:lineRule="exact"/>
              <w:rPr>
                <w:sz w:val="20"/>
                <w:szCs w:val="20"/>
                <w:color w:val="auto"/>
              </w:rPr>
            </w:pPr>
            <w:r>
              <w:rPr>
                <w:rFonts w:ascii="Arial" w:cs="Arial" w:eastAsia="Arial" w:hAnsi="Arial"/>
                <w:sz w:val="18"/>
                <w:szCs w:val="18"/>
                <w:b w:val="1"/>
                <w:bCs w:val="1"/>
                <w:color w:val="auto"/>
                <w:w w:val="99"/>
              </w:rPr>
              <w:t>Gross</w:t>
            </w:r>
          </w:p>
        </w:tc>
        <w:tc>
          <w:tcPr>
            <w:tcW w:w="1540" w:type="dxa"/>
            <w:vAlign w:val="bottom"/>
            <w:tcBorders>
              <w:top w:val="single" w:sz="8" w:color="auto"/>
            </w:tcBorders>
          </w:tcPr>
          <w:p>
            <w:pPr>
              <w:ind w:left="260"/>
              <w:spacing w:after="0" w:line="173" w:lineRule="exact"/>
              <w:rPr>
                <w:sz w:val="20"/>
                <w:szCs w:val="20"/>
                <w:color w:val="auto"/>
              </w:rPr>
            </w:pPr>
            <w:r>
              <w:rPr>
                <w:rFonts w:ascii="Arial" w:cs="Arial" w:eastAsia="Arial" w:hAnsi="Arial"/>
                <w:sz w:val="18"/>
                <w:szCs w:val="18"/>
                <w:b w:val="1"/>
                <w:bCs w:val="1"/>
                <w:color w:val="auto"/>
              </w:rPr>
              <w:t>Accumulated</w:t>
            </w:r>
          </w:p>
        </w:tc>
        <w:tc>
          <w:tcPr>
            <w:tcW w:w="140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Net Carrying</w:t>
            </w:r>
          </w:p>
        </w:tc>
      </w:tr>
      <w:tr>
        <w:trPr>
          <w:trHeight w:val="239"/>
        </w:trPr>
        <w:tc>
          <w:tcPr>
            <w:tcW w:w="12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Amount</w:t>
            </w:r>
          </w:p>
        </w:tc>
        <w:tc>
          <w:tcPr>
            <w:tcW w:w="15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Amortization</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Amount</w:t>
            </w:r>
          </w:p>
        </w:tc>
      </w:tr>
    </w:tbl>
    <w:p>
      <w:pPr>
        <w:spacing w:after="0" w:line="41" w:lineRule="exact"/>
        <w:rPr>
          <w:sz w:val="20"/>
          <w:szCs w:val="20"/>
          <w:color w:val="auto"/>
        </w:rPr>
      </w:pPr>
    </w:p>
    <w:p>
      <w:pPr>
        <w:sectPr>
          <w:pgSz w:w="11900" w:h="16838" w:orient="portrait"/>
          <w:cols w:equalWidth="0" w:num="2">
            <w:col w:w="6900" w:space="120"/>
            <w:col w:w="4220"/>
          </w:cols>
          <w:pgMar w:left="320" w:top="121" w:right="339" w:bottom="1440" w:gutter="0" w:footer="0" w:header="0"/>
          <w:type w:val="continuous"/>
        </w:sectPr>
      </w:pPr>
    </w:p>
    <w:p>
      <w:pPr>
        <w:ind w:left="20"/>
        <w:spacing w:after="0"/>
        <w:tabs>
          <w:tab w:leader="none" w:pos="3680" w:val="left"/>
          <w:tab w:leader="none" w:pos="5040" w:val="left"/>
          <w:tab w:leader="none" w:pos="6500" w:val="left"/>
          <w:tab w:leader="none" w:pos="7020" w:val="left"/>
          <w:tab w:leader="none" w:pos="8020" w:val="left"/>
          <w:tab w:leader="none" w:pos="9360" w:val="left"/>
          <w:tab w:leader="none" w:pos="10840" w:val="left"/>
        </w:tabs>
        <w:rPr>
          <w:sz w:val="20"/>
          <w:szCs w:val="20"/>
          <w:color w:val="auto"/>
        </w:rPr>
      </w:pPr>
      <w:r>
        <w:rPr>
          <w:rFonts w:ascii="Arial" w:cs="Arial" w:eastAsia="Arial" w:hAnsi="Arial"/>
          <w:sz w:val="18"/>
          <w:szCs w:val="18"/>
          <w:color w:val="auto"/>
        </w:rPr>
        <w:t>Product and process technology $</w:t>
      </w:r>
      <w:r>
        <w:rPr>
          <w:sz w:val="20"/>
          <w:szCs w:val="20"/>
          <w:color w:val="auto"/>
        </w:rPr>
        <w:tab/>
      </w:r>
      <w:r>
        <w:rPr>
          <w:rFonts w:ascii="Arial" w:cs="Arial" w:eastAsia="Arial" w:hAnsi="Arial"/>
          <w:sz w:val="18"/>
          <w:szCs w:val="18"/>
          <w:color w:val="auto"/>
        </w:rPr>
        <w:t>613 $</w:t>
      </w:r>
      <w:r>
        <w:rPr>
          <w:sz w:val="20"/>
          <w:szCs w:val="20"/>
          <w:color w:val="auto"/>
        </w:rPr>
        <w:tab/>
      </w:r>
      <w:r>
        <w:rPr>
          <w:rFonts w:ascii="Arial" w:cs="Arial" w:eastAsia="Arial" w:hAnsi="Arial"/>
          <w:sz w:val="18"/>
          <w:szCs w:val="18"/>
          <w:color w:val="auto"/>
        </w:rPr>
        <w:t>(209) $</w:t>
      </w:r>
      <w:r>
        <w:rPr>
          <w:sz w:val="20"/>
          <w:szCs w:val="20"/>
          <w:color w:val="auto"/>
        </w:rPr>
        <w:tab/>
      </w:r>
      <w:r>
        <w:rPr>
          <w:rFonts w:ascii="Arial" w:cs="Arial" w:eastAsia="Arial" w:hAnsi="Arial"/>
          <w:sz w:val="18"/>
          <w:szCs w:val="18"/>
          <w:color w:val="auto"/>
        </w:rPr>
        <w:t>404</w:t>
        <w:tab/>
        <w:t>$</w:t>
      </w:r>
      <w:r>
        <w:rPr>
          <w:sz w:val="20"/>
          <w:szCs w:val="20"/>
          <w:color w:val="auto"/>
        </w:rPr>
        <w:tab/>
      </w:r>
      <w:r>
        <w:rPr>
          <w:rFonts w:ascii="Arial" w:cs="Arial" w:eastAsia="Arial" w:hAnsi="Arial"/>
          <w:sz w:val="18"/>
          <w:szCs w:val="18"/>
          <w:color w:val="auto"/>
        </w:rPr>
        <w:t>742 $</w:t>
      </w:r>
      <w:r>
        <w:rPr>
          <w:sz w:val="20"/>
          <w:szCs w:val="20"/>
          <w:color w:val="auto"/>
        </w:rPr>
        <w:tab/>
      </w:r>
      <w:r>
        <w:rPr>
          <w:rFonts w:ascii="Arial" w:cs="Arial" w:eastAsia="Arial" w:hAnsi="Arial"/>
          <w:sz w:val="18"/>
          <w:szCs w:val="18"/>
          <w:color w:val="auto"/>
        </w:rPr>
        <w:t>(321) $</w:t>
      </w:r>
      <w:r>
        <w:rPr>
          <w:sz w:val="20"/>
          <w:szCs w:val="20"/>
          <w:color w:val="auto"/>
        </w:rPr>
        <w:tab/>
      </w:r>
      <w:r>
        <w:rPr>
          <w:rFonts w:ascii="Arial" w:cs="Arial" w:eastAsia="Arial" w:hAnsi="Arial"/>
          <w:sz w:val="17"/>
          <w:szCs w:val="17"/>
          <w:color w:val="auto"/>
        </w:rPr>
        <w:t>421</w:t>
      </w:r>
    </w:p>
    <w:p>
      <w:pPr>
        <w:spacing w:after="0" w:line="347"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In 2023, 2022, and 2021, we capitalized $87 million, $158 million, and $106 million, respectively, for product and process technology with weighted-average useful lives of 9 years. Amortization expense was $86 million, $85 million, and $82 million for 2023, 2022, and 2021, respectively. Expected amortization expense is $75 million for 2024, $51 million for 2025, $47 million for 2026, $43 million for 2027, and $42 million for 2028.</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Goodwill</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4000" w:type="dxa"/>
            <w:vAlign w:val="bottom"/>
          </w:tcPr>
          <w:p>
            <w:pPr>
              <w:spacing w:after="0"/>
              <w:rPr>
                <w:sz w:val="17"/>
                <w:szCs w:val="17"/>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August 31,</w:t>
            </w:r>
          </w:p>
        </w:tc>
        <w:tc>
          <w:tcPr>
            <w:tcW w:w="160" w:type="dxa"/>
            <w:vAlign w:val="bottom"/>
          </w:tcPr>
          <w:p>
            <w:pPr>
              <w:spacing w:after="0"/>
              <w:rPr>
                <w:sz w:val="17"/>
                <w:szCs w:val="17"/>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auto"/>
            </w:tcBorders>
            <w:vMerge w:val="continue"/>
          </w:tcPr>
          <w:p>
            <w:pPr>
              <w:spacing w:after="0"/>
              <w:rPr>
                <w:sz w:val="21"/>
                <w:szCs w:val="21"/>
                <w:color w:val="auto"/>
              </w:rPr>
            </w:pPr>
          </w:p>
        </w:tc>
        <w:tc>
          <w:tcPr>
            <w:tcW w:w="40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45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4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fourth quarter of 2023, we recognized a charge of $101 million included in other operating income (loss) to impair all of the goodwill assigned to our SBU reporting unit based on a quantitative assessment for impairment. We evaluated the fair value of our reporting units for the assessment based on an income approach, which uses a discounted cash flow methodology. The impairment of SBU goodwill reflects lower forecasted cash flows for SBU as a result of adverse conditions in the storage industry environment due to weak demand in many end markets combined with global and macroeconomic challenges and lower demand resulting from customer actions to reduce elevated inventory levels. These conditions led to significant reductions in SBU’s average selling prices and bit shipments, driving declines in revenue and cash flows. The quantitative assessment for impairment indicated that the fair value for all of our other reporting units substantially exceeded their carrying value.</w:t>
      </w:r>
    </w:p>
    <w:p>
      <w:pPr>
        <w:spacing w:after="0" w:line="21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of August 31, 2023, CNBU, MBU, and EBU had goodwill of $855 million, $198 million, and $97 million, respectively. As of September 1, 2022, CNBU, MBU, SBU, and EBU had goodwill of $832 million, $198 million, $101 million, and $97 million, respectively. The Company added $23 million of goodwill to CNBU from an acquisition in the third quarter of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7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have finance and operating leases through which we obtain the right to use facilities, land, and equipment that support our business operations. Our finance leases consist primarily of (i) gas and other supply agreements that are deemed to contain embedded leases and (ii) equipment leases. Our operating leases consist primarily of offices, laboratories, other facilities, and land. Certain of our operating leases include one or more options to extend the lease term for periods from one year to 10 years for real estate and one year to 99 years for land.</w:t>
      </w:r>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supply or service agreements require us to exercise significant judgment to determine whether the agreement contains a lease. Our assessment includes determining whether we or the supplier control the assets used to fulfill the agreements by identifying whether we or the supplier have the right to change the type, quantity, timing, or location of the output of the assets. Our gas supply arrangements generally are deemed to contain a lease because we have the right to substantially all of the output of the assets used to produce the supply and we have the right to change the quantity and timing of the output of those assets. In determining the lease term, we assess whether we are reasonably certain to exercise any options to renew or terminate a lease or to purchase the right-of-use asset. Measuring the present value of the initial lease liability requires judgment to determine the discount rate, which we base on interest rates for borrowings with similar terms and collateral issued by entities with credit ratings similar to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421005</wp:posOffset>
            </wp:positionV>
            <wp:extent cx="659765"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The components of lease cost are presented below:</w:t>
            </w:r>
          </w:p>
        </w:tc>
        <w:tc>
          <w:tcPr>
            <w:tcW w:w="2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8"/>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5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Amortization of right-of-use asset</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on lease liability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-479425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-187960</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6200" w:space="720"/>
            <w:col w:w="4320"/>
          </w:cols>
          <w:pgMar w:left="320" w:top="121" w:right="339" w:bottom="1440" w:gutter="0" w:footer="0" w:header="0"/>
          <w:type w:val="continuous"/>
        </w:sectPr>
      </w:pPr>
    </w:p>
    <w:p>
      <w:pPr>
        <w:ind w:left="160" w:hanging="152"/>
        <w:spacing w:after="0"/>
        <w:tabs>
          <w:tab w:leader="none" w:pos="160" w:val="left"/>
        </w:tabs>
        <w:numPr>
          <w:ilvl w:val="0"/>
          <w:numId w:val="2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Operating lease cost includes short-term and variable lease expenses, which were not material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0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10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10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 Finance leases</w:t>
            </w:r>
          </w:p>
        </w:tc>
        <w:tc>
          <w:tcPr>
            <w:tcW w:w="10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62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10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0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6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10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82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31,</w:t>
            </w:r>
          </w:p>
        </w:tc>
        <w:tc>
          <w:tcPr>
            <w:tcW w:w="40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5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8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1,311</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500" w:type="dxa"/>
            <w:vAlign w:val="bottom"/>
            <w:shd w:val="clear" w:color="auto" w:fill="D1D2D4"/>
          </w:tcPr>
          <w:p>
            <w:pPr>
              <w:spacing w:after="0"/>
              <w:rPr>
                <w:sz w:val="23"/>
                <w:szCs w:val="23"/>
                <w:color w:val="auto"/>
              </w:rPr>
            </w:pPr>
          </w:p>
        </w:tc>
        <w:tc>
          <w:tcPr>
            <w:tcW w:w="820" w:type="dxa"/>
            <w:vAlign w:val="bottom"/>
            <w:shd w:val="clear" w:color="auto" w:fill="D1D2D4"/>
          </w:tcPr>
          <w:p>
            <w:pPr>
              <w:spacing w:after="0"/>
              <w:rPr>
                <w:sz w:val="23"/>
                <w:szCs w:val="23"/>
                <w:color w:val="auto"/>
              </w:rPr>
            </w:pPr>
          </w:p>
        </w:tc>
        <w:tc>
          <w:tcPr>
            <w:tcW w:w="180" w:type="dxa"/>
            <w:vAlign w:val="bottom"/>
            <w:shd w:val="clear" w:color="auto" w:fill="D1D2D4"/>
          </w:tcPr>
          <w:p>
            <w:pPr>
              <w:spacing w:after="0"/>
              <w:rPr>
                <w:sz w:val="23"/>
                <w:szCs w:val="23"/>
                <w:color w:val="auto"/>
              </w:rPr>
            </w:pPr>
          </w:p>
        </w:tc>
        <w:tc>
          <w:tcPr>
            <w:tcW w:w="860" w:type="dxa"/>
            <w:vAlign w:val="bottom"/>
            <w:shd w:val="clear" w:color="auto" w:fill="D1D2D4"/>
          </w:tcPr>
          <w:p>
            <w:pPr>
              <w:spacing w:after="0"/>
              <w:rPr>
                <w:sz w:val="23"/>
                <w:szCs w:val="23"/>
                <w:color w:val="auto"/>
              </w:rPr>
            </w:pPr>
          </w:p>
        </w:tc>
        <w:tc>
          <w:tcPr>
            <w:tcW w:w="40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220" w:type="dxa"/>
            <w:vAlign w:val="bottom"/>
            <w:shd w:val="clear" w:color="auto" w:fill="D1D2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Finance leases</w:t>
            </w:r>
          </w:p>
        </w:tc>
        <w:tc>
          <w:tcPr>
            <w:tcW w:w="8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8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4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3.86 %</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8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3.21 %</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7540" w:type="dxa"/>
            <w:vAlign w:val="bottom"/>
            <w:gridSpan w:val="2"/>
          </w:tcPr>
          <w:p>
            <w:pPr>
              <w:spacing w:after="0"/>
              <w:rPr>
                <w:sz w:val="20"/>
                <w:szCs w:val="20"/>
                <w:color w:val="auto"/>
              </w:rPr>
            </w:pPr>
            <w:r>
              <w:rPr>
                <w:rFonts w:ascii="Arial" w:cs="Arial" w:eastAsia="Arial" w:hAnsi="Arial"/>
                <w:sz w:val="18"/>
                <w:szCs w:val="18"/>
                <w:color w:val="auto"/>
              </w:rPr>
              <w:t>As of August 31, 2023, maturities of lease liabilities by fiscal year were as follows: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820" w:type="dxa"/>
            <w:vAlign w:val="bottom"/>
          </w:tcPr>
          <w:p>
            <w:pPr>
              <w:spacing w:after="0"/>
              <w:rPr>
                <w:sz w:val="17"/>
                <w:szCs w:val="17"/>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Pr>
          <w:p>
            <w:pPr>
              <w:spacing w:after="0"/>
              <w:rPr>
                <w:sz w:val="17"/>
                <w:szCs w:val="17"/>
                <w:color w:val="auto"/>
              </w:rPr>
            </w:pPr>
          </w:p>
        </w:tc>
        <w:tc>
          <w:tcPr>
            <w:tcW w:w="124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43"/>
        </w:trPr>
        <w:tc>
          <w:tcPr>
            <w:tcW w:w="7540" w:type="dxa"/>
            <w:vAlign w:val="bottom"/>
            <w:tcBorders>
              <w:bottom w:val="single" w:sz="8" w:color="auto"/>
            </w:tcBorders>
            <w:gridSpan w:val="2"/>
            <w:vMerge w:val="continue"/>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1000" w:type="dxa"/>
            <w:vAlign w:val="bottom"/>
            <w:gridSpan w:val="2"/>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219</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200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8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190</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185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2028</w:t>
            </w:r>
          </w:p>
        </w:tc>
        <w:tc>
          <w:tcPr>
            <w:tcW w:w="82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178</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2029 and thereafter</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506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820" w:type="dxa"/>
            <w:vAlign w:val="bottom"/>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69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August 31, 2023, excluded obligations consisted of $170 million of finance lease obligations over a weighted-average period of 12 years for gas supply arrangements deemed to contain embedded leases and equipment leases. We will recognize right-of-use assets and associated lease liabilities at the time such assets become available for our use.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7"/>
                <w:szCs w:val="17"/>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August 31,</w:t>
            </w:r>
          </w:p>
        </w:tc>
        <w:tc>
          <w:tcPr>
            <w:tcW w:w="1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39"/>
        </w:trPr>
        <w:tc>
          <w:tcPr>
            <w:tcW w:w="83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1,419</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As of August 31, 2023</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 September 1, 2022</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Stated</w:t>
            </w: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Effective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rPr>
              <w:t>Net Carrying Amount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4"/>
                <w:szCs w:val="14"/>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14"/>
                <w:szCs w:val="14"/>
                <w:color w:val="auto"/>
              </w:rPr>
            </w:pPr>
          </w:p>
        </w:tc>
        <w:tc>
          <w:tcPr>
            <w:tcW w:w="7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4"/>
                <w:szCs w:val="14"/>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14"/>
                <w:szCs w:val="14"/>
                <w:color w:val="auto"/>
              </w:rPr>
            </w:pPr>
          </w:p>
        </w:tc>
        <w:tc>
          <w:tcPr>
            <w:tcW w:w="7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Long-</w:t>
            </w:r>
          </w:p>
        </w:tc>
        <w:tc>
          <w:tcPr>
            <w:tcW w:w="200" w:type="dxa"/>
            <w:vAlign w:val="bottom"/>
          </w:tcPr>
          <w:p>
            <w:pPr>
              <w:spacing w:after="0"/>
              <w:rPr>
                <w:sz w:val="14"/>
                <w:szCs w:val="14"/>
                <w:color w:val="auto"/>
              </w:rPr>
            </w:pPr>
          </w:p>
        </w:tc>
        <w:tc>
          <w:tcPr>
            <w:tcW w:w="7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Rate</w:t>
            </w:r>
          </w:p>
        </w:tc>
        <w:tc>
          <w:tcPr>
            <w:tcW w:w="9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6.146 %</w:t>
            </w:r>
          </w:p>
        </w:tc>
        <w:tc>
          <w:tcPr>
            <w:tcW w:w="11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6.18 %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2025 Term Loan A</w:t>
            </w:r>
          </w:p>
        </w:tc>
        <w:tc>
          <w:tcPr>
            <w:tcW w:w="1000" w:type="dxa"/>
            <w:vAlign w:val="bottom"/>
          </w:tcPr>
          <w:p>
            <w:pPr>
              <w:jc w:val="right"/>
              <w:spacing w:after="0"/>
              <w:rPr>
                <w:sz w:val="20"/>
                <w:szCs w:val="20"/>
                <w:color w:val="auto"/>
              </w:rPr>
            </w:pPr>
            <w:r>
              <w:rPr>
                <w:rFonts w:ascii="Arial" w:cs="Arial" w:eastAsia="Arial" w:hAnsi="Arial"/>
                <w:sz w:val="18"/>
                <w:szCs w:val="18"/>
                <w:color w:val="auto"/>
              </w:rPr>
              <w:t>6.681 %</w:t>
            </w:r>
          </w:p>
        </w:tc>
        <w:tc>
          <w:tcPr>
            <w:tcW w:w="980" w:type="dxa"/>
            <w:vAlign w:val="bottom"/>
          </w:tcPr>
          <w:p>
            <w:pPr>
              <w:jc w:val="right"/>
              <w:spacing w:after="0"/>
              <w:rPr>
                <w:sz w:val="20"/>
                <w:szCs w:val="20"/>
                <w:color w:val="auto"/>
              </w:rPr>
            </w:pPr>
            <w:r>
              <w:rPr>
                <w:rFonts w:ascii="Arial" w:cs="Arial" w:eastAsia="Arial" w:hAnsi="Arial"/>
                <w:sz w:val="18"/>
                <w:szCs w:val="18"/>
                <w:color w:val="auto"/>
              </w:rPr>
              <w:t>6.82 %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Term Loan A</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6.806 %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6.94 %</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2027 Term Loan A</w:t>
            </w:r>
          </w:p>
        </w:tc>
        <w:tc>
          <w:tcPr>
            <w:tcW w:w="1000" w:type="dxa"/>
            <w:vAlign w:val="bottom"/>
          </w:tcPr>
          <w:p>
            <w:pPr>
              <w:jc w:val="right"/>
              <w:spacing w:after="0"/>
              <w:rPr>
                <w:sz w:val="20"/>
                <w:szCs w:val="20"/>
                <w:color w:val="auto"/>
              </w:rPr>
            </w:pPr>
            <w:r>
              <w:rPr>
                <w:rFonts w:ascii="Arial" w:cs="Arial" w:eastAsia="Arial" w:hAnsi="Arial"/>
                <w:sz w:val="18"/>
                <w:szCs w:val="18"/>
                <w:color w:val="auto"/>
              </w:rPr>
              <w:t>6.931 %</w:t>
            </w:r>
          </w:p>
        </w:tc>
        <w:tc>
          <w:tcPr>
            <w:tcW w:w="980" w:type="dxa"/>
            <w:vAlign w:val="bottom"/>
          </w:tcPr>
          <w:p>
            <w:pPr>
              <w:jc w:val="right"/>
              <w:spacing w:after="0"/>
              <w:rPr>
                <w:sz w:val="20"/>
                <w:szCs w:val="20"/>
                <w:color w:val="auto"/>
              </w:rPr>
            </w:pPr>
            <w:r>
              <w:rPr>
                <w:rFonts w:ascii="Arial" w:cs="Arial" w:eastAsia="Arial" w:hAnsi="Arial"/>
                <w:sz w:val="18"/>
                <w:szCs w:val="18"/>
                <w:color w:val="auto"/>
              </w:rPr>
              <w:t>7.07 %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tcPr>
          <w:p>
            <w:pPr>
              <w:jc w:val="right"/>
              <w:spacing w:after="0"/>
              <w:rPr>
                <w:sz w:val="20"/>
                <w:szCs w:val="20"/>
                <w:color w:val="auto"/>
              </w:rPr>
            </w:pPr>
            <w:r>
              <w:rPr>
                <w:rFonts w:ascii="Arial" w:cs="Arial" w:eastAsia="Arial" w:hAnsi="Arial"/>
                <w:sz w:val="18"/>
                <w:szCs w:val="18"/>
                <w:color w:val="auto"/>
              </w:rPr>
              <w:t>4.27 %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9"/>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2028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5.52 %</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2029 A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tcPr>
          <w:p>
            <w:pPr>
              <w:jc w:val="right"/>
              <w:spacing w:after="0"/>
              <w:rPr>
                <w:sz w:val="20"/>
                <w:szCs w:val="20"/>
                <w:color w:val="auto"/>
              </w:rPr>
            </w:pPr>
            <w:r>
              <w:rPr>
                <w:rFonts w:ascii="Arial" w:cs="Arial" w:eastAsia="Arial" w:hAnsi="Arial"/>
                <w:sz w:val="18"/>
                <w:szCs w:val="18"/>
                <w:color w:val="auto"/>
              </w:rPr>
              <w:t>5.40 %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0"/>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B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6.750 %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6.54 %</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1,263</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tcPr>
          <w:p>
            <w:pPr>
              <w:jc w:val="right"/>
              <w:spacing w:after="0"/>
              <w:rPr>
                <w:sz w:val="20"/>
                <w:szCs w:val="20"/>
                <w:color w:val="auto"/>
              </w:rPr>
            </w:pPr>
            <w:r>
              <w:rPr>
                <w:rFonts w:ascii="Arial" w:cs="Arial" w:eastAsia="Arial" w:hAnsi="Arial"/>
                <w:sz w:val="18"/>
                <w:szCs w:val="18"/>
                <w:color w:val="auto"/>
              </w:rPr>
              <w:t>4.73 %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 Green Bonds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2.77 %</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2033 A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tcPr>
          <w:p>
            <w:pPr>
              <w:jc w:val="right"/>
              <w:spacing w:after="0"/>
              <w:rPr>
                <w:sz w:val="20"/>
                <w:szCs w:val="20"/>
                <w:color w:val="auto"/>
              </w:rPr>
            </w:pPr>
            <w:r>
              <w:rPr>
                <w:rFonts w:ascii="Arial" w:cs="Arial" w:eastAsia="Arial" w:hAnsi="Arial"/>
                <w:sz w:val="18"/>
                <w:szCs w:val="18"/>
                <w:color w:val="auto"/>
              </w:rPr>
              <w:t>5.96 %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 B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6.01 %</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2041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tcPr>
          <w:p>
            <w:pPr>
              <w:jc w:val="right"/>
              <w:spacing w:after="0"/>
              <w:rPr>
                <w:sz w:val="20"/>
                <w:szCs w:val="20"/>
                <w:color w:val="auto"/>
              </w:rPr>
            </w:pPr>
            <w:r>
              <w:rPr>
                <w:rFonts w:ascii="Arial" w:cs="Arial" w:eastAsia="Arial" w:hAnsi="Arial"/>
                <w:sz w:val="18"/>
                <w:szCs w:val="18"/>
                <w:color w:val="auto"/>
              </w:rPr>
              <w:t>3.41 %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2051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3.52 %</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line="176" w:lineRule="exact"/>
              <w:rPr>
                <w:sz w:val="20"/>
                <w:szCs w:val="20"/>
                <w:color w:val="auto"/>
              </w:rPr>
            </w:pPr>
            <w:r>
              <w:rPr>
                <w:rFonts w:ascii="Arial" w:cs="Arial" w:eastAsia="Arial" w:hAnsi="Arial"/>
                <w:sz w:val="18"/>
                <w:szCs w:val="18"/>
                <w:color w:val="auto"/>
              </w:rPr>
              <w:t>Finance lease</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0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obligations</w:t>
            </w:r>
          </w:p>
        </w:tc>
        <w:tc>
          <w:tcPr>
            <w:tcW w:w="10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3.86 %</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Borders>
              <w:bottom w:val="single" w:sz="8" w:color="D1D2D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48"/>
        </w:trPr>
        <w:tc>
          <w:tcPr>
            <w:tcW w:w="2000" w:type="dxa"/>
            <w:vAlign w:val="bottom"/>
            <w:tcBorders>
              <w:bottom w:val="single" w:sz="8" w:color="D1D2D4"/>
            </w:tcBorders>
            <w:shd w:val="clear" w:color="auto" w:fill="D1D2D4"/>
          </w:tcPr>
          <w:p>
            <w:pPr>
              <w:spacing w:after="0"/>
              <w:rPr>
                <w:sz w:val="21"/>
                <w:szCs w:val="21"/>
                <w:color w:val="auto"/>
              </w:rPr>
            </w:pPr>
          </w:p>
        </w:tc>
        <w:tc>
          <w:tcPr>
            <w:tcW w:w="1000" w:type="dxa"/>
            <w:vAlign w:val="bottom"/>
            <w:tcBorders>
              <w:bottom w:val="single" w:sz="8" w:color="D1D2D4"/>
            </w:tcBorders>
            <w:shd w:val="clear" w:color="auto" w:fill="D1D2D4"/>
          </w:tcPr>
          <w:p>
            <w:pPr>
              <w:spacing w:after="0"/>
              <w:rPr>
                <w:sz w:val="21"/>
                <w:szCs w:val="21"/>
                <w:color w:val="auto"/>
              </w:rPr>
            </w:pPr>
          </w:p>
        </w:tc>
        <w:tc>
          <w:tcPr>
            <w:tcW w:w="980" w:type="dxa"/>
            <w:vAlign w:val="bottom"/>
            <w:tcBorders>
              <w:bottom w:val="single" w:sz="8" w:color="D1D2D4"/>
            </w:tcBorders>
            <w:shd w:val="clear" w:color="auto" w:fill="D1D2D4"/>
          </w:tcPr>
          <w:p>
            <w:pPr>
              <w:spacing w:after="0"/>
              <w:rPr>
                <w:sz w:val="21"/>
                <w:szCs w:val="21"/>
                <w:color w:val="auto"/>
              </w:rPr>
            </w:pP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13,465</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13,052</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13,330</w:t>
            </w:r>
          </w:p>
        </w:tc>
        <w:tc>
          <w:tcPr>
            <w:tcW w:w="120" w:type="dxa"/>
            <w:vAlign w:val="bottom"/>
            <w:tcBorders>
              <w:bottom w:val="single" w:sz="8" w:color="D1D2D4"/>
            </w:tcBorders>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7,024</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6,803</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0"/>
        </w:trPr>
        <w:tc>
          <w:tcPr>
            <w:tcW w:w="2000" w:type="dxa"/>
            <w:vAlign w:val="bottom"/>
            <w:tcBorders>
              <w:top w:val="single" w:sz="8" w:color="D1D2D4"/>
            </w:tcBorders>
          </w:tcPr>
          <w:p>
            <w:pPr>
              <w:spacing w:after="0" w:line="20" w:lineRule="exact"/>
              <w:rPr>
                <w:sz w:val="1"/>
                <w:szCs w:val="1"/>
                <w:color w:val="auto"/>
              </w:rPr>
            </w:pPr>
          </w:p>
        </w:tc>
        <w:tc>
          <w:tcPr>
            <w:tcW w:w="1000" w:type="dxa"/>
            <w:vAlign w:val="bottom"/>
            <w:tcBorders>
              <w:top w:val="single" w:sz="8" w:color="D1D2D4"/>
            </w:tcBorders>
          </w:tcPr>
          <w:p>
            <w:pPr>
              <w:spacing w:after="0" w:line="20" w:lineRule="exact"/>
              <w:rPr>
                <w:sz w:val="1"/>
                <w:szCs w:val="1"/>
                <w:color w:val="auto"/>
              </w:rPr>
            </w:pPr>
          </w:p>
        </w:tc>
        <w:tc>
          <w:tcPr>
            <w:tcW w:w="98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6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right="240" w:hanging="172"/>
        <w:spacing w:after="0" w:line="239" w:lineRule="auto"/>
        <w:tabs>
          <w:tab w:leader="none" w:pos="211" w:val="left"/>
        </w:tabs>
        <w:numPr>
          <w:ilvl w:val="0"/>
          <w:numId w:val="2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and as a result, the carrying values of our 2027 Notes reflect adjustments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274955</wp:posOffset>
            </wp:positionV>
            <wp:extent cx="659765"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August 31, 2023, all of our debt, other than finance lease obligations, were unsecured obligations that rank equally in right of payment with all of our other existing and future unsecured indebtedness and were effectively subordinated to all future secured indebtedness, to the extent of the value of the assets securing such indebtedness. All our unsecured debt were obligations of our parent company, Micron, and were structurally subordinated to all liabilities of its subsidiaries, including trade payables. The terms of our indebtedness generally contain cross payment default and cross acceleration provisions. Micron’s guarantees of certain liabilities of its subsidiaries are unsecured obligations ranking equally in right of payment with all of Micron’s other existing and future unsecured indebtedness.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 Activity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effects of debt financing and prepayment activities in 2023:</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7"/>
                <w:szCs w:val="17"/>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7"/>
                <w:szCs w:val="17"/>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Increase</w:t>
            </w:r>
          </w:p>
        </w:tc>
        <w:tc>
          <w:tcPr>
            <w:tcW w:w="0" w:type="dxa"/>
            <w:vAlign w:val="bottom"/>
          </w:tcPr>
          <w:p>
            <w:pPr>
              <w:spacing w:after="0"/>
              <w:rPr>
                <w:sz w:val="1"/>
                <w:szCs w:val="1"/>
                <w:color w:val="auto"/>
              </w:rPr>
            </w:pPr>
          </w:p>
        </w:tc>
      </w:tr>
      <w:tr>
        <w:trPr>
          <w:trHeight w:val="185"/>
        </w:trPr>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66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Transaction Date</w:t>
            </w:r>
          </w:p>
        </w:tc>
        <w:tc>
          <w:tcPr>
            <w:tcW w:w="120" w:type="dxa"/>
            <w:vAlign w:val="bottom"/>
          </w:tcPr>
          <w:p>
            <w:pPr>
              <w:spacing w:after="0"/>
              <w:rPr>
                <w:sz w:val="16"/>
                <w:szCs w:val="16"/>
                <w:color w:val="auto"/>
              </w:rPr>
            </w:pPr>
          </w:p>
        </w:tc>
        <w:tc>
          <w:tcPr>
            <w:tcW w:w="13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6"/>
                <w:szCs w:val="16"/>
                <w:color w:val="auto"/>
              </w:rPr>
            </w:pPr>
          </w:p>
        </w:tc>
        <w:tc>
          <w:tcPr>
            <w:tcW w:w="1320" w:type="dxa"/>
            <w:vAlign w:val="bottom"/>
          </w:tcPr>
          <w:p>
            <w:pPr>
              <w:jc w:val="center"/>
              <w:ind w:right="50"/>
              <w:spacing w:after="0" w:line="185"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6"/>
                <w:szCs w:val="16"/>
                <w:color w:val="auto"/>
              </w:rPr>
            </w:pPr>
          </w:p>
        </w:tc>
        <w:tc>
          <w:tcPr>
            <w:tcW w:w="1300" w:type="dxa"/>
            <w:vAlign w:val="bottom"/>
          </w:tcPr>
          <w:p>
            <w:pPr>
              <w:jc w:val="center"/>
              <w:ind w:right="50"/>
              <w:spacing w:after="0" w:line="185" w:lineRule="exact"/>
              <w:rPr>
                <w:sz w:val="20"/>
                <w:szCs w:val="20"/>
                <w:color w:val="auto"/>
              </w:rPr>
            </w:pPr>
            <w:r>
              <w:rPr>
                <w:rFonts w:ascii="Arial" w:cs="Arial" w:eastAsia="Arial" w:hAnsi="Arial"/>
                <w:sz w:val="18"/>
                <w:szCs w:val="18"/>
                <w:b w:val="1"/>
                <w:bCs w:val="1"/>
                <w:color w:val="auto"/>
                <w:w w:val="99"/>
              </w:rPr>
              <w:t>(Decrease) in</w:t>
            </w:r>
          </w:p>
        </w:tc>
        <w:tc>
          <w:tcPr>
            <w:tcW w:w="0" w:type="dxa"/>
            <w:vAlign w:val="bottom"/>
          </w:tcPr>
          <w:p>
            <w:pPr>
              <w:spacing w:after="0"/>
              <w:rPr>
                <w:sz w:val="1"/>
                <w:szCs w:val="1"/>
                <w:color w:val="auto"/>
              </w:rPr>
            </w:pPr>
          </w:p>
        </w:tc>
      </w:tr>
      <w:tr>
        <w:trPr>
          <w:trHeight w:val="229"/>
        </w:trPr>
        <w:tc>
          <w:tcPr>
            <w:tcW w:w="5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Principal</w:t>
            </w: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Cash</w:t>
            </w:r>
          </w:p>
        </w:tc>
        <w:tc>
          <w:tcPr>
            <w:tcW w:w="0" w:type="dxa"/>
            <w:vAlign w:val="bottom"/>
          </w:tcPr>
          <w:p>
            <w:pPr>
              <w:spacing w:after="0"/>
              <w:rPr>
                <w:sz w:val="1"/>
                <w:szCs w:val="1"/>
                <w:color w:val="auto"/>
              </w:rPr>
            </w:pPr>
          </w:p>
        </w:tc>
      </w:tr>
      <w:tr>
        <w:trPr>
          <w:trHeight w:val="34"/>
        </w:trPr>
        <w:tc>
          <w:tcPr>
            <w:tcW w:w="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gridSpan w:val="2"/>
            <w:shd w:val="clear" w:color="auto" w:fill="D1D2D4"/>
          </w:tcPr>
          <w:p>
            <w:pPr>
              <w:spacing w:after="0"/>
              <w:rPr>
                <w:sz w:val="20"/>
                <w:szCs w:val="20"/>
                <w:color w:val="auto"/>
              </w:rPr>
            </w:pPr>
            <w:r>
              <w:rPr>
                <w:rFonts w:ascii="Arial" w:cs="Arial" w:eastAsia="Arial" w:hAnsi="Arial"/>
                <w:sz w:val="18"/>
                <w:szCs w:val="18"/>
                <w:b w:val="1"/>
                <w:bCs w:val="1"/>
                <w:color w:val="auto"/>
              </w:rPr>
              <w:t>Issuances</w:t>
            </w:r>
          </w:p>
        </w:tc>
        <w:tc>
          <w:tcPr>
            <w:tcW w:w="36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ind w:left="120"/>
              <w:spacing w:after="0"/>
              <w:rPr>
                <w:sz w:val="20"/>
                <w:szCs w:val="20"/>
                <w:color w:val="auto"/>
              </w:rPr>
            </w:pPr>
            <w:r>
              <w:rPr>
                <w:rFonts w:ascii="Arial" w:cs="Arial" w:eastAsia="Arial" w:hAnsi="Arial"/>
                <w:sz w:val="18"/>
                <w:szCs w:val="18"/>
                <w:color w:val="auto"/>
                <w:w w:val="99"/>
              </w:rPr>
              <w:t>2029</w:t>
            </w:r>
          </w:p>
        </w:tc>
        <w:tc>
          <w:tcPr>
            <w:tcW w:w="2660" w:type="dxa"/>
            <w:vAlign w:val="bottom"/>
          </w:tcPr>
          <w:p>
            <w:pPr>
              <w:ind w:left="20"/>
              <w:spacing w:after="0"/>
              <w:rPr>
                <w:sz w:val="20"/>
                <w:szCs w:val="20"/>
                <w:color w:val="auto"/>
              </w:rPr>
            </w:pPr>
            <w:r>
              <w:rPr>
                <w:rFonts w:ascii="Arial" w:cs="Arial" w:eastAsia="Arial" w:hAnsi="Arial"/>
                <w:sz w:val="18"/>
                <w:szCs w:val="18"/>
                <w:color w:val="auto"/>
              </w:rPr>
              <w:t>B Notes</w:t>
            </w:r>
          </w:p>
        </w:tc>
        <w:tc>
          <w:tcPr>
            <w:tcW w:w="3660" w:type="dxa"/>
            <w:vAlign w:val="bottom"/>
          </w:tcPr>
          <w:p>
            <w:pPr>
              <w:ind w:left="1620"/>
              <w:spacing w:after="0"/>
              <w:rPr>
                <w:sz w:val="20"/>
                <w:szCs w:val="20"/>
                <w:color w:val="auto"/>
              </w:rPr>
            </w:pPr>
            <w:r>
              <w:rPr>
                <w:rFonts w:ascii="Arial" w:cs="Arial" w:eastAsia="Arial" w:hAnsi="Arial"/>
                <w:sz w:val="18"/>
                <w:szCs w:val="18"/>
                <w:color w:val="auto"/>
              </w:rPr>
              <w:t>October 31,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D1D2D4"/>
          </w:tcPr>
          <w:p>
            <w:pPr>
              <w:ind w:left="120"/>
              <w:spacing w:after="0"/>
              <w:rPr>
                <w:sz w:val="20"/>
                <w:szCs w:val="20"/>
                <w:color w:val="auto"/>
              </w:rPr>
            </w:pPr>
            <w:r>
              <w:rPr>
                <w:rFonts w:ascii="Arial" w:cs="Arial" w:eastAsia="Arial" w:hAnsi="Arial"/>
                <w:sz w:val="18"/>
                <w:szCs w:val="18"/>
                <w:color w:val="auto"/>
              </w:rPr>
              <w:t>2025 Term Loan A</w:t>
            </w:r>
          </w:p>
        </w:tc>
        <w:tc>
          <w:tcPr>
            <w:tcW w:w="3660" w:type="dxa"/>
            <w:vAlign w:val="bottom"/>
            <w:shd w:val="clear" w:color="auto" w:fill="D1D2D4"/>
          </w:tcPr>
          <w:p>
            <w:pPr>
              <w:ind w:left="1620"/>
              <w:spacing w:after="0"/>
              <w:rPr>
                <w:sz w:val="20"/>
                <w:szCs w:val="20"/>
                <w:color w:val="auto"/>
              </w:rPr>
            </w:pPr>
            <w:r>
              <w:rPr>
                <w:rFonts w:ascii="Arial" w:cs="Arial" w:eastAsia="Arial" w:hAnsi="Arial"/>
                <w:sz w:val="18"/>
                <w:szCs w:val="18"/>
                <w:color w:val="auto"/>
              </w:rPr>
              <w:t>November 3, 2022</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9"/>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2026 Term Loan A</w:t>
            </w:r>
          </w:p>
        </w:tc>
        <w:tc>
          <w:tcPr>
            <w:tcW w:w="3660" w:type="dxa"/>
            <w:vAlign w:val="bottom"/>
          </w:tcPr>
          <w:p>
            <w:pPr>
              <w:ind w:left="1620"/>
              <w:spacing w:after="0"/>
              <w:rPr>
                <w:sz w:val="20"/>
                <w:szCs w:val="20"/>
                <w:color w:val="auto"/>
              </w:rPr>
            </w:pPr>
            <w:r>
              <w:rPr>
                <w:rFonts w:ascii="Arial" w:cs="Arial" w:eastAsia="Arial" w:hAnsi="Arial"/>
                <w:sz w:val="18"/>
                <w:szCs w:val="18"/>
                <w:color w:val="auto"/>
              </w:rPr>
              <w:t>November 3, 2022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D1D2D4"/>
          </w:tcPr>
          <w:p>
            <w:pPr>
              <w:ind w:left="120"/>
              <w:spacing w:after="0"/>
              <w:rPr>
                <w:sz w:val="20"/>
                <w:szCs w:val="20"/>
                <w:color w:val="auto"/>
              </w:rPr>
            </w:pPr>
            <w:r>
              <w:rPr>
                <w:rFonts w:ascii="Arial" w:cs="Arial" w:eastAsia="Arial" w:hAnsi="Arial"/>
                <w:sz w:val="18"/>
                <w:szCs w:val="18"/>
                <w:color w:val="auto"/>
              </w:rPr>
              <w:t>2027 Term Loan A</w:t>
            </w:r>
          </w:p>
        </w:tc>
        <w:tc>
          <w:tcPr>
            <w:tcW w:w="3660" w:type="dxa"/>
            <w:vAlign w:val="bottom"/>
            <w:shd w:val="clear" w:color="auto" w:fill="D1D2D4"/>
          </w:tcPr>
          <w:p>
            <w:pPr>
              <w:ind w:left="1620"/>
              <w:spacing w:after="0"/>
              <w:rPr>
                <w:sz w:val="20"/>
                <w:szCs w:val="20"/>
                <w:color w:val="auto"/>
              </w:rPr>
            </w:pPr>
            <w:r>
              <w:rPr>
                <w:rFonts w:ascii="Arial" w:cs="Arial" w:eastAsia="Arial" w:hAnsi="Arial"/>
                <w:sz w:val="18"/>
                <w:szCs w:val="18"/>
                <w:color w:val="auto"/>
              </w:rPr>
              <w:t>November 3, 2022</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29"/>
        </w:trPr>
        <w:tc>
          <w:tcPr>
            <w:tcW w:w="540" w:type="dxa"/>
            <w:vAlign w:val="bottom"/>
          </w:tcPr>
          <w:p>
            <w:pPr>
              <w:ind w:left="120"/>
              <w:spacing w:after="0"/>
              <w:rPr>
                <w:sz w:val="20"/>
                <w:szCs w:val="20"/>
                <w:color w:val="auto"/>
              </w:rPr>
            </w:pPr>
            <w:r>
              <w:rPr>
                <w:rFonts w:ascii="Arial" w:cs="Arial" w:eastAsia="Arial" w:hAnsi="Arial"/>
                <w:sz w:val="18"/>
                <w:szCs w:val="18"/>
                <w:color w:val="auto"/>
                <w:w w:val="99"/>
              </w:rPr>
              <w:t>2025</w:t>
            </w:r>
          </w:p>
        </w:tc>
        <w:tc>
          <w:tcPr>
            <w:tcW w:w="266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tcPr>
          <w:p>
            <w:pPr>
              <w:ind w:left="1620"/>
              <w:spacing w:after="0"/>
              <w:rPr>
                <w:sz w:val="20"/>
                <w:szCs w:val="20"/>
                <w:color w:val="auto"/>
              </w:rPr>
            </w:pPr>
            <w:r>
              <w:rPr>
                <w:rFonts w:ascii="Arial" w:cs="Arial" w:eastAsia="Arial" w:hAnsi="Arial"/>
                <w:sz w:val="18"/>
                <w:szCs w:val="18"/>
                <w:color w:val="auto"/>
              </w:rPr>
              <w:t>January 5, 2023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540" w:type="dxa"/>
            <w:vAlign w:val="bottom"/>
            <w:shd w:val="clear" w:color="auto" w:fill="D1D2D4"/>
          </w:tcPr>
          <w:p>
            <w:pPr>
              <w:ind w:left="120"/>
              <w:spacing w:after="0"/>
              <w:rPr>
                <w:sz w:val="20"/>
                <w:szCs w:val="20"/>
                <w:color w:val="auto"/>
              </w:rPr>
            </w:pPr>
            <w:r>
              <w:rPr>
                <w:rFonts w:ascii="Arial" w:cs="Arial" w:eastAsia="Arial" w:hAnsi="Arial"/>
                <w:sz w:val="18"/>
                <w:szCs w:val="18"/>
                <w:color w:val="auto"/>
                <w:w w:val="99"/>
              </w:rPr>
              <w:t>2026</w:t>
            </w:r>
          </w:p>
        </w:tc>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shd w:val="clear" w:color="auto" w:fill="D1D2D4"/>
          </w:tcPr>
          <w:p>
            <w:pPr>
              <w:ind w:left="1620"/>
              <w:spacing w:after="0"/>
              <w:rPr>
                <w:sz w:val="20"/>
                <w:szCs w:val="20"/>
                <w:color w:val="auto"/>
              </w:rPr>
            </w:pPr>
            <w:r>
              <w:rPr>
                <w:rFonts w:ascii="Arial" w:cs="Arial" w:eastAsia="Arial" w:hAnsi="Arial"/>
                <w:sz w:val="18"/>
                <w:szCs w:val="18"/>
                <w:color w:val="auto"/>
              </w:rPr>
              <w:t>January 5, 2023</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540" w:type="dxa"/>
            <w:vAlign w:val="bottom"/>
          </w:tcPr>
          <w:p>
            <w:pPr>
              <w:ind w:left="120"/>
              <w:spacing w:after="0"/>
              <w:rPr>
                <w:sz w:val="20"/>
                <w:szCs w:val="20"/>
                <w:color w:val="auto"/>
              </w:rPr>
            </w:pPr>
            <w:r>
              <w:rPr>
                <w:rFonts w:ascii="Arial" w:cs="Arial" w:eastAsia="Arial" w:hAnsi="Arial"/>
                <w:sz w:val="18"/>
                <w:szCs w:val="18"/>
                <w:color w:val="auto"/>
                <w:w w:val="99"/>
              </w:rPr>
              <w:t>2027</w:t>
            </w:r>
          </w:p>
        </w:tc>
        <w:tc>
          <w:tcPr>
            <w:tcW w:w="266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tcPr>
          <w:p>
            <w:pPr>
              <w:ind w:left="1620"/>
              <w:spacing w:after="0"/>
              <w:rPr>
                <w:sz w:val="20"/>
                <w:szCs w:val="20"/>
                <w:color w:val="auto"/>
              </w:rPr>
            </w:pPr>
            <w:r>
              <w:rPr>
                <w:rFonts w:ascii="Arial" w:cs="Arial" w:eastAsia="Arial" w:hAnsi="Arial"/>
                <w:sz w:val="18"/>
                <w:szCs w:val="18"/>
                <w:color w:val="auto"/>
              </w:rPr>
              <w:t>January 5, 2023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540" w:type="dxa"/>
            <w:vAlign w:val="bottom"/>
            <w:shd w:val="clear" w:color="auto" w:fill="D1D2D4"/>
          </w:tcPr>
          <w:p>
            <w:pPr>
              <w:ind w:left="120"/>
              <w:spacing w:after="0"/>
              <w:rPr>
                <w:sz w:val="20"/>
                <w:szCs w:val="20"/>
                <w:color w:val="auto"/>
              </w:rPr>
            </w:pPr>
            <w:r>
              <w:rPr>
                <w:rFonts w:ascii="Arial" w:cs="Arial" w:eastAsia="Arial" w:hAnsi="Arial"/>
                <w:sz w:val="18"/>
                <w:szCs w:val="18"/>
                <w:color w:val="auto"/>
                <w:w w:val="99"/>
              </w:rPr>
              <w:t>2029</w:t>
            </w:r>
          </w:p>
        </w:tc>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B Notes</w:t>
            </w:r>
          </w:p>
        </w:tc>
        <w:tc>
          <w:tcPr>
            <w:tcW w:w="3660" w:type="dxa"/>
            <w:vAlign w:val="bottom"/>
            <w:shd w:val="clear" w:color="auto" w:fill="D1D2D4"/>
          </w:tcPr>
          <w:p>
            <w:pPr>
              <w:ind w:left="1620"/>
              <w:spacing w:after="0"/>
              <w:rPr>
                <w:sz w:val="20"/>
                <w:szCs w:val="20"/>
                <w:color w:val="auto"/>
              </w:rPr>
            </w:pPr>
            <w:r>
              <w:rPr>
                <w:rFonts w:ascii="Arial" w:cs="Arial" w:eastAsia="Arial" w:hAnsi="Arial"/>
                <w:sz w:val="18"/>
                <w:szCs w:val="18"/>
                <w:color w:val="auto"/>
              </w:rPr>
              <w:t>February 9, 2023</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540" w:type="dxa"/>
            <w:vAlign w:val="bottom"/>
          </w:tcPr>
          <w:p>
            <w:pPr>
              <w:ind w:left="120"/>
              <w:spacing w:after="0"/>
              <w:rPr>
                <w:sz w:val="20"/>
                <w:szCs w:val="20"/>
                <w:color w:val="auto"/>
              </w:rPr>
            </w:pPr>
            <w:r>
              <w:rPr>
                <w:rFonts w:ascii="Arial" w:cs="Arial" w:eastAsia="Arial" w:hAnsi="Arial"/>
                <w:sz w:val="18"/>
                <w:szCs w:val="18"/>
                <w:color w:val="auto"/>
                <w:w w:val="99"/>
              </w:rPr>
              <w:t>2033</w:t>
            </w:r>
          </w:p>
        </w:tc>
        <w:tc>
          <w:tcPr>
            <w:tcW w:w="2660" w:type="dxa"/>
            <w:vAlign w:val="bottom"/>
          </w:tcPr>
          <w:p>
            <w:pPr>
              <w:ind w:left="20"/>
              <w:spacing w:after="0"/>
              <w:rPr>
                <w:sz w:val="20"/>
                <w:szCs w:val="20"/>
                <w:color w:val="auto"/>
              </w:rPr>
            </w:pPr>
            <w:r>
              <w:rPr>
                <w:rFonts w:ascii="Arial" w:cs="Arial" w:eastAsia="Arial" w:hAnsi="Arial"/>
                <w:sz w:val="18"/>
                <w:szCs w:val="18"/>
                <w:color w:val="auto"/>
              </w:rPr>
              <w:t>A Notes</w:t>
            </w:r>
          </w:p>
        </w:tc>
        <w:tc>
          <w:tcPr>
            <w:tcW w:w="3660" w:type="dxa"/>
            <w:vAlign w:val="bottom"/>
          </w:tcPr>
          <w:p>
            <w:pPr>
              <w:ind w:left="1620"/>
              <w:spacing w:after="0"/>
              <w:rPr>
                <w:sz w:val="20"/>
                <w:szCs w:val="20"/>
                <w:color w:val="auto"/>
              </w:rPr>
            </w:pPr>
            <w:r>
              <w:rPr>
                <w:rFonts w:ascii="Arial" w:cs="Arial" w:eastAsia="Arial" w:hAnsi="Arial"/>
                <w:sz w:val="18"/>
                <w:szCs w:val="18"/>
                <w:color w:val="auto"/>
              </w:rPr>
              <w:t>February 9, 2023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540" w:type="dxa"/>
            <w:vAlign w:val="bottom"/>
            <w:shd w:val="clear" w:color="auto" w:fill="D1D2D4"/>
          </w:tcPr>
          <w:p>
            <w:pPr>
              <w:ind w:left="120"/>
              <w:spacing w:after="0"/>
              <w:rPr>
                <w:sz w:val="20"/>
                <w:szCs w:val="20"/>
                <w:color w:val="auto"/>
              </w:rPr>
            </w:pPr>
            <w:r>
              <w:rPr>
                <w:rFonts w:ascii="Arial" w:cs="Arial" w:eastAsia="Arial" w:hAnsi="Arial"/>
                <w:sz w:val="18"/>
                <w:szCs w:val="18"/>
                <w:color w:val="auto"/>
                <w:w w:val="99"/>
              </w:rPr>
              <w:t>2028</w:t>
            </w:r>
          </w:p>
        </w:tc>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3660" w:type="dxa"/>
            <w:vAlign w:val="bottom"/>
            <w:shd w:val="clear" w:color="auto" w:fill="D1D2D4"/>
          </w:tcPr>
          <w:p>
            <w:pPr>
              <w:ind w:left="1620"/>
              <w:spacing w:after="0"/>
              <w:rPr>
                <w:sz w:val="20"/>
                <w:szCs w:val="20"/>
                <w:color w:val="auto"/>
              </w:rPr>
            </w:pPr>
            <w:r>
              <w:rPr>
                <w:rFonts w:ascii="Arial" w:cs="Arial" w:eastAsia="Arial" w:hAnsi="Arial"/>
                <w:sz w:val="18"/>
                <w:szCs w:val="18"/>
                <w:color w:val="auto"/>
              </w:rPr>
              <w:t>April 11, 2023</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540" w:type="dxa"/>
            <w:vAlign w:val="bottom"/>
          </w:tcPr>
          <w:p>
            <w:pPr>
              <w:ind w:left="120"/>
              <w:spacing w:after="0"/>
              <w:rPr>
                <w:sz w:val="20"/>
                <w:szCs w:val="20"/>
                <w:color w:val="auto"/>
              </w:rPr>
            </w:pPr>
            <w:r>
              <w:rPr>
                <w:rFonts w:ascii="Arial" w:cs="Arial" w:eastAsia="Arial" w:hAnsi="Arial"/>
                <w:sz w:val="18"/>
                <w:szCs w:val="18"/>
                <w:color w:val="auto"/>
                <w:w w:val="99"/>
              </w:rPr>
              <w:t>2033</w:t>
            </w:r>
          </w:p>
        </w:tc>
        <w:tc>
          <w:tcPr>
            <w:tcW w:w="2660" w:type="dxa"/>
            <w:vAlign w:val="bottom"/>
          </w:tcPr>
          <w:p>
            <w:pPr>
              <w:ind w:left="20"/>
              <w:spacing w:after="0"/>
              <w:rPr>
                <w:sz w:val="20"/>
                <w:szCs w:val="20"/>
                <w:color w:val="auto"/>
              </w:rPr>
            </w:pPr>
            <w:r>
              <w:rPr>
                <w:rFonts w:ascii="Arial" w:cs="Arial" w:eastAsia="Arial" w:hAnsi="Arial"/>
                <w:sz w:val="18"/>
                <w:szCs w:val="18"/>
                <w:color w:val="auto"/>
              </w:rPr>
              <w:t>B Notes</w:t>
            </w:r>
          </w:p>
        </w:tc>
        <w:tc>
          <w:tcPr>
            <w:tcW w:w="3660" w:type="dxa"/>
            <w:vAlign w:val="bottom"/>
          </w:tcPr>
          <w:p>
            <w:pPr>
              <w:ind w:left="1620"/>
              <w:spacing w:after="0"/>
              <w:rPr>
                <w:sz w:val="20"/>
                <w:szCs w:val="20"/>
                <w:color w:val="auto"/>
              </w:rPr>
            </w:pPr>
            <w:r>
              <w:rPr>
                <w:rFonts w:ascii="Arial" w:cs="Arial" w:eastAsia="Arial" w:hAnsi="Arial"/>
                <w:sz w:val="18"/>
                <w:szCs w:val="18"/>
                <w:color w:val="auto"/>
              </w:rPr>
              <w:t>April 11, 2023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D1D2D4"/>
          </w:tcPr>
          <w:p>
            <w:pPr>
              <w:spacing w:after="0"/>
              <w:rPr>
                <w:sz w:val="20"/>
                <w:szCs w:val="20"/>
                <w:color w:val="auto"/>
              </w:rPr>
            </w:pPr>
            <w:r>
              <w:rPr>
                <w:rFonts w:ascii="Arial" w:cs="Arial" w:eastAsia="Arial" w:hAnsi="Arial"/>
                <w:sz w:val="18"/>
                <w:szCs w:val="18"/>
                <w:b w:val="1"/>
                <w:bCs w:val="1"/>
                <w:color w:val="auto"/>
              </w:rPr>
              <w:t>Prepayments</w:t>
            </w:r>
          </w:p>
        </w:tc>
        <w:tc>
          <w:tcPr>
            <w:tcW w:w="36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w w:val="99"/>
              </w:rPr>
              <w:t>2024</w:t>
            </w:r>
          </w:p>
        </w:tc>
        <w:tc>
          <w:tcPr>
            <w:tcW w:w="26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Term Loan A</w:t>
            </w:r>
          </w:p>
        </w:tc>
        <w:tc>
          <w:tcPr>
            <w:tcW w:w="3660" w:type="dxa"/>
            <w:vAlign w:val="bottom"/>
            <w:tcBorders>
              <w:bottom w:val="single" w:sz="8" w:color="D1D2D4"/>
            </w:tcBorders>
          </w:tcPr>
          <w:p>
            <w:pPr>
              <w:ind w:left="1620"/>
              <w:spacing w:after="0"/>
              <w:rPr>
                <w:sz w:val="20"/>
                <w:szCs w:val="20"/>
                <w:color w:val="auto"/>
              </w:rPr>
            </w:pPr>
            <w:r>
              <w:rPr>
                <w:rFonts w:ascii="Arial" w:cs="Arial" w:eastAsia="Arial" w:hAnsi="Arial"/>
                <w:sz w:val="18"/>
                <w:szCs w:val="18"/>
                <w:color w:val="auto"/>
              </w:rPr>
              <w:t>April 13, 2023</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8"/>
        </w:trPr>
        <w:tc>
          <w:tcPr>
            <w:tcW w:w="540" w:type="dxa"/>
            <w:vAlign w:val="bottom"/>
            <w:tcBorders>
              <w:bottom w:val="single" w:sz="8" w:color="D1D2D4"/>
            </w:tcBorders>
            <w:shd w:val="clear" w:color="auto" w:fill="D1D2D4"/>
          </w:tcPr>
          <w:p>
            <w:pPr>
              <w:spacing w:after="0"/>
              <w:rPr>
                <w:sz w:val="21"/>
                <w:szCs w:val="21"/>
                <w:color w:val="auto"/>
              </w:rPr>
            </w:pPr>
          </w:p>
        </w:tc>
        <w:tc>
          <w:tcPr>
            <w:tcW w:w="2660" w:type="dxa"/>
            <w:vAlign w:val="bottom"/>
            <w:tcBorders>
              <w:bottom w:val="single" w:sz="8" w:color="D1D2D4"/>
            </w:tcBorders>
            <w:shd w:val="clear" w:color="auto" w:fill="D1D2D4"/>
          </w:tcPr>
          <w:p>
            <w:pPr>
              <w:spacing w:after="0"/>
              <w:rPr>
                <w:sz w:val="21"/>
                <w:szCs w:val="21"/>
                <w:color w:val="auto"/>
              </w:rPr>
            </w:pPr>
          </w:p>
        </w:tc>
        <w:tc>
          <w:tcPr>
            <w:tcW w:w="3660" w:type="dxa"/>
            <w:vAlign w:val="bottom"/>
            <w:tcBorders>
              <w:bottom w:val="single" w:sz="8" w:color="D1D2D4"/>
            </w:tcBorders>
            <w:shd w:val="clear" w:color="auto" w:fill="D1D2D4"/>
          </w:tcPr>
          <w:p>
            <w:pPr>
              <w:spacing w:after="0"/>
              <w:rPr>
                <w:sz w:val="21"/>
                <w:szCs w:val="21"/>
                <w:color w:val="auto"/>
              </w:rPr>
            </w:pP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6,100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6,088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0"/>
        </w:trPr>
        <w:tc>
          <w:tcPr>
            <w:tcW w:w="540" w:type="dxa"/>
            <w:vAlign w:val="bottom"/>
            <w:tcBorders>
              <w:top w:val="single" w:sz="8" w:color="D1D2D4"/>
            </w:tcBorders>
          </w:tcPr>
          <w:p>
            <w:pPr>
              <w:spacing w:after="0" w:line="20" w:lineRule="exact"/>
              <w:rPr>
                <w:sz w:val="1"/>
                <w:szCs w:val="1"/>
                <w:color w:val="auto"/>
              </w:rPr>
            </w:pPr>
          </w:p>
        </w:tc>
        <w:tc>
          <w:tcPr>
            <w:tcW w:w="2660" w:type="dxa"/>
            <w:vAlign w:val="bottom"/>
            <w:tcBorders>
              <w:top w:val="single" w:sz="8" w:color="D1D2D4"/>
            </w:tcBorders>
          </w:tcPr>
          <w:p>
            <w:pPr>
              <w:spacing w:after="0" w:line="20" w:lineRule="exact"/>
              <w:rPr>
                <w:sz w:val="1"/>
                <w:szCs w:val="1"/>
                <w:color w:val="auto"/>
              </w:rPr>
            </w:pPr>
          </w:p>
        </w:tc>
        <w:tc>
          <w:tcPr>
            <w:tcW w:w="36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 2022, we issued $ 2.00 billion of senior unsecured notes and received cash of $1.99 billion. The approximate $1.00 billion of net proceeds from the issuance of the 2032 Green Bonds are being used to fund eligible sustainability-focused projects. The remaining proceeds, along with cash on hand, were used to repay $1.85 billion of principal amount of notes (carrying value of $1.85 billion) for $1.93 billion in cash. We recognized losses of $83 million in connection with these repayments.</w:t>
      </w:r>
    </w:p>
    <w:p>
      <w:pPr>
        <w:spacing w:after="0" w:line="217"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In 2021, substantially all holders of our 2032D Notes converted their notes. We settled these conversions and all remaining 2032D Notes with $185 million in cash and 11.1 million shares of our stock, which approximated the carrying value of debt and equity for those notes.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Senior Unsecured Notes</w:t>
      </w:r>
    </w:p>
    <w:p>
      <w:pPr>
        <w:spacing w:after="0" w:line="2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redeem our 2026 Notes, 2027 Notes, 2028 Notes, 2029 A Notes, 2029 B Notes, 2030 Notes, 2032 Green Bonds, 2033 A Notes, 2033 B Notes, 2041 Notes, and 2051 Notes (the “Senior Unsecured Notes”), in whole or in part, at our option prior to their respective maturity dates at a redemption price equal to the greater of (i) 100% of the principal amount of the notes to be redeemed and (ii) the present value of the remaining scheduled payments of principal and interest, in each case plus accrued interest. We may also redeem any series of our Senior Unsecured Notes, in whole or in part, at a price equal to par between one and six months prior to maturity in accordance with the respective terms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71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Each series of Senior Unsecured Notes contains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series) to (1) create or incur certain liens; (2) enter into certain sale and lease-back transactions; and (3) consolidate with or merge with or into, or convey, transfer, or lease all or substantially all of our properties and assets, to another entity. These covenants are subject to a number of limitations and exceptions. Additionally, if a change of control triggering event, as defined in the indentures governing our Senior Unsecured Notes, occurs with respect to a series of Senior Unsecured Notes, we will be required to offer to purchase such Senior Unsecured Notes at 101% of the outstanding aggregate principal amount plus accrued interest up to the purchase date.</w:t>
      </w:r>
    </w:p>
    <w:p>
      <w:pPr>
        <w:spacing w:after="0" w:line="20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2032 Green Bonds: </w:t>
      </w:r>
      <w:r>
        <w:rPr>
          <w:rFonts w:ascii="Arial" w:cs="Arial" w:eastAsia="Arial" w:hAnsi="Arial"/>
          <w:sz w:val="18"/>
          <w:szCs w:val="18"/>
          <w:color w:val="auto"/>
        </w:rPr>
        <w:t>We plan to allocate an amount equal to the approximate $1.00 billion of net proceeds of our unsecured 2032 Green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Bonds by November 1, 2023, to fund eligible sustainability-focused projects involving renewable energy, green buildings, energy efficiency, water management, waste abatement, and a circular economy.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Multi-Tranche Term Loan A</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2023, we entered into a term loan agreement consisting of three tranches (the “Multi-Tranche Term Loan Agreement”) and borrowed $3.20 billion in aggregate principal amount. The tranches mature on November 3, 2025 (“2025 Term Loan A”); November 3, 2026 (“2026 Term Loan A”); and November 3, 2027 (“2027 Term Loan A”).</w:t>
      </w:r>
    </w:p>
    <w:p>
      <w:pPr>
        <w:spacing w:after="0" w:line="21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2026 Term Loan A and 2027 Term Loan A each require equal quarterly installment payments in an amount equal to 1.25% of the original principal amount. The 2025 Term Loan A does not require quarterly installment payments. Borrowings under the Multi-Tranche Term Loan Agreement will generally bear interest at adjusted term SOFR plus an applicable interest rate margin ranging from 1.00% to 2.00%, varying by tranche and depending on our corporate credit ratings. Adjusted term SOFR for the Multi-Tranche Term Loan Agreement is the SOFR benchmark plus 0.10%.</w:t>
      </w:r>
    </w:p>
    <w:p>
      <w:pPr>
        <w:spacing w:after="0" w:line="21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Multi-Tranche Term Loan Agreement requires us to maintain, on a consolidated basis, a leverage ratio of total indebtedness to adjusted EBITDA, as defined in the Multi-Tranche Term Loan Agreement and calculated as of the last day of each fiscal quarter, not to exceed 3.25 to 1.00. On March 27, 2023, we amended the Multi-Tranche Term Loan Agreement to provide that in lieu of the foregoing leverage ratio, during the fourth quarter of 2023 and each quarter of 2024, we will be required to maintain, on a consolidated basis, a net leverage ratio of total net indebtedness to adjusted EBITDA, as defined in the Multi-Tranche Term Loan Agreement and calculated as of the last day of each fiscal quarter, not to exceed 3.25 to 1.00. Alternatively, for up to three of such five quarters, we may elect to comply with a requirement of minimum liquidity, as defined in the Multi-Tranche Term Loan Agreement, of not less than $5.0 billion. In the fourth quarter of 2023, we complied with the net leverage ratio. Each of the leverage ratio and net leverage ratio maximums, as applicable, is subject to a temporary four quarter increase in such ratio to 3.75 to 1.00 following certain material acquisitions.</w:t>
      </w:r>
    </w:p>
    <w:p>
      <w:pPr>
        <w:spacing w:after="0" w:line="2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Multi-Tranche Term Loan Agreement contains other covenants that, among other things, limit, in certain circumstances, our ability and/or the ability of our restricted subsidiaries to (1) create or incur certain liens and enter into sale and lease-back transactions, (2) create, assume, incur, or guarantee certain additional secured indebtedness and unsecured indebtedness of our restricted subsidiaries, and (3) consolidate with or merge with or into, or convey, transfer, lease, or otherwise dispose of all or substantially all of our assets, to another entity. These covenants are subject to a number of limitations, exceptions, and qualifications. Our obligations under the Multi-Tranche Term Loan Agreement are unsecured.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2024 Term Loan A</w:t>
      </w:r>
    </w:p>
    <w:p>
      <w:pPr>
        <w:spacing w:after="0" w:line="25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On April 13, 2023, we used a portion of the proceeds from our April 2023 issuance of senior unsecured notes to prepay $600 million principal amount of our 2024 Term Loan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410210</wp:posOffset>
            </wp:positionV>
            <wp:extent cx="659765"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June 7, 2023, the 2024 Term Loan A agreement was amended, pursuant to its transition provisions, to replace LIBOR-based benchmark rates with SOFR-based benchmark rates effective July 1, 2023. Subsequent to this amendment, borrowings under the 2024 Term Loan Agreement generally bear interest at adjusted term SOFR plus an applicable interest rate margin ranging from 0.625% to 1.375% depending on our corporate credit ratings. Adjusted term SOFR for the 2024 Term Loan A is the SOFR benchmark plus a credit spread adjustment ranging from approximately 0.11% to 0.43% depending on the applicable interest period selected. Prior to July 1, 2023, the 2024 Term Loan A bore interest at a rate equal to LIBOR plus 0.625% to 1.375% based on our corporate credit ratings.</w:t>
      </w:r>
    </w:p>
    <w:p>
      <w:pPr>
        <w:spacing w:after="0" w:line="21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2024 Term Loan A agreement contains the same leverage ratio, as amended, and substantially the same other covenants as the Multi-Tranche Term Loan Agreement. Our obligations under the 2024 Term Loan A agreement are unsecured.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Revolving Credit Facility</w:t>
      </w:r>
    </w:p>
    <w:p>
      <w:pPr>
        <w:spacing w:after="0" w:line="2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August 31, 2023, no amounts were outstanding under the Revolving Credit Facility and $2.50 billion was available to us. Under the Revolving Credit Facility, borrowings would generally bear interest at a rate equal to adjusted term SOFR plus 1.00% to 1.75%, depending on our corporate credit ratings. Adjusted term SOFR for the Revolving Credit Facility agreement is the SOFR benchmark plus a credit spread adjustment ranging from approximately 0.11% to 0.43% depending on the applicable interest period selected. Any amounts outstanding under the Revolving Credit Facility would mature in May 2026 and amounts borrowed may be prepaid without penalty.</w:t>
      </w:r>
    </w:p>
    <w:p>
      <w:pPr>
        <w:spacing w:after="0" w:line="2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The Revolving Credit Facility contains the same leverage ratio, as amended, and substantially the same other covenants as the Multi-Tranche Term Loan Agreement.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Maturities of Notes Payable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tcPr>
          <w:p>
            <w:pPr>
              <w:spacing w:after="0"/>
              <w:rPr>
                <w:sz w:val="20"/>
                <w:szCs w:val="20"/>
                <w:color w:val="auto"/>
              </w:rPr>
            </w:pPr>
            <w:r>
              <w:rPr>
                <w:rFonts w:ascii="Arial" w:cs="Arial" w:eastAsia="Arial" w:hAnsi="Arial"/>
                <w:sz w:val="18"/>
                <w:szCs w:val="18"/>
                <w:color w:val="auto"/>
              </w:rPr>
              <w:t>As of August 31, 2023, maturities of notes payable by fiscal year were as follows: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1,659</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2029 and thereafter</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6,450</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issuance costs, discounts, and premium, net</w:t>
            </w:r>
          </w:p>
        </w:tc>
        <w:tc>
          <w:tcPr>
            <w:tcW w:w="46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460" w:type="dxa"/>
            <w:vAlign w:val="bottom"/>
            <w:tcBorders>
              <w:bottom w:val="single" w:sz="8" w:color="auto"/>
            </w:tcBorders>
            <w:shd w:val="clear" w:color="auto" w:fill="D1D2D4"/>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12,049</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46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Commitments</w:t>
      </w:r>
    </w:p>
    <w:p>
      <w:pPr>
        <w:spacing w:after="0" w:line="27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of August 31, 2023, we had noncancelable commitments with remaining contractual terms in excess of one year of approximately $6.7 billion for purchase obligations, of which approximately $1.2 billion will be due in 2024, $1.4 billion due in 2025, $1.0 billion due in 2026, $1.0 billion due in 2027, $700 million due in 2028, and $1.4 billion due in 2029 and thereafter. Purchase obligations primarily include payments for goods or services with either a fixed or minimum quantity and price, which includes payments for the acquisition of property, plant, and equipment. Payments for leases that have been executed but have not yet commenced are excluded.</w:t>
      </w:r>
    </w:p>
    <w:p>
      <w:pPr>
        <w:spacing w:after="0" w:line="21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2023, we entered into an 18-year power purchase agreement in Singapore to purchase up to 450 megawatts of power at predominantly variable prices. This contract is expected to supply the majority of our power consumption needs in Singapore with more favorable pricing than our previous supply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73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73"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 Matters</w:t>
      </w:r>
    </w:p>
    <w:p>
      <w:pPr>
        <w:spacing w:after="0" w:line="25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April 3, 2018, MSS was served with another patent infringement complaint filed by Jinhua and an additional complaint filed by UMC in the Fuzhou Court. The additional complaints allege that MSS infringes two Chinese patents by manufacturing and selling certain Crucial MX300 SSDs. The complaint filed by UMC seeks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w:t>
      </w:r>
    </w:p>
    <w:p>
      <w:pPr>
        <w:spacing w:after="0" w:line="2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We are complying with the ruling and have requested the Fuzhou Court to reconsider or stay its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415925</wp:posOffset>
            </wp:positionV>
            <wp:extent cx="659765"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 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w:t>
      </w:r>
    </w:p>
    <w:p>
      <w:pPr>
        <w:spacing w:after="0" w:line="2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August 16, 2022, Sonrai Memory Ltd. filed a patent infringement action against Micron in the U.S. District Court for the Western District of Texas. The complaint alleges that two U.S. patents are infringed by certain SSD and NAND flash products. The complaint seeks damages, attorneys’ fees, and costs.</w:t>
      </w:r>
    </w:p>
    <w:p>
      <w:pPr>
        <w:spacing w:after="0" w:line="21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January 23, 2023, Besang Inc. filed a patent infringement complaint against Micron in the U.S. District Court for the Eastern District of Texas. The complaint alleges that one U.S. patent is infringed by certain of our 3D NAND and SSD products. The complaint seeks an injunction, damages, attorneys’ fees, and costs.</w:t>
      </w:r>
    </w:p>
    <w:p>
      <w:pPr>
        <w:spacing w:after="0" w:line="211"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Qimonda</w:t>
      </w:r>
    </w:p>
    <w:p>
      <w:pPr>
        <w:spacing w:after="0" w:line="25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sought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sought an order requiring us to re-transfer those shares to the Qimonda estate. The complaint also sought,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1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ind w:right="140" w:firstLine="8"/>
        <w:spacing w:after="0" w:line="251"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was able to continue to operate with full control of the Inotera Shares subject to further developments in the case. Micron and Micron B.V. appealed the judgments to the German Appeals Court, which thereafter appointed an independent expert to perform an evaluation of Dr. Jaffé’s claims that the amount Micron paid for Qimonda was less than fair market value. On March 31, 2020, the expert presented an opinion to the Appeals Court concluding that the amount paid by Micron was within an acceptable range of fair value. On October 5, 2022, the Appeals Court ruled that the relevant issue to be addressed is whether Qimonda's creditors were prejudiced such that the original transaction should be voided.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75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May 9, 2023, Micron and Dr. Jaffé reached an agreement to dismiss the case in exchange for a one-time payment by Micron to the Qimonda estate and a waiver of each party’s claims. The agreement was formally entered by the Appeals Court in July 2023 and the case was dismissed.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Antitrust Matters</w:t>
      </w:r>
    </w:p>
    <w:p>
      <w:pPr>
        <w:spacing w:after="0" w:line="25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Six cases have been filed against Micron alleging price fixing of DRAM products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w:t>
      </w:r>
    </w:p>
    <w:p>
      <w:pPr>
        <w:spacing w:after="0" w:line="219"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Matters</w:t>
      </w:r>
    </w:p>
    <w:p>
      <w:pPr>
        <w:spacing w:after="0" w:line="25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Matters</w:t>
      </w:r>
    </w:p>
    <w:p>
      <w:pPr>
        <w:spacing w:after="0" w:line="266"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Contingency Assessment</w:t>
      </w:r>
    </w:p>
    <w:p>
      <w:pPr>
        <w:spacing w:after="0" w:line="25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Repurchases</w:t>
      </w:r>
    </w:p>
    <w:p>
      <w:pPr>
        <w:spacing w:after="0" w:line="2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We repurchased 8.6 million shares of our common stock for $425 million in 2023 and 35.4 million shares for $2.43 billion in 2022. Through August 31, 2023, we had repurchased an aggregate of $6.89 billion under the authorization. Amounts repurchased are included in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267335</wp:posOffset>
            </wp:positionV>
            <wp:extent cx="659765"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5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each quarter of 2023, we declared and paid dividends of $ 126 million ($0.115 per share). On September 27, 2023, our Board of Directors declared a quarterly dividend of $0.115 per share, payable in cash on October 25, 2023, to shareholders of record as of the close of business on October 10, 2023.</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Accumulated Other Comprehensive Income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by component for the year ended August 31, 2023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Pension</w:t>
            </w:r>
          </w:p>
        </w:tc>
        <w:tc>
          <w:tcPr>
            <w:tcW w:w="140" w:type="dxa"/>
            <w:vAlign w:val="bottom"/>
          </w:tcPr>
          <w:p>
            <w:pPr>
              <w:spacing w:after="0"/>
              <w:rPr>
                <w:sz w:val="16"/>
                <w:szCs w:val="16"/>
                <w:color w:val="auto"/>
              </w:rPr>
            </w:pPr>
          </w:p>
        </w:tc>
        <w:tc>
          <w:tcPr>
            <w:tcW w:w="1200" w:type="dxa"/>
            <w:vAlign w:val="bottom"/>
          </w:tcPr>
          <w:p>
            <w:pPr>
              <w:jc w:val="center"/>
              <w:ind w:right="50"/>
              <w:spacing w:after="0" w:line="185"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2660" w:type="dxa"/>
            <w:vAlign w:val="bottom"/>
            <w:gridSpan w:val="4"/>
          </w:tcPr>
          <w:p>
            <w:pPr>
              <w:jc w:val="right"/>
              <w:spacing w:after="0" w:line="189" w:lineRule="exact"/>
              <w:rPr>
                <w:sz w:val="20"/>
                <w:szCs w:val="20"/>
                <w:color w:val="auto"/>
              </w:rPr>
            </w:pPr>
            <w:r>
              <w:rPr>
                <w:rFonts w:ascii="Arial" w:cs="Arial" w:eastAsia="Arial" w:hAnsi="Arial"/>
                <w:sz w:val="18"/>
                <w:szCs w:val="18"/>
                <w:b w:val="1"/>
                <w:bCs w:val="1"/>
                <w:color w:val="auto"/>
                <w:w w:val="99"/>
              </w:rPr>
              <w:t>Gains (Losses) Gains (Losses)</w:t>
            </w: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32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20" w:type="dxa"/>
            <w:vAlign w:val="bottom"/>
          </w:tcPr>
          <w:p>
            <w:pPr>
              <w:spacing w:after="0"/>
              <w:rPr>
                <w:sz w:val="15"/>
                <w:szCs w:val="15"/>
                <w:color w:val="auto"/>
              </w:rPr>
            </w:pPr>
          </w:p>
        </w:tc>
        <w:tc>
          <w:tcPr>
            <w:tcW w:w="12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Liability</w:t>
            </w:r>
          </w:p>
        </w:tc>
        <w:tc>
          <w:tcPr>
            <w:tcW w:w="14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1, 2022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shd w:val="clear" w:color="auto" w:fill="D1D2D4"/>
          </w:tcPr>
          <w:p>
            <w:pPr>
              <w:ind w:left="94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70"/>
        </w:trPr>
        <w:tc>
          <w:tcPr>
            <w:tcW w:w="4580" w:type="dxa"/>
            <w:vAlign w:val="bottom"/>
          </w:tcPr>
          <w:p>
            <w:pPr>
              <w:ind w:left="240"/>
              <w:spacing w:after="0" w:line="170"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0"/>
        </w:trPr>
        <w:tc>
          <w:tcPr>
            <w:tcW w:w="4580" w:type="dxa"/>
            <w:vAlign w:val="bottom"/>
            <w:shd w:val="clear" w:color="auto" w:fill="D1D2D4"/>
          </w:tcPr>
          <w:p>
            <w:pPr>
              <w:ind w:left="240"/>
              <w:spacing w:after="0" w:line="189"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22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28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August 31,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ectPr>
          <w:pgSz w:w="11900" w:h="16838" w:orient="portrait"/>
          <w:cols w:equalWidth="0" w:num="1">
            <w:col w:w="11240"/>
          </w:cols>
          <w:pgMar w:left="320" w:top="121" w:right="339" w:bottom="1440" w:gutter="0" w:footer="0" w:header="0"/>
        </w:sectPr>
      </w:pPr>
    </w:p>
    <w:p>
      <w:pPr>
        <w:spacing w:after="0" w:line="40"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As of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20320</wp:posOffset>
            </wp:positionV>
            <wp:extent cx="1834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4" w:lineRule="exact"/>
        <w:rPr>
          <w:sz w:val="20"/>
          <w:szCs w:val="20"/>
          <w:color w:val="auto"/>
        </w:rPr>
      </w:pPr>
    </w:p>
    <w:p>
      <w:pPr>
        <w:ind w:left="5920"/>
        <w:spacing w:after="0"/>
        <w:tabs>
          <w:tab w:leader="none" w:pos="714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spacing w:after="0" w:line="8" w:lineRule="exact"/>
        <w:rPr>
          <w:sz w:val="20"/>
          <w:szCs w:val="20"/>
          <w:color w:val="auto"/>
        </w:rPr>
      </w:pPr>
    </w:p>
    <w:p>
      <w:pPr>
        <w:ind w:left="5840"/>
        <w:spacing w:after="0"/>
        <w:tabs>
          <w:tab w:leader="none" w:pos="726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52292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20320</wp:posOffset>
            </wp:positionV>
            <wp:extent cx="1834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4" w:lineRule="exact"/>
        <w:rPr>
          <w:sz w:val="20"/>
          <w:szCs w:val="20"/>
          <w:color w:val="auto"/>
        </w:rPr>
      </w:pPr>
    </w:p>
    <w:p>
      <w:pPr>
        <w:ind w:left="140"/>
        <w:spacing w:after="0"/>
        <w:tabs>
          <w:tab w:leader="none" w:pos="1360" w:val="left"/>
        </w:tabs>
        <w:rPr>
          <w:sz w:val="20"/>
          <w:szCs w:val="20"/>
          <w:color w:val="auto"/>
        </w:rPr>
      </w:pPr>
      <w:r>
        <w:rPr>
          <w:rFonts w:ascii="Arial" w:cs="Arial" w:eastAsia="Arial" w:hAnsi="Arial"/>
          <w:sz w:val="17"/>
          <w:szCs w:val="17"/>
          <w:b w:val="1"/>
          <w:bCs w:val="1"/>
          <w:color w:val="auto"/>
        </w:rPr>
        <w:t>Fair</w:t>
      </w:r>
      <w:r>
        <w:rPr>
          <w:sz w:val="20"/>
          <w:szCs w:val="20"/>
          <w:color w:val="auto"/>
        </w:rPr>
        <w:tab/>
      </w:r>
      <w:r>
        <w:rPr>
          <w:rFonts w:ascii="Arial" w:cs="Arial" w:eastAsia="Arial" w:hAnsi="Arial"/>
          <w:sz w:val="17"/>
          <w:szCs w:val="17"/>
          <w:b w:val="1"/>
          <w:bCs w:val="1"/>
          <w:color w:val="auto"/>
        </w:rPr>
        <w:t>Carrying</w:t>
      </w:r>
    </w:p>
    <w:p>
      <w:pPr>
        <w:spacing w:after="0" w:line="8" w:lineRule="exact"/>
        <w:rPr>
          <w:sz w:val="20"/>
          <w:szCs w:val="20"/>
          <w:color w:val="auto"/>
        </w:rPr>
      </w:pPr>
    </w:p>
    <w:p>
      <w:pPr>
        <w:ind w:left="80"/>
        <w:spacing w:after="0"/>
        <w:tabs>
          <w:tab w:leader="none" w:pos="1500" w:val="left"/>
        </w:tabs>
        <w:rPr>
          <w:sz w:val="20"/>
          <w:szCs w:val="20"/>
          <w:color w:val="auto"/>
        </w:rPr>
      </w:pPr>
      <w:r>
        <w:rPr>
          <w:rFonts w:ascii="Arial" w:cs="Arial" w:eastAsia="Arial" w:hAnsi="Arial"/>
          <w:sz w:val="18"/>
          <w:szCs w:val="18"/>
          <w:b w:val="1"/>
          <w:bCs w:val="1"/>
          <w:color w:val="auto"/>
        </w:rPr>
        <w:t>Value</w:t>
      </w:r>
      <w:r>
        <w:rPr>
          <w:sz w:val="20"/>
          <w:szCs w:val="20"/>
          <w:color w:val="auto"/>
        </w:rPr>
        <w:tab/>
      </w:r>
      <w:r>
        <w:rPr>
          <w:rFonts w:ascii="Arial" w:cs="Arial" w:eastAsia="Arial" w:hAnsi="Arial"/>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6350</wp:posOffset>
            </wp:positionV>
            <wp:extent cx="18345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8040" w:space="720"/>
            <w:col w:w="2480"/>
          </w:cols>
          <w:pgMar w:left="320" w:top="121" w:right="339" w:bottom="1440" w:gutter="0" w:footer="0" w:header="0"/>
          <w:type w:val="continuous"/>
        </w:sectPr>
      </w:pPr>
    </w:p>
    <w:p>
      <w:pPr>
        <w:ind w:left="20"/>
        <w:spacing w:after="0"/>
        <w:tabs>
          <w:tab w:leader="none" w:pos="5360" w:val="left"/>
          <w:tab w:leader="none" w:pos="6160" w:val="left"/>
          <w:tab w:leader="none" w:pos="7600" w:val="left"/>
          <w:tab w:leader="none" w:pos="8340" w:val="left"/>
          <w:tab w:leader="none" w:pos="9240" w:val="left"/>
          <w:tab w:leader="none" w:pos="10700" w:val="left"/>
        </w:tabs>
        <w:rPr>
          <w:sz w:val="20"/>
          <w:szCs w:val="20"/>
          <w:color w:val="auto"/>
        </w:rPr>
      </w:pPr>
      <w:r>
        <w:rPr>
          <w:rFonts w:ascii="Arial" w:cs="Arial" w:eastAsia="Arial" w:hAnsi="Arial"/>
          <w:sz w:val="18"/>
          <w:szCs w:val="18"/>
          <w:color w:val="auto"/>
        </w:rPr>
        <w:t>Notes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11,549 $</w:t>
      </w:r>
      <w:r>
        <w:rPr>
          <w:sz w:val="20"/>
          <w:szCs w:val="20"/>
          <w:color w:val="auto"/>
        </w:rPr>
        <w:tab/>
      </w:r>
      <w:r>
        <w:rPr>
          <w:rFonts w:ascii="Arial" w:cs="Arial" w:eastAsia="Arial" w:hAnsi="Arial"/>
          <w:sz w:val="18"/>
          <w:szCs w:val="18"/>
          <w:color w:val="auto"/>
        </w:rPr>
        <w:t>12,049</w:t>
        <w:tab/>
        <w:t>$</w:t>
      </w:r>
      <w:r>
        <w:rPr>
          <w:sz w:val="20"/>
          <w:szCs w:val="20"/>
          <w:color w:val="auto"/>
        </w:rPr>
        <w:tab/>
      </w:r>
      <w:r>
        <w:rPr>
          <w:rFonts w:ascii="Arial" w:cs="Arial" w:eastAsia="Arial" w:hAnsi="Arial"/>
          <w:sz w:val="18"/>
          <w:szCs w:val="18"/>
          <w:color w:val="auto"/>
        </w:rPr>
        <w:t>5,472 $</w:t>
      </w:r>
      <w:r>
        <w:rPr>
          <w:sz w:val="20"/>
          <w:szCs w:val="20"/>
          <w:color w:val="auto"/>
        </w:rPr>
        <w:tab/>
      </w:r>
      <w:r>
        <w:rPr>
          <w:rFonts w:ascii="Arial" w:cs="Arial" w:eastAsia="Arial" w:hAnsi="Arial"/>
          <w:sz w:val="17"/>
          <w:szCs w:val="17"/>
          <w:color w:val="auto"/>
        </w:rPr>
        <w:t>6,020</w:t>
      </w:r>
    </w:p>
    <w:p>
      <w:pPr>
        <w:spacing w:after="0" w:line="347"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77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c>
          <w:tcPr>
            <w:tcW w:w="0" w:type="dxa"/>
            <w:vAlign w:val="bottom"/>
          </w:tcPr>
          <w:p>
            <w:pPr>
              <w:spacing w:after="0"/>
              <w:rPr>
                <w:sz w:val="1"/>
                <w:szCs w:val="1"/>
                <w:color w:val="auto"/>
              </w:rPr>
            </w:pPr>
          </w:p>
        </w:tc>
      </w:tr>
      <w:tr>
        <w:trPr>
          <w:trHeight w:val="1154"/>
        </w:trPr>
        <w:tc>
          <w:tcPr>
            <w:tcW w:w="5900" w:type="dxa"/>
            <w:vAlign w:val="bottom"/>
          </w:tcPr>
          <w:p>
            <w:pPr>
              <w:spacing w:after="0"/>
              <w:rPr>
                <w:sz w:val="20"/>
                <w:szCs w:val="20"/>
                <w:color w:val="auto"/>
              </w:rPr>
            </w:pPr>
            <w:r>
              <w:rPr>
                <w:rFonts w:ascii="Arial" w:cs="Arial" w:eastAsia="Arial" w:hAnsi="Arial"/>
                <w:sz w:val="40"/>
                <w:szCs w:val="40"/>
                <w:b w:val="1"/>
                <w:bCs w:val="1"/>
                <w:color w:val="auto"/>
              </w:rPr>
              <w:t>Derivative Instruments</w:t>
            </w:r>
          </w:p>
        </w:tc>
        <w:tc>
          <w:tcPr>
            <w:tcW w:w="1180" w:type="dxa"/>
            <w:vAlign w:val="bottom"/>
          </w:tcPr>
          <w:p>
            <w:pPr>
              <w:spacing w:after="0"/>
              <w:rPr>
                <w:sz w:val="24"/>
                <w:szCs w:val="24"/>
                <w:color w:val="auto"/>
              </w:rPr>
            </w:pPr>
          </w:p>
        </w:tc>
        <w:tc>
          <w:tcPr>
            <w:tcW w:w="12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BD03F7"/>
            </w:tcBorders>
          </w:tcPr>
          <w:p>
            <w:pPr>
              <w:spacing w:after="0"/>
              <w:rPr>
                <w:sz w:val="24"/>
                <w:szCs w:val="24"/>
                <w:color w:val="auto"/>
              </w:rPr>
            </w:pPr>
          </w:p>
        </w:tc>
        <w:tc>
          <w:tcPr>
            <w:tcW w:w="126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2"/>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August 31, 2023</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3,873</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1, 2022</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5,427</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D1D2D4"/>
          </w:tcPr>
          <w:p>
            <w:pPr>
              <w:jc w:val="right"/>
              <w:ind w:right="6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2,821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196" w:lineRule="auto"/>
        <w:tabs>
          <w:tab w:leader="none" w:pos="240"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 Hedge Accounting Designation</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 Forward and swap contracts are measured at fair value based on market-based observable inputs including market spot and forward rates, interest rates, and credit-risk spreads (Level 2). We recognized gains from cash flow hedges of $30 million for 2023, and losses of $735 million and $52 million for 2022 and 2021, respectively, in accumulated other comprehensive income (loss). We recognized losses related to amounts excluded from hedge effectiveness testing on our cash flow hedges of $101 million in 2023 in cost of goods sold through an amortization approach. The amounts recognized in 2022 and 2021 were not significant. We reclassified losses of $261 million and $53 million in 2023 and 2022, respectively, and gains of $41 million in 2021, from accumulated other comprehensive income (loss) to earnings, primarily to cost of goods sold. As of August 31, 2023, we expect to reclassify $177 million of pre-tax losses related to cash flow hedges from accumulated other comprehensive income (loss) into earnings in the next 12 months.</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We recognized interest expense of $96 million for changes in the fair value of our interest rate swaps in 2022 and the impact to interest expense was not significant for 2023 or 2021. We also recognized offsetting reductions in interest expense of the same amounts related to the changes in the fair value of the hedged portion of the underlying debt for these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269240</wp:posOffset>
            </wp:positionV>
            <wp:extent cx="659765" cy="180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 We do not use derivative instruments for speculative purposes.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Derivative Counterparty Credit Risk and Master Netting Arrangements</w:t>
      </w:r>
    </w:p>
    <w:p>
      <w:pPr>
        <w:spacing w:after="0" w:line="253"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August 31, 2023 and September 1, 2022, amounts netted under our master netting arrangements were not significant.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8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As of August 31, 2023, 95 million shares of our common stock were available for future awards under our equity plans, including 14 million shares approved for issuance under our employee stock purchase plan (“ESPP”).</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and Restricted Stock Units (“Restricted Stock Awards”)</w:t>
      </w:r>
    </w:p>
    <w:p>
      <w:pPr>
        <w:spacing w:after="0" w:line="2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August 31, 2023, there were 29 million shares of Restricted Stock Awards outstanding, 26 million of which contained only service conditions. For service-based Restricted Stock Awards granted through October 2021, restrictions generally lapse in one-fourth or one-third increments during each year of employment after the grant date. For service-based Restricted Stock Awards granted beginning in November 2021, restrictions generally lapse on 25% or 33% of the units granted after the first year and on 6.25% or 8.33% each quarter thereafter over the remaining three or two years of employment. Restrictions generally lapse on Restricted Stock with performance or market conditions as conditions are met over a 3-year period. At the end of the performance period, the number of actual shares to be awarded will vary between 0% and 200% of target amounts, depending upon the achievement level. In 2022, our Board of Directors approved dividend equivalent rights for unvested restricted stock units awarded on or after October 13, 2021.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activity for 2023 is summarized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32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Outstanding as of September 1, 2022</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Restrictions lapsed</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D1D2D4"/>
            </w:tcBorders>
          </w:tcPr>
          <w:p>
            <w:pPr>
              <w:spacing w:after="0"/>
              <w:rPr>
                <w:sz w:val="19"/>
                <w:szCs w:val="19"/>
                <w:color w:val="auto"/>
              </w:rPr>
            </w:pPr>
          </w:p>
        </w:tc>
        <w:tc>
          <w:tcPr>
            <w:tcW w:w="13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Outstanding as of August 31, 2023</w:t>
            </w:r>
          </w:p>
        </w:tc>
        <w:tc>
          <w:tcPr>
            <w:tcW w:w="14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D1D2D4"/>
            </w:tcBorders>
            <w:shd w:val="clear" w:color="auto" w:fill="D1D2D4"/>
          </w:tcPr>
          <w:p>
            <w:pPr>
              <w:spacing w:after="0"/>
              <w:rPr>
                <w:sz w:val="21"/>
                <w:szCs w:val="21"/>
                <w:color w:val="auto"/>
              </w:rPr>
            </w:pPr>
          </w:p>
        </w:tc>
        <w:tc>
          <w:tcPr>
            <w:tcW w:w="1320" w:type="dxa"/>
            <w:vAlign w:val="bottom"/>
            <w:tcBorders>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4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32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79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BD03F7"/>
            </w:tcBorders>
          </w:tcPr>
          <w:p>
            <w:pPr>
              <w:jc w:val="right"/>
              <w:spacing w:after="0"/>
              <w:rPr>
                <w:sz w:val="20"/>
                <w:szCs w:val="20"/>
                <w:color w:val="auto"/>
              </w:rPr>
            </w:pPr>
            <w:r>
              <w:rPr>
                <w:rFonts w:ascii="Arial" w:cs="Arial" w:eastAsia="Arial" w:hAnsi="Arial"/>
                <w:sz w:val="16"/>
                <w:szCs w:val="16"/>
                <w:b w:val="1"/>
                <w:bCs w:val="1"/>
                <w:color w:val="BD03F7"/>
                <w:w w:val="99"/>
              </w:rPr>
              <w:t>Table of Contents</w:t>
            </w:r>
          </w:p>
        </w:tc>
      </w:tr>
      <w:tr>
        <w:trPr>
          <w:trHeight w:val="88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8"/>
                <w:szCs w:val="18"/>
                <w:b w:val="1"/>
                <w:bCs w:val="1"/>
                <w:color w:val="auto"/>
              </w:rPr>
              <w:t>2021</w:t>
            </w:r>
          </w:p>
        </w:tc>
      </w:tr>
      <w:tr>
        <w:trPr>
          <w:trHeight w:val="34"/>
        </w:trPr>
        <w:tc>
          <w:tcPr>
            <w:tcW w:w="5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140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D1D2D4"/>
          </w:tcPr>
          <w:p>
            <w:pPr>
              <w:spacing w:after="0"/>
              <w:rPr>
                <w:sz w:val="19"/>
                <w:szCs w:val="19"/>
                <w:color w:val="auto"/>
              </w:rPr>
            </w:pPr>
          </w:p>
        </w:tc>
        <w:tc>
          <w:tcPr>
            <w:tcW w:w="14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55.99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70.81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53.58</w:t>
            </w:r>
          </w:p>
        </w:tc>
      </w:tr>
      <w:tr>
        <w:trPr>
          <w:trHeight w:val="229"/>
        </w:trPr>
        <w:tc>
          <w:tcPr>
            <w:tcW w:w="5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Aggregate vesting-date fair value of shares vested</w:t>
            </w:r>
          </w:p>
        </w:tc>
        <w:tc>
          <w:tcPr>
            <w:tcW w:w="140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3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385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Stock Purchase Plan (“ESPP”)</w:t>
      </w:r>
    </w:p>
    <w:p>
      <w:pPr>
        <w:spacing w:after="0" w:line="2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ESPP is offered to substantially all employees and permitted eligible employees to purchase shares of our common stock through payroll deductions of up to 10% of their eligible compensation, subject to certain limitations prior to August 2021. Beginning in August 2021, employees are permitted to deduct up to 15% of their eligible compensation to purchase shares under the ESPP. The purchase price of the shares under the ESPP equals 85% of the lower of the fair market value of our common stock on either the first or last day of each six-month offering period. Compensation expense is calculated as of the beginning of the offering period as the fair value of the employees’ purchase rights utilizing the Black-Scholes option valuation model and is recognized over the offering period. Grant-date fair value and assumptions used in the Black-Scholes option valuation model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34"/>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5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1420" w:type="dxa"/>
            <w:vAlign w:val="bottom"/>
            <w:shd w:val="clear" w:color="auto" w:fill="D1D2D4"/>
          </w:tcPr>
          <w:p>
            <w:pPr>
              <w:jc w:val="right"/>
              <w:ind w:right="890"/>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7"/>
              </w:rPr>
              <w:t>17.06</w:t>
            </w:r>
          </w:p>
        </w:tc>
        <w:tc>
          <w:tcPr>
            <w:tcW w:w="1120" w:type="dxa"/>
            <w:vAlign w:val="bottom"/>
            <w:shd w:val="clear" w:color="auto" w:fill="D1D2D4"/>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7"/>
              </w:rPr>
              <w:t>18.87</w:t>
            </w:r>
          </w:p>
        </w:tc>
        <w:tc>
          <w:tcPr>
            <w:tcW w:w="40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20.71</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Average expected life in years</w:t>
            </w:r>
          </w:p>
        </w:tc>
        <w:tc>
          <w:tcPr>
            <w:tcW w:w="14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12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29"/>
        </w:trPr>
        <w:tc>
          <w:tcPr>
            <w:tcW w:w="5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expected volatility (based on implied volatility)</w:t>
            </w:r>
          </w:p>
        </w:tc>
        <w:tc>
          <w:tcPr>
            <w:tcW w:w="14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37 %</w:t>
            </w:r>
          </w:p>
        </w:tc>
        <w:tc>
          <w:tcPr>
            <w:tcW w:w="11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43 %</w:t>
            </w:r>
          </w:p>
        </w:tc>
        <w:tc>
          <w:tcPr>
            <w:tcW w:w="400" w:type="dxa"/>
            <w:vAlign w:val="bottom"/>
            <w:shd w:val="clear" w:color="auto" w:fill="D1D2D4"/>
          </w:tcPr>
          <w:p>
            <w:pPr>
              <w:spacing w:after="0"/>
              <w:rPr>
                <w:sz w:val="19"/>
                <w:szCs w:val="19"/>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5.1 %</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2.0 %</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29"/>
        </w:trPr>
        <w:tc>
          <w:tcPr>
            <w:tcW w:w="5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0.7 %</w:t>
            </w:r>
          </w:p>
        </w:tc>
        <w:tc>
          <w:tcPr>
            <w:tcW w:w="112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0.6 %</w:t>
            </w:r>
          </w:p>
        </w:tc>
        <w:tc>
          <w:tcPr>
            <w:tcW w:w="400" w:type="dxa"/>
            <w:vAlign w:val="bottom"/>
            <w:shd w:val="clear" w:color="auto" w:fill="D1D2D4"/>
          </w:tcPr>
          <w:p>
            <w:pPr>
              <w:spacing w:after="0"/>
              <w:rPr>
                <w:sz w:val="19"/>
                <w:szCs w:val="19"/>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0.3 %</w:t>
            </w:r>
          </w:p>
        </w:tc>
      </w:tr>
    </w:tbl>
    <w:p>
      <w:pPr>
        <w:spacing w:after="0" w:line="3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Under the ESPP, employees purchased 5 million, 4 million, and 3 million shares of common stock in 2023, 2022, and 2021, respectively, at a per share weighted average price of $51.93, $58.52, and $51.42,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25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August 31, 2023, stock options of 2 million shares were outstanding, all of which were fully exercisable. Stock options expire 8 years from the date of grant. We did not grant any stock options in 2023, 2022, or 2021. Stock options of 1 million shares were exercised in 2023. The total intrinsic value for options exercised was $30 million, $54 million, and $143 million in 2023, 2022, and 2021,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 Expense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201</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6900" w:type="dxa"/>
            <w:vAlign w:val="bottom"/>
            <w:tcBorders>
              <w:bottom w:val="single" w:sz="8" w:color="D1D2D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Restricted stock awards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ESPP</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480060</wp:posOffset>
            </wp:positionV>
            <wp:extent cx="659765"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 benefits related to the tax deductions for share -based awards are recognized only upon the settlement of the related share-based awards. Income tax benefits for share-based awards were $68 million, $77 million, and $83 million for 2023, 2022, and 2021, respectively. Stock-based compensation expense of $88 million and $ 48 million was capitalized and remained in inventory as of August 31, 2023 and September 1, 2022, respectively. As of August 31, 2023, $1.26 billion of total unrecognized compensation costs for unvested awards, before the effect of any future forfeitures, was expected to be recognized through the fourth quarter of 2027, resulting in a weighted-average period of 1.3 years.</w:t>
      </w:r>
    </w:p>
    <w:p>
      <w:pPr>
        <w:spacing w:after="0" w:line="17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Employee Benefit Plans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We have employee retirement plans at our U.S. and international sites. Details of significant plans are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Savings Plan for U.S. Employees</w:t>
      </w:r>
    </w:p>
    <w:p>
      <w:pPr>
        <w:spacing w:after="0" w:line="25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have a 401(k) retirement plan under which U.S. employees may contribute up to 75% of their eligible pay, subject to Internal Revenue Service annual contribution limits, to various savings alternatives, none of which include direct investment in our stock. We match in cash eligible contributions from employees up to 5% of the employee’s annual eligible earnings. Contribution expense for the 401(k) plan was $59 million, $66 million, and $77 million in 2023, 2022, and 2021,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 Plans</w:t>
      </w:r>
    </w:p>
    <w:p>
      <w:pPr>
        <w:spacing w:after="0" w:line="2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pension plans available to employees at various foreign sites. As of August 31, 2023, the projected benefit obligations of our plans were $ 175 million and plan assets were $232 million. As of September 1, 2022, the projected benefit obligations of our plans were $186 million and plan assets were $221 million. Pension expense was not material for 2023, 2022, or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Government Incentives</w:t>
      </w:r>
    </w:p>
    <w:p>
      <w:pPr>
        <w:spacing w:after="0" w:line="2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receive incentives from governmental entities primarily in India, Japan, Singapore, Taiwan, and the United States principally in the form of cash grants and tax credits. These incentives primarily relate to capital expenditures, have initial terms ranging from one year to 15 years, and may be subject to reimbursement if certain conditions are not met or maintained. The conditions attached to these incentives require us to incur expenditures related to the construction of new manufacturing facilities, the purchase and installation of specialized tools and equipment, R&amp;D expenditures, and/or maintain certain levels of fixed asset investment or employee headcount during the incentive terms.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The line items on the balance sheet affected by government incentives were as follows:</w:t>
            </w:r>
          </w:p>
        </w:tc>
        <w:tc>
          <w:tcPr>
            <w:tcW w:w="1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600" w:type="dxa"/>
            <w:vAlign w:val="bottom"/>
          </w:tcPr>
          <w:p>
            <w:pPr>
              <w:spacing w:after="0"/>
              <w:rPr>
                <w:sz w:val="17"/>
                <w:szCs w:val="17"/>
                <w:color w:val="auto"/>
              </w:rPr>
            </w:pPr>
          </w:p>
        </w:tc>
        <w:tc>
          <w:tcPr>
            <w:tcW w:w="12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43"/>
        </w:trPr>
        <w:tc>
          <w:tcPr>
            <w:tcW w:w="8380" w:type="dxa"/>
            <w:vAlign w:val="bottom"/>
            <w:tcBorders>
              <w:bottom w:val="single" w:sz="8" w:color="auto"/>
            </w:tcBorders>
            <w:vMerge w:val="continue"/>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Receivables</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8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current liabilities</w:t>
            </w:r>
          </w:p>
        </w:tc>
        <w:tc>
          <w:tcPr>
            <w:tcW w:w="16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As of August 31, 2023, we had aggregate commitments from various governmental entities of up to $2 billion to be received through 2033 (in addition to the receivables and other noncurrent assets in the table above), subject to achievement of certain performance conditions. We also receive a 25% investment tax credit on qualified investments in U.S. semiconductor manufacturing under the CHIPS Act. Subsequent to August 31, 2023, we finalized an incentive arrangement under which we will receive additional grants of up to $1.3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81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Government incentives related to capital expenditures have reduced property, plant and equipment by $1.57 billion as of August 31, 2023, of which $584 million pertained to 2023 expenditures.</w:t>
      </w:r>
    </w:p>
    <w:p>
      <w:pPr>
        <w:spacing w:after="0" w:line="213"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In 2023, operating income (loss) benefited by $318 million (approximately 93% in COGS and 7% in R&amp;D) from government incentives recognized as a reduction of expense, primarily in the form of reduced depreciation expense.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w:t>
      </w:r>
    </w:p>
    <w:p>
      <w:pPr>
        <w:spacing w:after="0" w:line="27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August 31, 2023, our future performance obligations beyond one year were not significant.</w:t>
      </w:r>
    </w:p>
    <w:p>
      <w:pPr>
        <w:spacing w:after="0" w:line="219"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As of August 31, 2023 and September 1, 2022, other current liabilities included $453 million and $1.26 billion, respectively, for estimates of consideration payable to customers including estimates for pricing adjustments and returns.</w:t>
      </w:r>
    </w:p>
    <w:p>
      <w:pPr>
        <w:spacing w:after="0" w:line="201"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color w:val="auto"/>
        </w:rPr>
        <w:t>In 2023, we received an aggregate of $ 228 million from settlements of insurance claims involving a power disruption in 2022 and an operational disruption in 2017, of which $186 million was for business interruption and recognized in revenue.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by Technology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10,978</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22,386</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20,039</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NAND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7,007</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NOR)</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356</w:t>
            </w:r>
          </w:p>
        </w:tc>
        <w:tc>
          <w:tcPr>
            <w:tcW w:w="36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561</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659</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15,540</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30,758</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27,705</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Restructure and Asset Impairments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Employee severance</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163</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Asset impairments and other asset-related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120" w:type="dxa"/>
            <w:vAlign w:val="bottom"/>
          </w:tcPr>
          <w:p>
            <w:pPr>
              <w:jc w:val="center"/>
              <w:ind w:left="670"/>
              <w:spacing w:after="0"/>
              <w:rPr>
                <w:sz w:val="20"/>
                <w:szCs w:val="20"/>
                <w:color w:val="auto"/>
              </w:rPr>
            </w:pPr>
            <w:r>
              <w:rPr>
                <w:rFonts w:ascii="Arial" w:cs="Arial" w:eastAsia="Arial" w:hAnsi="Arial"/>
                <w:sz w:val="18"/>
                <w:szCs w:val="18"/>
                <w:color w:val="auto"/>
                <w:w w:val="99"/>
              </w:rPr>
              <w:t>63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center"/>
              <w:ind w:left="630"/>
              <w:spacing w:after="0"/>
              <w:rPr>
                <w:sz w:val="20"/>
                <w:szCs w:val="20"/>
                <w:color w:val="auto"/>
              </w:rPr>
            </w:pPr>
            <w:r>
              <w:rPr>
                <w:rFonts w:ascii="Arial" w:cs="Arial" w:eastAsia="Arial" w:hAnsi="Arial"/>
                <w:sz w:val="18"/>
                <w:szCs w:val="18"/>
                <w:color w:val="auto"/>
                <w:w w:val="99"/>
              </w:rPr>
              <w:t>(15)</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48</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2023, we initiated the 2023 Restructure Plan in response to challenging industry conditions. Under the 2023 Restructure Plan, we expect our headcount reduction to approach 15% by the end of calendar 2023 through a combination of voluntary attrition and personnel reductions. In connection with the plan, we incurred restructure charges of $171 million in 2023, primarily related to employee severance costs. The plan was substantially completed in the third quarter of 2023. As of August 31, 2023, we had paid $167 million in 2023 in connection with the 2023 Restructure Plan and the remaining liability was $4 million.</w:t>
      </w:r>
    </w:p>
    <w:p>
      <w:pPr>
        <w:spacing w:after="0" w:line="219"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Restructure and asset impairments for 2022 and 2021 are primarily related to the sale of our Lehi, Utah facility. See “Lehi, Utah Fab and 3D XPoint.”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401320</wp:posOffset>
            </wp:positionV>
            <wp:extent cx="659765"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Litigation settlement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Patent license charges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(Gain) loss on disposition of 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investments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center"/>
              <w:ind w:left="670"/>
              <w:spacing w:after="0"/>
              <w:rPr>
                <w:sz w:val="20"/>
                <w:szCs w:val="20"/>
                <w:color w:val="auto"/>
              </w:rPr>
            </w:pPr>
            <w:r>
              <w:rPr>
                <w:rFonts w:ascii="Arial" w:cs="Arial" w:eastAsia="Arial" w:hAnsi="Arial"/>
                <w:sz w:val="18"/>
                <w:szCs w:val="18"/>
                <w:color w:val="auto"/>
                <w:w w:val="99"/>
              </w:rPr>
              <w:t>26</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Loss on debt repurchases and conversions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center"/>
              <w:ind w:left="630"/>
              <w:spacing w:after="0"/>
              <w:rPr>
                <w:sz w:val="20"/>
                <w:szCs w:val="20"/>
                <w:color w:val="auto"/>
              </w:rPr>
            </w:pPr>
            <w:r>
              <w:rPr>
                <w:rFonts w:ascii="Arial" w:cs="Arial" w:eastAsia="Arial" w:hAnsi="Arial"/>
                <w:sz w:val="18"/>
                <w:szCs w:val="18"/>
                <w:color w:val="auto"/>
                <w:w w:val="99"/>
              </w:rPr>
              <w:t>(83)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center"/>
              <w:ind w:left="670"/>
              <w:spacing w:after="0"/>
              <w:rPr>
                <w:sz w:val="20"/>
                <w:szCs w:val="20"/>
                <w:color w:val="auto"/>
              </w:rPr>
            </w:pPr>
            <w:r>
              <w:rPr>
                <w:rFonts w:ascii="Arial" w:cs="Arial" w:eastAsia="Arial" w:hAnsi="Arial"/>
                <w:sz w:val="18"/>
                <w:szCs w:val="18"/>
                <w:color w:val="auto"/>
                <w:w w:val="99"/>
              </w:rPr>
              <w:t>19</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9"/>
              </w:rPr>
              <w:t>(38)</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0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90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Income (loss) before income taxes and equity in net income (loss) of equity method</w:t>
            </w:r>
          </w:p>
        </w:tc>
        <w:tc>
          <w:tcPr>
            <w:tcW w:w="3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34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3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investees</w:t>
            </w:r>
          </w:p>
        </w:tc>
        <w:tc>
          <w:tcPr>
            <w:tcW w:w="320" w:type="dxa"/>
            <w:vAlign w:val="bottom"/>
            <w:shd w:val="clear" w:color="auto" w:fill="D1D2D4"/>
          </w:tcPr>
          <w:p>
            <w:pPr>
              <w:spacing w:after="0"/>
              <w:rPr>
                <w:sz w:val="21"/>
                <w:szCs w:val="21"/>
                <w:color w:val="auto"/>
              </w:rPr>
            </w:pPr>
          </w:p>
        </w:tc>
        <w:tc>
          <w:tcPr>
            <w:tcW w:w="1120" w:type="dxa"/>
            <w:vAlign w:val="bottom"/>
            <w:shd w:val="clear" w:color="auto" w:fill="D1D2D4"/>
          </w:tcPr>
          <w:p>
            <w:pPr>
              <w:spacing w:after="0"/>
              <w:rPr>
                <w:sz w:val="21"/>
                <w:szCs w:val="21"/>
                <w:color w:val="auto"/>
              </w:rPr>
            </w:pPr>
          </w:p>
        </w:tc>
        <w:tc>
          <w:tcPr>
            <w:tcW w:w="340" w:type="dxa"/>
            <w:vAlign w:val="bottom"/>
            <w:shd w:val="clear" w:color="auto" w:fill="D1D2D4"/>
          </w:tcPr>
          <w:p>
            <w:pPr>
              <w:spacing w:after="0"/>
              <w:rPr>
                <w:sz w:val="21"/>
                <w:szCs w:val="21"/>
                <w:color w:val="auto"/>
              </w:rPr>
            </w:pPr>
          </w:p>
        </w:tc>
        <w:tc>
          <w:tcPr>
            <w:tcW w:w="1120" w:type="dxa"/>
            <w:vAlign w:val="bottom"/>
            <w:shd w:val="clear" w:color="auto" w:fill="D1D2D4"/>
          </w:tcPr>
          <w:p>
            <w:pPr>
              <w:spacing w:after="0"/>
              <w:rPr>
                <w:sz w:val="21"/>
                <w:szCs w:val="21"/>
                <w:color w:val="auto"/>
              </w:rPr>
            </w:pPr>
          </w:p>
        </w:tc>
        <w:tc>
          <w:tcPr>
            <w:tcW w:w="320" w:type="dxa"/>
            <w:vAlign w:val="bottom"/>
            <w:shd w:val="clear" w:color="auto" w:fill="D1D2D4"/>
          </w:tcPr>
          <w:p>
            <w:pPr>
              <w:spacing w:after="0"/>
              <w:rPr>
                <w:sz w:val="21"/>
                <w:szCs w:val="21"/>
                <w:color w:val="auto"/>
              </w:rPr>
            </w:pPr>
          </w:p>
        </w:tc>
        <w:tc>
          <w:tcPr>
            <w:tcW w:w="11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(5,893)</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9,459</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0"/>
        </w:trPr>
        <w:tc>
          <w:tcPr>
            <w:tcW w:w="6900" w:type="dxa"/>
            <w:vAlign w:val="bottom"/>
            <w:tcBorders>
              <w:bottom w:val="single" w:sz="8" w:color="D1D2D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spacing w:after="0"/>
              <w:rPr>
                <w:sz w:val="19"/>
                <w:szCs w:val="19"/>
                <w:color w:val="auto"/>
              </w:rPr>
            </w:pP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(594)</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U.S. federal</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900" w:type="dxa"/>
            <w:vAlign w:val="bottom"/>
          </w:tcPr>
          <w:p>
            <w:pPr>
              <w:ind w:left="36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D1D2D4"/>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6"/>
        </w:trPr>
        <w:tc>
          <w:tcPr>
            <w:tcW w:w="690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34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520"/>
              <w:spacing w:after="0"/>
              <w:rPr>
                <w:sz w:val="20"/>
                <w:szCs w:val="20"/>
                <w:color w:val="auto"/>
              </w:rPr>
            </w:pPr>
            <w:r>
              <w:rPr>
                <w:rFonts w:ascii="Arial" w:cs="Arial" w:eastAsia="Arial" w:hAnsi="Arial"/>
                <w:sz w:val="18"/>
                <w:szCs w:val="18"/>
                <w:color w:val="auto"/>
              </w:rPr>
              <w:t>Income tax (provision) benefit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b w:val="1"/>
                <w:bCs w:val="1"/>
                <w:color w:val="auto"/>
              </w:rPr>
              <w:t>83 | 2023 10-K</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4"/>
        </w:trPr>
        <w:tc>
          <w:tcPr>
            <w:tcW w:w="6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our tax (provision) benefit based on the U.S. federal statutory rate to our effective rate: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20"/>
                <w:szCs w:val="20"/>
                <w:color w:val="auto"/>
              </w:rPr>
            </w:pPr>
          </w:p>
        </w:tc>
      </w:tr>
      <w:tr>
        <w:trPr>
          <w:trHeight w:val="34"/>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5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U.S. federal income tax (provision) benefit at statutory rate</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1,188</w:t>
            </w:r>
          </w:p>
        </w:tc>
        <w:tc>
          <w:tcPr>
            <w:tcW w:w="96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21.0 % $</w:t>
            </w:r>
          </w:p>
        </w:tc>
        <w:tc>
          <w:tcPr>
            <w:tcW w:w="106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(2,010)</w:t>
            </w:r>
          </w:p>
        </w:tc>
        <w:tc>
          <w:tcPr>
            <w:tcW w:w="9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21.0 % $</w:t>
            </w:r>
          </w:p>
        </w:tc>
        <w:tc>
          <w:tcPr>
            <w:tcW w:w="1060" w:type="dxa"/>
            <w:vAlign w:val="bottom"/>
            <w:shd w:val="clear" w:color="auto" w:fill="D1D2D4"/>
          </w:tcPr>
          <w:p>
            <w:pPr>
              <w:jc w:val="right"/>
              <w:ind w:right="270"/>
              <w:spacing w:after="0"/>
              <w:rPr>
                <w:sz w:val="20"/>
                <w:szCs w:val="20"/>
                <w:color w:val="auto"/>
              </w:rPr>
            </w:pPr>
            <w:r>
              <w:rPr>
                <w:rFonts w:ascii="Arial" w:cs="Arial" w:eastAsia="Arial" w:hAnsi="Arial"/>
                <w:sz w:val="18"/>
                <w:szCs w:val="18"/>
                <w:color w:val="auto"/>
              </w:rPr>
              <w:t>(1,306)</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U.S. tax on foreign operations</w:t>
            </w:r>
          </w:p>
        </w:tc>
        <w:tc>
          <w:tcPr>
            <w:tcW w:w="22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6</w:t>
            </w:r>
          </w:p>
        </w:tc>
        <w:tc>
          <w:tcPr>
            <w:tcW w:w="740" w:type="dxa"/>
            <w:vAlign w:val="bottom"/>
          </w:tcPr>
          <w:p>
            <w:pPr>
              <w:jc w:val="right"/>
              <w:spacing w:after="0"/>
              <w:rPr>
                <w:sz w:val="20"/>
                <w:szCs w:val="20"/>
                <w:color w:val="auto"/>
              </w:rPr>
            </w:pPr>
            <w:r>
              <w:rPr>
                <w:rFonts w:ascii="Arial" w:cs="Arial" w:eastAsia="Arial" w:hAnsi="Arial"/>
                <w:sz w:val="18"/>
                <w:szCs w:val="18"/>
                <w:color w:val="auto"/>
              </w:rPr>
              <w:t>0.1 %</w:t>
            </w:r>
          </w:p>
        </w:tc>
        <w:tc>
          <w:tcPr>
            <w:tcW w:w="22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3.4 %</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(226)</w:t>
            </w:r>
          </w:p>
        </w:tc>
        <w:tc>
          <w:tcPr>
            <w:tcW w:w="74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5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Change in valuation allowance</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(50)</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(241)</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2.5 %</w:t>
            </w:r>
          </w:p>
        </w:tc>
        <w:tc>
          <w:tcPr>
            <w:tcW w:w="106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54</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Change in unrecognized tax benefits</w:t>
            </w:r>
          </w:p>
        </w:tc>
        <w:tc>
          <w:tcPr>
            <w:tcW w:w="22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(67)</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0.7 %</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(238)</w:t>
            </w:r>
          </w:p>
        </w:tc>
        <w:tc>
          <w:tcPr>
            <w:tcW w:w="7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5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Foreign tax rate differential</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(1,285)</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1,601</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(16.7)%</w:t>
            </w:r>
          </w:p>
        </w:tc>
        <w:tc>
          <w:tcPr>
            <w:tcW w:w="106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951</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 tax credits</w:t>
            </w:r>
          </w:p>
        </w:tc>
        <w:tc>
          <w:tcPr>
            <w:tcW w:w="22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43</w:t>
            </w:r>
          </w:p>
        </w:tc>
        <w:tc>
          <w:tcPr>
            <w:tcW w:w="740" w:type="dxa"/>
            <w:vAlign w:val="bottom"/>
          </w:tcPr>
          <w:p>
            <w:pPr>
              <w:jc w:val="right"/>
              <w:spacing w:after="0"/>
              <w:rPr>
                <w:sz w:val="20"/>
                <w:szCs w:val="20"/>
                <w:color w:val="auto"/>
              </w:rPr>
            </w:pPr>
            <w:r>
              <w:rPr>
                <w:rFonts w:ascii="Arial" w:cs="Arial" w:eastAsia="Arial" w:hAnsi="Arial"/>
                <w:sz w:val="18"/>
                <w:szCs w:val="18"/>
                <w:color w:val="auto"/>
              </w:rPr>
              <w:t>0.8 %</w:t>
            </w:r>
          </w:p>
        </w:tc>
        <w:tc>
          <w:tcPr>
            <w:tcW w:w="22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66</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123</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State taxes, net of federal benefit</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37</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0.7 %</w:t>
            </w:r>
          </w:p>
        </w:tc>
        <w:tc>
          <w:tcPr>
            <w:tcW w:w="220" w:type="dxa"/>
            <w:vAlign w:val="bottom"/>
            <w:shd w:val="clear" w:color="auto" w:fill="D1D2D4"/>
          </w:tcPr>
          <w:p>
            <w:pPr>
              <w:spacing w:after="0"/>
              <w:rPr>
                <w:sz w:val="19"/>
                <w:szCs w:val="19"/>
                <w:color w:val="auto"/>
              </w:rPr>
            </w:pPr>
          </w:p>
        </w:tc>
        <w:tc>
          <w:tcPr>
            <w:tcW w:w="106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59</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Debt premium deductions</w:t>
            </w:r>
          </w:p>
        </w:tc>
        <w:tc>
          <w:tcPr>
            <w:tcW w:w="22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130</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ind w:right="290"/>
              <w:spacing w:after="0"/>
              <w:rPr>
                <w:sz w:val="20"/>
                <w:szCs w:val="20"/>
                <w:color w:val="auto"/>
              </w:rPr>
            </w:pPr>
            <w:r>
              <w:rPr>
                <w:rFonts w:ascii="Arial" w:cs="Arial" w:eastAsia="Arial" w:hAnsi="Arial"/>
                <w:sz w:val="18"/>
                <w:szCs w:val="18"/>
                <w:color w:val="auto"/>
              </w:rPr>
              <w:t>(86)</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ind w:right="330"/>
              <w:spacing w:after="0"/>
              <w:rPr>
                <w:sz w:val="20"/>
                <w:szCs w:val="20"/>
                <w:color w:val="auto"/>
              </w:rPr>
            </w:pPr>
            <w:r>
              <w:rPr>
                <w:rFonts w:ascii="Arial" w:cs="Arial" w:eastAsia="Arial" w:hAnsi="Arial"/>
                <w:sz w:val="18"/>
                <w:szCs w:val="18"/>
                <w:color w:val="auto"/>
              </w:rPr>
              <w:t>85</w:t>
            </w:r>
          </w:p>
        </w:tc>
        <w:tc>
          <w:tcPr>
            <w:tcW w:w="960" w:type="dxa"/>
            <w:vAlign w:val="bottom"/>
            <w:tcBorders>
              <w:bottom w:val="single" w:sz="8" w:color="auto"/>
            </w:tcBorders>
            <w:shd w:val="clear" w:color="auto" w:fill="D1D2D4"/>
          </w:tcPr>
          <w:p>
            <w:pPr>
              <w:jc w:val="right"/>
              <w:ind w:right="150"/>
              <w:spacing w:after="0"/>
              <w:rPr>
                <w:sz w:val="20"/>
                <w:szCs w:val="20"/>
                <w:color w:val="auto"/>
              </w:rPr>
            </w:pPr>
            <w:r>
              <w:rPr>
                <w:rFonts w:ascii="Arial" w:cs="Arial" w:eastAsia="Arial" w:hAnsi="Arial"/>
                <w:sz w:val="18"/>
                <w:szCs w:val="18"/>
                <w:color w:val="auto"/>
              </w:rPr>
              <w:t>(0.9)%</w:t>
            </w:r>
          </w:p>
        </w:tc>
        <w:tc>
          <w:tcPr>
            <w:tcW w:w="1060" w:type="dxa"/>
            <w:vAlign w:val="bottom"/>
            <w:tcBorders>
              <w:bottom w:val="single" w:sz="8" w:color="auto"/>
            </w:tcBorders>
            <w:shd w:val="clear" w:color="auto" w:fill="D1D2D4"/>
          </w:tcPr>
          <w:p>
            <w:pPr>
              <w:jc w:val="right"/>
              <w:ind w:right="330"/>
              <w:spacing w:after="0"/>
              <w:rPr>
                <w:sz w:val="20"/>
                <w:szCs w:val="20"/>
                <w:color w:val="auto"/>
              </w:rPr>
            </w:pPr>
            <w:r>
              <w:rPr>
                <w:rFonts w:ascii="Arial" w:cs="Arial" w:eastAsia="Arial" w:hAnsi="Arial"/>
                <w:sz w:val="18"/>
                <w:szCs w:val="18"/>
                <w:color w:val="auto"/>
              </w:rPr>
              <w:t>59</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518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(888)</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9.3 % $</w:t>
            </w: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(394)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6.3 %</w:t>
            </w: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a loss before taxes and geographic mix of income, the benefit from tax incentive arrangements was not material for 2023. These arrangements reduced our tax provision by $1.12 billion (benefiting our diluted earnings per share by $1.00) for 2022 and by $758 million ($0.66 per diluted share) for 2021.</w:t>
      </w:r>
    </w:p>
    <w:p>
      <w:pPr>
        <w:spacing w:after="0" w:line="219"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As of August 31, 2023, certain non-U.S. subsidiaries had cumulative undistributed earnings of $4.28 billion that were deemed to be indefinitely reinvested. A provision has not been recognized to the extent that distributions from such subsidiaries are subject to additional foreign withholding or state income tax. Determination of the amount of unrecognized deferred tax liabilities related to investments in these foreign subsidiaries is not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420370</wp:posOffset>
            </wp:positionV>
            <wp:extent cx="659765" cy="180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left="9880"/>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tbl>
      <w:tblPr>
        <w:tblLayout w:type="fixed"/>
        <w:tblInd w:w="0" w:type="dxa"/>
        <w:tblCellMar>
          <w:top w:w="0" w:type="dxa"/>
          <w:left w:w="0" w:type="dxa"/>
          <w:bottom w:w="0" w:type="dxa"/>
          <w:right w:w="0" w:type="dxa"/>
        </w:tblCellMar>
      </w:tblPr>
      <w:tr>
        <w:trPr>
          <w:trHeight w:val="185"/>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6"/>
                <w:szCs w:val="16"/>
                <w:color w:val="auto"/>
              </w:rPr>
            </w:pPr>
          </w:p>
        </w:tc>
        <w:tc>
          <w:tcPr>
            <w:tcW w:w="1260" w:type="dxa"/>
            <w:vAlign w:val="bottom"/>
          </w:tcPr>
          <w:p>
            <w:pPr>
              <w:jc w:val="right"/>
              <w:ind w:right="170"/>
              <w:spacing w:after="0" w:line="185" w:lineRule="exact"/>
              <w:rPr>
                <w:sz w:val="20"/>
                <w:szCs w:val="20"/>
                <w:color w:val="auto"/>
              </w:rPr>
            </w:pPr>
            <w:r>
              <w:rPr>
                <w:rFonts w:ascii="Arial" w:cs="Arial" w:eastAsia="Arial" w:hAnsi="Arial"/>
                <w:sz w:val="18"/>
                <w:szCs w:val="18"/>
                <w:b w:val="1"/>
                <w:bCs w:val="1"/>
                <w:color w:val="auto"/>
              </w:rPr>
              <w:t>August 31,</w:t>
            </w:r>
          </w:p>
        </w:tc>
        <w:tc>
          <w:tcPr>
            <w:tcW w:w="140" w:type="dxa"/>
            <w:vAlign w:val="bottom"/>
          </w:tcPr>
          <w:p>
            <w:pPr>
              <w:spacing w:after="0"/>
              <w:rPr>
                <w:sz w:val="16"/>
                <w:szCs w:val="16"/>
                <w:color w:val="auto"/>
              </w:rPr>
            </w:pPr>
          </w:p>
        </w:tc>
        <w:tc>
          <w:tcPr>
            <w:tcW w:w="1300" w:type="dxa"/>
            <w:vAlign w:val="bottom"/>
          </w:tcPr>
          <w:p>
            <w:pPr>
              <w:jc w:val="right"/>
              <w:ind w:right="70"/>
              <w:spacing w:after="0" w:line="185" w:lineRule="exact"/>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Net operating loss and tax credit carryforwards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Accrued salaries, wages, and benefits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Gross deferred tax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Less valuation allowance</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Deferred tax assets, net of valuation allowance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Right-of-use assets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Reported as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Deferred tax liabilities (included in other noncurrent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We assess positive and negative evidence for each jurisdiction to determine whether it is more likely than not that existing deferred tax assets will be realized. As of August 31, 2023, and September 1, 2022, we had a valuation allowance of $528 million and $471 million, respectively, against our net deferred tax assets, primarily related to carryforwards in U.S. states and Malaysia. Changes in 2023 in the valuation allowance were due to adjustments based on management's assessment of the realizability of tax credits, allowances and net operating losses based on a level that is more likely than not to be realized.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2023, our net operating loss carryforward amounts and expiration periods, as reported to tax authorities,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of Expiration</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Singapore</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Malaysia</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State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Japan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w:t>
            </w:r>
          </w:p>
        </w:tc>
        <w:tc>
          <w:tcPr>
            <w:tcW w:w="4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4"/>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2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2024 - 2028</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 $</w:t>
            </w:r>
          </w:p>
        </w:tc>
        <w:tc>
          <w:tcPr>
            <w:tcW w:w="1500" w:type="dxa"/>
            <w:vAlign w:val="bottom"/>
            <w:gridSpan w:val="2"/>
            <w:shd w:val="clear" w:color="auto" w:fill="D1D2D4"/>
          </w:tcPr>
          <w:p>
            <w:pPr>
              <w:jc w:val="right"/>
              <w:ind w:right="9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w:t>
            </w:r>
          </w:p>
        </w:tc>
        <w:tc>
          <w:tcPr>
            <w:tcW w:w="102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2029 - 2033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30"/>
        </w:trPr>
        <w:tc>
          <w:tcPr>
            <w:tcW w:w="2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2034 - 2038</w:t>
            </w:r>
          </w:p>
        </w:tc>
        <w:tc>
          <w:tcPr>
            <w:tcW w:w="20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2039 - 2043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2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Indefinite</w:t>
            </w:r>
          </w:p>
        </w:tc>
        <w:tc>
          <w:tcPr>
            <w:tcW w:w="20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1,688</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1,025</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1D2D4"/>
          </w:tcPr>
          <w:p>
            <w:pPr>
              <w:spacing w:after="0"/>
              <w:rPr>
                <w:sz w:val="19"/>
                <w:szCs w:val="19"/>
                <w:color w:val="auto"/>
              </w:rPr>
            </w:pPr>
          </w:p>
        </w:tc>
        <w:tc>
          <w:tcPr>
            <w:tcW w:w="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202</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2,975</w:t>
            </w:r>
          </w:p>
        </w:tc>
      </w:tr>
      <w:tr>
        <w:trPr>
          <w:trHeight w:val="223"/>
        </w:trPr>
        <w:tc>
          <w:tcPr>
            <w:tcW w:w="26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w:t>
            </w:r>
          </w:p>
        </w:tc>
      </w:tr>
      <w:tr>
        <w:trPr>
          <w:trHeight w:val="20"/>
        </w:trPr>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85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August 31, 2023, our federal and state tax credit carryforward amounts and expiration periods, as reported to tax authorities, were as follows:</w:t>
      </w:r>
    </w:p>
    <w:tbl>
      <w:tblPr>
        <w:tblLayout w:type="fixed"/>
        <w:tblInd w:w="0" w:type="dxa"/>
        <w:tblCellMar>
          <w:top w:w="0" w:type="dxa"/>
          <w:left w:w="0" w:type="dxa"/>
          <w:bottom w:w="0" w:type="dxa"/>
          <w:right w:w="0" w:type="dxa"/>
        </w:tblCellMar>
      </w:tblPr>
      <w:tr>
        <w:trPr>
          <w:trHeight w:val="239"/>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of Tax Credit Expiration</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U.S. Federal</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State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4"/>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2024 - 2028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2029 - 2033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2034 - 2038</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2039 - 2043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Indefinite</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6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1"/>
        </w:trPr>
        <w:tc>
          <w:tcPr>
            <w:tcW w:w="69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7"/>
        </w:trPr>
        <w:tc>
          <w:tcPr>
            <w:tcW w:w="8340" w:type="dxa"/>
            <w:vAlign w:val="bottom"/>
            <w:gridSpan w:val="3"/>
          </w:tcPr>
          <w:p>
            <w:pPr>
              <w:spacing w:after="0"/>
              <w:rPr>
                <w:sz w:val="20"/>
                <w:szCs w:val="20"/>
                <w:color w:val="auto"/>
              </w:rPr>
            </w:pPr>
            <w:r>
              <w:rPr>
                <w:rFonts w:ascii="Arial" w:cs="Arial" w:eastAsia="Arial" w:hAnsi="Arial"/>
                <w:sz w:val="18"/>
                <w:szCs w:val="18"/>
                <w:color w:val="auto"/>
              </w:rPr>
              <w:t>Below is a reconciliation of the beginning and ending amount of our unrecognized tax benefits: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Beginning unrecognized tax benefits</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731</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660</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411</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Increases related to tax positions from prior years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Increases related to prior year tax positions taken in current year</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Increases related to tax positions taken in current year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Decreases related to tax positions from prior years</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Ending unrecognized tax benefits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r>
      <w:tr>
        <w:trPr>
          <w:trHeight w:val="21"/>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As of August 31, 2023, gross unrecognized tax benefits were $744 million, which would have an impact of approximately $581 million on our effective tax rate in the future, if recognized. Amounts accrued for interest and penalties related to uncertain tax positions were not significant for any period presented. The resolution of tax audits or expiration of statute of limitations could also reduce our unrecognized tax benefits.</w:t>
      </w:r>
    </w:p>
    <w:p>
      <w:pPr>
        <w:ind w:right="240"/>
        <w:spacing w:after="0" w:line="261" w:lineRule="auto"/>
        <w:rPr>
          <w:sz w:val="20"/>
          <w:szCs w:val="20"/>
          <w:color w:val="auto"/>
        </w:rPr>
      </w:pPr>
      <w:r>
        <w:rPr>
          <w:rFonts w:ascii="Arial" w:cs="Arial" w:eastAsia="Arial" w:hAnsi="Arial"/>
          <w:sz w:val="18"/>
          <w:szCs w:val="18"/>
          <w:color w:val="auto"/>
        </w:rPr>
        <w:t>Although the timing of final resolution is uncertain, the estimated potential reduction in our unrecognized tax benefits in the next 12 months would not be significant.</w:t>
      </w:r>
    </w:p>
    <w:p>
      <w:pPr>
        <w:spacing w:after="0" w:line="2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and our subsidiaries file income tax returns with the U.S. federal government, various U.S. states, and various foreign jurisdictions throughout the world. We regularly engage in discussions and negotiations with tax authorities regarding tax matters, including transfer pricing, and we continue to defend any and all such claims presented. Our U.S. federal and state tax returns remain open to examination for 2018 through 2023. We are currently under audit by the Internal Revenue Service for our 2018 and 2019 tax years. In addition, tax returns that remain open to examination in Singapore, Taiwan and Japan range from the years 2014 to 2023.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 – Basic and Diluted</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(5,833)</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8,687</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5,861</w:t>
            </w:r>
          </w:p>
        </w:tc>
      </w:tr>
      <w:tr>
        <w:trPr>
          <w:trHeight w:val="257"/>
        </w:trPr>
        <w:tc>
          <w:tcPr>
            <w:tcW w:w="6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1,093</w:t>
            </w:r>
          </w:p>
        </w:tc>
        <w:tc>
          <w:tcPr>
            <w:tcW w:w="3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1,093</w:t>
            </w:r>
          </w:p>
        </w:tc>
        <w:tc>
          <w:tcPr>
            <w:tcW w:w="340" w:type="dxa"/>
            <w:vAlign w:val="bottom"/>
            <w:tcBorders>
              <w:bottom w:val="single" w:sz="8" w:color="auto"/>
            </w:tcBorders>
            <w:shd w:val="clear" w:color="auto" w:fill="D1D2D4"/>
          </w:tcPr>
          <w:p>
            <w:pPr>
              <w:spacing w:after="0"/>
              <w:rPr>
                <w:sz w:val="21"/>
                <w:szCs w:val="21"/>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1,122</w:t>
            </w:r>
          </w:p>
        </w:tc>
        <w:tc>
          <w:tcPr>
            <w:tcW w:w="36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1,141</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900" w:type="dxa"/>
            <w:vAlign w:val="bottom"/>
          </w:tcPr>
          <w:p>
            <w:pPr>
              <w:ind w:left="3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30"/>
        </w:trPr>
        <w:tc>
          <w:tcPr>
            <w:tcW w:w="690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(5.34)</w:t>
            </w:r>
          </w:p>
        </w:tc>
        <w:tc>
          <w:tcPr>
            <w:tcW w:w="3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7.75</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480060</wp:posOffset>
            </wp:positionV>
            <wp:extent cx="659765"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as follows at the end of the periods shown:</w:t>
      </w:r>
    </w:p>
    <w:tbl>
      <w:tblPr>
        <w:tblLayout w:type="fixed"/>
        <w:tblInd w:w="0" w:type="dxa"/>
        <w:tblCellMar>
          <w:top w:w="0" w:type="dxa"/>
          <w:left w:w="0" w:type="dxa"/>
          <w:bottom w:w="0" w:type="dxa"/>
          <w:right w:w="0" w:type="dxa"/>
        </w:tblCellMar>
      </w:tblPr>
      <w:tr>
        <w:trPr>
          <w:trHeight w:val="23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0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45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plans</w:t>
            </w:r>
          </w:p>
        </w:tc>
        <w:tc>
          <w:tcPr>
            <w:tcW w:w="40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33</w:t>
            </w:r>
          </w:p>
        </w:tc>
        <w:tc>
          <w:tcPr>
            <w:tcW w:w="142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5</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7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91" w:lineRule="exact"/>
        <w:rPr>
          <w:sz w:val="20"/>
          <w:szCs w:val="20"/>
          <w:color w:val="auto"/>
        </w:rPr>
      </w:pPr>
    </w:p>
    <w:p>
      <w:pPr>
        <w:ind w:left="340" w:right="400" w:hanging="323"/>
        <w:spacing w:after="0" w:line="263"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and solutions sold into client, cloud server,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graphics, and networking markets.</w:t>
      </w: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ind w:left="340" w:right="300" w:hanging="323"/>
        <w:spacing w:after="0" w:line="250" w:lineRule="auto"/>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and solutions sold into automotive, industrial, and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w:t>
      </w:r>
    </w:p>
    <w:p>
      <w:pPr>
        <w:spacing w:after="0" w:line="1" w:lineRule="exact"/>
        <w:rPr>
          <w:sz w:val="20"/>
          <w:szCs w:val="20"/>
          <w:color w:val="auto"/>
        </w:rPr>
      </w:pPr>
    </w:p>
    <w:p>
      <w:pPr>
        <w:ind w:left="340" w:hanging="323"/>
        <w:spacing w:after="0" w:line="261"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w:t>
      </w:r>
    </w:p>
    <w:p>
      <w:pPr>
        <w:spacing w:after="0" w:line="213"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87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884"/>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4"/>
                <w:szCs w:val="24"/>
                <w:color w:val="auto"/>
              </w:rPr>
            </w:pPr>
          </w:p>
        </w:tc>
        <w:tc>
          <w:tcPr>
            <w:tcW w:w="240" w:type="dxa"/>
            <w:vAlign w:val="bottom"/>
            <w:tcBorders>
              <w:top w:val="single" w:sz="8" w:color="BD03F7"/>
              <w:bottom w:val="single" w:sz="8" w:color="auto"/>
            </w:tcBorders>
          </w:tcPr>
          <w:p>
            <w:pPr>
              <w:spacing w:after="0"/>
              <w:rPr>
                <w:sz w:val="24"/>
                <w:szCs w:val="24"/>
                <w:color w:val="auto"/>
              </w:rPr>
            </w:pPr>
          </w:p>
        </w:tc>
        <w:tc>
          <w:tcPr>
            <w:tcW w:w="1120" w:type="dxa"/>
            <w:vAlign w:val="bottom"/>
            <w:tcBorders>
              <w:top w:val="single" w:sz="8" w:color="BD03F7"/>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CNBU</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5,710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13,693</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12,280</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3,630</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7,260</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7,203</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EBU</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4,209</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2,553</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4,553</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3,973</w:t>
            </w:r>
          </w:p>
        </w:tc>
      </w:tr>
      <w:tr>
        <w:trPr>
          <w:trHeight w:val="230"/>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420" w:type="dxa"/>
            <w:vAlign w:val="bottom"/>
            <w:tcBorders>
              <w:bottom w:val="single" w:sz="8" w:color="auto"/>
            </w:tcBorders>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15,540</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30,758</w:t>
            </w:r>
          </w:p>
        </w:tc>
        <w:tc>
          <w:tcPr>
            <w:tcW w:w="32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27,705</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CNBU</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5,844</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4,295</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(1,750)</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2,160</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2,173</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EBU</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(1,887)</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900" w:type="dxa"/>
            <w:vAlign w:val="bottom"/>
            <w:shd w:val="clear" w:color="auto" w:fill="D1D2D4"/>
          </w:tcPr>
          <w:p>
            <w:pPr>
              <w:spacing w:after="0"/>
              <w:rPr>
                <w:sz w:val="19"/>
                <w:szCs w:val="19"/>
                <w:color w:val="auto"/>
              </w:rPr>
            </w:pPr>
          </w:p>
        </w:tc>
        <w:tc>
          <w:tcPr>
            <w:tcW w:w="42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(3,832)</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10,281</w:t>
            </w:r>
          </w:p>
        </w:tc>
        <w:tc>
          <w:tcPr>
            <w:tcW w:w="8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7,667</w:t>
            </w:r>
          </w:p>
        </w:tc>
      </w:tr>
      <w:tr>
        <w:trPr>
          <w:trHeight w:val="237"/>
        </w:trPr>
        <w:tc>
          <w:tcPr>
            <w:tcW w:w="6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Provision to write down inventories to net realizable value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Lower costs from sale of inventory written down in prior periods</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844</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Goodwill impairment</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Litigation settlement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900" w:type="dxa"/>
            <w:vAlign w:val="bottom"/>
            <w:shd w:val="clear" w:color="auto" w:fill="D1D2D4"/>
          </w:tcPr>
          <w:p>
            <w:pPr>
              <w:spacing w:after="0"/>
              <w:rPr>
                <w:sz w:val="19"/>
                <w:szCs w:val="19"/>
                <w:color w:val="auto"/>
              </w:rPr>
            </w:pPr>
          </w:p>
        </w:tc>
        <w:tc>
          <w:tcPr>
            <w:tcW w:w="42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(1,913)</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(579)</w:t>
            </w:r>
          </w:p>
        </w:tc>
        <w:tc>
          <w:tcPr>
            <w:tcW w:w="8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(1,384)</w:t>
            </w:r>
          </w:p>
        </w:tc>
      </w:tr>
      <w:tr>
        <w:trPr>
          <w:trHeight w:val="237"/>
        </w:trPr>
        <w:tc>
          <w:tcPr>
            <w:tcW w:w="6900" w:type="dxa"/>
            <w:vAlign w:val="bottom"/>
            <w:tcBorders>
              <w:bottom w:val="single" w:sz="8" w:color="D1D2D4"/>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tcBorders>
              <w:bottom w:val="single" w:sz="8" w:color="auto"/>
            </w:tcBorders>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(5,745)</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9,702</w:t>
            </w:r>
          </w:p>
        </w:tc>
        <w:tc>
          <w:tcPr>
            <w:tcW w:w="32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6,283</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528"/>
        </w:trPr>
        <w:tc>
          <w:tcPr>
            <w:tcW w:w="73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 included in operating income (loss) was as follows:</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4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2,512</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2,766</w:t>
            </w:r>
          </w:p>
        </w:tc>
        <w:tc>
          <w:tcPr>
            <w:tcW w:w="32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2,497</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MBU</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2,149</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1,553</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1,324</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1,028</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SBU</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42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Unallocated</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420" w:type="dxa"/>
            <w:vAlign w:val="bottom"/>
            <w:tcBorders>
              <w:bottom w:val="single" w:sz="8" w:color="auto"/>
            </w:tcBorders>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7,756</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7,116</w:t>
            </w:r>
          </w:p>
        </w:tc>
        <w:tc>
          <w:tcPr>
            <w:tcW w:w="32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6,214</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634365</wp:posOffset>
            </wp:positionV>
            <wp:extent cx="659765" cy="180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1154"/>
        </w:trPr>
        <w:tc>
          <w:tcPr>
            <w:tcW w:w="5780" w:type="dxa"/>
            <w:vAlign w:val="bottom"/>
          </w:tcPr>
          <w:p>
            <w:pPr>
              <w:spacing w:after="0"/>
              <w:rPr>
                <w:sz w:val="20"/>
                <w:szCs w:val="20"/>
                <w:color w:val="auto"/>
              </w:rPr>
            </w:pPr>
            <w:r>
              <w:rPr>
                <w:rFonts w:ascii="Arial" w:cs="Arial" w:eastAsia="Arial" w:hAnsi="Arial"/>
                <w:sz w:val="40"/>
                <w:szCs w:val="40"/>
                <w:b w:val="1"/>
                <w:bCs w:val="1"/>
                <w:color w:val="auto"/>
              </w:rPr>
              <w:t>Certain Concentrations</w:t>
            </w: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BD03F7"/>
            </w:tcBorders>
          </w:tcPr>
          <w:p>
            <w:pPr>
              <w:spacing w:after="0"/>
              <w:rPr>
                <w:sz w:val="24"/>
                <w:szCs w:val="24"/>
                <w:color w:val="auto"/>
              </w:rPr>
            </w:pPr>
          </w:p>
        </w:tc>
      </w:tr>
      <w:tr>
        <w:trPr>
          <w:trHeight w:val="406"/>
        </w:trPr>
        <w:tc>
          <w:tcPr>
            <w:tcW w:w="8520" w:type="dxa"/>
            <w:vAlign w:val="bottom"/>
            <w:gridSpan w:val="2"/>
          </w:tcPr>
          <w:p>
            <w:pPr>
              <w:spacing w:after="0"/>
              <w:rPr>
                <w:sz w:val="20"/>
                <w:szCs w:val="20"/>
                <w:color w:val="auto"/>
              </w:rPr>
            </w:pPr>
            <w:r>
              <w:rPr>
                <w:rFonts w:ascii="Arial" w:cs="Arial" w:eastAsia="Arial" w:hAnsi="Arial"/>
                <w:sz w:val="18"/>
                <w:szCs w:val="18"/>
                <w:color w:val="auto"/>
              </w:rPr>
              <w:t>Revenue by market segment as an approximate percent of total revenue is presented in the table below:</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7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2023</w:t>
            </w: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2021</w:t>
            </w:r>
          </w:p>
        </w:tc>
      </w:tr>
      <w:tr>
        <w:trPr>
          <w:trHeight w:val="34"/>
        </w:trPr>
        <w:tc>
          <w:tcPr>
            <w:tcW w:w="57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Automotive, industrial, and consumer</w:t>
            </w:r>
          </w:p>
        </w:tc>
        <w:tc>
          <w:tcPr>
            <w:tcW w:w="27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25 %</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15 %</w:t>
            </w:r>
          </w:p>
        </w:tc>
        <w:tc>
          <w:tcPr>
            <w:tcW w:w="14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15 %</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Mobile</w:t>
            </w: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25 %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25 %</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25 %</w:t>
            </w:r>
          </w:p>
        </w:tc>
      </w:tr>
      <w:tr>
        <w:trPr>
          <w:trHeight w:val="229"/>
        </w:trPr>
        <w:tc>
          <w:tcPr>
            <w:tcW w:w="5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Client and graphics</w:t>
            </w:r>
          </w:p>
        </w:tc>
        <w:tc>
          <w:tcPr>
            <w:tcW w:w="27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15 %</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20 %</w:t>
            </w:r>
          </w:p>
        </w:tc>
        <w:tc>
          <w:tcPr>
            <w:tcW w:w="14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20 %</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Enterprise and cloud server</w:t>
            </w: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15 %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20 %</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r>
      <w:tr>
        <w:trPr>
          <w:trHeight w:val="229"/>
        </w:trPr>
        <w:tc>
          <w:tcPr>
            <w:tcW w:w="5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SSDs and other storage</w:t>
            </w:r>
          </w:p>
        </w:tc>
        <w:tc>
          <w:tcPr>
            <w:tcW w:w="27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15 %</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15 %</w:t>
            </w:r>
          </w:p>
        </w:tc>
        <w:tc>
          <w:tcPr>
            <w:tcW w:w="14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15 %</w:t>
            </w:r>
          </w:p>
        </w:tc>
      </w:tr>
    </w:tbl>
    <w:p>
      <w:pPr>
        <w:spacing w:after="0" w:line="32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No customer accounted for 10% or more of total revenue in 2023. Revenue from Kingston Technology Company, Inc. was 12% of total revenue in 2022 and revenue from WPG Holdings Limited was 11% and 13% of total revenue in 2022 and 2021, respectively. Sales to Kingston were primarily included in our CNBU and SBU segments and sales to WPG were primarily included in our MBU, CNBU, and EBU segments.</w:t>
      </w:r>
    </w:p>
    <w:p>
      <w:pPr>
        <w:spacing w:after="0" w:line="2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money market accounts, certificates of deposit, fixed-rate debt securities, trade receivables, share repurchase, and derivative contracts. We invest through high-credit-quality financial institutions and, by policy, generally limit the concentration of credit exposure by restricting investments with any single obligor and monitoring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foreign currency hedges as the number of counterparties to our hedges is limited and the notional amounts are relatively large. We seek to mitigate such risk by limiting our counterparties to major financial institutions and through entering into master netting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89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BD03F7"/>
              </w:rPr>
              <w:t>Table of Contents</w:t>
            </w:r>
          </w:p>
        </w:tc>
      </w:tr>
      <w:tr>
        <w:trPr>
          <w:trHeight w:val="1154"/>
        </w:trPr>
        <w:tc>
          <w:tcPr>
            <w:tcW w:w="6900" w:type="dxa"/>
            <w:vAlign w:val="bottom"/>
          </w:tcPr>
          <w:p>
            <w:pPr>
              <w:spacing w:after="0"/>
              <w:rPr>
                <w:sz w:val="20"/>
                <w:szCs w:val="20"/>
                <w:color w:val="auto"/>
              </w:rPr>
            </w:pPr>
            <w:r>
              <w:rPr>
                <w:rFonts w:ascii="Arial" w:cs="Arial" w:eastAsia="Arial" w:hAnsi="Arial"/>
                <w:sz w:val="40"/>
                <w:szCs w:val="40"/>
                <w:b w:val="1"/>
                <w:bCs w:val="1"/>
                <w:color w:val="auto"/>
              </w:rPr>
              <w:t>Geographic Information</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BD03F7"/>
            </w:tcBorders>
          </w:tcPr>
          <w:p>
            <w:pPr>
              <w:spacing w:after="0"/>
              <w:rPr>
                <w:sz w:val="24"/>
                <w:szCs w:val="24"/>
                <w:color w:val="auto"/>
              </w:rPr>
            </w:pPr>
          </w:p>
        </w:tc>
        <w:tc>
          <w:tcPr>
            <w:tcW w:w="1120" w:type="dxa"/>
            <w:vAlign w:val="bottom"/>
            <w:tcBorders>
              <w:top w:val="single" w:sz="8" w:color="BD03F7"/>
            </w:tcBorders>
          </w:tcPr>
          <w:p>
            <w:pPr>
              <w:spacing w:after="0"/>
              <w:rPr>
                <w:sz w:val="24"/>
                <w:szCs w:val="24"/>
                <w:color w:val="auto"/>
              </w:rPr>
            </w:pPr>
          </w:p>
        </w:tc>
      </w:tr>
      <w:tr>
        <w:trPr>
          <w:trHeight w:val="406"/>
        </w:trPr>
        <w:tc>
          <w:tcPr>
            <w:tcW w:w="7320" w:type="dxa"/>
            <w:vAlign w:val="bottom"/>
            <w:gridSpan w:val="2"/>
          </w:tcPr>
          <w:p>
            <w:pPr>
              <w:spacing w:after="0"/>
              <w:rPr>
                <w:sz w:val="20"/>
                <w:szCs w:val="20"/>
                <w:color w:val="auto"/>
              </w:rPr>
            </w:pPr>
            <w:r>
              <w:rPr>
                <w:rFonts w:ascii="Arial" w:cs="Arial" w:eastAsia="Arial" w:hAnsi="Arial"/>
                <w:sz w:val="18"/>
                <w:szCs w:val="18"/>
                <w:color w:val="auto"/>
              </w:rPr>
              <w:t>Revenue based on the geographic location of our customers’ headquarters was as follows:</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6"/>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6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7,805</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16,026</w:t>
            </w:r>
          </w:p>
        </w:tc>
        <w:tc>
          <w:tcPr>
            <w:tcW w:w="36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12,155</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Taiwan</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6,606</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Mainland China (excluding Hong Kong)</w:t>
            </w:r>
          </w:p>
        </w:tc>
        <w:tc>
          <w:tcPr>
            <w:tcW w:w="4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2,181</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3,311</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2,456</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Japan</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1,652</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Asia Pacific</w:t>
            </w:r>
          </w:p>
        </w:tc>
        <w:tc>
          <w:tcPr>
            <w:tcW w:w="4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752</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1,420</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Hong Kong</w:t>
            </w:r>
          </w:p>
        </w:tc>
        <w:tc>
          <w:tcPr>
            <w:tcW w:w="4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340</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2,582</w:t>
            </w: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420" w:type="dxa"/>
            <w:vAlign w:val="bottom"/>
            <w:tcBorders>
              <w:bottom w:val="single" w:sz="8" w:color="auto"/>
            </w:tcBorders>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15,540</w:t>
            </w:r>
          </w:p>
        </w:tc>
        <w:tc>
          <w:tcPr>
            <w:tcW w:w="3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30,758</w:t>
            </w:r>
          </w:p>
        </w:tc>
        <w:tc>
          <w:tcPr>
            <w:tcW w:w="36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27,705</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bottom w:val="single" w:sz="8" w:color="auto"/>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Long-lived assets by geographic area consisted of property, plant, and equipment and operating lease right-of-use assets and were as follows:</w:t>
      </w:r>
    </w:p>
    <w:tbl>
      <w:tblPr>
        <w:tblLayout w:type="fixed"/>
        <w:tblInd w:w="0" w:type="dxa"/>
        <w:tblCellMar>
          <w:top w:w="0" w:type="dxa"/>
          <w:left w:w="0" w:type="dxa"/>
          <w:bottom w:w="0" w:type="dxa"/>
          <w:right w:w="0" w:type="dxa"/>
        </w:tblCellMar>
      </w:tblPr>
      <w:tr>
        <w:trPr>
          <w:trHeight w:val="185"/>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6"/>
                <w:szCs w:val="16"/>
                <w:color w:val="auto"/>
              </w:rPr>
            </w:pPr>
          </w:p>
        </w:tc>
        <w:tc>
          <w:tcPr>
            <w:tcW w:w="1220" w:type="dxa"/>
            <w:vAlign w:val="bottom"/>
          </w:tcPr>
          <w:p>
            <w:pPr>
              <w:jc w:val="right"/>
              <w:ind w:right="130"/>
              <w:spacing w:after="0" w:line="185" w:lineRule="exact"/>
              <w:rPr>
                <w:sz w:val="20"/>
                <w:szCs w:val="20"/>
                <w:color w:val="auto"/>
              </w:rPr>
            </w:pPr>
            <w:r>
              <w:rPr>
                <w:rFonts w:ascii="Arial" w:cs="Arial" w:eastAsia="Arial" w:hAnsi="Arial"/>
                <w:sz w:val="18"/>
                <w:szCs w:val="18"/>
                <w:b w:val="1"/>
                <w:bCs w:val="1"/>
                <w:color w:val="auto"/>
              </w:rPr>
              <w:t>August 31,</w:t>
            </w:r>
          </w:p>
        </w:tc>
        <w:tc>
          <w:tcPr>
            <w:tcW w:w="180" w:type="dxa"/>
            <w:vAlign w:val="bottom"/>
          </w:tcPr>
          <w:p>
            <w:pPr>
              <w:spacing w:after="0"/>
              <w:rPr>
                <w:sz w:val="16"/>
                <w:szCs w:val="16"/>
                <w:color w:val="auto"/>
              </w:rPr>
            </w:pPr>
          </w:p>
        </w:tc>
        <w:tc>
          <w:tcPr>
            <w:tcW w:w="1300" w:type="dxa"/>
            <w:vAlign w:val="bottom"/>
          </w:tcPr>
          <w:p>
            <w:pPr>
              <w:jc w:val="right"/>
              <w:ind w:right="70"/>
              <w:spacing w:after="0" w:line="185" w:lineRule="exact"/>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Taiwan</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12,926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13,143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Singapore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11,283</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7,323</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5,196</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Malaysia</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China</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480060</wp:posOffset>
            </wp:positionV>
            <wp:extent cx="659765" cy="1803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8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Micron Technology, Inc.</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6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Micron Technology, Inc. and its subsidiaries (the “Company”) as of August 31, 2023 and September 1, 2022, and the related consolidated statements of operations, of comprehensive income (loss), of changes in equity and of cash flows for each of the three years in the period ended August 31, 2023, including the related notes and schedule of valuation and qualifying accounts for each of the three years in the period ended August 31, 2023 appearing under Item 15 (collectively referred to as the “consolidated financial statements”). We also have audited the Company’s internal control over financial reporting as of August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August 31, 2023 and September 1, 2022</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August 31, 2023 in conformity with accounting principles generally accepted in the United States of America. Also in our opinion, the Company maintained, in all material respects, effective internal control over financial reporting as of August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discussed in the Significant Accounting Policies and Inventories notes to the consolidated financial statements, the Company changed the manner in which it accounts for inventory costing from the average cost inventory accounting method to the first-in, first-out inventory accounting method in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91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Realizable Value of Finished Goods and Work in Process Inventories</w:t>
      </w:r>
    </w:p>
    <w:p>
      <w:pPr>
        <w:spacing w:after="0" w:line="24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described in the Inventories note to the consolidated financial statements, as of August 31, 2023, the Company had net finished goods and work in process inventories totaling $7.7 billion. As disclosed by management, determining the net realizable value of the Company's finished goods and work in process inventories involves significant judgments, including projecting future average selling prices, future sales volumes, and future cost per part. The memory and storage industry environment deteriorated sharply in the fourth quarter of 2022 and throughout 2023 due to weak demand in many end markets combined with global and macroeconomic challenges and lower demand</w:t>
      </w:r>
    </w:p>
    <w:p>
      <w:pPr>
        <w:spacing w:after="0" w:line="3"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resulting from customer actions to reduce elevated inventory levels. This led to significant reductions in average selling prices for both DRAM and NAND, resulting in declines in revenue across all of the Company’s business segments and nearly all end markets. The Company</w:t>
      </w:r>
    </w:p>
    <w:p>
      <w:pPr>
        <w:spacing w:after="0" w:line="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recorded charges of $1.83 billion to cost of goods sold to write down the carrying value of work in process and finished goods inventories to their estimated net realizable value.</w:t>
      </w:r>
    </w:p>
    <w:p>
      <w:pPr>
        <w:spacing w:after="0" w:line="2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principal considerations for our determination that performing procedures relating to the net realizable value of finished goods and work in process inventories is a critical audit matter are (i) the significant judgment by management in determining the net realizable value of finished goods and work in process inventories and (ii) a high degree of auditor judgment, subjectivity, and effort in performing procedures and evaluating management’s significant assumptions related to future average selling prices and future cost per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394335</wp:posOffset>
            </wp:positionV>
            <wp:extent cx="659765"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39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determination of the net realizable value of finished goods and work in process inventories, including controls over significant assumptions and data utilized. These procedures also included, among others (i) testing management's process for determining the net realizable value of finished goods and work in process inventories; (ii) evaluating the appropriateness of management’s methodology; (iii) testing the completeness and accuracy of underlying data used in determining the net realizable value; and (iv) evaluating the reasonableness of management's significant assumptions related to future average selling prices and future cost per part. Evaluating management's assumption related to future average selling prices for certain products involved evaluating whether the assumption used by management was reasonable considering (i) current and past results, including recent sales; (ii) the consistency with external market, industry data or current contract prices; (iii) a comparison of the prior year estimates to actual results in the current fiscal year; and (iv) whether the assumption was consistent with evidence obtained in other areas of the audit. Evaluating management's assumption related to future cost per part for certain products involved evaluating whether the assumption used by management was reasonable considering (i) current and past results; (ii) a comparison of the prior year estimates to actual results in the current fiscal year; and (iii) whether the assumption was consistent with evidence obtained in other areas of the audit.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October 6, 2023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1984.</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93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0"/>
        <w:spacing w:after="0" w:line="303" w:lineRule="auto"/>
        <w:rPr>
          <w:sz w:val="20"/>
          <w:szCs w:val="20"/>
          <w:color w:val="auto"/>
        </w:rPr>
      </w:pPr>
      <w:r>
        <w:rPr>
          <w:rFonts w:ascii="Arial" w:cs="Arial" w:eastAsia="Arial" w:hAnsi="Arial"/>
          <w:sz w:val="25"/>
          <w:szCs w:val="25"/>
          <w:b w:val="1"/>
          <w:bCs w:val="1"/>
          <w:color w:val="auto"/>
        </w:rPr>
        <w:t>ITEM 9. CHANGES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CONTROLS AND PROCEDURES</w:t>
      </w:r>
    </w:p>
    <w:p>
      <w:pPr>
        <w:spacing w:after="0" w:line="2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9"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During the fourth quarter of 2023, there were no changes in our internal control over financial reporting that have materially affected, or are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2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2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August 31, 2023. The effectiveness of our internal control over financial reporting as of August 31, 2023 has been audited by PricewaterhouseCoopers LLP, an independent registered public accounting firm, as stated in their report, which is included in Part II, Item 8,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575945</wp:posOffset>
            </wp:positionV>
            <wp:extent cx="659765" cy="180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OTHER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Trading Plans of Directors and Executive Officers</w:t>
      </w:r>
    </w:p>
    <w:p>
      <w:pPr>
        <w:spacing w:after="0" w:line="25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following director and officer, as defined in Rule 16a-1(f) of the Exchange Act, adopted a “Rule 10b5-1 trading arrangement,” as defined in Item 408 of Regulation S-K, as follows:</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May 15, 2023, Sanjay Mehrotra, our President, Chief Executive Officer and Director, adopted a Rule 10b5-1 trading arrangement providing for the sale of an aggregate of up to 812,284 shares of our common stock, including up to 612,284 shares subject to outstanding stock options, which were granted in calendar 2017 and would otherwise expire in calendar 2025. The remaining shares subject to the trading arrangement are shares acquired by Mr. Mehrotra pursuant to our Restricted Stock Awards. The trading arrangement is intended to satisfy the affirmative defense in Rule 10b5-1(c). The first date that sales of any shares were permitted to be sold under the trading arrangement was August 14, 2023, and subsequent sales under the trading arrangement may occur on a regular basis for the duration of the trading arrangement until May 8, 2025, or earlier if all transactions under the trading arrangement are completed.</w:t>
      </w:r>
    </w:p>
    <w:p>
      <w:pPr>
        <w:spacing w:after="0" w:line="218"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No other officers or directors, as defined in Rule 16a-1(f), adopted and/or terminated a “Rule 10b5-1 trading arrangement” or a “non-Rule 10b5-1 trading arrangement,” as defined in Item 408 of Regulation S-K, during the last fiscal quarter.</w:t>
      </w:r>
    </w:p>
    <w:p>
      <w:pPr>
        <w:spacing w:after="0" w:line="195" w:lineRule="exact"/>
        <w:rPr>
          <w:sz w:val="20"/>
          <w:szCs w:val="20"/>
          <w:color w:val="auto"/>
        </w:rPr>
      </w:pPr>
    </w:p>
    <w:p>
      <w:pPr>
        <w:ind w:right="1620"/>
        <w:spacing w:after="0" w:line="303" w:lineRule="auto"/>
        <w:rPr>
          <w:sz w:val="20"/>
          <w:szCs w:val="20"/>
          <w:color w:val="auto"/>
        </w:rPr>
      </w:pPr>
      <w:r>
        <w:rPr>
          <w:rFonts w:ascii="Arial" w:cs="Arial" w:eastAsia="Arial" w:hAnsi="Arial"/>
          <w:sz w:val="25"/>
          <w:szCs w:val="25"/>
          <w:b w:val="1"/>
          <w:bCs w:val="1"/>
          <w:color w:val="auto"/>
        </w:rPr>
        <w:t>ITEM 9C. DISCLOSURE REGARDING FOREIGN JURISDICTIONS THAT PREVENT INSPECTIONS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III</w:t>
      </w:r>
    </w:p>
    <w:p>
      <w:pPr>
        <w:spacing w:after="0" w:line="257" w:lineRule="exact"/>
        <w:rPr>
          <w:sz w:val="20"/>
          <w:szCs w:val="20"/>
          <w:color w:val="auto"/>
        </w:rPr>
      </w:pPr>
    </w:p>
    <w:p>
      <w:pPr>
        <w:ind w:right="1520"/>
        <w:spacing w:after="0" w:line="456" w:lineRule="auto"/>
        <w:rPr>
          <w:sz w:val="20"/>
          <w:szCs w:val="20"/>
          <w:color w:val="auto"/>
        </w:rPr>
      </w:pPr>
      <w:r>
        <w:rPr>
          <w:rFonts w:ascii="Arial" w:cs="Arial" w:eastAsia="Arial" w:hAnsi="Arial"/>
          <w:sz w:val="25"/>
          <w:szCs w:val="25"/>
          <w:b w:val="1"/>
          <w:bCs w:val="1"/>
          <w:color w:val="auto"/>
        </w:rPr>
        <w:t>ITEM 10. DIRECTORS, EXECUTIVE OFFICERS, AND CORPORATE GOVERNANCE ITEM 11. EXECUTIVE COMPENSATION</w:t>
      </w:r>
    </w:p>
    <w:p>
      <w:pPr>
        <w:spacing w:after="0" w:line="1" w:lineRule="exact"/>
        <w:rPr>
          <w:sz w:val="20"/>
          <w:szCs w:val="20"/>
          <w:color w:val="auto"/>
        </w:rPr>
      </w:pPr>
    </w:p>
    <w:p>
      <w:pPr>
        <w:ind w:right="360"/>
        <w:spacing w:after="0" w:line="303" w:lineRule="auto"/>
        <w:rPr>
          <w:sz w:val="20"/>
          <w:szCs w:val="20"/>
          <w:color w:val="auto"/>
        </w:rPr>
      </w:pPr>
      <w:r>
        <w:rPr>
          <w:rFonts w:ascii="Arial" w:cs="Arial" w:eastAsia="Arial" w:hAnsi="Arial"/>
          <w:sz w:val="25"/>
          <w:szCs w:val="25"/>
          <w:b w:val="1"/>
          <w:bCs w:val="1"/>
          <w:color w:val="auto"/>
        </w:rPr>
        <w:t>ITEM 12. SECURITY OWNERSHIP OF CERTAIN BENEFICIAL OWNERS AND MANAGEMENT AND RELATED STOCKHOLDER MATTERS</w:t>
      </w:r>
    </w:p>
    <w:p>
      <w:pPr>
        <w:spacing w:after="0" w:line="125" w:lineRule="exact"/>
        <w:rPr>
          <w:sz w:val="20"/>
          <w:szCs w:val="20"/>
          <w:color w:val="auto"/>
        </w:rPr>
      </w:pPr>
    </w:p>
    <w:p>
      <w:pPr>
        <w:ind w:right="960"/>
        <w:spacing w:after="0" w:line="303" w:lineRule="auto"/>
        <w:rPr>
          <w:sz w:val="20"/>
          <w:szCs w:val="20"/>
          <w:color w:val="auto"/>
        </w:rPr>
      </w:pPr>
      <w:r>
        <w:rPr>
          <w:rFonts w:ascii="Arial" w:cs="Arial" w:eastAsia="Arial" w:hAnsi="Arial"/>
          <w:sz w:val="25"/>
          <w:szCs w:val="25"/>
          <w:b w:val="1"/>
          <w:bCs w:val="1"/>
          <w:color w:val="auto"/>
        </w:rPr>
        <w:t>ITEM 13. CERTAIN RELATIONSHIPS AND RELATED TRANSACTIONS, AND DIRECTOR INDEPENDENCE</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PRINCIPAL ACCOUNTANT FEES AND SERVICES</w:t>
      </w:r>
    </w:p>
    <w:p>
      <w:pPr>
        <w:spacing w:after="0" w:line="2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Certain information concerning our executive officers is included under the caption, “Information About Our Executive Officers” in Part I, Item 1 of this report. Other information required by Items 10, 11, 12, 13, and 14 will be contained in our 2023 Proxy Statement which will be filed with the SEC within 120 days after August 31, 2023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95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IV</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EXHIBITS AND FINANCIAL STATEMENT SCHEDULE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50" w:lineRule="exact"/>
        <w:rPr>
          <w:sz w:val="20"/>
          <w:szCs w:val="20"/>
          <w:color w:val="auto"/>
        </w:rPr>
      </w:pPr>
    </w:p>
    <w:p>
      <w:pPr>
        <w:ind w:left="600" w:hanging="35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Statements: See our consolidated financial statements under Item 8.</w:t>
      </w:r>
    </w:p>
    <w:p>
      <w:pPr>
        <w:spacing w:after="0" w:line="3" w:lineRule="exact"/>
        <w:rPr>
          <w:sz w:val="20"/>
          <w:szCs w:val="20"/>
          <w:color w:val="auto"/>
        </w:rPr>
      </w:pPr>
    </w:p>
    <w:p>
      <w:pPr>
        <w:ind w:left="600" w:hanging="358"/>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 Schedule:</w:t>
      </w:r>
    </w:p>
    <w:p>
      <w:pPr>
        <w:ind w:left="600"/>
        <w:spacing w:after="0"/>
        <w:rPr>
          <w:rFonts w:ascii="Arial" w:cs="Arial" w:eastAsia="Arial" w:hAnsi="Arial"/>
          <w:sz w:val="18"/>
          <w:szCs w:val="18"/>
          <w:color w:val="auto"/>
        </w:rPr>
      </w:pPr>
      <w:r>
        <w:rPr>
          <w:rFonts w:ascii="Arial" w:cs="Arial" w:eastAsia="Arial" w:hAnsi="Arial"/>
          <w:sz w:val="18"/>
          <w:szCs w:val="18"/>
          <w:color w:val="auto"/>
        </w:rPr>
        <w:t>See “Schedule II – Valuation and Qualifying Accounts” within Item 15 below.</w:t>
      </w:r>
    </w:p>
    <w:p>
      <w:pPr>
        <w:spacing w:after="0" w:line="146" w:lineRule="exact"/>
        <w:rPr>
          <w:sz w:val="20"/>
          <w:szCs w:val="20"/>
          <w:color w:val="auto"/>
        </w:rPr>
      </w:pPr>
    </w:p>
    <w:p>
      <w:pPr>
        <w:ind w:left="600" w:right="440"/>
        <w:spacing w:after="0" w:line="234" w:lineRule="auto"/>
        <w:rPr>
          <w:sz w:val="20"/>
          <w:szCs w:val="20"/>
          <w:color w:val="auto"/>
        </w:rPr>
      </w:pPr>
      <w:r>
        <w:rPr>
          <w:rFonts w:ascii="Arial" w:cs="Arial" w:eastAsia="Arial" w:hAnsi="Arial"/>
          <w:sz w:val="18"/>
          <w:szCs w:val="18"/>
          <w:color w:val="auto"/>
        </w:rPr>
        <w:t>Certain Financial Statement Schedules have been omitted since they are either not required, not applicable, or the information is otherwise included.</w:t>
      </w:r>
    </w:p>
    <w:p>
      <w:pPr>
        <w:spacing w:after="0" w:line="1" w:lineRule="exact"/>
        <w:rPr>
          <w:sz w:val="20"/>
          <w:szCs w:val="20"/>
          <w:color w:val="auto"/>
        </w:rPr>
      </w:pPr>
    </w:p>
    <w:p>
      <w:pPr>
        <w:ind w:left="600" w:hanging="358"/>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 See “Index to Exhibits” within Item 15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502285</wp:posOffset>
            </wp:positionV>
            <wp:extent cx="659765"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SCHEDULE II</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8"/>
              </w:rPr>
              <w:t>Charged</w:t>
            </w:r>
          </w:p>
        </w:tc>
        <w:tc>
          <w:tcPr>
            <w:tcW w:w="140" w:type="dxa"/>
            <w:vAlign w:val="bottom"/>
          </w:tcPr>
          <w:p>
            <w:pPr>
              <w:spacing w:after="0"/>
              <w:rPr>
                <w:sz w:val="17"/>
                <w:szCs w:val="17"/>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Currency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Balance at</w:t>
            </w: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w w:val="98"/>
              </w:rPr>
              <w:t>Translation</w:t>
            </w:r>
          </w:p>
        </w:tc>
        <w:tc>
          <w:tcPr>
            <w:tcW w:w="180" w:type="dxa"/>
            <w:vAlign w:val="bottom"/>
          </w:tcPr>
          <w:p>
            <w:pPr>
              <w:spacing w:after="0"/>
              <w:rPr>
                <w:sz w:val="16"/>
                <w:szCs w:val="16"/>
                <w:color w:val="auto"/>
              </w:rPr>
            </w:pPr>
          </w:p>
        </w:tc>
        <w:tc>
          <w:tcPr>
            <w:tcW w:w="12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Balance at</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rPr>
              <w:t>(Credited) to</w:t>
            </w:r>
          </w:p>
        </w:tc>
        <w:tc>
          <w:tcPr>
            <w:tcW w:w="140" w:type="dxa"/>
            <w:vAlign w:val="bottom"/>
          </w:tcPr>
          <w:p>
            <w:pPr>
              <w:spacing w:after="0"/>
              <w:rPr>
                <w:sz w:val="16"/>
                <w:szCs w:val="16"/>
                <w:color w:val="auto"/>
              </w:rPr>
            </w:pPr>
          </w:p>
        </w:tc>
        <w:tc>
          <w:tcPr>
            <w:tcW w:w="124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rPr>
              <w:t>and Charges</w:t>
            </w: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Beginning of</w:t>
            </w:r>
          </w:p>
        </w:tc>
        <w:tc>
          <w:tcPr>
            <w:tcW w:w="16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Income Tax</w:t>
            </w: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to Other</w:t>
            </w:r>
          </w:p>
        </w:tc>
        <w:tc>
          <w:tcPr>
            <w:tcW w:w="18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End of</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Year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Provision</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Accounts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Year</w:t>
            </w:r>
          </w:p>
        </w:tc>
        <w:tc>
          <w:tcPr>
            <w:tcW w:w="0" w:type="dxa"/>
            <w:vAlign w:val="bottom"/>
          </w:tcPr>
          <w:p>
            <w:pPr>
              <w:spacing w:after="0"/>
              <w:rPr>
                <w:sz w:val="1"/>
                <w:szCs w:val="1"/>
                <w:color w:val="auto"/>
              </w:rPr>
            </w:pPr>
          </w:p>
        </w:tc>
      </w:tr>
      <w:tr>
        <w:trPr>
          <w:trHeight w:val="34"/>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Year ended August 31, 2023</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44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Year ended September 1, 2022</w:t>
            </w:r>
          </w:p>
        </w:tc>
        <w:tc>
          <w:tcPr>
            <w:tcW w:w="13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Year ended September 2, 2021</w:t>
            </w:r>
          </w:p>
        </w:tc>
        <w:tc>
          <w:tcPr>
            <w:tcW w:w="1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97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Index to 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20" w:type="dxa"/>
            <w:vAlign w:val="bottom"/>
            <w:gridSpan w:val="23"/>
            <w:vMerge w:val="restart"/>
          </w:tcPr>
          <w:p>
            <w:pPr>
              <w:ind w:left="980"/>
              <w:spacing w:after="0"/>
              <w:rPr>
                <w:sz w:val="20"/>
                <w:szCs w:val="20"/>
                <w:color w:val="auto"/>
              </w:rPr>
            </w:pPr>
            <w:r>
              <w:rPr>
                <w:rFonts w:ascii="Arial" w:cs="Arial" w:eastAsia="Arial" w:hAnsi="Arial"/>
                <w:sz w:val="18"/>
                <w:szCs w:val="18"/>
                <w:b w:val="1"/>
                <w:bCs w:val="1"/>
                <w:color w:val="auto"/>
              </w:rPr>
              <w:t>Description of Exhibit</w:t>
            </w:r>
          </w:p>
        </w:tc>
        <w:tc>
          <w:tcPr>
            <w:tcW w:w="1780" w:type="dxa"/>
            <w:vAlign w:val="bottom"/>
          </w:tcPr>
          <w:p>
            <w:pPr>
              <w:ind w:left="280"/>
              <w:spacing w:after="0"/>
              <w:rPr>
                <w:sz w:val="20"/>
                <w:szCs w:val="20"/>
                <w:color w:val="auto"/>
              </w:rPr>
            </w:pPr>
            <w:r>
              <w:rPr>
                <w:rFonts w:ascii="Arial" w:cs="Arial" w:eastAsia="Arial" w:hAnsi="Arial"/>
                <w:sz w:val="18"/>
                <w:szCs w:val="18"/>
                <w:b w:val="1"/>
                <w:bCs w:val="1"/>
                <w:color w:val="auto"/>
              </w:rPr>
              <w:t>Filed</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9"/>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gridSpan w:val="23"/>
            <w:vMerge w:val="continue"/>
          </w:tcPr>
          <w:p>
            <w:pPr>
              <w:spacing w:after="0"/>
              <w:rPr>
                <w:sz w:val="20"/>
                <w:szCs w:val="20"/>
                <w:color w:val="auto"/>
              </w:rPr>
            </w:pPr>
          </w:p>
        </w:tc>
        <w:tc>
          <w:tcPr>
            <w:tcW w:w="1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HerewithForm</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Appendix</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8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3.1</w:t>
            </w:r>
          </w:p>
        </w:tc>
        <w:tc>
          <w:tcPr>
            <w:tcW w:w="4260" w:type="dxa"/>
            <w:vAlign w:val="bottom"/>
            <w:tcBorders>
              <w:bottom w:val="single" w:sz="8" w:color="auto"/>
            </w:tcBorders>
            <w:gridSpan w:val="10"/>
            <w:shd w:val="clear" w:color="auto" w:fill="D1D2D4"/>
          </w:tcPr>
          <w:p>
            <w:pPr>
              <w:spacing w:after="0" w:line="182" w:lineRule="exact"/>
              <w:rPr>
                <w:rFonts w:ascii="Arial" w:cs="Arial" w:eastAsia="Arial" w:hAnsi="Arial"/>
                <w:sz w:val="18"/>
                <w:szCs w:val="18"/>
                <w:color w:val="auto"/>
                <w:w w:val="99"/>
              </w:rPr>
            </w:pPr>
            <w:hyperlink r:id="rId184">
              <w:r>
                <w:rPr>
                  <w:rFonts w:ascii="Arial" w:cs="Arial" w:eastAsia="Arial" w:hAnsi="Arial"/>
                  <w:sz w:val="18"/>
                  <w:szCs w:val="18"/>
                  <w:color w:val="auto"/>
                  <w:w w:val="99"/>
                </w:rPr>
                <w:t>Restated Certificate of Incorporation of the Registrant</w:t>
              </w:r>
            </w:hyperlink>
          </w:p>
        </w:tc>
        <w:tc>
          <w:tcPr>
            <w:tcW w:w="1320" w:type="dxa"/>
            <w:vAlign w:val="bottom"/>
            <w:tcBorders>
              <w:bottom w:val="single" w:sz="8" w:color="D1D2D4"/>
            </w:tcBorders>
            <w:gridSpan w:val="15"/>
            <w:shd w:val="clear" w:color="auto" w:fill="D1D2D4"/>
          </w:tcPr>
          <w:p>
            <w:pPr>
              <w:spacing w:after="0"/>
              <w:rPr>
                <w:sz w:val="17"/>
                <w:szCs w:val="17"/>
                <w:color w:val="auto"/>
              </w:rPr>
            </w:pPr>
          </w:p>
        </w:tc>
        <w:tc>
          <w:tcPr>
            <w:tcW w:w="1780" w:type="dxa"/>
            <w:vAlign w:val="bottom"/>
            <w:tcBorders>
              <w:bottom w:val="single" w:sz="8" w:color="D1D2D4"/>
            </w:tcBorders>
            <w:shd w:val="clear" w:color="auto" w:fill="D1D2D4"/>
          </w:tcPr>
          <w:p>
            <w:pPr>
              <w:ind w:left="1020"/>
              <w:spacing w:after="0" w:line="182"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ind w:left="80"/>
              <w:spacing w:after="0" w:line="182" w:lineRule="exact"/>
              <w:rPr>
                <w:sz w:val="20"/>
                <w:szCs w:val="20"/>
                <w:color w:val="auto"/>
              </w:rPr>
            </w:pPr>
            <w:r>
              <w:rPr>
                <w:rFonts w:ascii="Arial" w:cs="Arial" w:eastAsia="Arial" w:hAnsi="Arial"/>
                <w:sz w:val="18"/>
                <w:szCs w:val="18"/>
                <w:color w:val="auto"/>
              </w:rPr>
              <w:t>99.2</w:t>
            </w:r>
          </w:p>
        </w:tc>
        <w:tc>
          <w:tcPr>
            <w:tcW w:w="960" w:type="dxa"/>
            <w:vAlign w:val="bottom"/>
            <w:tcBorders>
              <w:bottom w:val="single" w:sz="8" w:color="D1D2D4"/>
            </w:tcBorders>
            <w:shd w:val="clear" w:color="auto" w:fill="D1D2D4"/>
          </w:tcPr>
          <w:p>
            <w:pPr>
              <w:ind w:left="60"/>
              <w:spacing w:after="0" w:line="182" w:lineRule="exact"/>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5580" w:type="dxa"/>
            <w:vAlign w:val="bottom"/>
            <w:gridSpan w:val="25"/>
          </w:tcPr>
          <w:p>
            <w:pPr>
              <w:spacing w:after="0" w:line="189" w:lineRule="exact"/>
              <w:rPr>
                <w:rFonts w:ascii="Arial" w:cs="Arial" w:eastAsia="Arial" w:hAnsi="Arial"/>
                <w:sz w:val="18"/>
                <w:szCs w:val="18"/>
                <w:color w:val="auto"/>
              </w:rPr>
            </w:pPr>
            <w:hyperlink r:id="rId185">
              <w:r>
                <w:rPr>
                  <w:rFonts w:ascii="Arial" w:cs="Arial" w:eastAsia="Arial" w:hAnsi="Arial"/>
                  <w:sz w:val="18"/>
                  <w:szCs w:val="18"/>
                  <w:color w:val="auto"/>
                </w:rPr>
                <w:t>Bylaws of the Registrant, Amended and Restated</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3.1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2/16/21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86">
              <w:r>
                <w:rPr>
                  <w:rFonts w:ascii="Arial" w:cs="Arial" w:eastAsia="Arial" w:hAnsi="Arial"/>
                  <w:sz w:val="18"/>
                  <w:szCs w:val="18"/>
                  <w:color w:val="auto"/>
                </w:rPr>
                <w:t>Indenture, dated as of February 6, 2019, by and between Micron</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4.1</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160" w:type="dxa"/>
            <w:vAlign w:val="bottom"/>
            <w:tcBorders>
              <w:top w:val="single" w:sz="8" w:color="auto"/>
            </w:tcBorders>
            <w:gridSpan w:val="16"/>
            <w:shd w:val="clear" w:color="auto" w:fill="D1D2D4"/>
          </w:tcPr>
          <w:p>
            <w:pPr>
              <w:spacing w:after="0" w:line="169" w:lineRule="exact"/>
              <w:rPr>
                <w:rFonts w:ascii="Arial" w:cs="Arial" w:eastAsia="Arial" w:hAnsi="Arial"/>
                <w:sz w:val="18"/>
                <w:szCs w:val="18"/>
                <w:color w:val="auto"/>
                <w:w w:val="99"/>
              </w:rPr>
            </w:pPr>
            <w:hyperlink r:id="rId186">
              <w:r>
                <w:rPr>
                  <w:rFonts w:ascii="Arial" w:cs="Arial" w:eastAsia="Arial" w:hAnsi="Arial"/>
                  <w:sz w:val="18"/>
                  <w:szCs w:val="18"/>
                  <w:color w:val="auto"/>
                  <w:w w:val="99"/>
                </w:rPr>
                <w:t>Technology, Inc. and U.S. Bank National Association, as Trustee</w:t>
              </w:r>
            </w:hyperlink>
          </w:p>
        </w:tc>
        <w:tc>
          <w:tcPr>
            <w:tcW w:w="20" w:type="dxa"/>
            <w:vAlign w:val="bottom"/>
            <w:tcBorders>
              <w:top w:val="single" w:sz="8" w:color="D1D2D4"/>
            </w:tcBorders>
            <w:shd w:val="clear" w:color="auto" w:fill="D1D2D4"/>
          </w:tcPr>
          <w:p>
            <w:pPr>
              <w:spacing w:after="0"/>
              <w:rPr>
                <w:sz w:val="14"/>
                <w:szCs w:val="14"/>
                <w:color w:val="auto"/>
              </w:rPr>
            </w:pPr>
          </w:p>
        </w:tc>
        <w:tc>
          <w:tcPr>
            <w:tcW w:w="1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4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40" w:type="dxa"/>
            <w:vAlign w:val="bottom"/>
            <w:tcBorders>
              <w:top w:val="single" w:sz="8" w:color="D1D2D4"/>
            </w:tcBorders>
            <w:shd w:val="clear" w:color="auto" w:fill="D1D2D4"/>
          </w:tcPr>
          <w:p>
            <w:pPr>
              <w:spacing w:after="0"/>
              <w:rPr>
                <w:sz w:val="14"/>
                <w:szCs w:val="14"/>
                <w:color w:val="auto"/>
              </w:rPr>
            </w:pPr>
          </w:p>
        </w:tc>
        <w:tc>
          <w:tcPr>
            <w:tcW w:w="120" w:type="dxa"/>
            <w:vAlign w:val="bottom"/>
            <w:tcBorders>
              <w:top w:val="single" w:sz="8" w:color="D1D2D4"/>
            </w:tcBorders>
            <w:shd w:val="clear" w:color="auto" w:fill="D1D2D4"/>
          </w:tcPr>
          <w:p>
            <w:pPr>
              <w:spacing w:after="0"/>
              <w:rPr>
                <w:sz w:val="14"/>
                <w:szCs w:val="14"/>
                <w:color w:val="auto"/>
              </w:rPr>
            </w:pPr>
          </w:p>
        </w:tc>
        <w:tc>
          <w:tcPr>
            <w:tcW w:w="178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160" w:type="dxa"/>
            <w:vAlign w:val="bottom"/>
            <w:tcBorders>
              <w:top w:val="single" w:sz="8" w:color="auto"/>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280" w:type="dxa"/>
            <w:vAlign w:val="bottom"/>
            <w:tcBorders>
              <w:top w:val="single" w:sz="8" w:color="auto"/>
            </w:tcBorders>
            <w:shd w:val="clear" w:color="auto" w:fill="D1D2D4"/>
          </w:tcPr>
          <w:p>
            <w:pPr>
              <w:spacing w:after="0" w:line="20" w:lineRule="exact"/>
              <w:rPr>
                <w:sz w:val="1"/>
                <w:szCs w:val="1"/>
                <w:color w:val="auto"/>
              </w:rPr>
            </w:pPr>
          </w:p>
        </w:tc>
        <w:tc>
          <w:tcPr>
            <w:tcW w:w="34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5580" w:type="dxa"/>
            <w:vAlign w:val="bottom"/>
            <w:gridSpan w:val="25"/>
          </w:tcPr>
          <w:p>
            <w:pPr>
              <w:spacing w:after="0" w:line="189" w:lineRule="exact"/>
              <w:rPr>
                <w:rFonts w:ascii="Arial" w:cs="Arial" w:eastAsia="Arial" w:hAnsi="Arial"/>
                <w:sz w:val="18"/>
                <w:szCs w:val="18"/>
                <w:color w:val="auto"/>
              </w:rPr>
            </w:pPr>
            <w:hyperlink r:id="rId187">
              <w:r>
                <w:rPr>
                  <w:rFonts w:ascii="Arial" w:cs="Arial" w:eastAsia="Arial" w:hAnsi="Arial"/>
                  <w:sz w:val="18"/>
                  <w:szCs w:val="18"/>
                  <w:color w:val="auto"/>
                </w:rPr>
                <w:t>First Supplemental Indenture, dated as of February 6, 2019, by and</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360" w:type="dxa"/>
            <w:vAlign w:val="bottom"/>
            <w:tcBorders>
              <w:top w:val="single" w:sz="8" w:color="auto"/>
            </w:tcBorders>
            <w:gridSpan w:val="20"/>
          </w:tcPr>
          <w:p>
            <w:pPr>
              <w:spacing w:after="0" w:line="169" w:lineRule="exact"/>
              <w:rPr>
                <w:rFonts w:ascii="Arial" w:cs="Arial" w:eastAsia="Arial" w:hAnsi="Arial"/>
                <w:sz w:val="18"/>
                <w:szCs w:val="18"/>
                <w:color w:val="auto"/>
              </w:rPr>
            </w:pPr>
            <w:hyperlink r:id="rId187">
              <w:r>
                <w:rPr>
                  <w:rFonts w:ascii="Arial" w:cs="Arial" w:eastAsia="Arial" w:hAnsi="Arial"/>
                  <w:sz w:val="18"/>
                  <w:szCs w:val="18"/>
                  <w:color w:val="auto"/>
                </w:rPr>
                <w:t>between Micron Technology, Inc. and U.S. Bank National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540" w:type="dxa"/>
            <w:vAlign w:val="bottom"/>
            <w:tcBorders>
              <w:top w:val="single" w:sz="8" w:color="auto"/>
            </w:tcBorders>
            <w:gridSpan w:val="11"/>
          </w:tcPr>
          <w:p>
            <w:pPr>
              <w:spacing w:after="0" w:line="156" w:lineRule="exact"/>
              <w:rPr>
                <w:rFonts w:ascii="Arial" w:cs="Arial" w:eastAsia="Arial" w:hAnsi="Arial"/>
                <w:sz w:val="18"/>
                <w:szCs w:val="18"/>
                <w:color w:val="auto"/>
              </w:rPr>
            </w:pPr>
            <w:hyperlink r:id="rId187">
              <w:r>
                <w:rPr>
                  <w:rFonts w:ascii="Arial" w:cs="Arial" w:eastAsia="Arial" w:hAnsi="Arial"/>
                  <w:sz w:val="18"/>
                  <w:szCs w:val="18"/>
                  <w:color w:val="auto"/>
                </w:rPr>
                <w:t>Association, as Trustee</w:t>
              </w:r>
            </w:hyperlink>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4.3</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87">
              <w:r>
                <w:rPr>
                  <w:rFonts w:ascii="Arial" w:cs="Arial" w:eastAsia="Arial" w:hAnsi="Arial"/>
                  <w:sz w:val="18"/>
                  <w:szCs w:val="18"/>
                  <w:color w:val="auto"/>
                </w:rPr>
                <w:t>Form of Note for Micron Technology, Inc.’s 4.975% Senior Notes due</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87">
              <w:r>
                <w:rPr>
                  <w:rFonts w:ascii="Arial" w:cs="Arial" w:eastAsia="Arial" w:hAnsi="Arial"/>
                  <w:sz w:val="18"/>
                  <w:szCs w:val="18"/>
                  <w:color w:val="auto"/>
                </w:rPr>
                <w:t>2026 (included in Exhibit 4.2)</w:t>
              </w:r>
            </w:hyperlink>
          </w:p>
        </w:tc>
        <w:tc>
          <w:tcPr>
            <w:tcW w:w="120" w:type="dxa"/>
            <w:vAlign w:val="bottom"/>
            <w:tcBorders>
              <w:top w:val="single" w:sz="8" w:color="D1D2D4"/>
            </w:tcBorders>
            <w:shd w:val="clear" w:color="auto" w:fill="D1D2D4"/>
          </w:tcPr>
          <w:p>
            <w:pPr>
              <w:spacing w:after="0"/>
              <w:rPr>
                <w:sz w:val="14"/>
                <w:szCs w:val="14"/>
                <w:color w:val="auto"/>
              </w:rPr>
            </w:pPr>
          </w:p>
        </w:tc>
        <w:tc>
          <w:tcPr>
            <w:tcW w:w="178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4.4</w:t>
            </w:r>
          </w:p>
        </w:tc>
        <w:tc>
          <w:tcPr>
            <w:tcW w:w="5580" w:type="dxa"/>
            <w:vAlign w:val="bottom"/>
            <w:gridSpan w:val="25"/>
          </w:tcPr>
          <w:p>
            <w:pPr>
              <w:spacing w:after="0" w:line="189" w:lineRule="exact"/>
              <w:rPr>
                <w:rFonts w:ascii="Arial" w:cs="Arial" w:eastAsia="Arial" w:hAnsi="Arial"/>
                <w:sz w:val="18"/>
                <w:szCs w:val="18"/>
                <w:color w:val="auto"/>
              </w:rPr>
            </w:pPr>
            <w:hyperlink r:id="rId187">
              <w:r>
                <w:rPr>
                  <w:rFonts w:ascii="Arial" w:cs="Arial" w:eastAsia="Arial" w:hAnsi="Arial"/>
                  <w:sz w:val="18"/>
                  <w:szCs w:val="18"/>
                  <w:color w:val="auto"/>
                </w:rPr>
                <w:t>Form of Note for Micron Technology, Inc.’s 5.327% Senior Notes due</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4.5</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87">
              <w:r>
                <w:rPr>
                  <w:rFonts w:ascii="Arial" w:cs="Arial" w:eastAsia="Arial" w:hAnsi="Arial"/>
                  <w:sz w:val="18"/>
                  <w:szCs w:val="18"/>
                  <w:color w:val="auto"/>
                </w:rPr>
                <w:t>2029 (included in Exhibit 4.2)</w:t>
              </w:r>
            </w:hyperlink>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4.5</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88">
              <w:r>
                <w:rPr>
                  <w:rFonts w:ascii="Arial" w:cs="Arial" w:eastAsia="Arial" w:hAnsi="Arial"/>
                  <w:sz w:val="18"/>
                  <w:szCs w:val="18"/>
                  <w:color w:val="auto"/>
                </w:rPr>
                <w:t>Second Supplemental Indenture, dated as of July 12, 2019, by and</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320" w:type="dxa"/>
            <w:vAlign w:val="bottom"/>
            <w:tcBorders>
              <w:top w:val="single" w:sz="8" w:color="auto"/>
            </w:tcBorders>
            <w:gridSpan w:val="19"/>
            <w:shd w:val="clear" w:color="auto" w:fill="D1D2D4"/>
          </w:tcPr>
          <w:p>
            <w:pPr>
              <w:spacing w:after="0" w:line="169" w:lineRule="exact"/>
              <w:rPr>
                <w:rFonts w:ascii="Arial" w:cs="Arial" w:eastAsia="Arial" w:hAnsi="Arial"/>
                <w:sz w:val="18"/>
                <w:szCs w:val="18"/>
                <w:color w:val="auto"/>
              </w:rPr>
            </w:pPr>
            <w:hyperlink r:id="rId188">
              <w:r>
                <w:rPr>
                  <w:rFonts w:ascii="Arial" w:cs="Arial" w:eastAsia="Arial" w:hAnsi="Arial"/>
                  <w:sz w:val="18"/>
                  <w:szCs w:val="18"/>
                  <w:color w:val="auto"/>
                </w:rPr>
                <w:t>between Micron Technology, Inc. and U.S. Bank National</w:t>
              </w:r>
            </w:hyperlink>
          </w:p>
        </w:tc>
        <w:tc>
          <w:tcPr>
            <w:tcW w:w="60" w:type="dxa"/>
            <w:vAlign w:val="bottom"/>
            <w:tcBorders>
              <w:top w:val="single" w:sz="8" w:color="D1D2D4"/>
            </w:tcBorders>
            <w:gridSpan w:val="2"/>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60" w:type="dxa"/>
            <w:vAlign w:val="bottom"/>
            <w:tcBorders>
              <w:top w:val="single" w:sz="8" w:color="D1D2D4"/>
            </w:tcBorders>
            <w:gridSpan w:val="2"/>
            <w:shd w:val="clear" w:color="auto" w:fill="D1D2D4"/>
          </w:tcPr>
          <w:p>
            <w:pPr>
              <w:spacing w:after="0"/>
              <w:rPr>
                <w:sz w:val="14"/>
                <w:szCs w:val="14"/>
                <w:color w:val="auto"/>
              </w:rPr>
            </w:pPr>
          </w:p>
        </w:tc>
        <w:tc>
          <w:tcPr>
            <w:tcW w:w="178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4540" w:type="dxa"/>
            <w:vAlign w:val="bottom"/>
            <w:tcBorders>
              <w:top w:val="single" w:sz="8" w:color="auto"/>
            </w:tcBorders>
            <w:gridSpan w:val="11"/>
            <w:shd w:val="clear" w:color="auto" w:fill="D1D2D4"/>
          </w:tcPr>
          <w:p>
            <w:pPr>
              <w:spacing w:after="0" w:line="156" w:lineRule="exact"/>
              <w:rPr>
                <w:rFonts w:ascii="Arial" w:cs="Arial" w:eastAsia="Arial" w:hAnsi="Arial"/>
                <w:sz w:val="18"/>
                <w:szCs w:val="18"/>
                <w:color w:val="auto"/>
              </w:rPr>
            </w:pPr>
            <w:hyperlink r:id="rId188">
              <w:r>
                <w:rPr>
                  <w:rFonts w:ascii="Arial" w:cs="Arial" w:eastAsia="Arial" w:hAnsi="Arial"/>
                  <w:sz w:val="18"/>
                  <w:szCs w:val="18"/>
                  <w:color w:val="auto"/>
                </w:rPr>
                <w:t>Association, as Trustee</w:t>
              </w:r>
            </w:hyperlink>
          </w:p>
        </w:tc>
        <w:tc>
          <w:tcPr>
            <w:tcW w:w="340" w:type="dxa"/>
            <w:vAlign w:val="bottom"/>
            <w:tcBorders>
              <w:top w:val="single" w:sz="8" w:color="D1D2D4"/>
            </w:tcBorders>
            <w:shd w:val="clear" w:color="auto" w:fill="D1D2D4"/>
          </w:tcPr>
          <w:p>
            <w:pPr>
              <w:spacing w:after="0"/>
              <w:rPr>
                <w:sz w:val="13"/>
                <w:szCs w:val="13"/>
                <w:color w:val="auto"/>
              </w:rPr>
            </w:pPr>
          </w:p>
        </w:tc>
        <w:tc>
          <w:tcPr>
            <w:tcW w:w="18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gridSpan w:val="2"/>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12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gridSpan w:val="3"/>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60" w:type="dxa"/>
            <w:vAlign w:val="bottom"/>
            <w:tcBorders>
              <w:top w:val="single" w:sz="8" w:color="D1D2D4"/>
            </w:tcBorders>
            <w:gridSpan w:val="2"/>
            <w:shd w:val="clear" w:color="auto" w:fill="D1D2D4"/>
          </w:tcPr>
          <w:p>
            <w:pPr>
              <w:spacing w:after="0"/>
              <w:rPr>
                <w:sz w:val="13"/>
                <w:szCs w:val="13"/>
                <w:color w:val="auto"/>
              </w:rPr>
            </w:pPr>
          </w:p>
        </w:tc>
        <w:tc>
          <w:tcPr>
            <w:tcW w:w="178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4.6</w:t>
            </w:r>
          </w:p>
        </w:tc>
        <w:tc>
          <w:tcPr>
            <w:tcW w:w="5580" w:type="dxa"/>
            <w:vAlign w:val="bottom"/>
            <w:gridSpan w:val="25"/>
          </w:tcPr>
          <w:p>
            <w:pPr>
              <w:spacing w:after="0" w:line="189" w:lineRule="exact"/>
              <w:rPr>
                <w:rFonts w:ascii="Arial" w:cs="Arial" w:eastAsia="Arial" w:hAnsi="Arial"/>
                <w:sz w:val="18"/>
                <w:szCs w:val="18"/>
                <w:color w:val="auto"/>
              </w:rPr>
            </w:pPr>
            <w:hyperlink r:id="rId188">
              <w:r>
                <w:rPr>
                  <w:rFonts w:ascii="Arial" w:cs="Arial" w:eastAsia="Arial" w:hAnsi="Arial"/>
                  <w:sz w:val="18"/>
                  <w:szCs w:val="18"/>
                  <w:color w:val="auto"/>
                </w:rPr>
                <w:t>Form of Note for Micron Technology, Inc.’s 4.185% Senior Notes due</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88">
              <w:r>
                <w:rPr>
                  <w:rFonts w:ascii="Arial" w:cs="Arial" w:eastAsia="Arial" w:hAnsi="Arial"/>
                  <w:sz w:val="18"/>
                  <w:szCs w:val="18"/>
                  <w:color w:val="auto"/>
                </w:rPr>
                <w:t>2027 (included in Exhibit 4.5)</w:t>
              </w:r>
            </w:hyperlink>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4.7</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88">
              <w:r>
                <w:rPr>
                  <w:rFonts w:ascii="Arial" w:cs="Arial" w:eastAsia="Arial" w:hAnsi="Arial"/>
                  <w:sz w:val="18"/>
                  <w:szCs w:val="18"/>
                  <w:color w:val="auto"/>
                </w:rPr>
                <w:t>Form of Note for Micron Technology, Inc.’s 4.663% Senior Notes due</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88">
              <w:r>
                <w:rPr>
                  <w:rFonts w:ascii="Arial" w:cs="Arial" w:eastAsia="Arial" w:hAnsi="Arial"/>
                  <w:sz w:val="18"/>
                  <w:szCs w:val="18"/>
                  <w:color w:val="auto"/>
                </w:rPr>
                <w:t>2030 (included in Exhibit 4.5)</w:t>
              </w:r>
            </w:hyperlink>
          </w:p>
        </w:tc>
        <w:tc>
          <w:tcPr>
            <w:tcW w:w="120" w:type="dxa"/>
            <w:vAlign w:val="bottom"/>
            <w:tcBorders>
              <w:top w:val="single" w:sz="8" w:color="D1D2D4"/>
            </w:tcBorders>
            <w:shd w:val="clear" w:color="auto" w:fill="D1D2D4"/>
          </w:tcPr>
          <w:p>
            <w:pPr>
              <w:spacing w:after="0"/>
              <w:rPr>
                <w:sz w:val="14"/>
                <w:szCs w:val="14"/>
                <w:color w:val="auto"/>
              </w:rPr>
            </w:pPr>
          </w:p>
        </w:tc>
        <w:tc>
          <w:tcPr>
            <w:tcW w:w="178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4.8</w:t>
            </w:r>
          </w:p>
        </w:tc>
        <w:tc>
          <w:tcPr>
            <w:tcW w:w="5580" w:type="dxa"/>
            <w:vAlign w:val="bottom"/>
            <w:gridSpan w:val="25"/>
          </w:tcPr>
          <w:p>
            <w:pPr>
              <w:spacing w:after="0" w:line="189" w:lineRule="exact"/>
              <w:rPr>
                <w:rFonts w:ascii="Arial" w:cs="Arial" w:eastAsia="Arial" w:hAnsi="Arial"/>
                <w:sz w:val="18"/>
                <w:szCs w:val="18"/>
                <w:color w:val="auto"/>
              </w:rPr>
            </w:pPr>
            <w:hyperlink r:id="rId189">
              <w:r>
                <w:rPr>
                  <w:rFonts w:ascii="Arial" w:cs="Arial" w:eastAsia="Arial" w:hAnsi="Arial"/>
                  <w:sz w:val="18"/>
                  <w:szCs w:val="18"/>
                  <w:color w:val="auto"/>
                </w:rPr>
                <w:t>Fourth Supplemental Indenture, dated as of November 1, 2021, by</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300" w:type="dxa"/>
            <w:vAlign w:val="bottom"/>
            <w:tcBorders>
              <w:top w:val="single" w:sz="8" w:color="auto"/>
            </w:tcBorders>
            <w:gridSpan w:val="18"/>
          </w:tcPr>
          <w:p>
            <w:pPr>
              <w:spacing w:after="0" w:line="169" w:lineRule="exact"/>
              <w:rPr>
                <w:rFonts w:ascii="Arial" w:cs="Arial" w:eastAsia="Arial" w:hAnsi="Arial"/>
                <w:sz w:val="18"/>
                <w:szCs w:val="18"/>
                <w:color w:val="auto"/>
              </w:rPr>
            </w:pPr>
            <w:hyperlink r:id="rId189">
              <w:r>
                <w:rPr>
                  <w:rFonts w:ascii="Arial" w:cs="Arial" w:eastAsia="Arial" w:hAnsi="Arial"/>
                  <w:sz w:val="18"/>
                  <w:szCs w:val="18"/>
                  <w:color w:val="auto"/>
                </w:rPr>
                <w:t>and between Micron Technology, Inc. and U.S. Bank National</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880" w:type="dxa"/>
            <w:vAlign w:val="bottom"/>
            <w:tcBorders>
              <w:top w:val="single" w:sz="8" w:color="auto"/>
            </w:tcBorders>
            <w:gridSpan w:val="12"/>
          </w:tcPr>
          <w:p>
            <w:pPr>
              <w:spacing w:after="0" w:line="156" w:lineRule="exact"/>
              <w:rPr>
                <w:rFonts w:ascii="Arial" w:cs="Arial" w:eastAsia="Arial" w:hAnsi="Arial"/>
                <w:sz w:val="18"/>
                <w:szCs w:val="18"/>
                <w:color w:val="auto"/>
              </w:rPr>
            </w:pPr>
            <w:hyperlink r:id="rId189">
              <w:r>
                <w:rPr>
                  <w:rFonts w:ascii="Arial" w:cs="Arial" w:eastAsia="Arial" w:hAnsi="Arial"/>
                  <w:sz w:val="18"/>
                  <w:szCs w:val="18"/>
                  <w:color w:val="auto"/>
                </w:rPr>
                <w:t>Association, as Trustee</w:t>
              </w:r>
            </w:hyperlink>
          </w:p>
        </w:tc>
        <w:tc>
          <w:tcPr>
            <w:tcW w:w="1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4.9</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89">
              <w:r>
                <w:rPr>
                  <w:rFonts w:ascii="Arial" w:cs="Arial" w:eastAsia="Arial" w:hAnsi="Arial"/>
                  <w:sz w:val="18"/>
                  <w:szCs w:val="18"/>
                  <w:color w:val="auto"/>
                </w:rPr>
                <w:t>Form of Note for Micron Technology, Inc.’s 2.703% Senior Notes due</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89">
              <w:r>
                <w:rPr>
                  <w:rFonts w:ascii="Arial" w:cs="Arial" w:eastAsia="Arial" w:hAnsi="Arial"/>
                  <w:sz w:val="18"/>
                  <w:szCs w:val="18"/>
                  <w:color w:val="auto"/>
                </w:rPr>
                <w:t>2032 (included in Exhibit 4.8)</w:t>
              </w:r>
            </w:hyperlink>
          </w:p>
        </w:tc>
        <w:tc>
          <w:tcPr>
            <w:tcW w:w="120" w:type="dxa"/>
            <w:vAlign w:val="bottom"/>
            <w:tcBorders>
              <w:top w:val="single" w:sz="8" w:color="D1D2D4"/>
            </w:tcBorders>
            <w:shd w:val="clear" w:color="auto" w:fill="D1D2D4"/>
          </w:tcPr>
          <w:p>
            <w:pPr>
              <w:spacing w:after="0"/>
              <w:rPr>
                <w:sz w:val="14"/>
                <w:szCs w:val="14"/>
                <w:color w:val="auto"/>
              </w:rPr>
            </w:pPr>
          </w:p>
        </w:tc>
        <w:tc>
          <w:tcPr>
            <w:tcW w:w="178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4.10</w:t>
            </w:r>
          </w:p>
        </w:tc>
        <w:tc>
          <w:tcPr>
            <w:tcW w:w="5580" w:type="dxa"/>
            <w:vAlign w:val="bottom"/>
            <w:gridSpan w:val="25"/>
          </w:tcPr>
          <w:p>
            <w:pPr>
              <w:spacing w:after="0" w:line="189" w:lineRule="exact"/>
              <w:rPr>
                <w:rFonts w:ascii="Arial" w:cs="Arial" w:eastAsia="Arial" w:hAnsi="Arial"/>
                <w:sz w:val="18"/>
                <w:szCs w:val="18"/>
                <w:color w:val="auto"/>
              </w:rPr>
            </w:pPr>
            <w:hyperlink r:id="rId189">
              <w:r>
                <w:rPr>
                  <w:rFonts w:ascii="Arial" w:cs="Arial" w:eastAsia="Arial" w:hAnsi="Arial"/>
                  <w:sz w:val="18"/>
                  <w:szCs w:val="18"/>
                  <w:color w:val="auto"/>
                </w:rPr>
                <w:t>Form of Note for Micron Technology, Inc.’s 3.366% Senior Notes due</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89">
              <w:r>
                <w:rPr>
                  <w:rFonts w:ascii="Arial" w:cs="Arial" w:eastAsia="Arial" w:hAnsi="Arial"/>
                  <w:sz w:val="18"/>
                  <w:szCs w:val="18"/>
                  <w:color w:val="auto"/>
                </w:rPr>
                <w:t>2041 (included in Exhibit 4.8)</w:t>
              </w:r>
            </w:hyperlink>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4.11</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89">
              <w:r>
                <w:rPr>
                  <w:rFonts w:ascii="Arial" w:cs="Arial" w:eastAsia="Arial" w:hAnsi="Arial"/>
                  <w:sz w:val="18"/>
                  <w:szCs w:val="18"/>
                  <w:color w:val="auto"/>
                </w:rPr>
                <w:t>Form of Note for Micron Technology, Inc.’s 3.477% Senior Notes due</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4.5</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89">
              <w:r>
                <w:rPr>
                  <w:rFonts w:ascii="Arial" w:cs="Arial" w:eastAsia="Arial" w:hAnsi="Arial"/>
                  <w:sz w:val="18"/>
                  <w:szCs w:val="18"/>
                  <w:color w:val="auto"/>
                </w:rPr>
                <w:t>2051 (included in Exhibit 4.8)</w:t>
              </w:r>
            </w:hyperlink>
          </w:p>
        </w:tc>
        <w:tc>
          <w:tcPr>
            <w:tcW w:w="120" w:type="dxa"/>
            <w:vAlign w:val="bottom"/>
            <w:tcBorders>
              <w:top w:val="single" w:sz="8" w:color="D1D2D4"/>
            </w:tcBorders>
            <w:shd w:val="clear" w:color="auto" w:fill="D1D2D4"/>
          </w:tcPr>
          <w:p>
            <w:pPr>
              <w:spacing w:after="0"/>
              <w:rPr>
                <w:sz w:val="14"/>
                <w:szCs w:val="14"/>
                <w:color w:val="auto"/>
              </w:rPr>
            </w:pPr>
          </w:p>
        </w:tc>
        <w:tc>
          <w:tcPr>
            <w:tcW w:w="178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4.12</w:t>
            </w:r>
          </w:p>
        </w:tc>
        <w:tc>
          <w:tcPr>
            <w:tcW w:w="5580" w:type="dxa"/>
            <w:vAlign w:val="bottom"/>
            <w:gridSpan w:val="25"/>
          </w:tcPr>
          <w:p>
            <w:pPr>
              <w:spacing w:after="0" w:line="189" w:lineRule="exact"/>
              <w:rPr>
                <w:rFonts w:ascii="Arial" w:cs="Arial" w:eastAsia="Arial" w:hAnsi="Arial"/>
                <w:sz w:val="18"/>
                <w:szCs w:val="18"/>
                <w:color w:val="auto"/>
              </w:rPr>
            </w:pPr>
            <w:hyperlink r:id="rId190">
              <w:r>
                <w:rPr>
                  <w:rFonts w:ascii="Arial" w:cs="Arial" w:eastAsia="Arial" w:hAnsi="Arial"/>
                  <w:sz w:val="18"/>
                  <w:szCs w:val="18"/>
                  <w:color w:val="auto"/>
                </w:rPr>
                <w:t>Description of Registrant’s Securities</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10-K</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9/1/22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4.12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4.13</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91">
              <w:r>
                <w:rPr>
                  <w:rFonts w:ascii="Arial" w:cs="Arial" w:eastAsia="Arial" w:hAnsi="Arial"/>
                  <w:sz w:val="18"/>
                  <w:szCs w:val="18"/>
                  <w:color w:val="auto"/>
                </w:rPr>
                <w:t>Fifth Supplemental Indenture, dated as of October 31, 2022, by and</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10/31/22</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380" w:type="dxa"/>
            <w:vAlign w:val="bottom"/>
            <w:tcBorders>
              <w:top w:val="single" w:sz="8" w:color="auto"/>
            </w:tcBorders>
            <w:gridSpan w:val="21"/>
            <w:shd w:val="clear" w:color="auto" w:fill="D1D2D4"/>
          </w:tcPr>
          <w:p>
            <w:pPr>
              <w:spacing w:after="0" w:line="169" w:lineRule="exact"/>
              <w:rPr>
                <w:rFonts w:ascii="Arial" w:cs="Arial" w:eastAsia="Arial" w:hAnsi="Arial"/>
                <w:sz w:val="18"/>
                <w:szCs w:val="18"/>
                <w:color w:val="auto"/>
              </w:rPr>
            </w:pPr>
            <w:hyperlink r:id="rId191">
              <w:r>
                <w:rPr>
                  <w:rFonts w:ascii="Arial" w:cs="Arial" w:eastAsia="Arial" w:hAnsi="Arial"/>
                  <w:sz w:val="18"/>
                  <w:szCs w:val="18"/>
                  <w:color w:val="auto"/>
                </w:rPr>
                <w:t>between Micron Technology, Inc. and U.S. Bank Trust Company,</w:t>
              </w:r>
            </w:hyperlink>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60" w:type="dxa"/>
            <w:vAlign w:val="bottom"/>
            <w:tcBorders>
              <w:top w:val="single" w:sz="8" w:color="D1D2D4"/>
            </w:tcBorders>
            <w:gridSpan w:val="2"/>
            <w:shd w:val="clear" w:color="auto" w:fill="D1D2D4"/>
          </w:tcPr>
          <w:p>
            <w:pPr>
              <w:spacing w:after="0"/>
              <w:rPr>
                <w:sz w:val="14"/>
                <w:szCs w:val="14"/>
                <w:color w:val="auto"/>
              </w:rPr>
            </w:pPr>
          </w:p>
        </w:tc>
        <w:tc>
          <w:tcPr>
            <w:tcW w:w="178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2580" w:type="dxa"/>
            <w:vAlign w:val="bottom"/>
            <w:tcBorders>
              <w:top w:val="single" w:sz="8" w:color="auto"/>
              <w:bottom w:val="single" w:sz="8" w:color="auto"/>
            </w:tcBorders>
            <w:gridSpan w:val="6"/>
            <w:shd w:val="clear" w:color="auto" w:fill="D1D2D4"/>
          </w:tcPr>
          <w:p>
            <w:pPr>
              <w:spacing w:after="0" w:line="156" w:lineRule="exact"/>
              <w:rPr>
                <w:rFonts w:ascii="Arial" w:cs="Arial" w:eastAsia="Arial" w:hAnsi="Arial"/>
                <w:sz w:val="18"/>
                <w:szCs w:val="18"/>
                <w:color w:val="auto"/>
                <w:w w:val="99"/>
              </w:rPr>
            </w:pPr>
            <w:hyperlink r:id="rId191">
              <w:r>
                <w:rPr>
                  <w:rFonts w:ascii="Arial" w:cs="Arial" w:eastAsia="Arial" w:hAnsi="Arial"/>
                  <w:sz w:val="18"/>
                  <w:szCs w:val="18"/>
                  <w:color w:val="auto"/>
                  <w:w w:val="99"/>
                </w:rPr>
                <w:t>National Association, as Trustee</w:t>
              </w:r>
            </w:hyperlink>
          </w:p>
        </w:tc>
        <w:tc>
          <w:tcPr>
            <w:tcW w:w="2560" w:type="dxa"/>
            <w:vAlign w:val="bottom"/>
            <w:tcBorders>
              <w:top w:val="single" w:sz="8" w:color="auto"/>
              <w:bottom w:val="single" w:sz="8" w:color="D1D2D4"/>
            </w:tcBorders>
            <w:gridSpan w:val="9"/>
            <w:shd w:val="clear" w:color="auto" w:fill="D1D2D4"/>
          </w:tcPr>
          <w:p>
            <w:pPr>
              <w:spacing w:after="0"/>
              <w:rPr>
                <w:sz w:val="15"/>
                <w:szCs w:val="15"/>
                <w:color w:val="auto"/>
              </w:rPr>
            </w:pPr>
          </w:p>
        </w:tc>
        <w:tc>
          <w:tcPr>
            <w:tcW w:w="4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220" w:type="dxa"/>
            <w:vAlign w:val="bottom"/>
            <w:tcBorders>
              <w:top w:val="single" w:sz="8" w:color="D1D2D4"/>
              <w:bottom w:val="single" w:sz="8" w:color="D1D2D4"/>
            </w:tcBorders>
            <w:gridSpan w:val="5"/>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16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178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4.14</w:t>
            </w:r>
          </w:p>
        </w:tc>
        <w:tc>
          <w:tcPr>
            <w:tcW w:w="5580" w:type="dxa"/>
            <w:vAlign w:val="bottom"/>
            <w:gridSpan w:val="25"/>
          </w:tcPr>
          <w:p>
            <w:pPr>
              <w:spacing w:after="0" w:line="189" w:lineRule="exact"/>
              <w:rPr>
                <w:rFonts w:ascii="Arial" w:cs="Arial" w:eastAsia="Arial" w:hAnsi="Arial"/>
                <w:sz w:val="18"/>
                <w:szCs w:val="18"/>
                <w:color w:val="auto"/>
              </w:rPr>
            </w:pPr>
            <w:hyperlink r:id="rId191">
              <w:r>
                <w:rPr>
                  <w:rFonts w:ascii="Arial" w:cs="Arial" w:eastAsia="Arial" w:hAnsi="Arial"/>
                  <w:sz w:val="18"/>
                  <w:szCs w:val="18"/>
                  <w:color w:val="auto"/>
                </w:rPr>
                <w:t>Form of Note for Micron Technology, Inc.’s 6.750% Senior Notes due</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10/31/22</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91">
              <w:r>
                <w:rPr>
                  <w:rFonts w:ascii="Arial" w:cs="Arial" w:eastAsia="Arial" w:hAnsi="Arial"/>
                  <w:sz w:val="18"/>
                  <w:szCs w:val="18"/>
                  <w:color w:val="auto"/>
                </w:rPr>
                <w:t>2029 (included in Exhibit 4.13)</w:t>
              </w:r>
            </w:hyperlink>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4.15</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92">
              <w:r>
                <w:rPr>
                  <w:rFonts w:ascii="Arial" w:cs="Arial" w:eastAsia="Arial" w:hAnsi="Arial"/>
                  <w:sz w:val="18"/>
                  <w:szCs w:val="18"/>
                  <w:color w:val="auto"/>
                </w:rPr>
                <w:t>Sixth Supplemental Indenture, dated as of February 9, 2023, by and</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20" w:type="dxa"/>
            <w:vAlign w:val="bottom"/>
            <w:tcBorders>
              <w:top w:val="single" w:sz="8" w:color="auto"/>
            </w:tcBorders>
            <w:gridSpan w:val="23"/>
            <w:shd w:val="clear" w:color="auto" w:fill="D1D2D4"/>
          </w:tcPr>
          <w:p>
            <w:pPr>
              <w:spacing w:after="0" w:line="169" w:lineRule="exact"/>
              <w:rPr>
                <w:rFonts w:ascii="Arial" w:cs="Arial" w:eastAsia="Arial" w:hAnsi="Arial"/>
                <w:sz w:val="18"/>
                <w:szCs w:val="18"/>
                <w:color w:val="auto"/>
              </w:rPr>
            </w:pPr>
            <w:hyperlink r:id="rId192">
              <w:r>
                <w:rPr>
                  <w:rFonts w:ascii="Arial" w:cs="Arial" w:eastAsia="Arial" w:hAnsi="Arial"/>
                  <w:sz w:val="18"/>
                  <w:szCs w:val="18"/>
                  <w:color w:val="auto"/>
                </w:rPr>
                <w:t>between Micron Technology, Inc. and U.S. Bank Trust Company,</w:t>
              </w:r>
            </w:hyperlink>
          </w:p>
        </w:tc>
        <w:tc>
          <w:tcPr>
            <w:tcW w:w="160" w:type="dxa"/>
            <w:vAlign w:val="bottom"/>
            <w:tcBorders>
              <w:top w:val="single" w:sz="8" w:color="D1D2D4"/>
            </w:tcBorders>
            <w:gridSpan w:val="2"/>
            <w:shd w:val="clear" w:color="auto" w:fill="D1D2D4"/>
          </w:tcPr>
          <w:p>
            <w:pPr>
              <w:spacing w:after="0"/>
              <w:rPr>
                <w:sz w:val="14"/>
                <w:szCs w:val="14"/>
                <w:color w:val="auto"/>
              </w:rPr>
            </w:pPr>
          </w:p>
        </w:tc>
        <w:tc>
          <w:tcPr>
            <w:tcW w:w="178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2580" w:type="dxa"/>
            <w:vAlign w:val="bottom"/>
            <w:tcBorders>
              <w:top w:val="single" w:sz="8" w:color="auto"/>
              <w:bottom w:val="single" w:sz="8" w:color="auto"/>
            </w:tcBorders>
            <w:gridSpan w:val="6"/>
            <w:shd w:val="clear" w:color="auto" w:fill="D1D2D4"/>
          </w:tcPr>
          <w:p>
            <w:pPr>
              <w:spacing w:after="0" w:line="156" w:lineRule="exact"/>
              <w:rPr>
                <w:rFonts w:ascii="Arial" w:cs="Arial" w:eastAsia="Arial" w:hAnsi="Arial"/>
                <w:sz w:val="18"/>
                <w:szCs w:val="18"/>
                <w:color w:val="auto"/>
                <w:w w:val="99"/>
              </w:rPr>
            </w:pPr>
            <w:hyperlink r:id="rId192">
              <w:r>
                <w:rPr>
                  <w:rFonts w:ascii="Arial" w:cs="Arial" w:eastAsia="Arial" w:hAnsi="Arial"/>
                  <w:sz w:val="18"/>
                  <w:szCs w:val="18"/>
                  <w:color w:val="auto"/>
                  <w:w w:val="99"/>
                </w:rPr>
                <w:t>National Association, as Trustee</w:t>
              </w:r>
            </w:hyperlink>
          </w:p>
        </w:tc>
        <w:tc>
          <w:tcPr>
            <w:tcW w:w="2560" w:type="dxa"/>
            <w:vAlign w:val="bottom"/>
            <w:tcBorders>
              <w:top w:val="single" w:sz="8" w:color="auto"/>
              <w:bottom w:val="single" w:sz="8" w:color="D1D2D4"/>
            </w:tcBorders>
            <w:gridSpan w:val="9"/>
            <w:shd w:val="clear" w:color="auto" w:fill="D1D2D4"/>
          </w:tcPr>
          <w:p>
            <w:pPr>
              <w:spacing w:after="0"/>
              <w:rPr>
                <w:sz w:val="15"/>
                <w:szCs w:val="15"/>
                <w:color w:val="auto"/>
              </w:rPr>
            </w:pPr>
          </w:p>
        </w:tc>
        <w:tc>
          <w:tcPr>
            <w:tcW w:w="4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220" w:type="dxa"/>
            <w:vAlign w:val="bottom"/>
            <w:tcBorders>
              <w:top w:val="single" w:sz="8" w:color="D1D2D4"/>
              <w:bottom w:val="single" w:sz="8" w:color="D1D2D4"/>
            </w:tcBorders>
            <w:gridSpan w:val="5"/>
            <w:shd w:val="clear" w:color="auto" w:fill="D1D2D4"/>
          </w:tcPr>
          <w:p>
            <w:pPr>
              <w:spacing w:after="0"/>
              <w:rPr>
                <w:sz w:val="15"/>
                <w:szCs w:val="15"/>
                <w:color w:val="auto"/>
              </w:rPr>
            </w:pPr>
          </w:p>
        </w:tc>
        <w:tc>
          <w:tcPr>
            <w:tcW w:w="180" w:type="dxa"/>
            <w:vAlign w:val="bottom"/>
            <w:tcBorders>
              <w:top w:val="single" w:sz="8" w:color="D1D2D4"/>
              <w:bottom w:val="single" w:sz="8" w:color="D1D2D4"/>
            </w:tcBorders>
            <w:gridSpan w:val="3"/>
            <w:shd w:val="clear" w:color="auto" w:fill="D1D2D4"/>
          </w:tcPr>
          <w:p>
            <w:pPr>
              <w:spacing w:after="0"/>
              <w:rPr>
                <w:sz w:val="15"/>
                <w:szCs w:val="15"/>
                <w:color w:val="auto"/>
              </w:rPr>
            </w:pPr>
          </w:p>
        </w:tc>
        <w:tc>
          <w:tcPr>
            <w:tcW w:w="178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4.16</w:t>
            </w:r>
          </w:p>
        </w:tc>
        <w:tc>
          <w:tcPr>
            <w:tcW w:w="5580" w:type="dxa"/>
            <w:vAlign w:val="bottom"/>
            <w:gridSpan w:val="25"/>
          </w:tcPr>
          <w:p>
            <w:pPr>
              <w:spacing w:after="0" w:line="189" w:lineRule="exact"/>
              <w:rPr>
                <w:rFonts w:ascii="Arial" w:cs="Arial" w:eastAsia="Arial" w:hAnsi="Arial"/>
                <w:sz w:val="18"/>
                <w:szCs w:val="18"/>
                <w:color w:val="auto"/>
              </w:rPr>
            </w:pPr>
            <w:hyperlink r:id="rId192">
              <w:r>
                <w:rPr>
                  <w:rFonts w:ascii="Arial" w:cs="Arial" w:eastAsia="Arial" w:hAnsi="Arial"/>
                  <w:sz w:val="18"/>
                  <w:szCs w:val="18"/>
                  <w:color w:val="auto"/>
                </w:rPr>
                <w:t>Form of Note for Micron Technology, Inc.’s 5.875% Senior Notes due</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4.5</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92">
              <w:r>
                <w:rPr>
                  <w:rFonts w:ascii="Arial" w:cs="Arial" w:eastAsia="Arial" w:hAnsi="Arial"/>
                  <w:sz w:val="18"/>
                  <w:szCs w:val="18"/>
                  <w:color w:val="auto"/>
                </w:rPr>
                <w:t>2033 (included in Exhibit 4.15)</w:t>
              </w:r>
            </w:hyperlink>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4.17</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93">
              <w:r>
                <w:rPr>
                  <w:rFonts w:ascii="Arial" w:cs="Arial" w:eastAsia="Arial" w:hAnsi="Arial"/>
                  <w:sz w:val="18"/>
                  <w:szCs w:val="18"/>
                  <w:color w:val="auto"/>
                </w:rPr>
                <w:t>Seventh Supplemental Indenture, dated as of April 11, 2023, by and</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4/11/23</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00" w:type="dxa"/>
            <w:vAlign w:val="bottom"/>
            <w:tcBorders>
              <w:top w:val="single" w:sz="8" w:color="auto"/>
            </w:tcBorders>
            <w:gridSpan w:val="22"/>
            <w:shd w:val="clear" w:color="auto" w:fill="D1D2D4"/>
          </w:tcPr>
          <w:p>
            <w:pPr>
              <w:spacing w:after="0" w:line="169" w:lineRule="exact"/>
              <w:rPr>
                <w:rFonts w:ascii="Arial" w:cs="Arial" w:eastAsia="Arial" w:hAnsi="Arial"/>
                <w:sz w:val="18"/>
                <w:szCs w:val="18"/>
                <w:color w:val="auto"/>
              </w:rPr>
            </w:pPr>
            <w:hyperlink r:id="rId193">
              <w:r>
                <w:rPr>
                  <w:rFonts w:ascii="Arial" w:cs="Arial" w:eastAsia="Arial" w:hAnsi="Arial"/>
                  <w:sz w:val="18"/>
                  <w:szCs w:val="18"/>
                  <w:color w:val="auto"/>
                </w:rPr>
                <w:t>between Micron Technology, Inc. and U.S. Bank Trust Company,</w:t>
              </w:r>
            </w:hyperlink>
          </w:p>
        </w:tc>
        <w:tc>
          <w:tcPr>
            <w:tcW w:w="180" w:type="dxa"/>
            <w:vAlign w:val="bottom"/>
            <w:tcBorders>
              <w:top w:val="single" w:sz="8" w:color="D1D2D4"/>
            </w:tcBorders>
            <w:gridSpan w:val="3"/>
            <w:shd w:val="clear" w:color="auto" w:fill="D1D2D4"/>
          </w:tcPr>
          <w:p>
            <w:pPr>
              <w:spacing w:after="0"/>
              <w:rPr>
                <w:sz w:val="14"/>
                <w:szCs w:val="14"/>
                <w:color w:val="auto"/>
              </w:rPr>
            </w:pPr>
          </w:p>
        </w:tc>
        <w:tc>
          <w:tcPr>
            <w:tcW w:w="178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2580" w:type="dxa"/>
            <w:vAlign w:val="bottom"/>
            <w:tcBorders>
              <w:top w:val="single" w:sz="8" w:color="auto"/>
              <w:bottom w:val="single" w:sz="8" w:color="auto"/>
            </w:tcBorders>
            <w:gridSpan w:val="6"/>
            <w:shd w:val="clear" w:color="auto" w:fill="D1D2D4"/>
          </w:tcPr>
          <w:p>
            <w:pPr>
              <w:spacing w:after="0" w:line="156" w:lineRule="exact"/>
              <w:rPr>
                <w:rFonts w:ascii="Arial" w:cs="Arial" w:eastAsia="Arial" w:hAnsi="Arial"/>
                <w:sz w:val="18"/>
                <w:szCs w:val="18"/>
                <w:color w:val="auto"/>
                <w:w w:val="99"/>
              </w:rPr>
            </w:pPr>
            <w:hyperlink r:id="rId193">
              <w:r>
                <w:rPr>
                  <w:rFonts w:ascii="Arial" w:cs="Arial" w:eastAsia="Arial" w:hAnsi="Arial"/>
                  <w:sz w:val="18"/>
                  <w:szCs w:val="18"/>
                  <w:color w:val="auto"/>
                  <w:w w:val="99"/>
                </w:rPr>
                <w:t>National Association, as Trustee</w:t>
              </w:r>
            </w:hyperlink>
          </w:p>
        </w:tc>
        <w:tc>
          <w:tcPr>
            <w:tcW w:w="2560" w:type="dxa"/>
            <w:vAlign w:val="bottom"/>
            <w:tcBorders>
              <w:top w:val="single" w:sz="8" w:color="auto"/>
              <w:bottom w:val="single" w:sz="8" w:color="D1D2D4"/>
            </w:tcBorders>
            <w:gridSpan w:val="9"/>
            <w:shd w:val="clear" w:color="auto" w:fill="D1D2D4"/>
          </w:tcPr>
          <w:p>
            <w:pPr>
              <w:spacing w:after="0"/>
              <w:rPr>
                <w:sz w:val="15"/>
                <w:szCs w:val="15"/>
                <w:color w:val="auto"/>
              </w:rPr>
            </w:pPr>
          </w:p>
        </w:tc>
        <w:tc>
          <w:tcPr>
            <w:tcW w:w="4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400" w:type="dxa"/>
            <w:vAlign w:val="bottom"/>
            <w:tcBorders>
              <w:top w:val="single" w:sz="8" w:color="D1D2D4"/>
              <w:bottom w:val="single" w:sz="8" w:color="D1D2D4"/>
            </w:tcBorders>
            <w:gridSpan w:val="8"/>
            <w:shd w:val="clear" w:color="auto" w:fill="D1D2D4"/>
          </w:tcPr>
          <w:p>
            <w:pPr>
              <w:spacing w:after="0"/>
              <w:rPr>
                <w:sz w:val="15"/>
                <w:szCs w:val="15"/>
                <w:color w:val="auto"/>
              </w:rPr>
            </w:pPr>
          </w:p>
        </w:tc>
        <w:tc>
          <w:tcPr>
            <w:tcW w:w="1780" w:type="dxa"/>
            <w:vAlign w:val="bottom"/>
            <w:tcBorders>
              <w:top w:val="single" w:sz="8" w:color="D1D2D4"/>
              <w:bottom w:val="single" w:sz="8" w:color="D1D2D4"/>
            </w:tcBorders>
            <w:shd w:val="clear" w:color="auto" w:fill="D1D2D4"/>
          </w:tcPr>
          <w:p>
            <w:pPr>
              <w:spacing w:after="0"/>
              <w:rPr>
                <w:sz w:val="15"/>
                <w:szCs w:val="15"/>
                <w:color w:val="auto"/>
              </w:rPr>
            </w:pPr>
          </w:p>
        </w:tc>
        <w:tc>
          <w:tcPr>
            <w:tcW w:w="86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4.18</w:t>
            </w:r>
          </w:p>
        </w:tc>
        <w:tc>
          <w:tcPr>
            <w:tcW w:w="5580" w:type="dxa"/>
            <w:vAlign w:val="bottom"/>
            <w:gridSpan w:val="25"/>
          </w:tcPr>
          <w:p>
            <w:pPr>
              <w:spacing w:after="0" w:line="189" w:lineRule="exact"/>
              <w:rPr>
                <w:rFonts w:ascii="Arial" w:cs="Arial" w:eastAsia="Arial" w:hAnsi="Arial"/>
                <w:sz w:val="18"/>
                <w:szCs w:val="18"/>
                <w:color w:val="auto"/>
              </w:rPr>
            </w:pPr>
            <w:hyperlink r:id="rId193">
              <w:r>
                <w:rPr>
                  <w:rFonts w:ascii="Arial" w:cs="Arial" w:eastAsia="Arial" w:hAnsi="Arial"/>
                  <w:sz w:val="18"/>
                  <w:szCs w:val="18"/>
                  <w:color w:val="auto"/>
                </w:rPr>
                <w:t>Form of Note for Micron Technology, Inc.’s 5.375% Senior Notes due</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4/11/23</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24"/>
          </w:tcPr>
          <w:p>
            <w:pPr>
              <w:spacing w:after="0" w:line="169" w:lineRule="exact"/>
              <w:rPr>
                <w:rFonts w:ascii="Arial" w:cs="Arial" w:eastAsia="Arial" w:hAnsi="Arial"/>
                <w:sz w:val="18"/>
                <w:szCs w:val="18"/>
                <w:color w:val="auto"/>
              </w:rPr>
            </w:pPr>
            <w:hyperlink r:id="rId193">
              <w:r>
                <w:rPr>
                  <w:rFonts w:ascii="Arial" w:cs="Arial" w:eastAsia="Arial" w:hAnsi="Arial"/>
                  <w:sz w:val="18"/>
                  <w:szCs w:val="18"/>
                  <w:color w:val="auto"/>
                </w:rPr>
                <w:t>2028 (included in Exhibit 4.17)</w:t>
              </w:r>
            </w:hyperlink>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4.19</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93">
              <w:r>
                <w:rPr>
                  <w:rFonts w:ascii="Arial" w:cs="Arial" w:eastAsia="Arial" w:hAnsi="Arial"/>
                  <w:sz w:val="18"/>
                  <w:szCs w:val="18"/>
                  <w:color w:val="auto"/>
                </w:rPr>
                <w:t>Form of Note for Micron Technology, Inc.’s 5.875% Senior Notes due</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4/11/23</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93">
              <w:r>
                <w:rPr>
                  <w:rFonts w:ascii="Arial" w:cs="Arial" w:eastAsia="Arial" w:hAnsi="Arial"/>
                  <w:sz w:val="18"/>
                  <w:szCs w:val="18"/>
                  <w:color w:val="auto"/>
                </w:rPr>
                <w:t>2033 (included in Exhibit 4.17)</w:t>
              </w:r>
            </w:hyperlink>
          </w:p>
        </w:tc>
        <w:tc>
          <w:tcPr>
            <w:tcW w:w="120" w:type="dxa"/>
            <w:vAlign w:val="bottom"/>
            <w:tcBorders>
              <w:top w:val="single" w:sz="8" w:color="D1D2D4"/>
            </w:tcBorders>
            <w:shd w:val="clear" w:color="auto" w:fill="D1D2D4"/>
          </w:tcPr>
          <w:p>
            <w:pPr>
              <w:spacing w:after="0"/>
              <w:rPr>
                <w:sz w:val="14"/>
                <w:szCs w:val="14"/>
                <w:color w:val="auto"/>
              </w:rPr>
            </w:pPr>
          </w:p>
        </w:tc>
        <w:tc>
          <w:tcPr>
            <w:tcW w:w="178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16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D1D2D4"/>
            </w:tcBorders>
            <w:shd w:val="clear" w:color="auto" w:fill="D1D2D4"/>
          </w:tcPr>
          <w:p>
            <w:pPr>
              <w:spacing w:after="0" w:line="20" w:lineRule="exact"/>
              <w:rPr>
                <w:sz w:val="1"/>
                <w:szCs w:val="1"/>
                <w:color w:val="auto"/>
              </w:rPr>
            </w:pPr>
          </w:p>
        </w:tc>
        <w:tc>
          <w:tcPr>
            <w:tcW w:w="100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5580" w:type="dxa"/>
            <w:vAlign w:val="bottom"/>
            <w:gridSpan w:val="25"/>
          </w:tcPr>
          <w:p>
            <w:pPr>
              <w:spacing w:after="0" w:line="189" w:lineRule="exact"/>
              <w:rPr>
                <w:rFonts w:ascii="Arial" w:cs="Arial" w:eastAsia="Arial" w:hAnsi="Arial"/>
                <w:sz w:val="18"/>
                <w:szCs w:val="18"/>
                <w:color w:val="auto"/>
              </w:rPr>
            </w:pPr>
            <w:hyperlink r:id="rId194">
              <w:r>
                <w:rPr>
                  <w:rFonts w:ascii="Arial" w:cs="Arial" w:eastAsia="Arial" w:hAnsi="Arial"/>
                  <w:sz w:val="18"/>
                  <w:szCs w:val="18"/>
                  <w:color w:val="auto"/>
                </w:rPr>
                <w:t>Micron Technology, Inc. Executive Officer Performance Incentive</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DEF 14A</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B</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12/7/17</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180" w:type="dxa"/>
            <w:vAlign w:val="bottom"/>
            <w:tcBorders>
              <w:top w:val="single" w:sz="8" w:color="auto"/>
            </w:tcBorders>
            <w:gridSpan w:val="17"/>
          </w:tcPr>
          <w:p>
            <w:pPr>
              <w:spacing w:after="0" w:line="169" w:lineRule="exact"/>
              <w:rPr>
                <w:rFonts w:ascii="Arial" w:cs="Arial" w:eastAsia="Arial" w:hAnsi="Arial"/>
                <w:sz w:val="18"/>
                <w:szCs w:val="18"/>
                <w:color w:val="auto"/>
              </w:rPr>
            </w:pPr>
            <w:hyperlink r:id="rId194">
              <w:r>
                <w:rPr>
                  <w:rFonts w:ascii="Arial" w:cs="Arial" w:eastAsia="Arial" w:hAnsi="Arial"/>
                  <w:sz w:val="18"/>
                  <w:szCs w:val="18"/>
                  <w:color w:val="auto"/>
                </w:rPr>
                <w:t>Plan</w:t>
              </w:r>
            </w:hyperlink>
          </w:p>
        </w:tc>
        <w:tc>
          <w:tcPr>
            <w:tcW w:w="400" w:type="dxa"/>
            <w:vAlign w:val="bottom"/>
            <w:gridSpan w:val="8"/>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10.2*</w:t>
            </w:r>
          </w:p>
        </w:tc>
        <w:tc>
          <w:tcPr>
            <w:tcW w:w="4080" w:type="dxa"/>
            <w:vAlign w:val="bottom"/>
            <w:tcBorders>
              <w:bottom w:val="single" w:sz="8" w:color="auto"/>
            </w:tcBorders>
            <w:gridSpan w:val="9"/>
            <w:shd w:val="clear" w:color="auto" w:fill="D1D2D4"/>
          </w:tcPr>
          <w:p>
            <w:pPr>
              <w:spacing w:after="0" w:line="189" w:lineRule="exact"/>
              <w:rPr>
                <w:rFonts w:ascii="Arial" w:cs="Arial" w:eastAsia="Arial" w:hAnsi="Arial"/>
                <w:sz w:val="18"/>
                <w:szCs w:val="18"/>
                <w:color w:val="auto"/>
                <w:w w:val="99"/>
              </w:rPr>
            </w:pPr>
            <w:hyperlink r:id="rId195">
              <w:r>
                <w:rPr>
                  <w:rFonts w:ascii="Arial" w:cs="Arial" w:eastAsia="Arial" w:hAnsi="Arial"/>
                  <w:sz w:val="18"/>
                  <w:szCs w:val="18"/>
                  <w:color w:val="auto"/>
                  <w:w w:val="99"/>
                </w:rPr>
                <w:t>Amended and Restated 2004 Equity Incentive Plan</w:t>
              </w:r>
            </w:hyperlink>
          </w:p>
        </w:tc>
        <w:tc>
          <w:tcPr>
            <w:tcW w:w="1500" w:type="dxa"/>
            <w:vAlign w:val="bottom"/>
            <w:tcBorders>
              <w:bottom w:val="single" w:sz="8" w:color="D1D2D4"/>
            </w:tcBorders>
            <w:gridSpan w:val="16"/>
            <w:shd w:val="clear" w:color="auto" w:fill="D1D2D4"/>
          </w:tcPr>
          <w:p>
            <w:pPr>
              <w:spacing w:after="0"/>
              <w:rPr>
                <w:sz w:val="18"/>
                <w:szCs w:val="18"/>
                <w:color w:val="auto"/>
              </w:rPr>
            </w:pPr>
          </w:p>
        </w:tc>
        <w:tc>
          <w:tcPr>
            <w:tcW w:w="1780" w:type="dxa"/>
            <w:vAlign w:val="bottom"/>
            <w:tcBorders>
              <w:bottom w:val="single" w:sz="8" w:color="D1D2D4"/>
            </w:tcBorders>
            <w:shd w:val="clear" w:color="auto" w:fill="D1D2D4"/>
          </w:tcPr>
          <w:p>
            <w:pPr>
              <w:ind w:left="1020"/>
              <w:spacing w:after="0" w:line="189" w:lineRule="exact"/>
              <w:rPr>
                <w:sz w:val="20"/>
                <w:szCs w:val="20"/>
                <w:color w:val="auto"/>
              </w:rPr>
            </w:pPr>
            <w:r>
              <w:rPr>
                <w:rFonts w:ascii="Arial" w:cs="Arial" w:eastAsia="Arial" w:hAnsi="Arial"/>
                <w:sz w:val="18"/>
                <w:szCs w:val="18"/>
                <w:color w:val="auto"/>
              </w:rPr>
              <w:t>10-Q</w:t>
            </w:r>
          </w:p>
        </w:tc>
        <w:tc>
          <w:tcPr>
            <w:tcW w:w="86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12/1/22</w:t>
            </w: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10.1</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12/22/22</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10.3*</w:t>
            </w:r>
          </w:p>
        </w:tc>
        <w:tc>
          <w:tcPr>
            <w:tcW w:w="5580" w:type="dxa"/>
            <w:vAlign w:val="bottom"/>
            <w:gridSpan w:val="25"/>
          </w:tcPr>
          <w:p>
            <w:pPr>
              <w:spacing w:after="0" w:line="189" w:lineRule="exact"/>
              <w:rPr>
                <w:rFonts w:ascii="Arial" w:cs="Arial" w:eastAsia="Arial" w:hAnsi="Arial"/>
                <w:sz w:val="18"/>
                <w:szCs w:val="18"/>
                <w:color w:val="auto"/>
              </w:rPr>
            </w:pPr>
            <w:hyperlink r:id="rId196">
              <w:r>
                <w:rPr>
                  <w:rFonts w:ascii="Arial" w:cs="Arial" w:eastAsia="Arial" w:hAnsi="Arial"/>
                  <w:sz w:val="18"/>
                  <w:szCs w:val="18"/>
                  <w:color w:val="auto"/>
                </w:rPr>
                <w:t>2004 Equity Incentive Plan Forms of Agreement and Terms and</w:t>
              </w:r>
            </w:hyperlink>
          </w:p>
        </w:tc>
        <w:tc>
          <w:tcPr>
            <w:tcW w:w="1780" w:type="dxa"/>
            <w:vAlign w:val="bottom"/>
          </w:tcPr>
          <w:p>
            <w:pPr>
              <w:ind w:left="102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12/1/22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12/22/22</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060" w:type="dxa"/>
            <w:vAlign w:val="bottom"/>
            <w:tcBorders>
              <w:top w:val="single" w:sz="8" w:color="auto"/>
            </w:tcBorders>
            <w:gridSpan w:val="13"/>
          </w:tcPr>
          <w:p>
            <w:pPr>
              <w:spacing w:after="0" w:line="169" w:lineRule="exact"/>
              <w:rPr>
                <w:rFonts w:ascii="Arial" w:cs="Arial" w:eastAsia="Arial" w:hAnsi="Arial"/>
                <w:sz w:val="18"/>
                <w:szCs w:val="18"/>
                <w:color w:val="auto"/>
              </w:rPr>
            </w:pPr>
            <w:hyperlink r:id="rId196">
              <w:r>
                <w:rPr>
                  <w:rFonts w:ascii="Arial" w:cs="Arial" w:eastAsia="Arial" w:hAnsi="Arial"/>
                  <w:sz w:val="18"/>
                  <w:szCs w:val="18"/>
                  <w:color w:val="auto"/>
                </w:rPr>
                <w:t>Conditions</w:t>
              </w:r>
            </w:hyperlink>
          </w:p>
        </w:tc>
        <w:tc>
          <w:tcPr>
            <w:tcW w:w="520" w:type="dxa"/>
            <w:vAlign w:val="bottom"/>
            <w:gridSpan w:val="12"/>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10.4*</w:t>
            </w:r>
          </w:p>
        </w:tc>
        <w:tc>
          <w:tcPr>
            <w:tcW w:w="5580" w:type="dxa"/>
            <w:vAlign w:val="bottom"/>
            <w:gridSpan w:val="25"/>
            <w:shd w:val="clear" w:color="auto" w:fill="D1D2D4"/>
          </w:tcPr>
          <w:p>
            <w:pPr>
              <w:spacing w:after="0" w:line="189" w:lineRule="exact"/>
              <w:rPr>
                <w:rFonts w:ascii="Arial" w:cs="Arial" w:eastAsia="Arial" w:hAnsi="Arial"/>
                <w:sz w:val="18"/>
                <w:szCs w:val="18"/>
                <w:color w:val="auto"/>
              </w:rPr>
            </w:pPr>
            <w:hyperlink r:id="rId197">
              <w:r>
                <w:rPr>
                  <w:rFonts w:ascii="Arial" w:cs="Arial" w:eastAsia="Arial" w:hAnsi="Arial"/>
                  <w:sz w:val="18"/>
                  <w:szCs w:val="18"/>
                  <w:color w:val="auto"/>
                </w:rPr>
                <w:t>Amended and Restated 2007 Equity Incentive Plan</w:t>
              </w:r>
            </w:hyperlink>
          </w:p>
        </w:tc>
        <w:tc>
          <w:tcPr>
            <w:tcW w:w="1780" w:type="dxa"/>
            <w:vAlign w:val="bottom"/>
            <w:shd w:val="clear" w:color="auto" w:fill="D1D2D4"/>
          </w:tcPr>
          <w:p>
            <w:pPr>
              <w:ind w:left="1020"/>
              <w:spacing w:after="0" w:line="189" w:lineRule="exact"/>
              <w:rPr>
                <w:sz w:val="20"/>
                <w:szCs w:val="20"/>
                <w:color w:val="auto"/>
              </w:rPr>
            </w:pPr>
            <w:r>
              <w:rPr>
                <w:rFonts w:ascii="Arial" w:cs="Arial" w:eastAsia="Arial" w:hAnsi="Arial"/>
                <w:sz w:val="18"/>
                <w:szCs w:val="18"/>
                <w:color w:val="auto"/>
              </w:rPr>
              <w:t>DEF 14A</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A</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160" w:type="dxa"/>
            <w:vAlign w:val="bottom"/>
            <w:tcBorders>
              <w:top w:val="single" w:sz="8" w:color="auto"/>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10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8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178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334010</wp:posOffset>
            </wp:positionV>
            <wp:extent cx="659765" cy="180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920" w:type="dxa"/>
            <w:vAlign w:val="bottom"/>
            <w:gridSpan w:val="35"/>
            <w:vMerge w:val="restart"/>
          </w:tcPr>
          <w:p>
            <w:pPr>
              <w:ind w:left="160"/>
              <w:spacing w:after="0"/>
              <w:rPr>
                <w:sz w:val="20"/>
                <w:szCs w:val="20"/>
                <w:color w:val="auto"/>
              </w:rPr>
            </w:pPr>
            <w:r>
              <w:rPr>
                <w:rFonts w:ascii="Arial" w:cs="Arial" w:eastAsia="Arial" w:hAnsi="Arial"/>
                <w:sz w:val="18"/>
                <w:szCs w:val="18"/>
                <w:b w:val="1"/>
                <w:bCs w:val="1"/>
                <w:color w:val="auto"/>
              </w:rPr>
              <w:t>Description of Exhibit</w:t>
            </w:r>
          </w:p>
        </w:tc>
        <w:tc>
          <w:tcPr>
            <w:tcW w:w="1700" w:type="dxa"/>
            <w:vAlign w:val="bottom"/>
          </w:tcPr>
          <w:p>
            <w:pPr>
              <w:ind w:left="260"/>
              <w:spacing w:after="0"/>
              <w:rPr>
                <w:sz w:val="20"/>
                <w:szCs w:val="20"/>
                <w:color w:val="auto"/>
              </w:rPr>
            </w:pPr>
            <w:r>
              <w:rPr>
                <w:rFonts w:ascii="Arial" w:cs="Arial" w:eastAsia="Arial" w:hAnsi="Arial"/>
                <w:sz w:val="18"/>
                <w:szCs w:val="18"/>
                <w:b w:val="1"/>
                <w:bCs w:val="1"/>
                <w:color w:val="auto"/>
              </w:rPr>
              <w:t>Filed</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43"/>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35"/>
            <w:vMerge w:val="continue"/>
          </w:tcPr>
          <w:p>
            <w:pPr>
              <w:spacing w:after="0"/>
              <w:rPr>
                <w:sz w:val="21"/>
                <w:szCs w:val="21"/>
                <w:color w:val="auto"/>
              </w:rPr>
            </w:pP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HerewithForm</w:t>
            </w: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Appendix</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83"/>
        </w:trPr>
        <w:tc>
          <w:tcPr>
            <w:tcW w:w="980" w:type="dxa"/>
            <w:vAlign w:val="bottom"/>
          </w:tcPr>
          <w:p>
            <w:pPr>
              <w:ind w:left="20"/>
              <w:spacing w:after="0" w:line="182" w:lineRule="exact"/>
              <w:rPr>
                <w:sz w:val="20"/>
                <w:szCs w:val="20"/>
                <w:color w:val="auto"/>
              </w:rPr>
            </w:pPr>
            <w:r>
              <w:rPr>
                <w:rFonts w:ascii="Arial" w:cs="Arial" w:eastAsia="Arial" w:hAnsi="Arial"/>
                <w:sz w:val="18"/>
                <w:szCs w:val="18"/>
                <w:color w:val="auto"/>
              </w:rPr>
              <w:t>10.5*</w:t>
            </w:r>
          </w:p>
        </w:tc>
        <w:tc>
          <w:tcPr>
            <w:tcW w:w="5600" w:type="dxa"/>
            <w:vAlign w:val="bottom"/>
            <w:gridSpan w:val="41"/>
          </w:tcPr>
          <w:p>
            <w:pPr>
              <w:spacing w:after="0" w:line="182" w:lineRule="exact"/>
              <w:rPr>
                <w:rFonts w:ascii="Arial" w:cs="Arial" w:eastAsia="Arial" w:hAnsi="Arial"/>
                <w:sz w:val="18"/>
                <w:szCs w:val="18"/>
                <w:color w:val="auto"/>
              </w:rPr>
            </w:pPr>
            <w:hyperlink r:id="rId200">
              <w:r>
                <w:rPr>
                  <w:rFonts w:ascii="Arial" w:cs="Arial" w:eastAsia="Arial" w:hAnsi="Arial"/>
                  <w:sz w:val="18"/>
                  <w:szCs w:val="18"/>
                  <w:color w:val="auto"/>
                </w:rPr>
                <w:t>2007 Equity Incentive Plan Forms of Agreement and Terms and</w:t>
              </w:r>
            </w:hyperlink>
          </w:p>
        </w:tc>
        <w:tc>
          <w:tcPr>
            <w:tcW w:w="1700" w:type="dxa"/>
            <w:vAlign w:val="bottom"/>
          </w:tcPr>
          <w:p>
            <w:pPr>
              <w:ind w:left="1000"/>
              <w:spacing w:after="0" w:line="182" w:lineRule="exact"/>
              <w:rPr>
                <w:sz w:val="20"/>
                <w:szCs w:val="20"/>
                <w:color w:val="auto"/>
              </w:rPr>
            </w:pPr>
            <w:r>
              <w:rPr>
                <w:rFonts w:ascii="Arial" w:cs="Arial" w:eastAsia="Arial" w:hAnsi="Arial"/>
                <w:sz w:val="18"/>
                <w:szCs w:val="18"/>
                <w:color w:val="auto"/>
              </w:rPr>
              <w:t>10-Q</w:t>
            </w:r>
          </w:p>
        </w:tc>
        <w:tc>
          <w:tcPr>
            <w:tcW w:w="920" w:type="dxa"/>
            <w:vAlign w:val="bottom"/>
          </w:tcPr>
          <w:p>
            <w:pPr>
              <w:ind w:left="80"/>
              <w:spacing w:after="0" w:line="182" w:lineRule="exact"/>
              <w:rPr>
                <w:sz w:val="20"/>
                <w:szCs w:val="20"/>
                <w:color w:val="auto"/>
              </w:rPr>
            </w:pPr>
            <w:r>
              <w:rPr>
                <w:rFonts w:ascii="Arial" w:cs="Arial" w:eastAsia="Arial" w:hAnsi="Arial"/>
                <w:sz w:val="18"/>
                <w:szCs w:val="18"/>
                <w:color w:val="auto"/>
              </w:rPr>
              <w:t>12/1/22</w:t>
            </w:r>
          </w:p>
        </w:tc>
        <w:tc>
          <w:tcPr>
            <w:tcW w:w="1080" w:type="dxa"/>
            <w:vAlign w:val="bottom"/>
          </w:tcPr>
          <w:p>
            <w:pPr>
              <w:ind w:left="80"/>
              <w:spacing w:after="0" w:line="182" w:lineRule="exact"/>
              <w:rPr>
                <w:sz w:val="20"/>
                <w:szCs w:val="20"/>
                <w:color w:val="auto"/>
              </w:rPr>
            </w:pPr>
            <w:r>
              <w:rPr>
                <w:rFonts w:ascii="Arial" w:cs="Arial" w:eastAsia="Arial" w:hAnsi="Arial"/>
                <w:sz w:val="18"/>
                <w:szCs w:val="18"/>
                <w:color w:val="auto"/>
              </w:rPr>
              <w:t>10.3</w:t>
            </w:r>
          </w:p>
        </w:tc>
        <w:tc>
          <w:tcPr>
            <w:tcW w:w="960" w:type="dxa"/>
            <w:vAlign w:val="bottom"/>
          </w:tcPr>
          <w:p>
            <w:pPr>
              <w:ind w:left="60"/>
              <w:spacing w:after="0" w:line="182" w:lineRule="exact"/>
              <w:rPr>
                <w:sz w:val="20"/>
                <w:szCs w:val="20"/>
                <w:color w:val="auto"/>
              </w:rPr>
            </w:pPr>
            <w:r>
              <w:rPr>
                <w:rFonts w:ascii="Arial" w:cs="Arial" w:eastAsia="Arial" w:hAnsi="Arial"/>
                <w:sz w:val="18"/>
                <w:szCs w:val="18"/>
                <w:color w:val="auto"/>
              </w:rPr>
              <w:t>12/22/22</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000" w:type="dxa"/>
            <w:vAlign w:val="bottom"/>
            <w:tcBorders>
              <w:top w:val="single" w:sz="8" w:color="auto"/>
            </w:tcBorders>
            <w:gridSpan w:val="23"/>
          </w:tcPr>
          <w:p>
            <w:pPr>
              <w:spacing w:after="0" w:line="156" w:lineRule="exact"/>
              <w:rPr>
                <w:rFonts w:ascii="Arial" w:cs="Arial" w:eastAsia="Arial" w:hAnsi="Arial"/>
                <w:sz w:val="18"/>
                <w:szCs w:val="18"/>
                <w:color w:val="auto"/>
              </w:rPr>
            </w:pPr>
            <w:hyperlink r:id="rId200">
              <w:r>
                <w:rPr>
                  <w:rFonts w:ascii="Arial" w:cs="Arial" w:eastAsia="Arial" w:hAnsi="Arial"/>
                  <w:sz w:val="18"/>
                  <w:szCs w:val="18"/>
                  <w:color w:val="auto"/>
                </w:rPr>
                <w:t>Conditions</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10.6*</w:t>
            </w:r>
          </w:p>
        </w:tc>
        <w:tc>
          <w:tcPr>
            <w:tcW w:w="5600" w:type="dxa"/>
            <w:vAlign w:val="bottom"/>
            <w:gridSpan w:val="41"/>
            <w:shd w:val="clear" w:color="auto" w:fill="D1D2D4"/>
          </w:tcPr>
          <w:p>
            <w:pPr>
              <w:spacing w:after="0" w:line="189" w:lineRule="exact"/>
              <w:rPr>
                <w:rFonts w:ascii="Arial" w:cs="Arial" w:eastAsia="Arial" w:hAnsi="Arial"/>
                <w:sz w:val="18"/>
                <w:szCs w:val="18"/>
                <w:color w:val="auto"/>
              </w:rPr>
            </w:pPr>
            <w:hyperlink r:id="rId201">
              <w:r>
                <w:rPr>
                  <w:rFonts w:ascii="Arial" w:cs="Arial" w:eastAsia="Arial" w:hAnsi="Arial"/>
                  <w:sz w:val="18"/>
                  <w:szCs w:val="18"/>
                  <w:color w:val="auto"/>
                </w:rPr>
                <w:t>Nonstatutory Stock Option Plan, as Amended</w:t>
              </w:r>
            </w:hyperlink>
          </w:p>
        </w:tc>
        <w:tc>
          <w:tcPr>
            <w:tcW w:w="170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10-K</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9/1/16</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10.10</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660" w:type="dxa"/>
            <w:vAlign w:val="bottom"/>
            <w:tcBorders>
              <w:top w:val="single" w:sz="8" w:color="auto"/>
            </w:tcBorders>
            <w:shd w:val="clear" w:color="auto" w:fill="D1D2D4"/>
          </w:tcPr>
          <w:p>
            <w:pPr>
              <w:spacing w:after="0" w:line="20" w:lineRule="exact"/>
              <w:rPr>
                <w:sz w:val="1"/>
                <w:szCs w:val="1"/>
                <w:color w:val="auto"/>
              </w:rPr>
            </w:pPr>
          </w:p>
        </w:tc>
        <w:tc>
          <w:tcPr>
            <w:tcW w:w="280" w:type="dxa"/>
            <w:vAlign w:val="bottom"/>
            <w:tcBorders>
              <w:top w:val="single" w:sz="8" w:color="auto"/>
            </w:tcBorders>
            <w:shd w:val="clear" w:color="auto" w:fill="D1D2D4"/>
          </w:tcPr>
          <w:p>
            <w:pPr>
              <w:spacing w:after="0" w:line="20" w:lineRule="exact"/>
              <w:rPr>
                <w:sz w:val="1"/>
                <w:szCs w:val="1"/>
                <w:color w:val="auto"/>
              </w:rPr>
            </w:pPr>
          </w:p>
        </w:tc>
        <w:tc>
          <w:tcPr>
            <w:tcW w:w="40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8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40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540" w:type="dxa"/>
            <w:vAlign w:val="bottom"/>
            <w:tcBorders>
              <w:top w:val="single" w:sz="8" w:color="D1D2D4"/>
            </w:tcBorders>
            <w:shd w:val="clear" w:color="auto" w:fill="D1D2D4"/>
          </w:tcPr>
          <w:p>
            <w:pPr>
              <w:spacing w:after="0" w:line="20" w:lineRule="exact"/>
              <w:rPr>
                <w:sz w:val="1"/>
                <w:szCs w:val="1"/>
                <w:color w:val="auto"/>
              </w:rPr>
            </w:pPr>
          </w:p>
        </w:tc>
        <w:tc>
          <w:tcPr>
            <w:tcW w:w="2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left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70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10.7*</w:t>
            </w:r>
          </w:p>
        </w:tc>
        <w:tc>
          <w:tcPr>
            <w:tcW w:w="5600" w:type="dxa"/>
            <w:vAlign w:val="bottom"/>
            <w:gridSpan w:val="41"/>
          </w:tcPr>
          <w:p>
            <w:pPr>
              <w:spacing w:after="0" w:line="189" w:lineRule="exact"/>
              <w:rPr>
                <w:rFonts w:ascii="Arial" w:cs="Arial" w:eastAsia="Arial" w:hAnsi="Arial"/>
                <w:sz w:val="18"/>
                <w:szCs w:val="18"/>
                <w:color w:val="auto"/>
              </w:rPr>
            </w:pPr>
            <w:hyperlink r:id="rId202">
              <w:r>
                <w:rPr>
                  <w:rFonts w:ascii="Arial" w:cs="Arial" w:eastAsia="Arial" w:hAnsi="Arial"/>
                  <w:sz w:val="18"/>
                  <w:szCs w:val="18"/>
                  <w:color w:val="auto"/>
                </w:rPr>
                <w:t>Nonstatutory Stock Option Plan Form of Agreement and Terms and</w:t>
              </w:r>
            </w:hyperlink>
          </w:p>
        </w:tc>
        <w:tc>
          <w:tcPr>
            <w:tcW w:w="1700" w:type="dxa"/>
            <w:vAlign w:val="bottom"/>
          </w:tcPr>
          <w:p>
            <w:pPr>
              <w:ind w:left="1000"/>
              <w:spacing w:after="0" w:line="189" w:lineRule="exact"/>
              <w:rPr>
                <w:sz w:val="20"/>
                <w:szCs w:val="20"/>
                <w:color w:val="auto"/>
              </w:rPr>
            </w:pPr>
            <w:r>
              <w:rPr>
                <w:rFonts w:ascii="Arial" w:cs="Arial" w:eastAsia="Arial" w:hAnsi="Arial"/>
                <w:sz w:val="18"/>
                <w:szCs w:val="18"/>
                <w:color w:val="auto"/>
              </w:rPr>
              <w:t>10-K</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9/1/16</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360" w:type="dxa"/>
            <w:vAlign w:val="bottom"/>
            <w:tcBorders>
              <w:top w:val="single" w:sz="8" w:color="auto"/>
            </w:tcBorders>
            <w:gridSpan w:val="29"/>
          </w:tcPr>
          <w:p>
            <w:pPr>
              <w:spacing w:after="0" w:line="156" w:lineRule="exact"/>
              <w:rPr>
                <w:rFonts w:ascii="Arial" w:cs="Arial" w:eastAsia="Arial" w:hAnsi="Arial"/>
                <w:sz w:val="18"/>
                <w:szCs w:val="18"/>
                <w:color w:val="auto"/>
              </w:rPr>
            </w:pPr>
            <w:hyperlink r:id="rId202">
              <w:r>
                <w:rPr>
                  <w:rFonts w:ascii="Arial" w:cs="Arial" w:eastAsia="Arial" w:hAnsi="Arial"/>
                  <w:sz w:val="18"/>
                  <w:szCs w:val="18"/>
                  <w:color w:val="auto"/>
                </w:rPr>
                <w:t>Conditions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10.8*</w:t>
            </w:r>
          </w:p>
        </w:tc>
        <w:tc>
          <w:tcPr>
            <w:tcW w:w="5600" w:type="dxa"/>
            <w:vAlign w:val="bottom"/>
            <w:gridSpan w:val="41"/>
            <w:shd w:val="clear" w:color="auto" w:fill="D1D2D4"/>
          </w:tcPr>
          <w:p>
            <w:pPr>
              <w:spacing w:after="0" w:line="189" w:lineRule="exact"/>
              <w:rPr>
                <w:rFonts w:ascii="Arial" w:cs="Arial" w:eastAsia="Arial" w:hAnsi="Arial"/>
                <w:sz w:val="18"/>
                <w:szCs w:val="18"/>
                <w:color w:val="auto"/>
              </w:rPr>
            </w:pPr>
            <w:hyperlink r:id="rId203">
              <w:r>
                <w:rPr>
                  <w:rFonts w:ascii="Arial" w:cs="Arial" w:eastAsia="Arial" w:hAnsi="Arial"/>
                  <w:sz w:val="18"/>
                  <w:szCs w:val="18"/>
                  <w:color w:val="auto"/>
                </w:rPr>
                <w:t>Form of Indemnification Agreement between the Registrant and its</w:t>
              </w:r>
            </w:hyperlink>
          </w:p>
        </w:tc>
        <w:tc>
          <w:tcPr>
            <w:tcW w:w="170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2/27/14</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190"/>
        </w:trPr>
        <w:tc>
          <w:tcPr>
            <w:tcW w:w="980" w:type="dxa"/>
            <w:vAlign w:val="bottom"/>
            <w:tcBorders>
              <w:top w:val="single" w:sz="8" w:color="D1D2D4"/>
              <w:bottom w:val="single" w:sz="8" w:color="D1D2D4"/>
            </w:tcBorders>
            <w:shd w:val="clear" w:color="auto" w:fill="D1D2D4"/>
          </w:tcPr>
          <w:p>
            <w:pPr>
              <w:spacing w:after="0"/>
              <w:rPr>
                <w:sz w:val="16"/>
                <w:szCs w:val="16"/>
                <w:color w:val="auto"/>
              </w:rPr>
            </w:pPr>
          </w:p>
        </w:tc>
        <w:tc>
          <w:tcPr>
            <w:tcW w:w="1680" w:type="dxa"/>
            <w:vAlign w:val="bottom"/>
            <w:tcBorders>
              <w:top w:val="single" w:sz="8" w:color="auto"/>
              <w:bottom w:val="single" w:sz="8" w:color="auto"/>
            </w:tcBorders>
            <w:gridSpan w:val="6"/>
            <w:shd w:val="clear" w:color="auto" w:fill="D1D2D4"/>
          </w:tcPr>
          <w:p>
            <w:pPr>
              <w:spacing w:after="0" w:line="156" w:lineRule="exact"/>
              <w:rPr>
                <w:rFonts w:ascii="Arial" w:cs="Arial" w:eastAsia="Arial" w:hAnsi="Arial"/>
                <w:sz w:val="18"/>
                <w:szCs w:val="18"/>
                <w:color w:val="auto"/>
                <w:w w:val="99"/>
              </w:rPr>
            </w:pPr>
            <w:hyperlink r:id="rId203">
              <w:r>
                <w:rPr>
                  <w:rFonts w:ascii="Arial" w:cs="Arial" w:eastAsia="Arial" w:hAnsi="Arial"/>
                  <w:sz w:val="18"/>
                  <w:szCs w:val="18"/>
                  <w:color w:val="auto"/>
                  <w:w w:val="99"/>
                </w:rPr>
                <w:t>officers and directors</w:t>
              </w:r>
            </w:hyperlink>
          </w:p>
        </w:tc>
        <w:tc>
          <w:tcPr>
            <w:tcW w:w="3620" w:type="dxa"/>
            <w:vAlign w:val="bottom"/>
            <w:tcBorders>
              <w:top w:val="single" w:sz="8" w:color="auto"/>
              <w:bottom w:val="single" w:sz="8" w:color="D1D2D4"/>
            </w:tcBorders>
            <w:gridSpan w:val="21"/>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60" w:type="dxa"/>
            <w:vAlign w:val="bottom"/>
            <w:tcBorders>
              <w:top w:val="single" w:sz="8" w:color="D1D2D4"/>
              <w:bottom w:val="single" w:sz="8" w:color="D1D2D4"/>
            </w:tcBorders>
            <w:gridSpan w:val="2"/>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1700" w:type="dxa"/>
            <w:vAlign w:val="bottom"/>
            <w:tcBorders>
              <w:top w:val="single" w:sz="8" w:color="D1D2D4"/>
              <w:bottom w:val="single" w:sz="8" w:color="D1D2D4"/>
            </w:tcBorders>
            <w:shd w:val="clear" w:color="auto" w:fill="D1D2D4"/>
          </w:tcPr>
          <w:p>
            <w:pPr>
              <w:spacing w:after="0"/>
              <w:rPr>
                <w:sz w:val="16"/>
                <w:szCs w:val="16"/>
                <w:color w:val="auto"/>
              </w:rPr>
            </w:pPr>
          </w:p>
        </w:tc>
        <w:tc>
          <w:tcPr>
            <w:tcW w:w="920" w:type="dxa"/>
            <w:vAlign w:val="bottom"/>
            <w:tcBorders>
              <w:top w:val="single" w:sz="8" w:color="D1D2D4"/>
              <w:bottom w:val="single" w:sz="8" w:color="D1D2D4"/>
            </w:tcBorders>
            <w:shd w:val="clear" w:color="auto" w:fill="D1D2D4"/>
          </w:tcPr>
          <w:p>
            <w:pPr>
              <w:spacing w:after="0"/>
              <w:rPr>
                <w:sz w:val="16"/>
                <w:szCs w:val="16"/>
                <w:color w:val="auto"/>
              </w:rPr>
            </w:pPr>
          </w:p>
        </w:tc>
        <w:tc>
          <w:tcPr>
            <w:tcW w:w="1080" w:type="dxa"/>
            <w:vAlign w:val="bottom"/>
            <w:tcBorders>
              <w:top w:val="single" w:sz="8" w:color="D1D2D4"/>
              <w:bottom w:val="single" w:sz="8" w:color="D1D2D4"/>
            </w:tcBorders>
            <w:shd w:val="clear" w:color="auto" w:fill="D1D2D4"/>
          </w:tcPr>
          <w:p>
            <w:pPr>
              <w:spacing w:after="0"/>
              <w:rPr>
                <w:sz w:val="16"/>
                <w:szCs w:val="16"/>
                <w:color w:val="auto"/>
              </w:rPr>
            </w:pPr>
          </w:p>
        </w:tc>
        <w:tc>
          <w:tcPr>
            <w:tcW w:w="960" w:type="dxa"/>
            <w:vAlign w:val="bottom"/>
            <w:tcBorders>
              <w:top w:val="single" w:sz="8" w:color="D1D2D4"/>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10.9*</w:t>
            </w:r>
          </w:p>
        </w:tc>
        <w:tc>
          <w:tcPr>
            <w:tcW w:w="5600" w:type="dxa"/>
            <w:vAlign w:val="bottom"/>
            <w:gridSpan w:val="41"/>
          </w:tcPr>
          <w:p>
            <w:pPr>
              <w:spacing w:after="0" w:line="189" w:lineRule="exact"/>
              <w:rPr>
                <w:rFonts w:ascii="Arial" w:cs="Arial" w:eastAsia="Arial" w:hAnsi="Arial"/>
                <w:sz w:val="18"/>
                <w:szCs w:val="18"/>
                <w:color w:val="auto"/>
              </w:rPr>
            </w:pPr>
            <w:hyperlink r:id="rId204">
              <w:r>
                <w:rPr>
                  <w:rFonts w:ascii="Arial" w:cs="Arial" w:eastAsia="Arial" w:hAnsi="Arial"/>
                  <w:sz w:val="18"/>
                  <w:szCs w:val="18"/>
                  <w:color w:val="auto"/>
                </w:rPr>
                <w:t>Form of Severance Agreement</w:t>
              </w:r>
            </w:hyperlink>
          </w:p>
        </w:tc>
        <w:tc>
          <w:tcPr>
            <w:tcW w:w="170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99.2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10.10*</w:t>
            </w:r>
          </w:p>
        </w:tc>
        <w:tc>
          <w:tcPr>
            <w:tcW w:w="3420" w:type="dxa"/>
            <w:vAlign w:val="bottom"/>
            <w:tcBorders>
              <w:bottom w:val="single" w:sz="8" w:color="auto"/>
            </w:tcBorders>
            <w:gridSpan w:val="13"/>
            <w:shd w:val="clear" w:color="auto" w:fill="D1D2D4"/>
          </w:tcPr>
          <w:p>
            <w:pPr>
              <w:spacing w:after="0" w:line="189" w:lineRule="exact"/>
              <w:rPr>
                <w:sz w:val="20"/>
                <w:szCs w:val="20"/>
                <w:color w:val="auto"/>
              </w:rPr>
            </w:pPr>
            <w:r>
              <w:rPr>
                <w:rFonts w:ascii="Arial" w:cs="Arial" w:eastAsia="Arial" w:hAnsi="Arial"/>
                <w:sz w:val="18"/>
                <w:szCs w:val="18"/>
                <w:color w:val="auto"/>
                <w:w w:val="99"/>
              </w:rPr>
              <w:t>Deferred Compensation Plan, as amended</w:t>
            </w:r>
          </w:p>
        </w:tc>
        <w:tc>
          <w:tcPr>
            <w:tcW w:w="2180" w:type="dxa"/>
            <w:vAlign w:val="bottom"/>
            <w:tcBorders>
              <w:bottom w:val="single" w:sz="8" w:color="D1D2D4"/>
            </w:tcBorders>
            <w:gridSpan w:val="28"/>
            <w:shd w:val="clear" w:color="auto" w:fill="D1D2D4"/>
          </w:tcPr>
          <w:p>
            <w:pPr>
              <w:spacing w:after="0"/>
              <w:rPr>
                <w:sz w:val="18"/>
                <w:szCs w:val="18"/>
                <w:color w:val="auto"/>
              </w:rPr>
            </w:pPr>
          </w:p>
        </w:tc>
        <w:tc>
          <w:tcPr>
            <w:tcW w:w="1700" w:type="dxa"/>
            <w:vAlign w:val="bottom"/>
            <w:tcBorders>
              <w:bottom w:val="single" w:sz="8" w:color="D1D2D4"/>
            </w:tcBorders>
            <w:shd w:val="clear" w:color="auto" w:fill="D1D2D4"/>
          </w:tcPr>
          <w:p>
            <w:pPr>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spacing w:after="0"/>
              <w:rPr>
                <w:sz w:val="18"/>
                <w:szCs w:val="18"/>
                <w:color w:val="auto"/>
              </w:rPr>
            </w:pPr>
          </w:p>
        </w:tc>
        <w:tc>
          <w:tcPr>
            <w:tcW w:w="96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10.11*</w:t>
            </w:r>
          </w:p>
        </w:tc>
        <w:tc>
          <w:tcPr>
            <w:tcW w:w="5600" w:type="dxa"/>
            <w:vAlign w:val="bottom"/>
            <w:gridSpan w:val="41"/>
          </w:tcPr>
          <w:p>
            <w:pPr>
              <w:spacing w:after="0" w:line="189" w:lineRule="exact"/>
              <w:rPr>
                <w:rFonts w:ascii="Arial" w:cs="Arial" w:eastAsia="Arial" w:hAnsi="Arial"/>
                <w:sz w:val="18"/>
                <w:szCs w:val="18"/>
                <w:color w:val="auto"/>
              </w:rPr>
            </w:pPr>
            <w:hyperlink r:id="rId205">
              <w:r>
                <w:rPr>
                  <w:rFonts w:ascii="Arial" w:cs="Arial" w:eastAsia="Arial" w:hAnsi="Arial"/>
                  <w:sz w:val="18"/>
                  <w:szCs w:val="18"/>
                  <w:color w:val="auto"/>
                </w:rPr>
                <w:t>Amended and Restated Executive Agreement by and between</w:t>
              </w:r>
            </w:hyperlink>
          </w:p>
        </w:tc>
        <w:tc>
          <w:tcPr>
            <w:tcW w:w="1700" w:type="dxa"/>
            <w:vAlign w:val="bottom"/>
          </w:tcPr>
          <w:p>
            <w:pPr>
              <w:ind w:left="1000"/>
              <w:spacing w:after="0" w:line="189" w:lineRule="exact"/>
              <w:rPr>
                <w:sz w:val="20"/>
                <w:szCs w:val="20"/>
                <w:color w:val="auto"/>
              </w:rPr>
            </w:pPr>
            <w:r>
              <w:rPr>
                <w:rFonts w:ascii="Arial" w:cs="Arial" w:eastAsia="Arial" w:hAnsi="Arial"/>
                <w:sz w:val="18"/>
                <w:szCs w:val="18"/>
                <w:color w:val="auto"/>
              </w:rPr>
              <w:t>10-K</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9/1/22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980" w:type="dxa"/>
            <w:vAlign w:val="bottom"/>
            <w:tcBorders>
              <w:top w:val="single" w:sz="8" w:color="auto"/>
            </w:tcBorders>
            <w:gridSpan w:val="22"/>
          </w:tcPr>
          <w:p>
            <w:pPr>
              <w:spacing w:after="0" w:line="156" w:lineRule="exact"/>
              <w:rPr>
                <w:rFonts w:ascii="Arial" w:cs="Arial" w:eastAsia="Arial" w:hAnsi="Arial"/>
                <w:sz w:val="18"/>
                <w:szCs w:val="18"/>
                <w:color w:val="auto"/>
              </w:rPr>
            </w:pPr>
            <w:hyperlink r:id="rId205">
              <w:r>
                <w:rPr>
                  <w:rFonts w:ascii="Arial" w:cs="Arial" w:eastAsia="Arial" w:hAnsi="Arial"/>
                  <w:sz w:val="18"/>
                  <w:szCs w:val="18"/>
                  <w:color w:val="auto"/>
                </w:rPr>
                <w:t>Micron Technology, Inc. and Sanjay Mehrotra</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10.12*</w:t>
            </w:r>
          </w:p>
        </w:tc>
        <w:tc>
          <w:tcPr>
            <w:tcW w:w="5600" w:type="dxa"/>
            <w:vAlign w:val="bottom"/>
            <w:gridSpan w:val="41"/>
            <w:shd w:val="clear" w:color="auto" w:fill="D1D2D4"/>
          </w:tcPr>
          <w:p>
            <w:pPr>
              <w:spacing w:after="0" w:line="189" w:lineRule="exact"/>
              <w:rPr>
                <w:rFonts w:ascii="Arial" w:cs="Arial" w:eastAsia="Arial" w:hAnsi="Arial"/>
                <w:sz w:val="18"/>
                <w:szCs w:val="18"/>
                <w:color w:val="auto"/>
              </w:rPr>
            </w:pPr>
            <w:hyperlink r:id="rId206">
              <w:r>
                <w:rPr>
                  <w:rFonts w:ascii="Arial" w:cs="Arial" w:eastAsia="Arial" w:hAnsi="Arial"/>
                  <w:sz w:val="18"/>
                  <w:szCs w:val="18"/>
                  <w:color w:val="auto"/>
                </w:rPr>
                <w:t>Severance Benefits for Sumit Sadana</w:t>
              </w:r>
            </w:hyperlink>
          </w:p>
        </w:tc>
        <w:tc>
          <w:tcPr>
            <w:tcW w:w="170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11/30/17</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10.70</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660" w:type="dxa"/>
            <w:vAlign w:val="bottom"/>
            <w:tcBorders>
              <w:top w:val="single" w:sz="8" w:color="auto"/>
            </w:tcBorders>
            <w:shd w:val="clear" w:color="auto" w:fill="D1D2D4"/>
          </w:tcPr>
          <w:p>
            <w:pPr>
              <w:spacing w:after="0" w:line="20" w:lineRule="exact"/>
              <w:rPr>
                <w:sz w:val="1"/>
                <w:szCs w:val="1"/>
                <w:color w:val="auto"/>
              </w:rPr>
            </w:pPr>
          </w:p>
        </w:tc>
        <w:tc>
          <w:tcPr>
            <w:tcW w:w="280" w:type="dxa"/>
            <w:vAlign w:val="bottom"/>
            <w:tcBorders>
              <w:top w:val="single" w:sz="8" w:color="auto"/>
            </w:tcBorders>
            <w:shd w:val="clear" w:color="auto" w:fill="D1D2D4"/>
          </w:tcPr>
          <w:p>
            <w:pPr>
              <w:spacing w:after="0" w:line="20" w:lineRule="exact"/>
              <w:rPr>
                <w:sz w:val="1"/>
                <w:szCs w:val="1"/>
                <w:color w:val="auto"/>
              </w:rPr>
            </w:pPr>
          </w:p>
        </w:tc>
        <w:tc>
          <w:tcPr>
            <w:tcW w:w="40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8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540" w:type="dxa"/>
            <w:vAlign w:val="bottom"/>
            <w:tcBorders>
              <w:top w:val="single" w:sz="8" w:color="D1D2D4"/>
            </w:tcBorders>
            <w:shd w:val="clear" w:color="auto" w:fill="D1D2D4"/>
          </w:tcPr>
          <w:p>
            <w:pPr>
              <w:spacing w:after="0" w:line="20" w:lineRule="exact"/>
              <w:rPr>
                <w:sz w:val="1"/>
                <w:szCs w:val="1"/>
                <w:color w:val="auto"/>
              </w:rPr>
            </w:pPr>
          </w:p>
        </w:tc>
        <w:tc>
          <w:tcPr>
            <w:tcW w:w="2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left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70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10.13*</w:t>
            </w:r>
          </w:p>
        </w:tc>
        <w:tc>
          <w:tcPr>
            <w:tcW w:w="5600" w:type="dxa"/>
            <w:vAlign w:val="bottom"/>
            <w:gridSpan w:val="41"/>
          </w:tcPr>
          <w:p>
            <w:pPr>
              <w:spacing w:after="0" w:line="189" w:lineRule="exact"/>
              <w:rPr>
                <w:rFonts w:ascii="Arial" w:cs="Arial" w:eastAsia="Arial" w:hAnsi="Arial"/>
                <w:sz w:val="18"/>
                <w:szCs w:val="18"/>
                <w:color w:val="auto"/>
              </w:rPr>
            </w:pPr>
            <w:hyperlink r:id="rId207">
              <w:r>
                <w:rPr>
                  <w:rFonts w:ascii="Arial" w:cs="Arial" w:eastAsia="Arial" w:hAnsi="Arial"/>
                  <w:sz w:val="18"/>
                  <w:szCs w:val="18"/>
                  <w:color w:val="auto"/>
                </w:rPr>
                <w:t>Form of Amendment to Executive/Severance Agreement</w:t>
              </w:r>
            </w:hyperlink>
          </w:p>
        </w:tc>
        <w:tc>
          <w:tcPr>
            <w:tcW w:w="1700" w:type="dxa"/>
            <w:vAlign w:val="bottom"/>
          </w:tcPr>
          <w:p>
            <w:pPr>
              <w:ind w:left="1000"/>
              <w:spacing w:after="0" w:line="189" w:lineRule="exact"/>
              <w:rPr>
                <w:sz w:val="20"/>
                <w:szCs w:val="20"/>
                <w:color w:val="auto"/>
              </w:rPr>
            </w:pPr>
            <w:r>
              <w:rPr>
                <w:rFonts w:ascii="Arial" w:cs="Arial" w:eastAsia="Arial" w:hAnsi="Arial"/>
                <w:sz w:val="18"/>
                <w:szCs w:val="18"/>
                <w:color w:val="auto"/>
              </w:rPr>
              <w:t>8-K</w:t>
            </w:r>
          </w:p>
        </w:tc>
        <w:tc>
          <w:tcPr>
            <w:tcW w:w="92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99.1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11/13/17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10.14*</w:t>
            </w:r>
          </w:p>
        </w:tc>
        <w:tc>
          <w:tcPr>
            <w:tcW w:w="3020" w:type="dxa"/>
            <w:vAlign w:val="bottom"/>
            <w:tcBorders>
              <w:bottom w:val="single" w:sz="8" w:color="auto"/>
            </w:tcBorders>
            <w:gridSpan w:val="12"/>
            <w:shd w:val="clear" w:color="auto" w:fill="D1D2D4"/>
          </w:tcPr>
          <w:p>
            <w:pPr>
              <w:spacing w:after="0" w:line="189" w:lineRule="exact"/>
              <w:rPr>
                <w:rFonts w:ascii="Arial" w:cs="Arial" w:eastAsia="Arial" w:hAnsi="Arial"/>
                <w:sz w:val="18"/>
                <w:szCs w:val="18"/>
                <w:color w:val="auto"/>
                <w:w w:val="99"/>
              </w:rPr>
            </w:pPr>
            <w:hyperlink r:id="rId208">
              <w:r>
                <w:rPr>
                  <w:rFonts w:ascii="Arial" w:cs="Arial" w:eastAsia="Arial" w:hAnsi="Arial"/>
                  <w:sz w:val="18"/>
                  <w:szCs w:val="18"/>
                  <w:color w:val="auto"/>
                  <w:w w:val="99"/>
                </w:rPr>
                <w:t>Severance Benefits for Manish Bhatia</w:t>
              </w:r>
            </w:hyperlink>
          </w:p>
        </w:tc>
        <w:tc>
          <w:tcPr>
            <w:tcW w:w="2580" w:type="dxa"/>
            <w:vAlign w:val="bottom"/>
            <w:tcBorders>
              <w:bottom w:val="single" w:sz="8" w:color="D1D2D4"/>
            </w:tcBorders>
            <w:gridSpan w:val="29"/>
            <w:shd w:val="clear" w:color="auto" w:fill="D1D2D4"/>
          </w:tcPr>
          <w:p>
            <w:pPr>
              <w:spacing w:after="0"/>
              <w:rPr>
                <w:sz w:val="18"/>
                <w:szCs w:val="18"/>
                <w:color w:val="auto"/>
              </w:rPr>
            </w:pPr>
          </w:p>
        </w:tc>
        <w:tc>
          <w:tcPr>
            <w:tcW w:w="1700" w:type="dxa"/>
            <w:vAlign w:val="bottom"/>
            <w:tcBorders>
              <w:bottom w:val="single" w:sz="8" w:color="D1D2D4"/>
            </w:tcBorders>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11/30/17</w:t>
            </w: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10.74</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10.15*</w:t>
            </w:r>
          </w:p>
        </w:tc>
        <w:tc>
          <w:tcPr>
            <w:tcW w:w="5600" w:type="dxa"/>
            <w:vAlign w:val="bottom"/>
            <w:tcBorders>
              <w:bottom w:val="single" w:sz="8" w:color="auto"/>
            </w:tcBorders>
            <w:gridSpan w:val="41"/>
          </w:tcPr>
          <w:p>
            <w:pPr>
              <w:spacing w:after="0" w:line="189" w:lineRule="exact"/>
              <w:rPr>
                <w:rFonts w:ascii="Arial" w:cs="Arial" w:eastAsia="Arial" w:hAnsi="Arial"/>
                <w:sz w:val="18"/>
                <w:szCs w:val="18"/>
                <w:color w:val="auto"/>
              </w:rPr>
            </w:pPr>
            <w:hyperlink r:id="rId209">
              <w:r>
                <w:rPr>
                  <w:rFonts w:ascii="Arial" w:cs="Arial" w:eastAsia="Arial" w:hAnsi="Arial"/>
                  <w:sz w:val="18"/>
                  <w:szCs w:val="18"/>
                  <w:color w:val="auto"/>
                </w:rPr>
                <w:t>Micron Technology, Inc. Employee Stock Purchase Plan, as amended</w:t>
              </w:r>
            </w:hyperlink>
          </w:p>
        </w:tc>
        <w:tc>
          <w:tcPr>
            <w:tcW w:w="1700" w:type="dxa"/>
            <w:vAlign w:val="bottom"/>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6/2/22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600" w:type="dxa"/>
            <w:vAlign w:val="bottom"/>
            <w:gridSpan w:val="41"/>
          </w:tcPr>
          <w:p>
            <w:pPr>
              <w:spacing w:after="0" w:line="156" w:lineRule="exact"/>
              <w:rPr>
                <w:rFonts w:ascii="Arial" w:cs="Arial" w:eastAsia="Arial" w:hAnsi="Arial"/>
                <w:sz w:val="18"/>
                <w:szCs w:val="18"/>
                <w:color w:val="auto"/>
              </w:rPr>
            </w:pPr>
            <w:hyperlink r:id="rId209">
              <w:r>
                <w:rPr>
                  <w:rFonts w:ascii="Arial" w:cs="Arial" w:eastAsia="Arial" w:hAnsi="Arial"/>
                  <w:sz w:val="18"/>
                  <w:szCs w:val="18"/>
                  <w:color w:val="auto"/>
                </w:rPr>
                <w:t>and restated</w:t>
              </w:r>
            </w:hyperlink>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10.16*</w:t>
            </w:r>
          </w:p>
        </w:tc>
        <w:tc>
          <w:tcPr>
            <w:tcW w:w="5600" w:type="dxa"/>
            <w:vAlign w:val="bottom"/>
            <w:gridSpan w:val="41"/>
            <w:shd w:val="clear" w:color="auto" w:fill="D1D2D4"/>
          </w:tcPr>
          <w:p>
            <w:pPr>
              <w:spacing w:after="0" w:line="189" w:lineRule="exact"/>
              <w:rPr>
                <w:rFonts w:ascii="Arial" w:cs="Arial" w:eastAsia="Arial" w:hAnsi="Arial"/>
                <w:sz w:val="18"/>
                <w:szCs w:val="18"/>
                <w:color w:val="auto"/>
              </w:rPr>
            </w:pPr>
            <w:hyperlink r:id="rId210">
              <w:r>
                <w:rPr>
                  <w:rFonts w:ascii="Arial" w:cs="Arial" w:eastAsia="Arial" w:hAnsi="Arial"/>
                  <w:sz w:val="18"/>
                  <w:szCs w:val="18"/>
                  <w:color w:val="auto"/>
                </w:rPr>
                <w:t>Severance Benefits for Mark Murphy</w:t>
              </w:r>
            </w:hyperlink>
          </w:p>
        </w:tc>
        <w:tc>
          <w:tcPr>
            <w:tcW w:w="170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6/2/22</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3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660" w:type="dxa"/>
            <w:vAlign w:val="bottom"/>
            <w:tcBorders>
              <w:top w:val="single" w:sz="8" w:color="auto"/>
            </w:tcBorders>
            <w:shd w:val="clear" w:color="auto" w:fill="D1D2D4"/>
          </w:tcPr>
          <w:p>
            <w:pPr>
              <w:spacing w:after="0" w:line="20" w:lineRule="exact"/>
              <w:rPr>
                <w:sz w:val="1"/>
                <w:szCs w:val="1"/>
                <w:color w:val="auto"/>
              </w:rPr>
            </w:pPr>
          </w:p>
        </w:tc>
        <w:tc>
          <w:tcPr>
            <w:tcW w:w="280" w:type="dxa"/>
            <w:vAlign w:val="bottom"/>
            <w:tcBorders>
              <w:top w:val="single" w:sz="8" w:color="auto"/>
            </w:tcBorders>
            <w:shd w:val="clear" w:color="auto" w:fill="D1D2D4"/>
          </w:tcPr>
          <w:p>
            <w:pPr>
              <w:spacing w:after="0" w:line="20" w:lineRule="exact"/>
              <w:rPr>
                <w:sz w:val="1"/>
                <w:szCs w:val="1"/>
                <w:color w:val="auto"/>
              </w:rPr>
            </w:pPr>
          </w:p>
        </w:tc>
        <w:tc>
          <w:tcPr>
            <w:tcW w:w="40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540" w:type="dxa"/>
            <w:vAlign w:val="bottom"/>
            <w:tcBorders>
              <w:top w:val="single" w:sz="8" w:color="D1D2D4"/>
            </w:tcBorders>
            <w:shd w:val="clear" w:color="auto" w:fill="D1D2D4"/>
          </w:tcPr>
          <w:p>
            <w:pPr>
              <w:spacing w:after="0" w:line="20" w:lineRule="exact"/>
              <w:rPr>
                <w:sz w:val="1"/>
                <w:szCs w:val="1"/>
                <w:color w:val="auto"/>
              </w:rPr>
            </w:pPr>
          </w:p>
        </w:tc>
        <w:tc>
          <w:tcPr>
            <w:tcW w:w="24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left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1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70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10.17</w:t>
            </w:r>
          </w:p>
        </w:tc>
        <w:tc>
          <w:tcPr>
            <w:tcW w:w="5600" w:type="dxa"/>
            <w:vAlign w:val="bottom"/>
            <w:gridSpan w:val="41"/>
          </w:tcPr>
          <w:p>
            <w:pPr>
              <w:spacing w:after="0" w:line="189" w:lineRule="exact"/>
              <w:rPr>
                <w:rFonts w:ascii="Arial" w:cs="Arial" w:eastAsia="Arial" w:hAnsi="Arial"/>
                <w:sz w:val="18"/>
                <w:szCs w:val="18"/>
                <w:color w:val="auto"/>
              </w:rPr>
            </w:pPr>
            <w:hyperlink r:id="rId211">
              <w:r>
                <w:rPr>
                  <w:rFonts w:ascii="Arial" w:cs="Arial" w:eastAsia="Arial" w:hAnsi="Arial"/>
                  <w:sz w:val="18"/>
                  <w:szCs w:val="18"/>
                  <w:color w:val="auto"/>
                </w:rPr>
                <w:t>Credit Agreement, dated as of May 14, 2021, by and among Micron</w:t>
              </w:r>
            </w:hyperlink>
          </w:p>
        </w:tc>
        <w:tc>
          <w:tcPr>
            <w:tcW w:w="1700" w:type="dxa"/>
            <w:vAlign w:val="bottom"/>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6/3/21</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10.22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580" w:type="dxa"/>
            <w:vAlign w:val="bottom"/>
            <w:tcBorders>
              <w:top w:val="single" w:sz="8" w:color="auto"/>
              <w:bottom w:val="single" w:sz="8" w:color="auto"/>
            </w:tcBorders>
            <w:gridSpan w:val="19"/>
          </w:tcPr>
          <w:p>
            <w:pPr>
              <w:spacing w:after="0" w:line="156" w:lineRule="exact"/>
              <w:rPr>
                <w:rFonts w:ascii="Arial" w:cs="Arial" w:eastAsia="Arial" w:hAnsi="Arial"/>
                <w:sz w:val="18"/>
                <w:szCs w:val="18"/>
                <w:color w:val="auto"/>
                <w:w w:val="98"/>
              </w:rPr>
            </w:pPr>
            <w:hyperlink r:id="rId211">
              <w:r>
                <w:rPr>
                  <w:rFonts w:ascii="Arial" w:cs="Arial" w:eastAsia="Arial" w:hAnsi="Arial"/>
                  <w:sz w:val="18"/>
                  <w:szCs w:val="18"/>
                  <w:color w:val="auto"/>
                  <w:w w:val="98"/>
                </w:rPr>
                <w:t>Technology, Inc., as borrower, HSBC Bank USA, National</w:t>
              </w:r>
            </w:hyperlink>
          </w:p>
        </w:tc>
        <w:tc>
          <w:tcPr>
            <w:tcW w:w="800" w:type="dxa"/>
            <w:vAlign w:val="bottom"/>
            <w:tcBorders>
              <w:top w:val="single" w:sz="8" w:color="auto"/>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600" w:type="dxa"/>
            <w:vAlign w:val="bottom"/>
            <w:gridSpan w:val="41"/>
          </w:tcPr>
          <w:p>
            <w:pPr>
              <w:spacing w:after="0" w:line="169" w:lineRule="exact"/>
              <w:rPr>
                <w:rFonts w:ascii="Arial" w:cs="Arial" w:eastAsia="Arial" w:hAnsi="Arial"/>
                <w:sz w:val="18"/>
                <w:szCs w:val="18"/>
                <w:color w:val="auto"/>
              </w:rPr>
            </w:pPr>
            <w:hyperlink r:id="rId211">
              <w:r>
                <w:rPr>
                  <w:rFonts w:ascii="Arial" w:cs="Arial" w:eastAsia="Arial" w:hAnsi="Arial"/>
                  <w:sz w:val="18"/>
                  <w:szCs w:val="18"/>
                  <w:color w:val="auto"/>
                </w:rPr>
                <w:t>Association, as administrative agent, the other agents party thereto,</w:t>
              </w:r>
            </w:hyperlink>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400" w:type="dxa"/>
            <w:vAlign w:val="bottom"/>
            <w:tcBorders>
              <w:top w:val="single" w:sz="8" w:color="auto"/>
            </w:tcBorders>
            <w:gridSpan w:val="31"/>
          </w:tcPr>
          <w:p>
            <w:pPr>
              <w:spacing w:after="0" w:line="156" w:lineRule="exact"/>
              <w:rPr>
                <w:rFonts w:ascii="Arial" w:cs="Arial" w:eastAsia="Arial" w:hAnsi="Arial"/>
                <w:sz w:val="18"/>
                <w:szCs w:val="18"/>
                <w:color w:val="auto"/>
              </w:rPr>
            </w:pPr>
            <w:hyperlink r:id="rId211">
              <w:r>
                <w:rPr>
                  <w:rFonts w:ascii="Arial" w:cs="Arial" w:eastAsia="Arial" w:hAnsi="Arial"/>
                  <w:sz w:val="18"/>
                  <w:szCs w:val="18"/>
                  <w:color w:val="auto"/>
                </w:rPr>
                <w:t>and each financial institution party from time to time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10.18</w:t>
            </w:r>
          </w:p>
        </w:tc>
        <w:tc>
          <w:tcPr>
            <w:tcW w:w="5600" w:type="dxa"/>
            <w:vAlign w:val="bottom"/>
            <w:gridSpan w:val="41"/>
            <w:shd w:val="clear" w:color="auto" w:fill="D1D2D4"/>
          </w:tcPr>
          <w:p>
            <w:pPr>
              <w:spacing w:after="0" w:line="189" w:lineRule="exact"/>
              <w:rPr>
                <w:rFonts w:ascii="Arial" w:cs="Arial" w:eastAsia="Arial" w:hAnsi="Arial"/>
                <w:sz w:val="18"/>
                <w:szCs w:val="18"/>
                <w:color w:val="auto"/>
              </w:rPr>
            </w:pPr>
            <w:hyperlink r:id="rId212">
              <w:r>
                <w:rPr>
                  <w:rFonts w:ascii="Arial" w:cs="Arial" w:eastAsia="Arial" w:hAnsi="Arial"/>
                  <w:sz w:val="18"/>
                  <w:szCs w:val="18"/>
                  <w:color w:val="auto"/>
                </w:rPr>
                <w:t>Term Loan Credit Agreement, dated as of May 14, 2021, by and</w:t>
              </w:r>
            </w:hyperlink>
          </w:p>
        </w:tc>
        <w:tc>
          <w:tcPr>
            <w:tcW w:w="170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6/3/21</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10.23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bottom w:val="single" w:sz="8" w:color="D1D2D4"/>
            </w:tcBorders>
            <w:shd w:val="clear" w:color="auto" w:fill="D1D2D4"/>
          </w:tcPr>
          <w:p>
            <w:pPr>
              <w:spacing w:after="0"/>
              <w:rPr>
                <w:sz w:val="13"/>
                <w:szCs w:val="13"/>
                <w:color w:val="auto"/>
              </w:rPr>
            </w:pPr>
          </w:p>
        </w:tc>
        <w:tc>
          <w:tcPr>
            <w:tcW w:w="5080" w:type="dxa"/>
            <w:vAlign w:val="bottom"/>
            <w:tcBorders>
              <w:top w:val="single" w:sz="8" w:color="auto"/>
              <w:bottom w:val="single" w:sz="8" w:color="auto"/>
            </w:tcBorders>
            <w:gridSpan w:val="24"/>
            <w:shd w:val="clear" w:color="auto" w:fill="D1D2D4"/>
          </w:tcPr>
          <w:p>
            <w:pPr>
              <w:spacing w:after="0" w:line="156" w:lineRule="exact"/>
              <w:rPr>
                <w:rFonts w:ascii="Arial" w:cs="Arial" w:eastAsia="Arial" w:hAnsi="Arial"/>
                <w:sz w:val="18"/>
                <w:szCs w:val="18"/>
                <w:color w:val="auto"/>
                <w:w w:val="98"/>
              </w:rPr>
            </w:pPr>
            <w:hyperlink r:id="rId212">
              <w:r>
                <w:rPr>
                  <w:rFonts w:ascii="Arial" w:cs="Arial" w:eastAsia="Arial" w:hAnsi="Arial"/>
                  <w:sz w:val="18"/>
                  <w:szCs w:val="18"/>
                  <w:color w:val="auto"/>
                  <w:w w:val="98"/>
                </w:rPr>
                <w:t>among Micron Technology, Inc., as borrower, Wells Fargo Bank,</w:t>
              </w:r>
            </w:hyperlink>
          </w:p>
        </w:tc>
        <w:tc>
          <w:tcPr>
            <w:tcW w:w="20" w:type="dxa"/>
            <w:vAlign w:val="bottom"/>
            <w:tcBorders>
              <w:top w:val="single" w:sz="8" w:color="D1D2D4"/>
              <w:bottom w:val="single" w:sz="8" w:color="auto"/>
            </w:tcBorders>
            <w:shd w:val="clear" w:color="auto" w:fill="D1D2D4"/>
          </w:tcPr>
          <w:p>
            <w:pPr>
              <w:spacing w:after="0"/>
              <w:rPr>
                <w:sz w:val="13"/>
                <w:szCs w:val="13"/>
                <w:color w:val="auto"/>
              </w:rPr>
            </w:pPr>
          </w:p>
        </w:tc>
        <w:tc>
          <w:tcPr>
            <w:tcW w:w="80" w:type="dxa"/>
            <w:vAlign w:val="bottom"/>
            <w:tcBorders>
              <w:top w:val="single" w:sz="8" w:color="D1D2D4"/>
              <w:bottom w:val="single" w:sz="8" w:color="D1D2D4"/>
            </w:tcBorders>
            <w:shd w:val="clear" w:color="auto" w:fill="D1D2D4"/>
          </w:tcPr>
          <w:p>
            <w:pPr>
              <w:spacing w:after="0"/>
              <w:rPr>
                <w:sz w:val="13"/>
                <w:szCs w:val="13"/>
                <w:color w:val="auto"/>
              </w:rPr>
            </w:pPr>
          </w:p>
        </w:tc>
        <w:tc>
          <w:tcPr>
            <w:tcW w:w="14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6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4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170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80" w:type="dxa"/>
            <w:vAlign w:val="bottom"/>
            <w:tcBorders>
              <w:top w:val="single" w:sz="8" w:color="D1D2D4"/>
              <w:bottom w:val="single" w:sz="8" w:color="D1D2D4"/>
            </w:tcBorders>
            <w:shd w:val="clear" w:color="auto" w:fill="D1D2D4"/>
          </w:tcPr>
          <w:p>
            <w:pPr>
              <w:spacing w:after="0"/>
              <w:rPr>
                <w:sz w:val="13"/>
                <w:szCs w:val="13"/>
                <w:color w:val="auto"/>
              </w:rPr>
            </w:pPr>
          </w:p>
        </w:tc>
        <w:tc>
          <w:tcPr>
            <w:tcW w:w="96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shd w:val="clear" w:color="auto" w:fill="D1D2D4"/>
          </w:tcPr>
          <w:p>
            <w:pPr>
              <w:spacing w:after="0"/>
              <w:rPr>
                <w:sz w:val="14"/>
                <w:szCs w:val="14"/>
                <w:color w:val="auto"/>
              </w:rPr>
            </w:pPr>
          </w:p>
        </w:tc>
        <w:tc>
          <w:tcPr>
            <w:tcW w:w="5100" w:type="dxa"/>
            <w:vAlign w:val="bottom"/>
            <w:gridSpan w:val="25"/>
            <w:shd w:val="clear" w:color="auto" w:fill="D1D2D4"/>
          </w:tcPr>
          <w:p>
            <w:pPr>
              <w:spacing w:after="0" w:line="169" w:lineRule="exact"/>
              <w:rPr>
                <w:rFonts w:ascii="Arial" w:cs="Arial" w:eastAsia="Arial" w:hAnsi="Arial"/>
                <w:sz w:val="18"/>
                <w:szCs w:val="18"/>
                <w:color w:val="auto"/>
              </w:rPr>
            </w:pPr>
            <w:hyperlink r:id="rId212">
              <w:r>
                <w:rPr>
                  <w:rFonts w:ascii="Arial" w:cs="Arial" w:eastAsia="Arial" w:hAnsi="Arial"/>
                  <w:sz w:val="18"/>
                  <w:szCs w:val="18"/>
                  <w:color w:val="auto"/>
                </w:rPr>
                <w:t>National Association, as administrative agent, the other agents</w:t>
              </w:r>
            </w:hyperlink>
          </w:p>
        </w:tc>
        <w:tc>
          <w:tcPr>
            <w:tcW w:w="500" w:type="dxa"/>
            <w:vAlign w:val="bottom"/>
            <w:gridSpan w:val="16"/>
            <w:shd w:val="clear" w:color="auto" w:fill="D1D2D4"/>
          </w:tcPr>
          <w:p>
            <w:pPr>
              <w:spacing w:after="0" w:line="169" w:lineRule="exact"/>
              <w:rPr>
                <w:rFonts w:ascii="Arial" w:cs="Arial" w:eastAsia="Arial" w:hAnsi="Arial"/>
                <w:sz w:val="18"/>
                <w:szCs w:val="18"/>
                <w:color w:val="auto"/>
              </w:rPr>
            </w:pPr>
            <w:hyperlink r:id="rId212">
              <w:r>
                <w:rPr>
                  <w:rFonts w:ascii="Arial" w:cs="Arial" w:eastAsia="Arial" w:hAnsi="Arial"/>
                  <w:sz w:val="18"/>
                  <w:szCs w:val="18"/>
                  <w:color w:val="auto"/>
                </w:rPr>
                <w:t>party</w:t>
              </w:r>
            </w:hyperlink>
          </w:p>
        </w:tc>
        <w:tc>
          <w:tcPr>
            <w:tcW w:w="1700" w:type="dxa"/>
            <w:vAlign w:val="bottom"/>
            <w:shd w:val="clear" w:color="auto" w:fill="D1D2D4"/>
          </w:tcPr>
          <w:p>
            <w:pPr>
              <w:spacing w:after="0"/>
              <w:rPr>
                <w:sz w:val="14"/>
                <w:szCs w:val="14"/>
                <w:color w:val="auto"/>
              </w:rPr>
            </w:pPr>
          </w:p>
        </w:tc>
        <w:tc>
          <w:tcPr>
            <w:tcW w:w="92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96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5380" w:type="dxa"/>
            <w:vAlign w:val="bottom"/>
            <w:tcBorders>
              <w:top w:val="single" w:sz="8" w:color="auto"/>
              <w:bottom w:val="single" w:sz="8" w:color="auto"/>
            </w:tcBorders>
            <w:gridSpan w:val="30"/>
            <w:shd w:val="clear" w:color="auto" w:fill="D1D2D4"/>
          </w:tcPr>
          <w:p>
            <w:pPr>
              <w:spacing w:after="0" w:line="156" w:lineRule="exact"/>
              <w:rPr>
                <w:rFonts w:ascii="Arial" w:cs="Arial" w:eastAsia="Arial" w:hAnsi="Arial"/>
                <w:sz w:val="18"/>
                <w:szCs w:val="18"/>
                <w:color w:val="auto"/>
                <w:w w:val="99"/>
              </w:rPr>
            </w:pPr>
            <w:hyperlink r:id="rId212">
              <w:r>
                <w:rPr>
                  <w:rFonts w:ascii="Arial" w:cs="Arial" w:eastAsia="Arial" w:hAnsi="Arial"/>
                  <w:sz w:val="18"/>
                  <w:szCs w:val="18"/>
                  <w:color w:val="auto"/>
                  <w:w w:val="99"/>
                </w:rPr>
                <w:t>thereto, and each financial institution party from time to time thereto</w:t>
              </w:r>
            </w:hyperlink>
          </w:p>
        </w:tc>
        <w:tc>
          <w:tcPr>
            <w:tcW w:w="60" w:type="dxa"/>
            <w:vAlign w:val="bottom"/>
            <w:tcBorders>
              <w:top w:val="single" w:sz="8" w:color="auto"/>
              <w:bottom w:val="single" w:sz="8" w:color="D1D2D4"/>
            </w:tcBorders>
            <w:gridSpan w:val="3"/>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1700" w:type="dxa"/>
            <w:vAlign w:val="bottom"/>
            <w:tcBorders>
              <w:top w:val="single" w:sz="8" w:color="D1D2D4"/>
              <w:bottom w:val="single" w:sz="8" w:color="D1D2D4"/>
            </w:tcBorders>
            <w:shd w:val="clear" w:color="auto" w:fill="D1D2D4"/>
          </w:tcPr>
          <w:p>
            <w:pPr>
              <w:spacing w:after="0"/>
              <w:rPr>
                <w:sz w:val="15"/>
                <w:szCs w:val="15"/>
                <w:color w:val="auto"/>
              </w:rPr>
            </w:pPr>
          </w:p>
        </w:tc>
        <w:tc>
          <w:tcPr>
            <w:tcW w:w="92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10.19</w:t>
            </w:r>
          </w:p>
        </w:tc>
        <w:tc>
          <w:tcPr>
            <w:tcW w:w="5600" w:type="dxa"/>
            <w:vAlign w:val="bottom"/>
            <w:gridSpan w:val="41"/>
          </w:tcPr>
          <w:p>
            <w:pPr>
              <w:spacing w:after="0" w:line="189" w:lineRule="exact"/>
              <w:rPr>
                <w:rFonts w:ascii="Arial" w:cs="Arial" w:eastAsia="Arial" w:hAnsi="Arial"/>
                <w:sz w:val="18"/>
                <w:szCs w:val="18"/>
                <w:color w:val="auto"/>
              </w:rPr>
            </w:pPr>
            <w:hyperlink r:id="rId213">
              <w:r>
                <w:rPr>
                  <w:rFonts w:ascii="Arial" w:cs="Arial" w:eastAsia="Arial" w:hAnsi="Arial"/>
                  <w:sz w:val="18"/>
                  <w:szCs w:val="18"/>
                  <w:color w:val="auto"/>
                </w:rPr>
                <w:t>Term Loan Credit Agreement, dated as of November 3, 2022, by and</w:t>
              </w:r>
            </w:hyperlink>
          </w:p>
        </w:tc>
        <w:tc>
          <w:tcPr>
            <w:tcW w:w="1700" w:type="dxa"/>
            <w:vAlign w:val="bottom"/>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12/1/22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10.4</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12/22/22</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500" w:type="dxa"/>
            <w:vAlign w:val="bottom"/>
            <w:tcBorders>
              <w:top w:val="single" w:sz="8" w:color="auto"/>
            </w:tcBorders>
            <w:gridSpan w:val="36"/>
          </w:tcPr>
          <w:p>
            <w:pPr>
              <w:spacing w:after="0" w:line="156" w:lineRule="exact"/>
              <w:rPr>
                <w:rFonts w:ascii="Arial" w:cs="Arial" w:eastAsia="Arial" w:hAnsi="Arial"/>
                <w:sz w:val="18"/>
                <w:szCs w:val="18"/>
                <w:color w:val="auto"/>
              </w:rPr>
            </w:pPr>
            <w:hyperlink r:id="rId213">
              <w:r>
                <w:rPr>
                  <w:rFonts w:ascii="Arial" w:cs="Arial" w:eastAsia="Arial" w:hAnsi="Arial"/>
                  <w:sz w:val="18"/>
                  <w:szCs w:val="18"/>
                  <w:color w:val="auto"/>
                </w:rPr>
                <w:t>among Micron Technology, Inc., as borrower, Wells Fargo Bank,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100" w:type="dxa"/>
            <w:vAlign w:val="bottom"/>
            <w:tcBorders>
              <w:top w:val="single" w:sz="8" w:color="auto"/>
            </w:tcBorders>
            <w:gridSpan w:val="25"/>
          </w:tcPr>
          <w:p>
            <w:pPr>
              <w:spacing w:after="0" w:line="169" w:lineRule="exact"/>
              <w:rPr>
                <w:rFonts w:ascii="Arial" w:cs="Arial" w:eastAsia="Arial" w:hAnsi="Arial"/>
                <w:sz w:val="18"/>
                <w:szCs w:val="18"/>
                <w:color w:val="auto"/>
              </w:rPr>
            </w:pPr>
            <w:hyperlink r:id="rId213">
              <w:r>
                <w:rPr>
                  <w:rFonts w:ascii="Arial" w:cs="Arial" w:eastAsia="Arial" w:hAnsi="Arial"/>
                  <w:sz w:val="18"/>
                  <w:szCs w:val="18"/>
                  <w:color w:val="auto"/>
                </w:rPr>
                <w:t>National Association, as administrative agent, the other agents</w:t>
              </w:r>
            </w:hyperlink>
          </w:p>
        </w:tc>
        <w:tc>
          <w:tcPr>
            <w:tcW w:w="500" w:type="dxa"/>
            <w:vAlign w:val="bottom"/>
            <w:gridSpan w:val="16"/>
          </w:tcPr>
          <w:p>
            <w:pPr>
              <w:spacing w:after="0" w:line="169" w:lineRule="exact"/>
              <w:rPr>
                <w:rFonts w:ascii="Arial" w:cs="Arial" w:eastAsia="Arial" w:hAnsi="Arial"/>
                <w:sz w:val="18"/>
                <w:szCs w:val="18"/>
                <w:color w:val="auto"/>
              </w:rPr>
            </w:pPr>
            <w:hyperlink r:id="rId213">
              <w:r>
                <w:rPr>
                  <w:rFonts w:ascii="Arial" w:cs="Arial" w:eastAsia="Arial" w:hAnsi="Arial"/>
                  <w:sz w:val="18"/>
                  <w:szCs w:val="18"/>
                  <w:color w:val="auto"/>
                </w:rPr>
                <w:t>party</w:t>
              </w:r>
            </w:hyperlink>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440" w:type="dxa"/>
            <w:vAlign w:val="bottom"/>
            <w:tcBorders>
              <w:top w:val="single" w:sz="8" w:color="auto"/>
            </w:tcBorders>
            <w:gridSpan w:val="33"/>
          </w:tcPr>
          <w:p>
            <w:pPr>
              <w:spacing w:after="0" w:line="156" w:lineRule="exact"/>
              <w:rPr>
                <w:rFonts w:ascii="Arial" w:cs="Arial" w:eastAsia="Arial" w:hAnsi="Arial"/>
                <w:sz w:val="18"/>
                <w:szCs w:val="18"/>
                <w:color w:val="auto"/>
              </w:rPr>
            </w:pPr>
            <w:hyperlink r:id="rId213">
              <w:r>
                <w:rPr>
                  <w:rFonts w:ascii="Arial" w:cs="Arial" w:eastAsia="Arial" w:hAnsi="Arial"/>
                  <w:sz w:val="18"/>
                  <w:szCs w:val="18"/>
                  <w:color w:val="auto"/>
                </w:rPr>
                <w:t>thereto, and each financial institution party from time to time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10.20</w:t>
            </w:r>
          </w:p>
        </w:tc>
        <w:tc>
          <w:tcPr>
            <w:tcW w:w="5600" w:type="dxa"/>
            <w:vAlign w:val="bottom"/>
            <w:gridSpan w:val="41"/>
            <w:shd w:val="clear" w:color="auto" w:fill="D1D2D4"/>
          </w:tcPr>
          <w:p>
            <w:pPr>
              <w:spacing w:after="0" w:line="189" w:lineRule="exact"/>
              <w:rPr>
                <w:rFonts w:ascii="Arial" w:cs="Arial" w:eastAsia="Arial" w:hAnsi="Arial"/>
                <w:sz w:val="18"/>
                <w:szCs w:val="18"/>
                <w:color w:val="auto"/>
              </w:rPr>
            </w:pPr>
            <w:hyperlink r:id="rId214">
              <w:r>
                <w:rPr>
                  <w:rFonts w:ascii="Arial" w:cs="Arial" w:eastAsia="Arial" w:hAnsi="Arial"/>
                  <w:sz w:val="18"/>
                  <w:szCs w:val="18"/>
                  <w:color w:val="auto"/>
                </w:rPr>
                <w:t>Incremental Amendment No. 1, dated as of January 5, 2023, to the</w:t>
              </w:r>
            </w:hyperlink>
          </w:p>
        </w:tc>
        <w:tc>
          <w:tcPr>
            <w:tcW w:w="170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3/2/23</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10.1</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20"/>
        </w:trPr>
        <w:tc>
          <w:tcPr>
            <w:tcW w:w="980" w:type="dxa"/>
            <w:vAlign w:val="bottom"/>
            <w:shd w:val="clear" w:color="auto" w:fill="D1D2D4"/>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4"/>
            <w:shd w:val="clear" w:color="auto" w:fill="D1D2D4"/>
          </w:tcPr>
          <w:p>
            <w:pPr>
              <w:spacing w:after="0" w:line="20" w:lineRule="exact"/>
              <w:rPr>
                <w:sz w:val="1"/>
                <w:szCs w:val="1"/>
                <w:color w:val="auto"/>
              </w:rPr>
            </w:pPr>
          </w:p>
        </w:tc>
        <w:tc>
          <w:tcPr>
            <w:tcW w:w="40" w:type="dxa"/>
            <w:vAlign w:val="bottom"/>
            <w:gridSpan w:val="2"/>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40" w:type="dxa"/>
            <w:vAlign w:val="bottom"/>
            <w:gridSpan w:val="2"/>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1700" w:type="dxa"/>
            <w:vAlign w:val="bottom"/>
            <w:shd w:val="clear" w:color="auto" w:fill="D1D2D4"/>
          </w:tcPr>
          <w:p>
            <w:pPr>
              <w:spacing w:after="0" w:line="20" w:lineRule="exact"/>
              <w:rPr>
                <w:sz w:val="1"/>
                <w:szCs w:val="1"/>
                <w:color w:val="auto"/>
              </w:rPr>
            </w:pPr>
          </w:p>
        </w:tc>
        <w:tc>
          <w:tcPr>
            <w:tcW w:w="920" w:type="dxa"/>
            <w:vAlign w:val="bottom"/>
            <w:shd w:val="clear" w:color="auto" w:fill="D1D2D4"/>
          </w:tcPr>
          <w:p>
            <w:pPr>
              <w:spacing w:after="0" w:line="20" w:lineRule="exact"/>
              <w:rPr>
                <w:sz w:val="1"/>
                <w:szCs w:val="1"/>
                <w:color w:val="auto"/>
              </w:rPr>
            </w:pPr>
          </w:p>
        </w:tc>
        <w:tc>
          <w:tcPr>
            <w:tcW w:w="1080" w:type="dxa"/>
            <w:vAlign w:val="bottom"/>
            <w:shd w:val="clear" w:color="auto" w:fill="D1D2D4"/>
          </w:tcPr>
          <w:p>
            <w:pPr>
              <w:spacing w:after="0" w:line="20" w:lineRule="exact"/>
              <w:rPr>
                <w:sz w:val="1"/>
                <w:szCs w:val="1"/>
                <w:color w:val="auto"/>
              </w:rPr>
            </w:pPr>
          </w:p>
        </w:tc>
        <w:tc>
          <w:tcPr>
            <w:tcW w:w="96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shd w:val="clear" w:color="auto" w:fill="D1D2D4"/>
          </w:tcPr>
          <w:p>
            <w:pPr>
              <w:spacing w:after="0"/>
              <w:rPr>
                <w:sz w:val="13"/>
                <w:szCs w:val="13"/>
                <w:color w:val="auto"/>
              </w:rPr>
            </w:pPr>
          </w:p>
        </w:tc>
        <w:tc>
          <w:tcPr>
            <w:tcW w:w="5600" w:type="dxa"/>
            <w:vAlign w:val="bottom"/>
            <w:gridSpan w:val="41"/>
            <w:shd w:val="clear" w:color="auto" w:fill="D1D2D4"/>
          </w:tcPr>
          <w:p>
            <w:pPr>
              <w:spacing w:after="0" w:line="156" w:lineRule="exact"/>
              <w:rPr>
                <w:rFonts w:ascii="Arial" w:cs="Arial" w:eastAsia="Arial" w:hAnsi="Arial"/>
                <w:sz w:val="18"/>
                <w:szCs w:val="18"/>
                <w:color w:val="auto"/>
              </w:rPr>
            </w:pPr>
            <w:hyperlink r:id="rId214">
              <w:r>
                <w:rPr>
                  <w:rFonts w:ascii="Arial" w:cs="Arial" w:eastAsia="Arial" w:hAnsi="Arial"/>
                  <w:sz w:val="18"/>
                  <w:szCs w:val="18"/>
                  <w:color w:val="auto"/>
                </w:rPr>
                <w:t>Term Loan Credit Agreement, dated as of November 3, 2022, by and</w:t>
              </w:r>
            </w:hyperlink>
          </w:p>
        </w:tc>
        <w:tc>
          <w:tcPr>
            <w:tcW w:w="1700" w:type="dxa"/>
            <w:vAlign w:val="bottom"/>
            <w:shd w:val="clear" w:color="auto" w:fill="D1D2D4"/>
          </w:tcPr>
          <w:p>
            <w:pPr>
              <w:spacing w:after="0"/>
              <w:rPr>
                <w:sz w:val="13"/>
                <w:szCs w:val="13"/>
                <w:color w:val="auto"/>
              </w:rPr>
            </w:pPr>
          </w:p>
        </w:tc>
        <w:tc>
          <w:tcPr>
            <w:tcW w:w="92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bottom w:val="single" w:sz="8" w:color="D1D2D4"/>
            </w:tcBorders>
            <w:shd w:val="clear" w:color="auto" w:fill="D1D2D4"/>
          </w:tcPr>
          <w:p>
            <w:pPr>
              <w:spacing w:after="0"/>
              <w:rPr>
                <w:sz w:val="14"/>
                <w:szCs w:val="14"/>
                <w:color w:val="auto"/>
              </w:rPr>
            </w:pPr>
          </w:p>
        </w:tc>
        <w:tc>
          <w:tcPr>
            <w:tcW w:w="5100" w:type="dxa"/>
            <w:vAlign w:val="bottom"/>
            <w:tcBorders>
              <w:top w:val="single" w:sz="8" w:color="auto"/>
              <w:bottom w:val="single" w:sz="8" w:color="auto"/>
            </w:tcBorders>
            <w:gridSpan w:val="25"/>
            <w:shd w:val="clear" w:color="auto" w:fill="D1D2D4"/>
          </w:tcPr>
          <w:p>
            <w:pPr>
              <w:spacing w:after="0" w:line="169" w:lineRule="exact"/>
              <w:rPr>
                <w:rFonts w:ascii="Arial" w:cs="Arial" w:eastAsia="Arial" w:hAnsi="Arial"/>
                <w:sz w:val="18"/>
                <w:szCs w:val="18"/>
                <w:color w:val="auto"/>
                <w:w w:val="98"/>
              </w:rPr>
            </w:pPr>
            <w:hyperlink r:id="rId214">
              <w:r>
                <w:rPr>
                  <w:rFonts w:ascii="Arial" w:cs="Arial" w:eastAsia="Arial" w:hAnsi="Arial"/>
                  <w:sz w:val="18"/>
                  <w:szCs w:val="18"/>
                  <w:color w:val="auto"/>
                  <w:w w:val="98"/>
                </w:rPr>
                <w:t>among Micron Technology, Inc., as borrower, Wells Fargo Bank,</w:t>
              </w:r>
            </w:hyperlink>
          </w:p>
        </w:tc>
        <w:tc>
          <w:tcPr>
            <w:tcW w:w="400" w:type="dxa"/>
            <w:vAlign w:val="bottom"/>
            <w:tcBorders>
              <w:top w:val="single" w:sz="8" w:color="auto"/>
              <w:bottom w:val="single" w:sz="8" w:color="D1D2D4"/>
            </w:tcBorders>
            <w:gridSpan w:val="11"/>
            <w:shd w:val="clear" w:color="auto" w:fill="D1D2D4"/>
          </w:tcPr>
          <w:p>
            <w:pPr>
              <w:spacing w:after="0"/>
              <w:rPr>
                <w:sz w:val="14"/>
                <w:szCs w:val="14"/>
                <w:color w:val="auto"/>
              </w:rPr>
            </w:pPr>
          </w:p>
        </w:tc>
        <w:tc>
          <w:tcPr>
            <w:tcW w:w="20" w:type="dxa"/>
            <w:vAlign w:val="bottom"/>
            <w:tcBorders>
              <w:top w:val="single" w:sz="8" w:color="D1D2D4"/>
              <w:bottom w:val="single" w:sz="8" w:color="D1D2D4"/>
            </w:tcBorders>
            <w:shd w:val="clear" w:color="auto" w:fill="D1D2D4"/>
          </w:tcPr>
          <w:p>
            <w:pPr>
              <w:spacing w:after="0"/>
              <w:rPr>
                <w:sz w:val="14"/>
                <w:szCs w:val="14"/>
                <w:color w:val="auto"/>
              </w:rPr>
            </w:pPr>
          </w:p>
        </w:tc>
        <w:tc>
          <w:tcPr>
            <w:tcW w:w="20" w:type="dxa"/>
            <w:vAlign w:val="bottom"/>
            <w:tcBorders>
              <w:top w:val="single" w:sz="8" w:color="D1D2D4"/>
              <w:bottom w:val="single" w:sz="8" w:color="D1D2D4"/>
            </w:tcBorders>
            <w:shd w:val="clear" w:color="auto" w:fill="D1D2D4"/>
          </w:tcPr>
          <w:p>
            <w:pPr>
              <w:spacing w:after="0"/>
              <w:rPr>
                <w:sz w:val="14"/>
                <w:szCs w:val="14"/>
                <w:color w:val="auto"/>
              </w:rPr>
            </w:pPr>
          </w:p>
        </w:tc>
        <w:tc>
          <w:tcPr>
            <w:tcW w:w="20" w:type="dxa"/>
            <w:vAlign w:val="bottom"/>
            <w:tcBorders>
              <w:top w:val="single" w:sz="8" w:color="D1D2D4"/>
              <w:bottom w:val="single" w:sz="8" w:color="D1D2D4"/>
            </w:tcBorders>
            <w:shd w:val="clear" w:color="auto" w:fill="D1D2D4"/>
          </w:tcPr>
          <w:p>
            <w:pPr>
              <w:spacing w:after="0"/>
              <w:rPr>
                <w:sz w:val="14"/>
                <w:szCs w:val="14"/>
                <w:color w:val="auto"/>
              </w:rPr>
            </w:pPr>
          </w:p>
        </w:tc>
        <w:tc>
          <w:tcPr>
            <w:tcW w:w="20" w:type="dxa"/>
            <w:vAlign w:val="bottom"/>
            <w:tcBorders>
              <w:top w:val="single" w:sz="8" w:color="D1D2D4"/>
              <w:bottom w:val="single" w:sz="8" w:color="D1D2D4"/>
            </w:tcBorders>
            <w:shd w:val="clear" w:color="auto" w:fill="D1D2D4"/>
          </w:tcPr>
          <w:p>
            <w:pPr>
              <w:spacing w:after="0"/>
              <w:rPr>
                <w:sz w:val="14"/>
                <w:szCs w:val="14"/>
                <w:color w:val="auto"/>
              </w:rPr>
            </w:pPr>
          </w:p>
        </w:tc>
        <w:tc>
          <w:tcPr>
            <w:tcW w:w="20" w:type="dxa"/>
            <w:vAlign w:val="bottom"/>
            <w:tcBorders>
              <w:top w:val="single" w:sz="8" w:color="D1D2D4"/>
              <w:bottom w:val="single" w:sz="8" w:color="D1D2D4"/>
            </w:tcBorders>
            <w:shd w:val="clear" w:color="auto" w:fill="D1D2D4"/>
          </w:tcPr>
          <w:p>
            <w:pPr>
              <w:spacing w:after="0"/>
              <w:rPr>
                <w:sz w:val="14"/>
                <w:szCs w:val="14"/>
                <w:color w:val="auto"/>
              </w:rPr>
            </w:pPr>
          </w:p>
        </w:tc>
        <w:tc>
          <w:tcPr>
            <w:tcW w:w="1700" w:type="dxa"/>
            <w:vAlign w:val="bottom"/>
            <w:tcBorders>
              <w:top w:val="single" w:sz="8" w:color="D1D2D4"/>
              <w:bottom w:val="single" w:sz="8" w:color="D1D2D4"/>
            </w:tcBorders>
            <w:shd w:val="clear" w:color="auto" w:fill="D1D2D4"/>
          </w:tcPr>
          <w:p>
            <w:pPr>
              <w:spacing w:after="0"/>
              <w:rPr>
                <w:sz w:val="14"/>
                <w:szCs w:val="14"/>
                <w:color w:val="auto"/>
              </w:rPr>
            </w:pPr>
          </w:p>
        </w:tc>
        <w:tc>
          <w:tcPr>
            <w:tcW w:w="920" w:type="dxa"/>
            <w:vAlign w:val="bottom"/>
            <w:tcBorders>
              <w:top w:val="single" w:sz="8" w:color="D1D2D4"/>
              <w:bottom w:val="single" w:sz="8" w:color="D1D2D4"/>
            </w:tcBorders>
            <w:shd w:val="clear" w:color="auto" w:fill="D1D2D4"/>
          </w:tcPr>
          <w:p>
            <w:pPr>
              <w:spacing w:after="0"/>
              <w:rPr>
                <w:sz w:val="14"/>
                <w:szCs w:val="14"/>
                <w:color w:val="auto"/>
              </w:rPr>
            </w:pPr>
          </w:p>
        </w:tc>
        <w:tc>
          <w:tcPr>
            <w:tcW w:w="1080" w:type="dxa"/>
            <w:vAlign w:val="bottom"/>
            <w:tcBorders>
              <w:top w:val="single" w:sz="8" w:color="D1D2D4"/>
              <w:bottom w:val="single" w:sz="8" w:color="D1D2D4"/>
            </w:tcBorders>
            <w:shd w:val="clear" w:color="auto" w:fill="D1D2D4"/>
          </w:tcPr>
          <w:p>
            <w:pPr>
              <w:spacing w:after="0"/>
              <w:rPr>
                <w:sz w:val="14"/>
                <w:szCs w:val="14"/>
                <w:color w:val="auto"/>
              </w:rPr>
            </w:pPr>
          </w:p>
        </w:tc>
        <w:tc>
          <w:tcPr>
            <w:tcW w:w="960" w:type="dxa"/>
            <w:vAlign w:val="bottom"/>
            <w:tcBorders>
              <w:top w:val="single" w:sz="8" w:color="D1D2D4"/>
              <w:bottom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shd w:val="clear" w:color="auto" w:fill="D1D2D4"/>
          </w:tcPr>
          <w:p>
            <w:pPr>
              <w:spacing w:after="0"/>
              <w:rPr>
                <w:sz w:val="13"/>
                <w:szCs w:val="13"/>
                <w:color w:val="auto"/>
              </w:rPr>
            </w:pPr>
          </w:p>
        </w:tc>
        <w:tc>
          <w:tcPr>
            <w:tcW w:w="5600" w:type="dxa"/>
            <w:vAlign w:val="bottom"/>
            <w:gridSpan w:val="41"/>
            <w:shd w:val="clear" w:color="auto" w:fill="D1D2D4"/>
          </w:tcPr>
          <w:p>
            <w:pPr>
              <w:spacing w:after="0" w:line="156" w:lineRule="exact"/>
              <w:rPr>
                <w:rFonts w:ascii="Arial" w:cs="Arial" w:eastAsia="Arial" w:hAnsi="Arial"/>
                <w:sz w:val="18"/>
                <w:szCs w:val="18"/>
                <w:color w:val="auto"/>
              </w:rPr>
            </w:pPr>
            <w:hyperlink r:id="rId214">
              <w:r>
                <w:rPr>
                  <w:rFonts w:ascii="Arial" w:cs="Arial" w:eastAsia="Arial" w:hAnsi="Arial"/>
                  <w:sz w:val="18"/>
                  <w:szCs w:val="18"/>
                  <w:color w:val="auto"/>
                </w:rPr>
                <w:t>National Association, as administrative agent, and the lenders party</w:t>
              </w:r>
            </w:hyperlink>
          </w:p>
        </w:tc>
        <w:tc>
          <w:tcPr>
            <w:tcW w:w="1700" w:type="dxa"/>
            <w:vAlign w:val="bottom"/>
            <w:shd w:val="clear" w:color="auto" w:fill="D1D2D4"/>
          </w:tcPr>
          <w:p>
            <w:pPr>
              <w:spacing w:after="0"/>
              <w:rPr>
                <w:sz w:val="13"/>
                <w:szCs w:val="13"/>
                <w:color w:val="auto"/>
              </w:rPr>
            </w:pPr>
          </w:p>
        </w:tc>
        <w:tc>
          <w:tcPr>
            <w:tcW w:w="92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80" w:type="dxa"/>
            <w:vAlign w:val="bottom"/>
            <w:tcBorders>
              <w:top w:val="single" w:sz="8" w:color="D1D2D4"/>
            </w:tcBorders>
            <w:shd w:val="clear" w:color="auto" w:fill="D1D2D4"/>
          </w:tcPr>
          <w:p>
            <w:pPr>
              <w:spacing w:after="0"/>
              <w:rPr>
                <w:sz w:val="13"/>
                <w:szCs w:val="13"/>
                <w:color w:val="auto"/>
              </w:rPr>
            </w:pPr>
          </w:p>
        </w:tc>
        <w:tc>
          <w:tcPr>
            <w:tcW w:w="5380" w:type="dxa"/>
            <w:vAlign w:val="bottom"/>
            <w:tcBorders>
              <w:top w:val="single" w:sz="8" w:color="auto"/>
            </w:tcBorders>
            <w:gridSpan w:val="30"/>
            <w:shd w:val="clear" w:color="auto" w:fill="D1D2D4"/>
          </w:tcPr>
          <w:p>
            <w:pPr>
              <w:spacing w:after="0" w:line="156" w:lineRule="exact"/>
              <w:rPr>
                <w:rFonts w:ascii="Arial" w:cs="Arial" w:eastAsia="Arial" w:hAnsi="Arial"/>
                <w:sz w:val="18"/>
                <w:szCs w:val="18"/>
                <w:color w:val="auto"/>
              </w:rPr>
            </w:pPr>
            <w:hyperlink r:id="rId214">
              <w:r>
                <w:rPr>
                  <w:rFonts w:ascii="Arial" w:cs="Arial" w:eastAsia="Arial" w:hAnsi="Arial"/>
                  <w:sz w:val="18"/>
                  <w:szCs w:val="18"/>
                  <w:color w:val="auto"/>
                </w:rPr>
                <w:t>thereto</w:t>
              </w:r>
            </w:hyperlink>
          </w:p>
        </w:tc>
        <w:tc>
          <w:tcPr>
            <w:tcW w:w="40" w:type="dxa"/>
            <w:vAlign w:val="bottom"/>
            <w:tcBorders>
              <w:top w:val="single" w:sz="8" w:color="D1D2D4"/>
            </w:tcBorders>
            <w:gridSpan w:val="2"/>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700" w:type="dxa"/>
            <w:vAlign w:val="bottom"/>
            <w:tcBorders>
              <w:top w:val="single" w:sz="8" w:color="D1D2D4"/>
            </w:tcBorders>
            <w:shd w:val="clear" w:color="auto" w:fill="D1D2D4"/>
          </w:tcPr>
          <w:p>
            <w:pPr>
              <w:spacing w:after="0"/>
              <w:rPr>
                <w:sz w:val="13"/>
                <w:szCs w:val="13"/>
                <w:color w:val="auto"/>
              </w:rPr>
            </w:pPr>
          </w:p>
        </w:tc>
        <w:tc>
          <w:tcPr>
            <w:tcW w:w="92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D1D2D4"/>
            </w:tcBorders>
            <w:shd w:val="clear" w:color="auto" w:fill="D1D2D4"/>
          </w:tcPr>
          <w:p>
            <w:pPr>
              <w:spacing w:after="0"/>
              <w:rPr>
                <w:sz w:val="2"/>
                <w:szCs w:val="2"/>
                <w:color w:val="auto"/>
              </w:rPr>
            </w:pPr>
          </w:p>
        </w:tc>
        <w:tc>
          <w:tcPr>
            <w:tcW w:w="460" w:type="dxa"/>
            <w:vAlign w:val="bottom"/>
            <w:tcBorders>
              <w:top w:val="single" w:sz="8" w:color="auto"/>
            </w:tcBorders>
            <w:shd w:val="clear" w:color="auto" w:fill="D1D2D4"/>
          </w:tcPr>
          <w:p>
            <w:pPr>
              <w:spacing w:after="0"/>
              <w:rPr>
                <w:sz w:val="2"/>
                <w:szCs w:val="2"/>
                <w:color w:val="auto"/>
              </w:rPr>
            </w:pPr>
          </w:p>
        </w:tc>
        <w:tc>
          <w:tcPr>
            <w:tcW w:w="100" w:type="dxa"/>
            <w:vAlign w:val="bottom"/>
            <w:tcBorders>
              <w:top w:val="single" w:sz="8" w:color="auto"/>
            </w:tcBorders>
            <w:shd w:val="clear" w:color="auto" w:fill="D1D2D4"/>
          </w:tcPr>
          <w:p>
            <w:pPr>
              <w:spacing w:after="0"/>
              <w:rPr>
                <w:sz w:val="2"/>
                <w:szCs w:val="2"/>
                <w:color w:val="auto"/>
              </w:rPr>
            </w:pPr>
          </w:p>
        </w:tc>
        <w:tc>
          <w:tcPr>
            <w:tcW w:w="300" w:type="dxa"/>
            <w:vAlign w:val="bottom"/>
            <w:tcBorders>
              <w:top w:val="single" w:sz="8" w:color="D1D2D4"/>
            </w:tcBorders>
            <w:shd w:val="clear" w:color="auto" w:fill="D1D2D4"/>
          </w:tcPr>
          <w:p>
            <w:pPr>
              <w:spacing w:after="0"/>
              <w:rPr>
                <w:sz w:val="2"/>
                <w:szCs w:val="2"/>
                <w:color w:val="auto"/>
              </w:rPr>
            </w:pPr>
          </w:p>
        </w:tc>
        <w:tc>
          <w:tcPr>
            <w:tcW w:w="14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660" w:type="dxa"/>
            <w:vAlign w:val="bottom"/>
            <w:tcBorders>
              <w:top w:val="single" w:sz="8" w:color="D1D2D4"/>
            </w:tcBorders>
            <w:shd w:val="clear" w:color="auto" w:fill="D1D2D4"/>
          </w:tcPr>
          <w:p>
            <w:pPr>
              <w:spacing w:after="0"/>
              <w:rPr>
                <w:sz w:val="2"/>
                <w:szCs w:val="2"/>
                <w:color w:val="auto"/>
              </w:rPr>
            </w:pPr>
          </w:p>
        </w:tc>
        <w:tc>
          <w:tcPr>
            <w:tcW w:w="280" w:type="dxa"/>
            <w:vAlign w:val="bottom"/>
            <w:tcBorders>
              <w:top w:val="single" w:sz="8" w:color="D1D2D4"/>
            </w:tcBorders>
            <w:shd w:val="clear" w:color="auto" w:fill="D1D2D4"/>
          </w:tcPr>
          <w:p>
            <w:pPr>
              <w:spacing w:after="0"/>
              <w:rPr>
                <w:sz w:val="2"/>
                <w:szCs w:val="2"/>
                <w:color w:val="auto"/>
              </w:rPr>
            </w:pPr>
          </w:p>
        </w:tc>
        <w:tc>
          <w:tcPr>
            <w:tcW w:w="400" w:type="dxa"/>
            <w:vAlign w:val="bottom"/>
            <w:tcBorders>
              <w:top w:val="single" w:sz="8" w:color="D1D2D4"/>
            </w:tcBorders>
            <w:shd w:val="clear" w:color="auto" w:fill="D1D2D4"/>
          </w:tcPr>
          <w:p>
            <w:pPr>
              <w:spacing w:after="0"/>
              <w:rPr>
                <w:sz w:val="2"/>
                <w:szCs w:val="2"/>
                <w:color w:val="auto"/>
              </w:rPr>
            </w:pPr>
          </w:p>
        </w:tc>
        <w:tc>
          <w:tcPr>
            <w:tcW w:w="100" w:type="dxa"/>
            <w:vAlign w:val="bottom"/>
            <w:tcBorders>
              <w:top w:val="single" w:sz="8" w:color="D1D2D4"/>
            </w:tcBorders>
            <w:shd w:val="clear" w:color="auto" w:fill="D1D2D4"/>
          </w:tcPr>
          <w:p>
            <w:pPr>
              <w:spacing w:after="0"/>
              <w:rPr>
                <w:sz w:val="2"/>
                <w:szCs w:val="2"/>
                <w:color w:val="auto"/>
              </w:rPr>
            </w:pPr>
          </w:p>
        </w:tc>
        <w:tc>
          <w:tcPr>
            <w:tcW w:w="460" w:type="dxa"/>
            <w:vAlign w:val="bottom"/>
            <w:tcBorders>
              <w:top w:val="single" w:sz="8" w:color="D1D2D4"/>
            </w:tcBorders>
            <w:shd w:val="clear" w:color="auto" w:fill="D1D2D4"/>
          </w:tcPr>
          <w:p>
            <w:pPr>
              <w:spacing w:after="0"/>
              <w:rPr>
                <w:sz w:val="2"/>
                <w:szCs w:val="2"/>
                <w:color w:val="auto"/>
              </w:rPr>
            </w:pPr>
          </w:p>
        </w:tc>
        <w:tc>
          <w:tcPr>
            <w:tcW w:w="8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400" w:type="dxa"/>
            <w:vAlign w:val="bottom"/>
            <w:tcBorders>
              <w:top w:val="single" w:sz="8" w:color="D1D2D4"/>
            </w:tcBorders>
            <w:shd w:val="clear" w:color="auto" w:fill="D1D2D4"/>
          </w:tcPr>
          <w:p>
            <w:pPr>
              <w:spacing w:after="0"/>
              <w:rPr>
                <w:sz w:val="2"/>
                <w:szCs w:val="2"/>
                <w:color w:val="auto"/>
              </w:rPr>
            </w:pPr>
          </w:p>
        </w:tc>
        <w:tc>
          <w:tcPr>
            <w:tcW w:w="18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120" w:type="dxa"/>
            <w:vAlign w:val="bottom"/>
            <w:tcBorders>
              <w:top w:val="single" w:sz="8" w:color="D1D2D4"/>
            </w:tcBorders>
            <w:shd w:val="clear" w:color="auto" w:fill="D1D2D4"/>
          </w:tcPr>
          <w:p>
            <w:pPr>
              <w:spacing w:after="0"/>
              <w:rPr>
                <w:sz w:val="2"/>
                <w:szCs w:val="2"/>
                <w:color w:val="auto"/>
              </w:rPr>
            </w:pPr>
          </w:p>
        </w:tc>
        <w:tc>
          <w:tcPr>
            <w:tcW w:w="540" w:type="dxa"/>
            <w:vAlign w:val="bottom"/>
            <w:tcBorders>
              <w:top w:val="single" w:sz="8" w:color="D1D2D4"/>
            </w:tcBorders>
            <w:shd w:val="clear" w:color="auto" w:fill="D1D2D4"/>
          </w:tcPr>
          <w:p>
            <w:pPr>
              <w:spacing w:after="0"/>
              <w:rPr>
                <w:sz w:val="2"/>
                <w:szCs w:val="2"/>
                <w:color w:val="auto"/>
              </w:rPr>
            </w:pPr>
          </w:p>
        </w:tc>
        <w:tc>
          <w:tcPr>
            <w:tcW w:w="240" w:type="dxa"/>
            <w:vAlign w:val="bottom"/>
            <w:tcBorders>
              <w:top w:val="single" w:sz="8" w:color="D1D2D4"/>
            </w:tcBorders>
            <w:shd w:val="clear" w:color="auto" w:fill="D1D2D4"/>
          </w:tcPr>
          <w:p>
            <w:pPr>
              <w:spacing w:after="0"/>
              <w:rPr>
                <w:sz w:val="2"/>
                <w:szCs w:val="2"/>
                <w:color w:val="auto"/>
              </w:rPr>
            </w:pPr>
          </w:p>
        </w:tc>
        <w:tc>
          <w:tcPr>
            <w:tcW w:w="60" w:type="dxa"/>
            <w:vAlign w:val="bottom"/>
            <w:tcBorders>
              <w:top w:val="single" w:sz="8" w:color="D1D2D4"/>
            </w:tcBorders>
            <w:shd w:val="clear" w:color="auto" w:fill="D1D2D4"/>
          </w:tcPr>
          <w:p>
            <w:pPr>
              <w:spacing w:after="0"/>
              <w:rPr>
                <w:sz w:val="2"/>
                <w:szCs w:val="2"/>
                <w:color w:val="auto"/>
              </w:rPr>
            </w:pPr>
          </w:p>
        </w:tc>
        <w:tc>
          <w:tcPr>
            <w:tcW w:w="14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4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80" w:type="dxa"/>
            <w:vAlign w:val="bottom"/>
            <w:tcBorders>
              <w:top w:val="single" w:sz="8" w:color="D1D2D4"/>
              <w:left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80" w:type="dxa"/>
            <w:vAlign w:val="bottom"/>
            <w:tcBorders>
              <w:top w:val="single" w:sz="8" w:color="D1D2D4"/>
            </w:tcBorders>
            <w:shd w:val="clear" w:color="auto" w:fill="D1D2D4"/>
          </w:tcPr>
          <w:p>
            <w:pPr>
              <w:spacing w:after="0"/>
              <w:rPr>
                <w:sz w:val="2"/>
                <w:szCs w:val="2"/>
                <w:color w:val="auto"/>
              </w:rPr>
            </w:pPr>
          </w:p>
        </w:tc>
        <w:tc>
          <w:tcPr>
            <w:tcW w:w="1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4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1700" w:type="dxa"/>
            <w:vAlign w:val="bottom"/>
            <w:tcBorders>
              <w:top w:val="single" w:sz="8" w:color="D1D2D4"/>
            </w:tcBorders>
            <w:shd w:val="clear" w:color="auto" w:fill="D1D2D4"/>
          </w:tcPr>
          <w:p>
            <w:pPr>
              <w:spacing w:after="0"/>
              <w:rPr>
                <w:sz w:val="2"/>
                <w:szCs w:val="2"/>
                <w:color w:val="auto"/>
              </w:rPr>
            </w:pPr>
          </w:p>
        </w:tc>
        <w:tc>
          <w:tcPr>
            <w:tcW w:w="920" w:type="dxa"/>
            <w:vAlign w:val="bottom"/>
            <w:tcBorders>
              <w:top w:val="single" w:sz="8" w:color="D1D2D4"/>
            </w:tcBorders>
            <w:shd w:val="clear" w:color="auto" w:fill="D1D2D4"/>
          </w:tcPr>
          <w:p>
            <w:pPr>
              <w:spacing w:after="0"/>
              <w:rPr>
                <w:sz w:val="2"/>
                <w:szCs w:val="2"/>
                <w:color w:val="auto"/>
              </w:rPr>
            </w:pPr>
          </w:p>
        </w:tc>
        <w:tc>
          <w:tcPr>
            <w:tcW w:w="1080" w:type="dxa"/>
            <w:vAlign w:val="bottom"/>
            <w:tcBorders>
              <w:top w:val="single" w:sz="8" w:color="D1D2D4"/>
            </w:tcBorders>
            <w:shd w:val="clear" w:color="auto" w:fill="D1D2D4"/>
          </w:tcPr>
          <w:p>
            <w:pPr>
              <w:spacing w:after="0"/>
              <w:rPr>
                <w:sz w:val="2"/>
                <w:szCs w:val="2"/>
                <w:color w:val="auto"/>
              </w:rPr>
            </w:pPr>
          </w:p>
        </w:tc>
        <w:tc>
          <w:tcPr>
            <w:tcW w:w="960" w:type="dxa"/>
            <w:vAlign w:val="bottom"/>
            <w:tcBorders>
              <w:top w:val="single" w:sz="8" w:color="D1D2D4"/>
            </w:tcBorders>
            <w:shd w:val="clear" w:color="auto" w:fill="D1D2D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10.21</w:t>
            </w:r>
          </w:p>
        </w:tc>
        <w:tc>
          <w:tcPr>
            <w:tcW w:w="5600" w:type="dxa"/>
            <w:vAlign w:val="bottom"/>
            <w:gridSpan w:val="41"/>
          </w:tcPr>
          <w:p>
            <w:pPr>
              <w:spacing w:after="0" w:line="189" w:lineRule="exact"/>
              <w:rPr>
                <w:rFonts w:ascii="Arial" w:cs="Arial" w:eastAsia="Arial" w:hAnsi="Arial"/>
                <w:sz w:val="18"/>
                <w:szCs w:val="18"/>
                <w:color w:val="auto"/>
              </w:rPr>
            </w:pPr>
            <w:hyperlink r:id="rId215">
              <w:r>
                <w:rPr>
                  <w:rFonts w:ascii="Arial" w:cs="Arial" w:eastAsia="Arial" w:hAnsi="Arial"/>
                  <w:sz w:val="18"/>
                  <w:szCs w:val="18"/>
                  <w:color w:val="auto"/>
                </w:rPr>
                <w:t>Amendment No. 1 to Term Loan Credit Agreement, dated as of</w:t>
              </w:r>
            </w:hyperlink>
          </w:p>
        </w:tc>
        <w:tc>
          <w:tcPr>
            <w:tcW w:w="1700" w:type="dxa"/>
            <w:vAlign w:val="bottom"/>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3/2/23</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5600" w:type="dxa"/>
            <w:vAlign w:val="bottom"/>
            <w:gridSpan w:val="41"/>
          </w:tcPr>
          <w:p>
            <w:pPr>
              <w:spacing w:after="0" w:line="156" w:lineRule="exact"/>
              <w:rPr>
                <w:rFonts w:ascii="Arial" w:cs="Arial" w:eastAsia="Arial" w:hAnsi="Arial"/>
                <w:sz w:val="18"/>
                <w:szCs w:val="18"/>
                <w:color w:val="auto"/>
              </w:rPr>
            </w:pPr>
            <w:hyperlink r:id="rId215">
              <w:r>
                <w:rPr>
                  <w:rFonts w:ascii="Arial" w:cs="Arial" w:eastAsia="Arial" w:hAnsi="Arial"/>
                  <w:sz w:val="18"/>
                  <w:szCs w:val="18"/>
                  <w:color w:val="auto"/>
                </w:rPr>
                <w:t>March 27, 2023, by and among Micron Technology, Inc., as borrower,</w:t>
              </w:r>
            </w:hyperlink>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560" w:type="dxa"/>
            <w:vAlign w:val="bottom"/>
            <w:tcBorders>
              <w:top w:val="single" w:sz="8" w:color="auto"/>
            </w:tcBorders>
            <w:gridSpan w:val="39"/>
          </w:tcPr>
          <w:p>
            <w:pPr>
              <w:spacing w:after="0" w:line="169" w:lineRule="exact"/>
              <w:rPr>
                <w:rFonts w:ascii="Arial" w:cs="Arial" w:eastAsia="Arial" w:hAnsi="Arial"/>
                <w:sz w:val="18"/>
                <w:szCs w:val="18"/>
                <w:color w:val="auto"/>
              </w:rPr>
            </w:pPr>
            <w:hyperlink r:id="rId215">
              <w:r>
                <w:rPr>
                  <w:rFonts w:ascii="Arial" w:cs="Arial" w:eastAsia="Arial" w:hAnsi="Arial"/>
                  <w:sz w:val="18"/>
                  <w:szCs w:val="18"/>
                  <w:color w:val="auto"/>
                </w:rPr>
                <w:t>Wells Fargo Bank, National Association, as administrative agent,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540" w:type="dxa"/>
            <w:vAlign w:val="bottom"/>
            <w:tcBorders>
              <w:top w:val="single" w:sz="8" w:color="auto"/>
            </w:tcBorders>
            <w:gridSpan w:val="38"/>
          </w:tcPr>
          <w:p>
            <w:pPr>
              <w:spacing w:after="0" w:line="156" w:lineRule="exact"/>
              <w:rPr>
                <w:rFonts w:ascii="Arial" w:cs="Arial" w:eastAsia="Arial" w:hAnsi="Arial"/>
                <w:sz w:val="18"/>
                <w:szCs w:val="18"/>
                <w:color w:val="auto"/>
              </w:rPr>
            </w:pPr>
            <w:hyperlink r:id="rId215">
              <w:r>
                <w:rPr>
                  <w:rFonts w:ascii="Arial" w:cs="Arial" w:eastAsia="Arial" w:hAnsi="Arial"/>
                  <w:sz w:val="18"/>
                  <w:szCs w:val="18"/>
                  <w:color w:val="auto"/>
                </w:rPr>
                <w:t>the lenders party thereto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10.22</w:t>
            </w:r>
          </w:p>
        </w:tc>
        <w:tc>
          <w:tcPr>
            <w:tcW w:w="5600" w:type="dxa"/>
            <w:vAlign w:val="bottom"/>
            <w:gridSpan w:val="41"/>
            <w:shd w:val="clear" w:color="auto" w:fill="D1D2D4"/>
          </w:tcPr>
          <w:p>
            <w:pPr>
              <w:spacing w:after="0" w:line="189" w:lineRule="exact"/>
              <w:rPr>
                <w:rFonts w:ascii="Arial" w:cs="Arial" w:eastAsia="Arial" w:hAnsi="Arial"/>
                <w:sz w:val="18"/>
                <w:szCs w:val="18"/>
                <w:color w:val="auto"/>
              </w:rPr>
            </w:pPr>
            <w:hyperlink r:id="rId216">
              <w:r>
                <w:rPr>
                  <w:rFonts w:ascii="Arial" w:cs="Arial" w:eastAsia="Arial" w:hAnsi="Arial"/>
                  <w:sz w:val="18"/>
                  <w:szCs w:val="18"/>
                  <w:color w:val="auto"/>
                </w:rPr>
                <w:t>Amendment No. 2 to Term Loan Credit Agreement, dated as of</w:t>
              </w:r>
            </w:hyperlink>
          </w:p>
        </w:tc>
        <w:tc>
          <w:tcPr>
            <w:tcW w:w="170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3/2/23</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20"/>
        </w:trPr>
        <w:tc>
          <w:tcPr>
            <w:tcW w:w="980" w:type="dxa"/>
            <w:vAlign w:val="bottom"/>
            <w:shd w:val="clear" w:color="auto" w:fill="D1D2D4"/>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1380" w:type="dxa"/>
            <w:vAlign w:val="bottom"/>
            <w:gridSpan w:val="8"/>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D1D2D4"/>
            </w:tcBorders>
            <w:gridSpan w:val="3"/>
            <w:shd w:val="clear" w:color="auto" w:fill="D1D2D4"/>
          </w:tcPr>
          <w:p>
            <w:pPr>
              <w:spacing w:after="0" w:line="20" w:lineRule="exact"/>
              <w:rPr>
                <w:sz w:val="1"/>
                <w:szCs w:val="1"/>
                <w:color w:val="auto"/>
              </w:rPr>
            </w:pPr>
          </w:p>
        </w:tc>
        <w:tc>
          <w:tcPr>
            <w:tcW w:w="240" w:type="dxa"/>
            <w:vAlign w:val="bottom"/>
            <w:gridSpan w:val="6"/>
            <w:shd w:val="clear" w:color="auto" w:fill="D1D2D4"/>
          </w:tcPr>
          <w:p>
            <w:pPr>
              <w:spacing w:after="0" w:line="20" w:lineRule="exact"/>
              <w:rPr>
                <w:sz w:val="1"/>
                <w:szCs w:val="1"/>
                <w:color w:val="auto"/>
              </w:rPr>
            </w:pPr>
          </w:p>
        </w:tc>
        <w:tc>
          <w:tcPr>
            <w:tcW w:w="40" w:type="dxa"/>
            <w:vAlign w:val="bottom"/>
            <w:gridSpan w:val="2"/>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40" w:type="dxa"/>
            <w:vAlign w:val="bottom"/>
            <w:gridSpan w:val="2"/>
            <w:shd w:val="clear" w:color="auto" w:fill="D1D2D4"/>
          </w:tcPr>
          <w:p>
            <w:pPr>
              <w:spacing w:after="0" w:line="20" w:lineRule="exact"/>
              <w:rPr>
                <w:sz w:val="1"/>
                <w:szCs w:val="1"/>
                <w:color w:val="auto"/>
              </w:rPr>
            </w:pPr>
          </w:p>
        </w:tc>
        <w:tc>
          <w:tcPr>
            <w:tcW w:w="60" w:type="dxa"/>
            <w:vAlign w:val="bottom"/>
            <w:gridSpan w:val="3"/>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1700" w:type="dxa"/>
            <w:vAlign w:val="bottom"/>
            <w:shd w:val="clear" w:color="auto" w:fill="D1D2D4"/>
          </w:tcPr>
          <w:p>
            <w:pPr>
              <w:spacing w:after="0" w:line="20" w:lineRule="exact"/>
              <w:rPr>
                <w:sz w:val="1"/>
                <w:szCs w:val="1"/>
                <w:color w:val="auto"/>
              </w:rPr>
            </w:pPr>
          </w:p>
        </w:tc>
        <w:tc>
          <w:tcPr>
            <w:tcW w:w="920" w:type="dxa"/>
            <w:vAlign w:val="bottom"/>
            <w:shd w:val="clear" w:color="auto" w:fill="D1D2D4"/>
          </w:tcPr>
          <w:p>
            <w:pPr>
              <w:spacing w:after="0" w:line="20" w:lineRule="exact"/>
              <w:rPr>
                <w:sz w:val="1"/>
                <w:szCs w:val="1"/>
                <w:color w:val="auto"/>
              </w:rPr>
            </w:pPr>
          </w:p>
        </w:tc>
        <w:tc>
          <w:tcPr>
            <w:tcW w:w="1080" w:type="dxa"/>
            <w:vAlign w:val="bottom"/>
            <w:shd w:val="clear" w:color="auto" w:fill="D1D2D4"/>
          </w:tcPr>
          <w:p>
            <w:pPr>
              <w:spacing w:after="0" w:line="20" w:lineRule="exact"/>
              <w:rPr>
                <w:sz w:val="1"/>
                <w:szCs w:val="1"/>
                <w:color w:val="auto"/>
              </w:rPr>
            </w:pPr>
          </w:p>
        </w:tc>
        <w:tc>
          <w:tcPr>
            <w:tcW w:w="96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shd w:val="clear" w:color="auto" w:fill="D1D2D4"/>
          </w:tcPr>
          <w:p>
            <w:pPr>
              <w:spacing w:after="0"/>
              <w:rPr>
                <w:sz w:val="13"/>
                <w:szCs w:val="13"/>
                <w:color w:val="auto"/>
              </w:rPr>
            </w:pPr>
          </w:p>
        </w:tc>
        <w:tc>
          <w:tcPr>
            <w:tcW w:w="5600" w:type="dxa"/>
            <w:vAlign w:val="bottom"/>
            <w:gridSpan w:val="41"/>
            <w:shd w:val="clear" w:color="auto" w:fill="D1D2D4"/>
          </w:tcPr>
          <w:p>
            <w:pPr>
              <w:spacing w:after="0" w:line="156" w:lineRule="exact"/>
              <w:rPr>
                <w:rFonts w:ascii="Arial" w:cs="Arial" w:eastAsia="Arial" w:hAnsi="Arial"/>
                <w:sz w:val="18"/>
                <w:szCs w:val="18"/>
                <w:color w:val="auto"/>
              </w:rPr>
            </w:pPr>
            <w:hyperlink r:id="rId216">
              <w:r>
                <w:rPr>
                  <w:rFonts w:ascii="Arial" w:cs="Arial" w:eastAsia="Arial" w:hAnsi="Arial"/>
                  <w:sz w:val="18"/>
                  <w:szCs w:val="18"/>
                  <w:color w:val="auto"/>
                </w:rPr>
                <w:t>March 27, 2023, by and among Micron Technology, Inc., as borrower,</w:t>
              </w:r>
            </w:hyperlink>
          </w:p>
        </w:tc>
        <w:tc>
          <w:tcPr>
            <w:tcW w:w="1700" w:type="dxa"/>
            <w:vAlign w:val="bottom"/>
            <w:shd w:val="clear" w:color="auto" w:fill="D1D2D4"/>
          </w:tcPr>
          <w:p>
            <w:pPr>
              <w:spacing w:after="0"/>
              <w:rPr>
                <w:sz w:val="13"/>
                <w:szCs w:val="13"/>
                <w:color w:val="auto"/>
              </w:rPr>
            </w:pPr>
          </w:p>
        </w:tc>
        <w:tc>
          <w:tcPr>
            <w:tcW w:w="920" w:type="dxa"/>
            <w:vAlign w:val="bottom"/>
            <w:shd w:val="clear" w:color="auto" w:fill="D1D2D4"/>
          </w:tcPr>
          <w:p>
            <w:pPr>
              <w:spacing w:after="0"/>
              <w:rPr>
                <w:sz w:val="13"/>
                <w:szCs w:val="13"/>
                <w:color w:val="auto"/>
              </w:rPr>
            </w:pPr>
          </w:p>
        </w:tc>
        <w:tc>
          <w:tcPr>
            <w:tcW w:w="1080" w:type="dxa"/>
            <w:vAlign w:val="bottom"/>
            <w:shd w:val="clear" w:color="auto" w:fill="D1D2D4"/>
          </w:tcPr>
          <w:p>
            <w:pPr>
              <w:spacing w:after="0"/>
              <w:rPr>
                <w:sz w:val="13"/>
                <w:szCs w:val="13"/>
                <w:color w:val="auto"/>
              </w:rPr>
            </w:pPr>
          </w:p>
        </w:tc>
        <w:tc>
          <w:tcPr>
            <w:tcW w:w="960" w:type="dxa"/>
            <w:vAlign w:val="bottom"/>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560" w:type="dxa"/>
            <w:vAlign w:val="bottom"/>
            <w:tcBorders>
              <w:top w:val="single" w:sz="8" w:color="auto"/>
            </w:tcBorders>
            <w:gridSpan w:val="39"/>
            <w:shd w:val="clear" w:color="auto" w:fill="D1D2D4"/>
          </w:tcPr>
          <w:p>
            <w:pPr>
              <w:spacing w:after="0" w:line="169" w:lineRule="exact"/>
              <w:rPr>
                <w:rFonts w:ascii="Arial" w:cs="Arial" w:eastAsia="Arial" w:hAnsi="Arial"/>
                <w:sz w:val="18"/>
                <w:szCs w:val="18"/>
                <w:color w:val="auto"/>
              </w:rPr>
            </w:pPr>
            <w:hyperlink r:id="rId216">
              <w:r>
                <w:rPr>
                  <w:rFonts w:ascii="Arial" w:cs="Arial" w:eastAsia="Arial" w:hAnsi="Arial"/>
                  <w:sz w:val="18"/>
                  <w:szCs w:val="18"/>
                  <w:color w:val="auto"/>
                </w:rPr>
                <w:t>Wells Fargo Bank, National Association, as administrative agent, and</w:t>
              </w:r>
            </w:hyperlink>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700" w:type="dxa"/>
            <w:vAlign w:val="bottom"/>
            <w:tcBorders>
              <w:top w:val="single" w:sz="8" w:color="D1D2D4"/>
            </w:tcBorders>
            <w:shd w:val="clear" w:color="auto" w:fill="D1D2D4"/>
          </w:tcPr>
          <w:p>
            <w:pPr>
              <w:spacing w:after="0"/>
              <w:rPr>
                <w:sz w:val="14"/>
                <w:szCs w:val="14"/>
                <w:color w:val="auto"/>
              </w:rPr>
            </w:pPr>
          </w:p>
        </w:tc>
        <w:tc>
          <w:tcPr>
            <w:tcW w:w="92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1960" w:type="dxa"/>
            <w:vAlign w:val="bottom"/>
            <w:tcBorders>
              <w:top w:val="single" w:sz="8" w:color="auto"/>
              <w:bottom w:val="single" w:sz="8" w:color="auto"/>
            </w:tcBorders>
            <w:gridSpan w:val="7"/>
            <w:shd w:val="clear" w:color="auto" w:fill="D1D2D4"/>
          </w:tcPr>
          <w:p>
            <w:pPr>
              <w:spacing w:after="0" w:line="156" w:lineRule="exact"/>
              <w:rPr>
                <w:rFonts w:ascii="Arial" w:cs="Arial" w:eastAsia="Arial" w:hAnsi="Arial"/>
                <w:sz w:val="18"/>
                <w:szCs w:val="18"/>
                <w:color w:val="auto"/>
                <w:w w:val="99"/>
              </w:rPr>
            </w:pPr>
            <w:hyperlink r:id="rId216">
              <w:r>
                <w:rPr>
                  <w:rFonts w:ascii="Arial" w:cs="Arial" w:eastAsia="Arial" w:hAnsi="Arial"/>
                  <w:sz w:val="18"/>
                  <w:szCs w:val="18"/>
                  <w:color w:val="auto"/>
                  <w:w w:val="99"/>
                </w:rPr>
                <w:t>the lenders party thereto</w:t>
              </w:r>
            </w:hyperlink>
          </w:p>
        </w:tc>
        <w:tc>
          <w:tcPr>
            <w:tcW w:w="3580" w:type="dxa"/>
            <w:vAlign w:val="bottom"/>
            <w:tcBorders>
              <w:top w:val="single" w:sz="8" w:color="auto"/>
              <w:bottom w:val="single" w:sz="8" w:color="D1D2D4"/>
            </w:tcBorders>
            <w:gridSpan w:val="31"/>
            <w:shd w:val="clear" w:color="auto" w:fill="D1D2D4"/>
          </w:tcPr>
          <w:p>
            <w:pPr>
              <w:spacing w:after="0"/>
              <w:rPr>
                <w:sz w:val="15"/>
                <w:szCs w:val="15"/>
                <w:color w:val="auto"/>
              </w:rPr>
            </w:pPr>
          </w:p>
        </w:tc>
        <w:tc>
          <w:tcPr>
            <w:tcW w:w="4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1700" w:type="dxa"/>
            <w:vAlign w:val="bottom"/>
            <w:tcBorders>
              <w:top w:val="single" w:sz="8" w:color="D1D2D4"/>
              <w:bottom w:val="single" w:sz="8" w:color="D1D2D4"/>
            </w:tcBorders>
            <w:shd w:val="clear" w:color="auto" w:fill="D1D2D4"/>
          </w:tcPr>
          <w:p>
            <w:pPr>
              <w:spacing w:after="0"/>
              <w:rPr>
                <w:sz w:val="15"/>
                <w:szCs w:val="15"/>
                <w:color w:val="auto"/>
              </w:rPr>
            </w:pPr>
          </w:p>
        </w:tc>
        <w:tc>
          <w:tcPr>
            <w:tcW w:w="92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10.23</w:t>
            </w:r>
          </w:p>
        </w:tc>
        <w:tc>
          <w:tcPr>
            <w:tcW w:w="5600" w:type="dxa"/>
            <w:vAlign w:val="bottom"/>
            <w:gridSpan w:val="41"/>
          </w:tcPr>
          <w:p>
            <w:pPr>
              <w:spacing w:after="0" w:line="189" w:lineRule="exact"/>
              <w:rPr>
                <w:rFonts w:ascii="Arial" w:cs="Arial" w:eastAsia="Arial" w:hAnsi="Arial"/>
                <w:sz w:val="18"/>
                <w:szCs w:val="18"/>
                <w:color w:val="auto"/>
              </w:rPr>
            </w:pPr>
            <w:hyperlink r:id="rId217">
              <w:r>
                <w:rPr>
                  <w:rFonts w:ascii="Arial" w:cs="Arial" w:eastAsia="Arial" w:hAnsi="Arial"/>
                  <w:sz w:val="18"/>
                  <w:szCs w:val="18"/>
                  <w:color w:val="auto"/>
                </w:rPr>
                <w:t>Amendment No. 1 to Credit Agreement, dated as of March 27, 2023,</w:t>
              </w:r>
            </w:hyperlink>
          </w:p>
        </w:tc>
        <w:tc>
          <w:tcPr>
            <w:tcW w:w="1700" w:type="dxa"/>
            <w:vAlign w:val="bottom"/>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3/2/23</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10.4</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180" w:type="dxa"/>
            <w:vAlign w:val="bottom"/>
            <w:tcBorders>
              <w:top w:val="single" w:sz="8" w:color="auto"/>
              <w:bottom w:val="single" w:sz="8" w:color="auto"/>
            </w:tcBorders>
            <w:gridSpan w:val="26"/>
          </w:tcPr>
          <w:p>
            <w:pPr>
              <w:spacing w:after="0" w:line="156" w:lineRule="exact"/>
              <w:rPr>
                <w:rFonts w:ascii="Arial" w:cs="Arial" w:eastAsia="Arial" w:hAnsi="Arial"/>
                <w:sz w:val="18"/>
                <w:szCs w:val="18"/>
                <w:color w:val="auto"/>
                <w:w w:val="98"/>
              </w:rPr>
            </w:pPr>
            <w:hyperlink r:id="rId217">
              <w:r>
                <w:rPr>
                  <w:rFonts w:ascii="Arial" w:cs="Arial" w:eastAsia="Arial" w:hAnsi="Arial"/>
                  <w:sz w:val="18"/>
                  <w:szCs w:val="18"/>
                  <w:color w:val="auto"/>
                  <w:w w:val="98"/>
                </w:rPr>
                <w:t>by and among Micron Technology, Inc., as borrower, HSBC Bank</w:t>
              </w:r>
            </w:hyperlink>
          </w:p>
        </w:tc>
        <w:tc>
          <w:tcPr>
            <w:tcW w:w="300" w:type="dxa"/>
            <w:vAlign w:val="bottom"/>
            <w:tcBorders>
              <w:top w:val="single" w:sz="8" w:color="auto"/>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600" w:type="dxa"/>
            <w:vAlign w:val="bottom"/>
            <w:gridSpan w:val="41"/>
          </w:tcPr>
          <w:p>
            <w:pPr>
              <w:spacing w:after="0" w:line="169" w:lineRule="exact"/>
              <w:rPr>
                <w:rFonts w:ascii="Arial" w:cs="Arial" w:eastAsia="Arial" w:hAnsi="Arial"/>
                <w:sz w:val="18"/>
                <w:szCs w:val="18"/>
                <w:color w:val="auto"/>
              </w:rPr>
            </w:pPr>
            <w:hyperlink r:id="rId217">
              <w:r>
                <w:rPr>
                  <w:rFonts w:ascii="Arial" w:cs="Arial" w:eastAsia="Arial" w:hAnsi="Arial"/>
                  <w:sz w:val="18"/>
                  <w:szCs w:val="18"/>
                  <w:color w:val="auto"/>
                </w:rPr>
                <w:t>USA, National Association, as administrative agent, and the lenders</w:t>
              </w:r>
            </w:hyperlink>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420" w:type="dxa"/>
            <w:vAlign w:val="bottom"/>
            <w:tcBorders>
              <w:top w:val="single" w:sz="8" w:color="auto"/>
            </w:tcBorders>
            <w:gridSpan w:val="32"/>
          </w:tcPr>
          <w:p>
            <w:pPr>
              <w:spacing w:after="0" w:line="156" w:lineRule="exact"/>
              <w:rPr>
                <w:rFonts w:ascii="Arial" w:cs="Arial" w:eastAsia="Arial" w:hAnsi="Arial"/>
                <w:sz w:val="18"/>
                <w:szCs w:val="18"/>
                <w:color w:val="auto"/>
              </w:rPr>
            </w:pPr>
            <w:hyperlink r:id="rId217">
              <w:r>
                <w:rPr>
                  <w:rFonts w:ascii="Arial" w:cs="Arial" w:eastAsia="Arial" w:hAnsi="Arial"/>
                  <w:sz w:val="18"/>
                  <w:szCs w:val="18"/>
                  <w:color w:val="auto"/>
                </w:rPr>
                <w:t>party thereto</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10.24*</w:t>
            </w:r>
          </w:p>
        </w:tc>
        <w:tc>
          <w:tcPr>
            <w:tcW w:w="3740" w:type="dxa"/>
            <w:vAlign w:val="bottom"/>
            <w:tcBorders>
              <w:bottom w:val="single" w:sz="8" w:color="auto"/>
            </w:tcBorders>
            <w:gridSpan w:val="16"/>
            <w:shd w:val="clear" w:color="auto" w:fill="D1D2D4"/>
          </w:tcPr>
          <w:p>
            <w:pPr>
              <w:spacing w:after="0" w:line="189" w:lineRule="exact"/>
              <w:rPr>
                <w:rFonts w:ascii="Arial" w:cs="Arial" w:eastAsia="Arial" w:hAnsi="Arial"/>
                <w:sz w:val="18"/>
                <w:szCs w:val="18"/>
                <w:color w:val="auto"/>
                <w:w w:val="99"/>
              </w:rPr>
            </w:pPr>
            <w:hyperlink r:id="rId218">
              <w:r>
                <w:rPr>
                  <w:rFonts w:ascii="Arial" w:cs="Arial" w:eastAsia="Arial" w:hAnsi="Arial"/>
                  <w:sz w:val="18"/>
                  <w:szCs w:val="18"/>
                  <w:color w:val="auto"/>
                  <w:w w:val="99"/>
                </w:rPr>
                <w:t>Form of Consent for Named Executive Officers</w:t>
              </w:r>
            </w:hyperlink>
          </w:p>
        </w:tc>
        <w:tc>
          <w:tcPr>
            <w:tcW w:w="1860" w:type="dxa"/>
            <w:vAlign w:val="bottom"/>
            <w:tcBorders>
              <w:bottom w:val="single" w:sz="8" w:color="D1D2D4"/>
            </w:tcBorders>
            <w:gridSpan w:val="25"/>
            <w:shd w:val="clear" w:color="auto" w:fill="D1D2D4"/>
          </w:tcPr>
          <w:p>
            <w:pPr>
              <w:spacing w:after="0"/>
              <w:rPr>
                <w:sz w:val="18"/>
                <w:szCs w:val="18"/>
                <w:color w:val="auto"/>
              </w:rPr>
            </w:pPr>
          </w:p>
        </w:tc>
        <w:tc>
          <w:tcPr>
            <w:tcW w:w="1700" w:type="dxa"/>
            <w:vAlign w:val="bottom"/>
            <w:tcBorders>
              <w:bottom w:val="single" w:sz="8" w:color="D1D2D4"/>
            </w:tcBorders>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3/2/23</w:t>
            </w: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10.5</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10.25</w:t>
            </w:r>
          </w:p>
        </w:tc>
        <w:tc>
          <w:tcPr>
            <w:tcW w:w="5600" w:type="dxa"/>
            <w:vAlign w:val="bottom"/>
            <w:gridSpan w:val="41"/>
          </w:tcPr>
          <w:p>
            <w:pPr>
              <w:spacing w:after="0" w:line="189" w:lineRule="exact"/>
              <w:rPr>
                <w:rFonts w:ascii="Arial" w:cs="Arial" w:eastAsia="Arial" w:hAnsi="Arial"/>
                <w:sz w:val="18"/>
                <w:szCs w:val="18"/>
                <w:color w:val="auto"/>
              </w:rPr>
            </w:pPr>
            <w:hyperlink r:id="rId219">
              <w:r>
                <w:rPr>
                  <w:rFonts w:ascii="Arial" w:cs="Arial" w:eastAsia="Arial" w:hAnsi="Arial"/>
                  <w:sz w:val="18"/>
                  <w:szCs w:val="18"/>
                  <w:color w:val="auto"/>
                </w:rPr>
                <w:t>Amendment No. 2 to Credit Agreement, dated as of June 7, 2023, by</w:t>
              </w:r>
            </w:hyperlink>
          </w:p>
        </w:tc>
        <w:tc>
          <w:tcPr>
            <w:tcW w:w="1700" w:type="dxa"/>
            <w:vAlign w:val="bottom"/>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tcPr>
          <w:p>
            <w:pPr>
              <w:ind w:left="80"/>
              <w:spacing w:after="0" w:line="189" w:lineRule="exact"/>
              <w:rPr>
                <w:sz w:val="20"/>
                <w:szCs w:val="20"/>
                <w:color w:val="auto"/>
              </w:rPr>
            </w:pPr>
            <w:r>
              <w:rPr>
                <w:rFonts w:ascii="Arial" w:cs="Arial" w:eastAsia="Arial" w:hAnsi="Arial"/>
                <w:sz w:val="18"/>
                <w:szCs w:val="18"/>
                <w:color w:val="auto"/>
              </w:rPr>
              <w:t>6/1/23</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6/29/23</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520" w:type="dxa"/>
            <w:vAlign w:val="bottom"/>
            <w:tcBorders>
              <w:top w:val="single" w:sz="8" w:color="auto"/>
            </w:tcBorders>
            <w:gridSpan w:val="37"/>
          </w:tcPr>
          <w:p>
            <w:pPr>
              <w:spacing w:after="0" w:line="156" w:lineRule="exact"/>
              <w:rPr>
                <w:rFonts w:ascii="Arial" w:cs="Arial" w:eastAsia="Arial" w:hAnsi="Arial"/>
                <w:sz w:val="18"/>
                <w:szCs w:val="18"/>
                <w:color w:val="auto"/>
              </w:rPr>
            </w:pPr>
            <w:hyperlink r:id="rId219">
              <w:r>
                <w:rPr>
                  <w:rFonts w:ascii="Arial" w:cs="Arial" w:eastAsia="Arial" w:hAnsi="Arial"/>
                  <w:sz w:val="18"/>
                  <w:szCs w:val="18"/>
                  <w:color w:val="auto"/>
                </w:rPr>
                <w:t>HSBC Bank USA, National Association, as administrative agent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10.26</w:t>
            </w:r>
          </w:p>
        </w:tc>
        <w:tc>
          <w:tcPr>
            <w:tcW w:w="5600" w:type="dxa"/>
            <w:vAlign w:val="bottom"/>
            <w:gridSpan w:val="41"/>
            <w:shd w:val="clear" w:color="auto" w:fill="D1D2D4"/>
          </w:tcPr>
          <w:p>
            <w:pPr>
              <w:spacing w:after="0" w:line="189" w:lineRule="exact"/>
              <w:rPr>
                <w:rFonts w:ascii="Arial" w:cs="Arial" w:eastAsia="Arial" w:hAnsi="Arial"/>
                <w:sz w:val="18"/>
                <w:szCs w:val="18"/>
                <w:color w:val="auto"/>
              </w:rPr>
            </w:pPr>
            <w:hyperlink r:id="rId220">
              <w:r>
                <w:rPr>
                  <w:rFonts w:ascii="Arial" w:cs="Arial" w:eastAsia="Arial" w:hAnsi="Arial"/>
                  <w:sz w:val="18"/>
                  <w:szCs w:val="18"/>
                  <w:color w:val="auto"/>
                </w:rPr>
                <w:t>Amendment No. 2 to Term Loan Credit Agreement, dated as of June</w:t>
              </w:r>
            </w:hyperlink>
          </w:p>
        </w:tc>
        <w:tc>
          <w:tcPr>
            <w:tcW w:w="1700" w:type="dxa"/>
            <w:vAlign w:val="bottom"/>
            <w:shd w:val="clear" w:color="auto" w:fill="D1D2D4"/>
          </w:tcPr>
          <w:p>
            <w:pPr>
              <w:ind w:left="100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6/1/23</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6/29/23</w:t>
            </w: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bottom w:val="single" w:sz="8" w:color="D1D2D4"/>
            </w:tcBorders>
            <w:shd w:val="clear" w:color="auto" w:fill="D1D2D4"/>
          </w:tcPr>
          <w:p>
            <w:pPr>
              <w:spacing w:after="0"/>
              <w:rPr>
                <w:sz w:val="13"/>
                <w:szCs w:val="13"/>
                <w:color w:val="auto"/>
              </w:rPr>
            </w:pPr>
          </w:p>
        </w:tc>
        <w:tc>
          <w:tcPr>
            <w:tcW w:w="5460" w:type="dxa"/>
            <w:vAlign w:val="bottom"/>
            <w:tcBorders>
              <w:top w:val="single" w:sz="8" w:color="auto"/>
              <w:bottom w:val="single" w:sz="8" w:color="auto"/>
            </w:tcBorders>
            <w:gridSpan w:val="34"/>
            <w:shd w:val="clear" w:color="auto" w:fill="D1D2D4"/>
          </w:tcPr>
          <w:p>
            <w:pPr>
              <w:spacing w:after="0" w:line="156" w:lineRule="exact"/>
              <w:rPr>
                <w:rFonts w:ascii="Arial" w:cs="Arial" w:eastAsia="Arial" w:hAnsi="Arial"/>
                <w:sz w:val="18"/>
                <w:szCs w:val="18"/>
                <w:color w:val="auto"/>
                <w:w w:val="98"/>
              </w:rPr>
            </w:pPr>
            <w:hyperlink r:id="rId220">
              <w:r>
                <w:rPr>
                  <w:rFonts w:ascii="Arial" w:cs="Arial" w:eastAsia="Arial" w:hAnsi="Arial"/>
                  <w:sz w:val="18"/>
                  <w:szCs w:val="18"/>
                  <w:color w:val="auto"/>
                  <w:w w:val="98"/>
                </w:rPr>
                <w:t>7, 2023, by Wells Fargo Bank, National Association, as administrative</w:t>
              </w:r>
            </w:hyperlink>
          </w:p>
        </w:tc>
        <w:tc>
          <w:tcPr>
            <w:tcW w:w="120" w:type="dxa"/>
            <w:vAlign w:val="bottom"/>
            <w:tcBorders>
              <w:top w:val="single" w:sz="8" w:color="D1D2D4"/>
              <w:bottom w:val="single" w:sz="8" w:color="auto"/>
            </w:tcBorders>
            <w:gridSpan w:val="6"/>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170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80" w:type="dxa"/>
            <w:vAlign w:val="bottom"/>
            <w:tcBorders>
              <w:top w:val="single" w:sz="8" w:color="D1D2D4"/>
              <w:bottom w:val="single" w:sz="8" w:color="D1D2D4"/>
            </w:tcBorders>
            <w:shd w:val="clear" w:color="auto" w:fill="D1D2D4"/>
          </w:tcPr>
          <w:p>
            <w:pPr>
              <w:spacing w:after="0"/>
              <w:rPr>
                <w:sz w:val="13"/>
                <w:szCs w:val="13"/>
                <w:color w:val="auto"/>
              </w:rPr>
            </w:pPr>
          </w:p>
        </w:tc>
        <w:tc>
          <w:tcPr>
            <w:tcW w:w="96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D1D2D4"/>
            </w:tcBorders>
            <w:shd w:val="clear" w:color="auto" w:fill="D1D2D4"/>
          </w:tcPr>
          <w:p>
            <w:pPr>
              <w:spacing w:after="0"/>
              <w:rPr>
                <w:sz w:val="16"/>
                <w:szCs w:val="16"/>
                <w:color w:val="auto"/>
              </w:rPr>
            </w:pPr>
          </w:p>
        </w:tc>
        <w:tc>
          <w:tcPr>
            <w:tcW w:w="460" w:type="dxa"/>
            <w:vAlign w:val="bottom"/>
            <w:tcBorders>
              <w:bottom w:val="single" w:sz="8" w:color="auto"/>
            </w:tcBorders>
            <w:shd w:val="clear" w:color="auto" w:fill="D1D2D4"/>
          </w:tcPr>
          <w:p>
            <w:pPr>
              <w:spacing w:after="0" w:line="169" w:lineRule="exact"/>
              <w:rPr>
                <w:rFonts w:ascii="Arial" w:cs="Arial" w:eastAsia="Arial" w:hAnsi="Arial"/>
                <w:sz w:val="18"/>
                <w:szCs w:val="18"/>
                <w:color w:val="auto"/>
                <w:w w:val="97"/>
              </w:rPr>
            </w:pPr>
            <w:hyperlink r:id="rId220">
              <w:r>
                <w:rPr>
                  <w:rFonts w:ascii="Arial" w:cs="Arial" w:eastAsia="Arial" w:hAnsi="Arial"/>
                  <w:sz w:val="18"/>
                  <w:szCs w:val="18"/>
                  <w:color w:val="auto"/>
                  <w:w w:val="97"/>
                </w:rPr>
                <w:t>agent</w:t>
              </w:r>
            </w:hyperlink>
          </w:p>
        </w:tc>
        <w:tc>
          <w:tcPr>
            <w:tcW w:w="5120" w:type="dxa"/>
            <w:vAlign w:val="bottom"/>
            <w:tcBorders>
              <w:bottom w:val="single" w:sz="8" w:color="D1D2D4"/>
            </w:tcBorders>
            <w:gridSpan w:val="39"/>
            <w:shd w:val="clear" w:color="auto" w:fill="D1D2D4"/>
          </w:tcPr>
          <w:p>
            <w:pPr>
              <w:spacing w:after="0"/>
              <w:rPr>
                <w:sz w:val="16"/>
                <w:szCs w:val="16"/>
                <w:color w:val="auto"/>
              </w:rPr>
            </w:pPr>
          </w:p>
        </w:tc>
        <w:tc>
          <w:tcPr>
            <w:tcW w:w="20" w:type="dxa"/>
            <w:vAlign w:val="bottom"/>
            <w:tcBorders>
              <w:bottom w:val="single" w:sz="8" w:color="D1D2D4"/>
            </w:tcBorders>
            <w:shd w:val="clear" w:color="auto" w:fill="D1D2D4"/>
          </w:tcPr>
          <w:p>
            <w:pPr>
              <w:spacing w:after="0"/>
              <w:rPr>
                <w:sz w:val="16"/>
                <w:szCs w:val="16"/>
                <w:color w:val="auto"/>
              </w:rPr>
            </w:pPr>
          </w:p>
        </w:tc>
        <w:tc>
          <w:tcPr>
            <w:tcW w:w="1700" w:type="dxa"/>
            <w:vAlign w:val="bottom"/>
            <w:tcBorders>
              <w:bottom w:val="single" w:sz="8" w:color="D1D2D4"/>
            </w:tcBorders>
            <w:shd w:val="clear" w:color="auto" w:fill="D1D2D4"/>
          </w:tcPr>
          <w:p>
            <w:pPr>
              <w:spacing w:after="0"/>
              <w:rPr>
                <w:sz w:val="16"/>
                <w:szCs w:val="16"/>
                <w:color w:val="auto"/>
              </w:rPr>
            </w:pPr>
          </w:p>
        </w:tc>
        <w:tc>
          <w:tcPr>
            <w:tcW w:w="920" w:type="dxa"/>
            <w:vAlign w:val="bottom"/>
            <w:tcBorders>
              <w:bottom w:val="single" w:sz="8" w:color="D1D2D4"/>
            </w:tcBorders>
            <w:shd w:val="clear" w:color="auto" w:fill="D1D2D4"/>
          </w:tcPr>
          <w:p>
            <w:pPr>
              <w:spacing w:after="0"/>
              <w:rPr>
                <w:sz w:val="16"/>
                <w:szCs w:val="16"/>
                <w:color w:val="auto"/>
              </w:rPr>
            </w:pPr>
          </w:p>
        </w:tc>
        <w:tc>
          <w:tcPr>
            <w:tcW w:w="1080" w:type="dxa"/>
            <w:vAlign w:val="bottom"/>
            <w:tcBorders>
              <w:bottom w:val="single" w:sz="8" w:color="D1D2D4"/>
            </w:tcBorders>
            <w:shd w:val="clear" w:color="auto" w:fill="D1D2D4"/>
          </w:tcPr>
          <w:p>
            <w:pPr>
              <w:spacing w:after="0"/>
              <w:rPr>
                <w:sz w:val="16"/>
                <w:szCs w:val="16"/>
                <w:color w:val="auto"/>
              </w:rPr>
            </w:pPr>
          </w:p>
        </w:tc>
        <w:tc>
          <w:tcPr>
            <w:tcW w:w="960" w:type="dxa"/>
            <w:vAlign w:val="bottom"/>
            <w:tcBorders>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21.1</w:t>
            </w:r>
          </w:p>
        </w:tc>
        <w:tc>
          <w:tcPr>
            <w:tcW w:w="5600" w:type="dxa"/>
            <w:vAlign w:val="bottom"/>
            <w:gridSpan w:val="41"/>
          </w:tcPr>
          <w:p>
            <w:pPr>
              <w:spacing w:after="0" w:line="189" w:lineRule="exact"/>
              <w:rPr>
                <w:sz w:val="20"/>
                <w:szCs w:val="20"/>
                <w:color w:val="auto"/>
              </w:rPr>
            </w:pPr>
            <w:r>
              <w:rPr>
                <w:rFonts w:ascii="Arial" w:cs="Arial" w:eastAsia="Arial" w:hAnsi="Arial"/>
                <w:sz w:val="18"/>
                <w:szCs w:val="18"/>
                <w:color w:val="auto"/>
              </w:rPr>
              <w:t>Subsidiaries of the Registrant</w:t>
            </w:r>
          </w:p>
        </w:tc>
        <w:tc>
          <w:tcPr>
            <w:tcW w:w="1700" w:type="dxa"/>
            <w:vAlign w:val="bottom"/>
          </w:tcPr>
          <w:p>
            <w:pPr>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23.1</w:t>
            </w:r>
          </w:p>
        </w:tc>
        <w:tc>
          <w:tcPr>
            <w:tcW w:w="4740" w:type="dxa"/>
            <w:vAlign w:val="bottom"/>
            <w:tcBorders>
              <w:bottom w:val="single" w:sz="8" w:color="auto"/>
            </w:tcBorders>
            <w:gridSpan w:val="21"/>
            <w:shd w:val="clear" w:color="auto" w:fill="D1D2D4"/>
          </w:tcPr>
          <w:p>
            <w:pPr>
              <w:spacing w:after="0" w:line="189" w:lineRule="exact"/>
              <w:rPr>
                <w:sz w:val="20"/>
                <w:szCs w:val="20"/>
                <w:color w:val="auto"/>
              </w:rPr>
            </w:pPr>
            <w:r>
              <w:rPr>
                <w:rFonts w:ascii="Arial" w:cs="Arial" w:eastAsia="Arial" w:hAnsi="Arial"/>
                <w:sz w:val="18"/>
                <w:szCs w:val="18"/>
                <w:color w:val="auto"/>
                <w:w w:val="99"/>
              </w:rPr>
              <w:t>Consent of Independent Registered Public Accounting Firm</w:t>
            </w:r>
          </w:p>
        </w:tc>
        <w:tc>
          <w:tcPr>
            <w:tcW w:w="860" w:type="dxa"/>
            <w:vAlign w:val="bottom"/>
            <w:tcBorders>
              <w:bottom w:val="single" w:sz="8" w:color="D1D2D4"/>
            </w:tcBorders>
            <w:gridSpan w:val="20"/>
            <w:shd w:val="clear" w:color="auto" w:fill="D1D2D4"/>
          </w:tcPr>
          <w:p>
            <w:pPr>
              <w:spacing w:after="0"/>
              <w:rPr>
                <w:sz w:val="18"/>
                <w:szCs w:val="18"/>
                <w:color w:val="auto"/>
              </w:rPr>
            </w:pPr>
          </w:p>
        </w:tc>
        <w:tc>
          <w:tcPr>
            <w:tcW w:w="1700" w:type="dxa"/>
            <w:vAlign w:val="bottom"/>
            <w:tcBorders>
              <w:bottom w:val="single" w:sz="8" w:color="D1D2D4"/>
            </w:tcBorders>
            <w:shd w:val="clear" w:color="auto" w:fill="D1D2D4"/>
          </w:tcPr>
          <w:p>
            <w:pPr>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spacing w:after="0"/>
              <w:rPr>
                <w:sz w:val="18"/>
                <w:szCs w:val="18"/>
                <w:color w:val="auto"/>
              </w:rPr>
            </w:pPr>
          </w:p>
        </w:tc>
        <w:tc>
          <w:tcPr>
            <w:tcW w:w="96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5600" w:type="dxa"/>
            <w:vAlign w:val="bottom"/>
            <w:gridSpan w:val="41"/>
          </w:tcPr>
          <w:p>
            <w:pPr>
              <w:spacing w:after="0" w:line="189" w:lineRule="exact"/>
              <w:rPr>
                <w:sz w:val="20"/>
                <w:szCs w:val="20"/>
                <w:color w:val="auto"/>
              </w:rPr>
            </w:pPr>
            <w:r>
              <w:rPr>
                <w:rFonts w:ascii="Arial" w:cs="Arial" w:eastAsia="Arial" w:hAnsi="Arial"/>
                <w:sz w:val="18"/>
                <w:szCs w:val="18"/>
                <w:color w:val="auto"/>
              </w:rPr>
              <w:t>Rule 13a-14(a) Certification of Chief Executive Officer</w:t>
            </w:r>
          </w:p>
        </w:tc>
        <w:tc>
          <w:tcPr>
            <w:tcW w:w="1700" w:type="dxa"/>
            <w:vAlign w:val="bottom"/>
          </w:tcPr>
          <w:p>
            <w:pPr>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99 | 2023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660" w:type="dxa"/>
            <w:vAlign w:val="bottom"/>
          </w:tcPr>
          <w:p>
            <w:pPr>
              <w:spacing w:after="0"/>
              <w:rPr>
                <w:sz w:val="17"/>
                <w:szCs w:val="17"/>
                <w:color w:val="auto"/>
              </w:rPr>
            </w:pPr>
          </w:p>
        </w:tc>
        <w:tc>
          <w:tcPr>
            <w:tcW w:w="4820" w:type="dxa"/>
            <w:vAlign w:val="bottom"/>
            <w:gridSpan w:val="5"/>
            <w:vMerge w:val="restart"/>
          </w:tcPr>
          <w:p>
            <w:pPr>
              <w:ind w:left="1180"/>
              <w:spacing w:after="0"/>
              <w:rPr>
                <w:sz w:val="20"/>
                <w:szCs w:val="20"/>
                <w:color w:val="auto"/>
              </w:rPr>
            </w:pPr>
            <w:r>
              <w:rPr>
                <w:rFonts w:ascii="Arial" w:cs="Arial" w:eastAsia="Arial" w:hAnsi="Arial"/>
                <w:sz w:val="18"/>
                <w:szCs w:val="18"/>
                <w:b w:val="1"/>
                <w:bCs w:val="1"/>
                <w:color w:val="auto"/>
              </w:rPr>
              <w:t>Description of Exhibit</w:t>
            </w:r>
          </w:p>
        </w:tc>
        <w:tc>
          <w:tcPr>
            <w:tcW w:w="1880" w:type="dxa"/>
            <w:vAlign w:val="bottom"/>
          </w:tcPr>
          <w:p>
            <w:pPr>
              <w:ind w:left="380"/>
              <w:spacing w:after="0"/>
              <w:rPr>
                <w:sz w:val="20"/>
                <w:szCs w:val="20"/>
                <w:color w:val="auto"/>
              </w:rPr>
            </w:pPr>
            <w:r>
              <w:rPr>
                <w:rFonts w:ascii="Arial" w:cs="Arial" w:eastAsia="Arial" w:hAnsi="Arial"/>
                <w:sz w:val="18"/>
                <w:szCs w:val="18"/>
                <w:b w:val="1"/>
                <w:bCs w:val="1"/>
                <w:color w:val="auto"/>
              </w:rPr>
              <w:t>Filed</w:t>
            </w:r>
          </w:p>
        </w:tc>
        <w:tc>
          <w:tcPr>
            <w:tcW w:w="92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Exhibit/</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43"/>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660" w:type="dxa"/>
            <w:vAlign w:val="bottom"/>
            <w:tcBorders>
              <w:bottom w:val="single" w:sz="8" w:color="auto"/>
            </w:tcBorders>
          </w:tcPr>
          <w:p>
            <w:pPr>
              <w:spacing w:after="0"/>
              <w:rPr>
                <w:sz w:val="21"/>
                <w:szCs w:val="21"/>
                <w:color w:val="auto"/>
              </w:rPr>
            </w:pPr>
          </w:p>
        </w:tc>
        <w:tc>
          <w:tcPr>
            <w:tcW w:w="4820" w:type="dxa"/>
            <w:vAlign w:val="bottom"/>
            <w:tcBorders>
              <w:bottom w:val="single" w:sz="8" w:color="auto"/>
            </w:tcBorders>
            <w:gridSpan w:val="5"/>
            <w:vMerge w:val="continue"/>
          </w:tcPr>
          <w:p>
            <w:pPr>
              <w:spacing w:after="0"/>
              <w:rPr>
                <w:sz w:val="21"/>
                <w:szCs w:val="21"/>
                <w:color w:val="auto"/>
              </w:rPr>
            </w:pPr>
          </w:p>
        </w:tc>
        <w:tc>
          <w:tcPr>
            <w:tcW w:w="18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HerewithForm</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Appendix</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82"/>
        </w:trPr>
        <w:tc>
          <w:tcPr>
            <w:tcW w:w="980" w:type="dxa"/>
            <w:vAlign w:val="bottom"/>
            <w:shd w:val="clear" w:color="auto" w:fill="D1D2D4"/>
          </w:tcPr>
          <w:p>
            <w:pPr>
              <w:ind w:left="20"/>
              <w:spacing w:after="0" w:line="182" w:lineRule="exact"/>
              <w:rPr>
                <w:sz w:val="20"/>
                <w:szCs w:val="20"/>
                <w:color w:val="auto"/>
              </w:rPr>
            </w:pPr>
            <w:r>
              <w:rPr>
                <w:rFonts w:ascii="Arial" w:cs="Arial" w:eastAsia="Arial" w:hAnsi="Arial"/>
                <w:sz w:val="18"/>
                <w:szCs w:val="18"/>
                <w:color w:val="auto"/>
              </w:rPr>
              <w:t>31.2</w:t>
            </w:r>
          </w:p>
        </w:tc>
        <w:tc>
          <w:tcPr>
            <w:tcW w:w="5480" w:type="dxa"/>
            <w:vAlign w:val="bottom"/>
            <w:gridSpan w:val="6"/>
            <w:shd w:val="clear" w:color="auto" w:fill="D1D2D4"/>
          </w:tcPr>
          <w:p>
            <w:pPr>
              <w:spacing w:after="0" w:line="182" w:lineRule="exact"/>
              <w:rPr>
                <w:sz w:val="20"/>
                <w:szCs w:val="20"/>
                <w:color w:val="auto"/>
              </w:rPr>
            </w:pPr>
            <w:r>
              <w:rPr>
                <w:rFonts w:ascii="Arial" w:cs="Arial" w:eastAsia="Arial" w:hAnsi="Arial"/>
                <w:sz w:val="18"/>
                <w:szCs w:val="18"/>
                <w:color w:val="auto"/>
              </w:rPr>
              <w:t>Rule 13a-14(a) Certification of Chief Financial Officer</w:t>
            </w:r>
          </w:p>
        </w:tc>
        <w:tc>
          <w:tcPr>
            <w:tcW w:w="1880" w:type="dxa"/>
            <w:vAlign w:val="bottom"/>
            <w:shd w:val="clear" w:color="auto" w:fill="D1D2D4"/>
          </w:tcPr>
          <w:p>
            <w:pPr>
              <w:ind w:left="100"/>
              <w:spacing w:after="0" w:line="182"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660" w:type="dxa"/>
            <w:vAlign w:val="bottom"/>
            <w:tcBorders>
              <w:top w:val="single" w:sz="8" w:color="auto"/>
            </w:tcBorders>
            <w:shd w:val="clear" w:color="auto" w:fill="D1D2D4"/>
          </w:tcPr>
          <w:p>
            <w:pPr>
              <w:spacing w:after="0" w:line="20" w:lineRule="exact"/>
              <w:rPr>
                <w:sz w:val="1"/>
                <w:szCs w:val="1"/>
                <w:color w:val="auto"/>
              </w:rPr>
            </w:pPr>
          </w:p>
        </w:tc>
        <w:tc>
          <w:tcPr>
            <w:tcW w:w="3560" w:type="dxa"/>
            <w:vAlign w:val="bottom"/>
            <w:tcBorders>
              <w:top w:val="single" w:sz="8" w:color="auto"/>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0" w:type="dxa"/>
            <w:vAlign w:val="bottom"/>
            <w:tcBorders>
              <w:top w:val="single" w:sz="8" w:color="D1D2D4"/>
            </w:tcBorders>
            <w:shd w:val="clear" w:color="auto" w:fill="D1D2D4"/>
          </w:tcPr>
          <w:p>
            <w:pPr>
              <w:spacing w:after="0" w:line="20" w:lineRule="exact"/>
              <w:rPr>
                <w:sz w:val="1"/>
                <w:szCs w:val="1"/>
                <w:color w:val="auto"/>
              </w:rPr>
            </w:pPr>
          </w:p>
        </w:tc>
        <w:tc>
          <w:tcPr>
            <w:tcW w:w="1880" w:type="dxa"/>
            <w:vAlign w:val="bottom"/>
            <w:tcBorders>
              <w:top w:val="single" w:sz="8" w:color="D1D2D4"/>
            </w:tcBorders>
            <w:shd w:val="clear" w:color="auto" w:fill="D1D2D4"/>
          </w:tcPr>
          <w:p>
            <w:pPr>
              <w:spacing w:after="0" w:line="20" w:lineRule="exact"/>
              <w:rPr>
                <w:sz w:val="1"/>
                <w:szCs w:val="1"/>
                <w:color w:val="auto"/>
              </w:rPr>
            </w:pPr>
          </w:p>
        </w:tc>
        <w:tc>
          <w:tcPr>
            <w:tcW w:w="920" w:type="dxa"/>
            <w:vAlign w:val="bottom"/>
            <w:tcBorders>
              <w:top w:val="single" w:sz="8" w:color="D1D2D4"/>
            </w:tcBorders>
            <w:shd w:val="clear" w:color="auto" w:fill="D1D2D4"/>
          </w:tcPr>
          <w:p>
            <w:pPr>
              <w:spacing w:after="0" w:line="20" w:lineRule="exact"/>
              <w:rPr>
                <w:sz w:val="1"/>
                <w:szCs w:val="1"/>
                <w:color w:val="auto"/>
              </w:rPr>
            </w:pPr>
          </w:p>
        </w:tc>
        <w:tc>
          <w:tcPr>
            <w:tcW w:w="112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5480" w:type="dxa"/>
            <w:vAlign w:val="bottom"/>
            <w:gridSpan w:val="6"/>
          </w:tcPr>
          <w:p>
            <w:pPr>
              <w:spacing w:after="0" w:line="189" w:lineRule="exact"/>
              <w:rPr>
                <w:sz w:val="20"/>
                <w:szCs w:val="20"/>
                <w:color w:val="auto"/>
              </w:rPr>
            </w:pPr>
            <w:r>
              <w:rPr>
                <w:rFonts w:ascii="Arial" w:cs="Arial" w:eastAsia="Arial" w:hAnsi="Arial"/>
                <w:sz w:val="18"/>
                <w:szCs w:val="18"/>
                <w:color w:val="auto"/>
              </w:rPr>
              <w:t>Certification of Chief Executive Officer Pursuant to 18 U.S.C. 1350</w:t>
            </w:r>
          </w:p>
        </w:tc>
        <w:tc>
          <w:tcPr>
            <w:tcW w:w="1880" w:type="dxa"/>
            <w:vAlign w:val="bottom"/>
          </w:tcPr>
          <w:p>
            <w:pPr>
              <w:ind w:left="100"/>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5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32.2</w:t>
            </w:r>
          </w:p>
        </w:tc>
        <w:tc>
          <w:tcPr>
            <w:tcW w:w="5480" w:type="dxa"/>
            <w:vAlign w:val="bottom"/>
            <w:gridSpan w:val="6"/>
            <w:shd w:val="clear" w:color="auto" w:fill="D1D2D4"/>
          </w:tcPr>
          <w:p>
            <w:pPr>
              <w:spacing w:after="0" w:line="189" w:lineRule="exact"/>
              <w:rPr>
                <w:sz w:val="20"/>
                <w:szCs w:val="20"/>
                <w:color w:val="auto"/>
              </w:rPr>
            </w:pPr>
            <w:r>
              <w:rPr>
                <w:rFonts w:ascii="Arial" w:cs="Arial" w:eastAsia="Arial" w:hAnsi="Arial"/>
                <w:sz w:val="18"/>
                <w:szCs w:val="18"/>
                <w:color w:val="auto"/>
              </w:rPr>
              <w:t>Certification of Chief Financial Officer Pursuant to 18 U.S.C. 1350</w:t>
            </w:r>
          </w:p>
        </w:tc>
        <w:tc>
          <w:tcPr>
            <w:tcW w:w="1880" w:type="dxa"/>
            <w:vAlign w:val="bottom"/>
            <w:shd w:val="clear" w:color="auto" w:fill="D1D2D4"/>
          </w:tcPr>
          <w:p>
            <w:pPr>
              <w:ind w:left="100"/>
              <w:spacing w:after="0" w:line="189"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8"/>
                <w:szCs w:val="18"/>
                <w:color w:val="auto"/>
              </w:rPr>
            </w:pPr>
          </w:p>
        </w:tc>
        <w:tc>
          <w:tcPr>
            <w:tcW w:w="1120" w:type="dxa"/>
            <w:vAlign w:val="bottom"/>
            <w:shd w:val="clear" w:color="auto" w:fill="D1D2D4"/>
          </w:tcPr>
          <w:p>
            <w:pPr>
              <w:spacing w:after="0"/>
              <w:rPr>
                <w:sz w:val="18"/>
                <w:szCs w:val="18"/>
                <w:color w:val="auto"/>
              </w:rPr>
            </w:pPr>
          </w:p>
        </w:tc>
        <w:tc>
          <w:tcPr>
            <w:tcW w:w="8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97.1</w:t>
            </w:r>
          </w:p>
        </w:tc>
        <w:tc>
          <w:tcPr>
            <w:tcW w:w="5220" w:type="dxa"/>
            <w:vAlign w:val="bottom"/>
            <w:tcBorders>
              <w:top w:val="single" w:sz="8" w:color="auto"/>
            </w:tcBorders>
            <w:gridSpan w:val="4"/>
          </w:tcPr>
          <w:p>
            <w:pPr>
              <w:spacing w:after="0" w:line="189" w:lineRule="exact"/>
              <w:rPr>
                <w:sz w:val="20"/>
                <w:szCs w:val="20"/>
                <w:color w:val="auto"/>
              </w:rPr>
            </w:pPr>
            <w:r>
              <w:rPr>
                <w:rFonts w:ascii="Arial" w:cs="Arial" w:eastAsia="Arial" w:hAnsi="Arial"/>
                <w:sz w:val="18"/>
                <w:szCs w:val="18"/>
                <w:color w:val="auto"/>
              </w:rPr>
              <w:t>Compensation Recoupment (Clawback) Policy, as amended and</w:t>
            </w:r>
          </w:p>
        </w:tc>
        <w:tc>
          <w:tcPr>
            <w:tcW w:w="260" w:type="dxa"/>
            <w:vAlign w:val="bottom"/>
            <w:tcBorders>
              <w:top w:val="single" w:sz="8" w:color="D1D2D4"/>
            </w:tcBorders>
            <w:gridSpan w:val="2"/>
          </w:tcPr>
          <w:p>
            <w:pPr>
              <w:spacing w:after="0"/>
              <w:rPr>
                <w:sz w:val="16"/>
                <w:szCs w:val="16"/>
                <w:color w:val="auto"/>
              </w:rPr>
            </w:pPr>
          </w:p>
        </w:tc>
        <w:tc>
          <w:tcPr>
            <w:tcW w:w="1880" w:type="dxa"/>
            <w:vAlign w:val="bottom"/>
            <w:tcBorders>
              <w:top w:val="single" w:sz="8" w:color="D1D2D4"/>
            </w:tcBorders>
          </w:tcPr>
          <w:p>
            <w:pPr>
              <w:ind w:left="100"/>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top w:val="single" w:sz="8" w:color="D1D2D4"/>
            </w:tcBorders>
          </w:tcPr>
          <w:p>
            <w:pPr>
              <w:spacing w:after="0"/>
              <w:rPr>
                <w:sz w:val="16"/>
                <w:szCs w:val="16"/>
                <w:color w:val="auto"/>
              </w:rPr>
            </w:pPr>
          </w:p>
        </w:tc>
        <w:tc>
          <w:tcPr>
            <w:tcW w:w="1120" w:type="dxa"/>
            <w:vAlign w:val="bottom"/>
            <w:tcBorders>
              <w:top w:val="single" w:sz="8" w:color="D1D2D4"/>
            </w:tcBorders>
          </w:tcPr>
          <w:p>
            <w:pPr>
              <w:spacing w:after="0"/>
              <w:rPr>
                <w:sz w:val="16"/>
                <w:szCs w:val="16"/>
                <w:color w:val="auto"/>
              </w:rPr>
            </w:pPr>
          </w:p>
        </w:tc>
        <w:tc>
          <w:tcPr>
            <w:tcW w:w="86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14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8"/>
                <w:szCs w:val="18"/>
                <w:color w:val="auto"/>
              </w:rPr>
              <w:t>restated</w:t>
            </w:r>
          </w:p>
        </w:tc>
        <w:tc>
          <w:tcPr>
            <w:tcW w:w="340" w:type="dxa"/>
            <w:vAlign w:val="bottom"/>
            <w:gridSpan w:val="3"/>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101.INS</w:t>
            </w:r>
          </w:p>
        </w:tc>
        <w:tc>
          <w:tcPr>
            <w:tcW w:w="5480" w:type="dxa"/>
            <w:vAlign w:val="bottom"/>
            <w:gridSpan w:val="6"/>
            <w:shd w:val="clear" w:color="auto" w:fill="D1D2D4"/>
          </w:tcPr>
          <w:p>
            <w:pPr>
              <w:spacing w:after="0" w:line="176" w:lineRule="exact"/>
              <w:rPr>
                <w:sz w:val="20"/>
                <w:szCs w:val="20"/>
                <w:color w:val="auto"/>
              </w:rPr>
            </w:pPr>
            <w:r>
              <w:rPr>
                <w:rFonts w:ascii="Arial" w:cs="Arial" w:eastAsia="Arial" w:hAnsi="Arial"/>
                <w:sz w:val="18"/>
                <w:szCs w:val="18"/>
                <w:color w:val="auto"/>
              </w:rPr>
              <w:t>Inline XBRL Instance Document - the instance document does not</w:t>
            </w:r>
          </w:p>
        </w:tc>
        <w:tc>
          <w:tcPr>
            <w:tcW w:w="1880" w:type="dxa"/>
            <w:vAlign w:val="bottom"/>
            <w:shd w:val="clear" w:color="auto" w:fill="D1D2D4"/>
          </w:tcPr>
          <w:p>
            <w:pPr>
              <w:ind w:left="100"/>
              <w:spacing w:after="0" w:line="176"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D1D2D4"/>
          </w:tcPr>
          <w:p>
            <w:pPr>
              <w:spacing w:after="0"/>
              <w:rPr>
                <w:sz w:val="16"/>
                <w:szCs w:val="16"/>
                <w:color w:val="auto"/>
              </w:rPr>
            </w:pPr>
          </w:p>
        </w:tc>
        <w:tc>
          <w:tcPr>
            <w:tcW w:w="5480" w:type="dxa"/>
            <w:vAlign w:val="bottom"/>
            <w:gridSpan w:val="6"/>
            <w:shd w:val="clear" w:color="auto" w:fill="D1D2D4"/>
          </w:tcPr>
          <w:p>
            <w:pPr>
              <w:spacing w:after="0" w:line="189" w:lineRule="exact"/>
              <w:rPr>
                <w:sz w:val="20"/>
                <w:szCs w:val="20"/>
                <w:color w:val="auto"/>
              </w:rPr>
            </w:pPr>
            <w:r>
              <w:rPr>
                <w:rFonts w:ascii="Arial" w:cs="Arial" w:eastAsia="Arial" w:hAnsi="Arial"/>
                <w:sz w:val="18"/>
                <w:szCs w:val="18"/>
                <w:color w:val="auto"/>
              </w:rPr>
              <w:t>appear in the Interactive Data File because its XBRL tags are</w:t>
            </w:r>
          </w:p>
        </w:tc>
        <w:tc>
          <w:tcPr>
            <w:tcW w:w="1880" w:type="dxa"/>
            <w:vAlign w:val="bottom"/>
            <w:shd w:val="clear" w:color="auto" w:fill="D1D2D4"/>
          </w:tcPr>
          <w:p>
            <w:pPr>
              <w:spacing w:after="0"/>
              <w:rPr>
                <w:sz w:val="16"/>
                <w:szCs w:val="16"/>
                <w:color w:val="auto"/>
              </w:rPr>
            </w:pPr>
          </w:p>
        </w:tc>
        <w:tc>
          <w:tcPr>
            <w:tcW w:w="920" w:type="dxa"/>
            <w:vAlign w:val="bottom"/>
            <w:shd w:val="clear" w:color="auto" w:fill="D1D2D4"/>
          </w:tcPr>
          <w:p>
            <w:pPr>
              <w:spacing w:after="0"/>
              <w:rPr>
                <w:sz w:val="16"/>
                <w:szCs w:val="16"/>
                <w:color w:val="auto"/>
              </w:rPr>
            </w:pPr>
          </w:p>
        </w:tc>
        <w:tc>
          <w:tcPr>
            <w:tcW w:w="1120" w:type="dxa"/>
            <w:vAlign w:val="bottom"/>
            <w:shd w:val="clear" w:color="auto" w:fill="D1D2D4"/>
          </w:tcPr>
          <w:p>
            <w:pPr>
              <w:spacing w:after="0"/>
              <w:rPr>
                <w:sz w:val="16"/>
                <w:szCs w:val="16"/>
                <w:color w:val="auto"/>
              </w:rPr>
            </w:pPr>
          </w:p>
        </w:tc>
        <w:tc>
          <w:tcPr>
            <w:tcW w:w="86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spacing w:after="0"/>
              <w:rPr>
                <w:sz w:val="19"/>
                <w:szCs w:val="19"/>
                <w:color w:val="auto"/>
              </w:rPr>
            </w:pPr>
          </w:p>
        </w:tc>
        <w:tc>
          <w:tcPr>
            <w:tcW w:w="5480" w:type="dxa"/>
            <w:vAlign w:val="bottom"/>
            <w:gridSpan w:val="6"/>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1880" w:type="dxa"/>
            <w:vAlign w:val="bottom"/>
            <w:shd w:val="clear" w:color="auto" w:fill="D1D2D4"/>
          </w:tcPr>
          <w:p>
            <w:pPr>
              <w:spacing w:after="0"/>
              <w:rPr>
                <w:sz w:val="19"/>
                <w:szCs w:val="19"/>
                <w:color w:val="auto"/>
              </w:rPr>
            </w:pPr>
          </w:p>
        </w:tc>
        <w:tc>
          <w:tcPr>
            <w:tcW w:w="9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54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1880" w:type="dxa"/>
            <w:vAlign w:val="bottom"/>
          </w:tcPr>
          <w:p>
            <w:pPr>
              <w:ind w:left="10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480" w:type="dxa"/>
            <w:vAlign w:val="bottom"/>
            <w:gridSpan w:val="6"/>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880" w:type="dxa"/>
            <w:vAlign w:val="bottom"/>
            <w:shd w:val="clear" w:color="auto" w:fill="D1D2D4"/>
          </w:tcPr>
          <w:p>
            <w:pPr>
              <w:ind w:left="100"/>
              <w:spacing w:after="0"/>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54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880" w:type="dxa"/>
            <w:vAlign w:val="bottom"/>
          </w:tcPr>
          <w:p>
            <w:pPr>
              <w:ind w:left="10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480" w:type="dxa"/>
            <w:vAlign w:val="bottom"/>
            <w:gridSpan w:val="6"/>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880" w:type="dxa"/>
            <w:vAlign w:val="bottom"/>
            <w:shd w:val="clear" w:color="auto" w:fill="D1D2D4"/>
          </w:tcPr>
          <w:p>
            <w:pPr>
              <w:ind w:left="100"/>
              <w:spacing w:after="0"/>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54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880" w:type="dxa"/>
            <w:vAlign w:val="bottom"/>
          </w:tcPr>
          <w:p>
            <w:pPr>
              <w:ind w:left="10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104</w:t>
            </w:r>
          </w:p>
        </w:tc>
        <w:tc>
          <w:tcPr>
            <w:tcW w:w="5480" w:type="dxa"/>
            <w:vAlign w:val="bottom"/>
            <w:gridSpan w:val="6"/>
            <w:shd w:val="clear" w:color="auto" w:fill="D1D2D4"/>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1880" w:type="dxa"/>
            <w:vAlign w:val="bottom"/>
            <w:shd w:val="clear" w:color="auto" w:fill="D1D2D4"/>
          </w:tcPr>
          <w:p>
            <w:pPr>
              <w:ind w:left="100"/>
              <w:spacing w:after="0" w:line="176"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980" w:type="dxa"/>
            <w:vAlign w:val="bottom"/>
            <w:shd w:val="clear" w:color="auto" w:fill="D1D2D4"/>
          </w:tcPr>
          <w:p>
            <w:pPr>
              <w:spacing w:after="0"/>
              <w:rPr>
                <w:sz w:val="21"/>
                <w:szCs w:val="21"/>
                <w:color w:val="auto"/>
              </w:rPr>
            </w:pPr>
          </w:p>
        </w:tc>
        <w:tc>
          <w:tcPr>
            <w:tcW w:w="5480" w:type="dxa"/>
            <w:vAlign w:val="bottom"/>
            <w:gridSpan w:val="6"/>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1880" w:type="dxa"/>
            <w:vAlign w:val="bottom"/>
            <w:shd w:val="clear" w:color="auto" w:fill="D1D2D4"/>
          </w:tcPr>
          <w:p>
            <w:pPr>
              <w:spacing w:after="0"/>
              <w:rPr>
                <w:sz w:val="21"/>
                <w:szCs w:val="21"/>
                <w:color w:val="auto"/>
              </w:rPr>
            </w:pPr>
          </w:p>
        </w:tc>
        <w:tc>
          <w:tcPr>
            <w:tcW w:w="920" w:type="dxa"/>
            <w:vAlign w:val="bottom"/>
            <w:shd w:val="clear" w:color="auto" w:fill="D1D2D4"/>
          </w:tcPr>
          <w:p>
            <w:pPr>
              <w:spacing w:after="0"/>
              <w:rPr>
                <w:sz w:val="21"/>
                <w:szCs w:val="21"/>
                <w:color w:val="auto"/>
              </w:rPr>
            </w:pPr>
          </w:p>
        </w:tc>
        <w:tc>
          <w:tcPr>
            <w:tcW w:w="1120" w:type="dxa"/>
            <w:vAlign w:val="bottom"/>
            <w:shd w:val="clear" w:color="auto" w:fill="D1D2D4"/>
          </w:tcPr>
          <w:p>
            <w:pPr>
              <w:spacing w:after="0"/>
              <w:rPr>
                <w:sz w:val="21"/>
                <w:szCs w:val="21"/>
                <w:color w:val="auto"/>
              </w:rPr>
            </w:pPr>
          </w:p>
        </w:tc>
        <w:tc>
          <w:tcPr>
            <w:tcW w:w="86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FORM 10-K SUMMARY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880"/>
        <w:spacing w:after="0"/>
        <w:rPr>
          <w:sz w:val="20"/>
          <w:szCs w:val="20"/>
          <w:color w:val="auto"/>
        </w:rPr>
      </w:pPr>
      <w:r>
        <w:rPr>
          <w:sz w:val="1"/>
          <w:szCs w:val="1"/>
          <w:color w:val="auto"/>
        </w:rPr>
        <w:drawing>
          <wp:inline distT="0" distB="0" distL="0" distR="0">
            <wp:extent cx="660400" cy="17970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660400" cy="179705"/>
                    </a:xfrm>
                    <a:prstGeom prst="rect">
                      <a:avLst/>
                    </a:prstGeom>
                    <a:noFill/>
                    <a:ln>
                      <a:noFill/>
                    </a:ln>
                  </pic:spPr>
                </pic:pic>
              </a:graphicData>
            </a:graphic>
          </wp:inline>
        </w:drawing>
      </w:r>
      <w:r>
        <w:rPr>
          <w:rFonts w:ascii="Arial" w:cs="Arial" w:eastAsia="Arial" w:hAnsi="Arial"/>
          <w:sz w:val="14"/>
          <w:szCs w:val="14"/>
          <w:b w:val="1"/>
          <w:bCs w:val="1"/>
          <w:color w:val="auto"/>
        </w:rPr>
        <w:t xml:space="preserv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5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Micron Technology, Inc.</w:t>
      </w:r>
    </w:p>
    <w:p>
      <w:pPr>
        <w:spacing w:after="0" w:line="22" w:lineRule="exact"/>
        <w:rPr>
          <w:sz w:val="20"/>
          <w:szCs w:val="20"/>
          <w:color w:val="auto"/>
        </w:rPr>
      </w:pPr>
    </w:p>
    <w:p>
      <w:pPr>
        <w:ind w:left="20"/>
        <w:spacing w:after="0"/>
        <w:tabs>
          <w:tab w:leader="none" w:pos="540" w:val="left"/>
          <w:tab w:leader="none" w:pos="5600" w:val="left"/>
          <w:tab w:leader="none" w:pos="7980" w:val="left"/>
        </w:tabs>
        <w:rPr>
          <w:sz w:val="20"/>
          <w:szCs w:val="20"/>
          <w:color w:val="auto"/>
        </w:rPr>
      </w:pPr>
      <w:r>
        <w:rPr>
          <w:rFonts w:ascii="Arial" w:cs="Arial" w:eastAsia="Arial" w:hAnsi="Arial"/>
          <w:sz w:val="18"/>
          <w:szCs w:val="18"/>
          <w:color w:val="auto"/>
        </w:rPr>
        <w:t>Date</w:t>
        <w:tab/>
        <w:t>October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Mark Murphy</w:t>
      </w:r>
    </w:p>
    <w:p>
      <w:pPr>
        <w:spacing w:after="0" w:line="4"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Executive Vice President and Chief Financial Officer</w:t>
      </w:r>
    </w:p>
    <w:p>
      <w:pPr>
        <w:spacing w:after="0" w:line="1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9"/>
        </w:trPr>
        <w:tc>
          <w:tcPr>
            <w:tcW w:w="2740" w:type="dxa"/>
            <w:vAlign w:val="bottom"/>
          </w:tcPr>
          <w:p>
            <w:pPr>
              <w:spacing w:after="0"/>
              <w:rPr>
                <w:sz w:val="17"/>
                <w:szCs w:val="17"/>
                <w:color w:val="auto"/>
              </w:rPr>
            </w:pPr>
          </w:p>
        </w:tc>
        <w:tc>
          <w:tcPr>
            <w:tcW w:w="84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rPr>
              <w:t>Signature</w:t>
            </w:r>
          </w:p>
        </w:tc>
        <w:tc>
          <w:tcPr>
            <w:tcW w:w="2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gridSpan w:val="2"/>
          </w:tcPr>
          <w:p>
            <w:pPr>
              <w:spacing w:after="0" w:line="199" w:lineRule="exact"/>
              <w:rPr>
                <w:sz w:val="20"/>
                <w:szCs w:val="20"/>
                <w:color w:val="auto"/>
              </w:rPr>
            </w:pPr>
            <w:r>
              <w:rPr>
                <w:rFonts w:ascii="Arial" w:cs="Arial" w:eastAsia="Arial" w:hAnsi="Arial"/>
                <w:sz w:val="18"/>
                <w:szCs w:val="18"/>
                <w:b w:val="1"/>
                <w:bCs w:val="1"/>
                <w:color w:val="auto"/>
              </w:rPr>
              <w:t>Title</w:t>
            </w:r>
          </w:p>
        </w:tc>
        <w:tc>
          <w:tcPr>
            <w:tcW w:w="1900" w:type="dxa"/>
            <w:vAlign w:val="bottom"/>
            <w:gridSpan w:val="3"/>
          </w:tcPr>
          <w:p>
            <w:pPr>
              <w:ind w:left="800"/>
              <w:spacing w:after="0" w:line="199" w:lineRule="exact"/>
              <w:rPr>
                <w:sz w:val="20"/>
                <w:szCs w:val="20"/>
                <w:color w:val="auto"/>
              </w:rPr>
            </w:pPr>
            <w:r>
              <w:rPr>
                <w:rFonts w:ascii="Arial" w:cs="Arial" w:eastAsia="Arial" w:hAnsi="Arial"/>
                <w:sz w:val="18"/>
                <w:szCs w:val="18"/>
                <w:b w:val="1"/>
                <w:bCs w:val="1"/>
                <w:color w:val="auto"/>
              </w:rPr>
              <w:t>Date</w:t>
            </w:r>
          </w:p>
        </w:tc>
      </w:tr>
      <w:tr>
        <w:trPr>
          <w:trHeight w:val="20"/>
        </w:trPr>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66"/>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Sanjay Mehrotra</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6, 2023</w:t>
            </w:r>
          </w:p>
        </w:tc>
      </w:tr>
      <w:tr>
        <w:trPr>
          <w:trHeight w:val="224"/>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(Sanjay Mehrotra)</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Executive Officer and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5"/>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Mark Murphy</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6, 2023</w:t>
            </w:r>
          </w:p>
        </w:tc>
      </w:tr>
      <w:tr>
        <w:trPr>
          <w:trHeight w:val="224"/>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(Mark Murphy)</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Financial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5"/>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Scott Allen</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6, 2023</w:t>
            </w:r>
          </w:p>
        </w:tc>
      </w:tr>
      <w:tr>
        <w:trPr>
          <w:trHeight w:val="224"/>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(Scott Allen)</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2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5"/>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Richard M. Beyer</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6, 2023</w:t>
            </w:r>
          </w:p>
        </w:tc>
      </w:tr>
      <w:tr>
        <w:trPr>
          <w:trHeight w:val="244"/>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(Richard M. Beyer)</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24"/>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Lynn Dugle</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6, 2023</w:t>
            </w:r>
          </w:p>
        </w:tc>
      </w:tr>
      <w:tr>
        <w:trPr>
          <w:trHeight w:val="244"/>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(Lynn Dugle)</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24"/>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Steve Gomo</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6, 2023</w:t>
            </w:r>
          </w:p>
        </w:tc>
      </w:tr>
      <w:tr>
        <w:trPr>
          <w:trHeight w:val="244"/>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(Steve Gomo)</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24"/>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Linnie Haynesworth</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6, 2023</w:t>
            </w:r>
          </w:p>
        </w:tc>
      </w:tr>
      <w:tr>
        <w:trPr>
          <w:trHeight w:val="244"/>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(Linnie Haynesworth)</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65"/>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 Pat McCarthy</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6, 2023</w:t>
            </w:r>
          </w:p>
        </w:tc>
      </w:tr>
      <w:tr>
        <w:trPr>
          <w:trHeight w:val="244"/>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(Mary Pat McCarthy)</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24"/>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Robert E. Switz</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Chair of the Board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6, 2023</w:t>
            </w:r>
          </w:p>
        </w:tc>
      </w:tr>
      <w:tr>
        <w:trPr>
          <w:trHeight w:val="244"/>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(Robert E. Switz)</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424"/>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MaryAnn Wright</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6, 2023</w:t>
            </w:r>
          </w:p>
        </w:tc>
      </w:tr>
      <w:tr>
        <w:trPr>
          <w:trHeight w:val="244"/>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(MaryAnn Wright)</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 | 2023 10-K</w:t>
      </w:r>
    </w:p>
    <w:p>
      <w:pPr>
        <w:sectPr>
          <w:pgSz w:w="11900" w:h="16838" w:orient="portrait"/>
          <w:cols w:equalWidth="0" w:num="1">
            <w:col w:w="11240"/>
          </w:cols>
          <w:pgMar w:left="320" w:top="121" w:right="339" w:bottom="1440" w:gutter="0" w:footer="0" w:header="0"/>
        </w:sectPr>
      </w:pPr>
    </w:p>
    <w:bookmarkStart w:id="101" w:name="page102"/>
    <w:bookmarkEnd w:id="101"/>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MICRON TECHNOLOGY, INC.</w:t>
      </w:r>
    </w:p>
    <w:p>
      <w:pPr>
        <w:spacing w:after="0" w:line="5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0"/>
        <w:spacing w:after="0"/>
        <w:rPr>
          <w:sz w:val="20"/>
          <w:szCs w:val="20"/>
          <w:color w:val="auto"/>
        </w:rPr>
      </w:pPr>
      <w:r>
        <w:rPr>
          <w:rFonts w:ascii="Arial" w:cs="Arial" w:eastAsia="Arial" w:hAnsi="Arial"/>
          <w:sz w:val="29"/>
          <w:szCs w:val="29"/>
          <w:color w:val="auto"/>
        </w:rPr>
        <w:t>Effective March 1, 2017</w:t>
      </w:r>
    </w:p>
    <w:p>
      <w:pPr>
        <w:spacing w:after="0" w:line="200" w:lineRule="exact"/>
        <w:rPr>
          <w:sz w:val="20"/>
          <w:szCs w:val="20"/>
          <w:color w:val="auto"/>
        </w:rPr>
      </w:pPr>
    </w:p>
    <w:p>
      <w:pPr>
        <w:spacing w:after="0" w:line="277" w:lineRule="exact"/>
        <w:rPr>
          <w:sz w:val="20"/>
          <w:szCs w:val="20"/>
          <w:color w:val="auto"/>
        </w:rPr>
      </w:pPr>
    </w:p>
    <w:p>
      <w:pPr>
        <w:ind w:left="1320"/>
        <w:spacing w:after="0"/>
        <w:rPr>
          <w:sz w:val="20"/>
          <w:szCs w:val="20"/>
          <w:color w:val="auto"/>
        </w:rPr>
      </w:pPr>
      <w:r>
        <w:rPr>
          <w:rFonts w:ascii="Arial" w:cs="Arial" w:eastAsia="Arial" w:hAnsi="Arial"/>
          <w:sz w:val="29"/>
          <w:szCs w:val="29"/>
          <w:color w:val="auto"/>
        </w:rPr>
        <w:t>Amended and Restated Effective October 1, 2023</w:t>
      </w:r>
    </w:p>
    <w:p>
      <w:pPr>
        <w:sectPr>
          <w:pgSz w:w="11900" w:h="16838" w:orient="portrait"/>
          <w:cols w:equalWidth="0" w:num="1">
            <w:col w:w="10120"/>
          </w:cols>
          <w:pgMar w:left="1440" w:top="1440" w:right="339" w:bottom="1440" w:gutter="0" w:footer="0" w:header="0"/>
        </w:sectPr>
      </w:pPr>
    </w:p>
    <w:bookmarkStart w:id="102" w:name="page103"/>
    <w:bookmarkEnd w:id="102"/>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PREAMBLE</w:t>
      </w: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Plan is intended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as amended, or an “excess benefit plan” within the meaning of Section 3(36) of the Employee Retirement Income Security Act of 1974, as amended, or a combination of both. The Plan is further intended to conform with the requirements of Internal Revenue Code Section 409A and the final regulations issued thereunder and shall be interpreted, implemented and administered in a manner consistent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4" w:lineRule="exact"/>
        <w:rPr>
          <w:sz w:val="20"/>
          <w:szCs w:val="20"/>
          <w:color w:val="auto"/>
        </w:rPr>
      </w:pPr>
    </w:p>
    <w:p>
      <w:pPr>
        <w:ind w:left="4840"/>
        <w:spacing w:after="0"/>
        <w:tabs>
          <w:tab w:leader="none" w:pos="6060" w:val="left"/>
        </w:tabs>
        <w:rPr>
          <w:sz w:val="20"/>
          <w:szCs w:val="20"/>
          <w:color w:val="auto"/>
        </w:rPr>
      </w:pPr>
      <w:r>
        <w:rPr>
          <w:rFonts w:ascii="Arial" w:cs="Arial" w:eastAsia="Arial" w:hAnsi="Arial"/>
          <w:sz w:val="20"/>
          <w:szCs w:val="20"/>
          <w:b w:val="1"/>
          <w:bCs w:val="1"/>
          <w:color w:val="auto"/>
        </w:rPr>
        <w:t>Article 1 -</w:t>
      </w:r>
      <w:r>
        <w:rPr>
          <w:sz w:val="20"/>
          <w:szCs w:val="20"/>
          <w:color w:val="auto"/>
        </w:rPr>
        <w:tab/>
      </w:r>
      <w:r>
        <w:rPr>
          <w:rFonts w:ascii="Arial" w:cs="Arial" w:eastAsia="Arial" w:hAnsi="Arial"/>
          <w:sz w:val="20"/>
          <w:szCs w:val="20"/>
          <w:b w:val="1"/>
          <w:bCs w:val="1"/>
          <w:color w:val="auto"/>
        </w:rPr>
        <w:t>GENERAL</w:t>
      </w:r>
    </w:p>
    <w:p>
      <w:pPr>
        <w:spacing w:after="0" w:line="229"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Purpose</w:t>
      </w:r>
      <w:r>
        <w:rPr>
          <w:rFonts w:ascii="Arial" w:cs="Arial" w:eastAsia="Arial" w:hAnsi="Arial"/>
          <w:sz w:val="20"/>
          <w:szCs w:val="20"/>
          <w:color w:val="auto"/>
        </w:rPr>
        <w:t>. The purpose of the Plan is to provide Eligible Employees an opportunity to defer to a future date the receipt of</w:t>
      </w:r>
      <w:r>
        <w:rPr>
          <w:rFonts w:ascii="Arial" w:cs="Arial" w:eastAsia="Arial" w:hAnsi="Arial"/>
          <w:sz w:val="20"/>
          <w:szCs w:val="20"/>
          <w:b w:val="1"/>
          <w:bCs w:val="1"/>
          <w:color w:val="auto"/>
        </w:rPr>
        <w:t xml:space="preserve"> </w:t>
      </w:r>
      <w:r>
        <w:rPr>
          <w:rFonts w:ascii="Arial" w:cs="Arial" w:eastAsia="Arial" w:hAnsi="Arial"/>
          <w:sz w:val="20"/>
          <w:szCs w:val="20"/>
          <w:color w:val="auto"/>
        </w:rPr>
        <w:t>base and bonus compensation for services performed for the Employer.</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The Effective Date of the Plan is March 1, 2017.</w:t>
      </w:r>
    </w:p>
    <w:p>
      <w:pPr>
        <w:spacing w:after="0" w:line="216" w:lineRule="exact"/>
        <w:rPr>
          <w:sz w:val="20"/>
          <w:szCs w:val="20"/>
          <w:color w:val="auto"/>
        </w:rPr>
      </w:pPr>
    </w:p>
    <w:p>
      <w:pPr>
        <w:ind w:left="4700"/>
        <w:spacing w:after="0"/>
        <w:tabs>
          <w:tab w:leader="none" w:pos="5920" w:val="left"/>
        </w:tabs>
        <w:rPr>
          <w:sz w:val="20"/>
          <w:szCs w:val="20"/>
          <w:color w:val="auto"/>
        </w:rPr>
      </w:pPr>
      <w:r>
        <w:rPr>
          <w:rFonts w:ascii="Arial" w:cs="Arial" w:eastAsia="Arial" w:hAnsi="Arial"/>
          <w:sz w:val="20"/>
          <w:szCs w:val="20"/>
          <w:b w:val="1"/>
          <w:bCs w:val="1"/>
          <w:color w:val="auto"/>
        </w:rPr>
        <w:t>Article 2 -</w:t>
      </w:r>
      <w:r>
        <w:rPr>
          <w:sz w:val="20"/>
          <w:szCs w:val="20"/>
          <w:color w:val="auto"/>
        </w:rPr>
        <w:tab/>
      </w:r>
      <w:r>
        <w:rPr>
          <w:rFonts w:ascii="Arial" w:cs="Arial" w:eastAsia="Arial" w:hAnsi="Arial"/>
          <w:sz w:val="19"/>
          <w:szCs w:val="19"/>
          <w:b w:val="1"/>
          <w:bCs w:val="1"/>
          <w:color w:val="auto"/>
        </w:rPr>
        <w:t>DEFINITIONS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Pronouns used in the Plan are in the masculine gender but include the feminine gender unless the context clearly indicates otherwise. Wherever used herein, the following terms have the meanings set forth below, unless a different meaning is clearly required by the context:</w:t>
      </w:r>
    </w:p>
    <w:p>
      <w:pPr>
        <w:spacing w:after="0" w:line="183"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b w:val="1"/>
          <w:bCs w:val="1"/>
          <w:color w:val="auto"/>
        </w:rPr>
        <w:t xml:space="preserve">“Account” </w:t>
      </w:r>
      <w:r>
        <w:rPr>
          <w:rFonts w:ascii="Arial" w:cs="Arial" w:eastAsia="Arial" w:hAnsi="Arial"/>
          <w:sz w:val="20"/>
          <w:szCs w:val="20"/>
          <w:color w:val="auto"/>
        </w:rPr>
        <w:t>means an account established for the purpose of recording amounts credited on behalf of a Participant and</w:t>
      </w:r>
      <w:r>
        <w:rPr>
          <w:rFonts w:ascii="Arial" w:cs="Arial" w:eastAsia="Arial" w:hAnsi="Arial"/>
          <w:sz w:val="20"/>
          <w:szCs w:val="20"/>
          <w:b w:val="1"/>
          <w:bCs w:val="1"/>
          <w:color w:val="auto"/>
        </w:rPr>
        <w:t xml:space="preserve"> </w:t>
      </w:r>
      <w:r>
        <w:rPr>
          <w:rFonts w:ascii="Arial" w:cs="Arial" w:eastAsia="Arial" w:hAnsi="Arial"/>
          <w:sz w:val="20"/>
          <w:szCs w:val="20"/>
          <w:color w:val="auto"/>
        </w:rPr>
        <w:t>any income, expenses, gains, losses or distributions included thereon. The Account shall be a bookkeeping entry only and shall be utilized solely as a device for the measurement and determination of the amounts to be paid to a Participant or to the Participant’s Beneficiary pursuant to the Plan.</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 xml:space="preserve">“Administrator” </w:t>
      </w:r>
      <w:r>
        <w:rPr>
          <w:rFonts w:ascii="Arial" w:cs="Arial" w:eastAsia="Arial" w:hAnsi="Arial"/>
          <w:sz w:val="19"/>
          <w:szCs w:val="19"/>
          <w:color w:val="auto"/>
        </w:rPr>
        <w:t>means the DCP Committee.</w:t>
      </w:r>
    </w:p>
    <w:p>
      <w:pPr>
        <w:spacing w:after="0" w:line="229"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Base Compensation</w:t>
      </w:r>
      <w:r>
        <w:rPr>
          <w:rFonts w:ascii="Arial" w:cs="Arial" w:eastAsia="Arial" w:hAnsi="Arial"/>
          <w:sz w:val="20"/>
          <w:szCs w:val="20"/>
          <w:color w:val="auto"/>
        </w:rPr>
        <w:t>” means the Participant’s base rate of compensation (including regular compensation, holiday, vacation, personal and sick pay) payable for services performed for the Employer for the Plan Year, as adjusted to reflect increases and decreases to the base rate during the Plan Year.</w:t>
      </w:r>
    </w:p>
    <w:p>
      <w:pPr>
        <w:spacing w:after="0" w:line="178" w:lineRule="exact"/>
        <w:rPr>
          <w:sz w:val="20"/>
          <w:szCs w:val="20"/>
          <w:color w:val="auto"/>
        </w:rPr>
      </w:pPr>
    </w:p>
    <w:p>
      <w:pPr>
        <w:jc w:val="both"/>
        <w:ind w:left="640" w:right="2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 xml:space="preserve">“Beneficiary” </w:t>
      </w:r>
      <w:r>
        <w:rPr>
          <w:rFonts w:ascii="Arial" w:cs="Arial" w:eastAsia="Arial" w:hAnsi="Arial"/>
          <w:sz w:val="20"/>
          <w:szCs w:val="20"/>
          <w:color w:val="auto"/>
        </w:rPr>
        <w:t>means the persons, trusts, estates or other entities entitled under Section 8.2 to receive benefits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upon the death of a Participant.</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 xml:space="preserve">“Board” or “Board of Directors” </w:t>
      </w:r>
      <w:r>
        <w:rPr>
          <w:rFonts w:ascii="Arial" w:cs="Arial" w:eastAsia="Arial" w:hAnsi="Arial"/>
          <w:sz w:val="19"/>
          <w:szCs w:val="19"/>
          <w:color w:val="auto"/>
        </w:rPr>
        <w:t>means the Board of Directors of the Plan Sponsor.</w:t>
      </w:r>
    </w:p>
    <w:p>
      <w:pPr>
        <w:spacing w:after="0" w:line="216"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20"/>
          <w:szCs w:val="20"/>
          <w:b w:val="1"/>
          <w:bCs w:val="1"/>
          <w:color w:val="auto"/>
        </w:rPr>
        <w:t xml:space="preserve">“Bonus Compensation” </w:t>
      </w:r>
      <w:r>
        <w:rPr>
          <w:rFonts w:ascii="Arial" w:cs="Arial" w:eastAsia="Arial" w:hAnsi="Arial"/>
          <w:sz w:val="20"/>
          <w:szCs w:val="20"/>
          <w:color w:val="auto"/>
        </w:rPr>
        <w:t>means the Participant’s annual bonus or incentive compensation payable for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performed for the Employer for the Plan Year pursuant to, among others designated by the Employer, the Micron Technology, Inc. Executive Incentive Plan, the Micron Technology, Inc. Annual Incentive Plan, and/or the Micron Technology, Inc. Incentive Pay Plan.</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means the occurrence of an event involving the Plan Sponsor that is described in Section 9.6.</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w:t>
      </w:r>
    </w:p>
    <w:p>
      <w:pPr>
        <w:spacing w:after="0" w:line="229"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20"/>
          <w:szCs w:val="20"/>
          <w:b w:val="1"/>
          <w:bCs w:val="1"/>
          <w:color w:val="auto"/>
        </w:rPr>
        <w:t>“Compensation</w:t>
      </w:r>
      <w:r>
        <w:rPr>
          <w:rFonts w:ascii="Arial" w:cs="Arial" w:eastAsia="Arial" w:hAnsi="Arial"/>
          <w:sz w:val="20"/>
          <w:szCs w:val="20"/>
          <w:color w:val="auto"/>
        </w:rPr>
        <w:t>” means Base Compensation, Bonus Compensation, Fiscal Year Compensation and/or Performance-Based Compensation.</w:t>
      </w:r>
    </w:p>
    <w:p>
      <w:pPr>
        <w:spacing w:after="0" w:line="169"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Covered Compensation</w:t>
      </w:r>
      <w:r>
        <w:rPr>
          <w:rFonts w:ascii="Arial" w:cs="Arial" w:eastAsia="Arial" w:hAnsi="Arial"/>
          <w:sz w:val="20"/>
          <w:szCs w:val="20"/>
          <w:color w:val="auto"/>
        </w:rPr>
        <w:t>” means such Compensation deferred under the Plan that constitutes incentive compensation under the Micron Recoupment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4"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DCP Committee</w:t>
      </w:r>
      <w:r>
        <w:rPr>
          <w:rFonts w:ascii="Arial" w:cs="Arial" w:eastAsia="Arial" w:hAnsi="Arial"/>
          <w:sz w:val="20"/>
          <w:szCs w:val="20"/>
          <w:color w:val="auto"/>
        </w:rPr>
        <w:t>” means the Senior Vice President and Chief People Officer of Micron (or individual with similar successor responsibilities) or any other individual or committee appointed by such officer to administer the Plan.</w:t>
      </w:r>
    </w:p>
    <w:p>
      <w:pPr>
        <w:spacing w:after="0" w:line="140"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20"/>
          <w:szCs w:val="20"/>
          <w:b w:val="1"/>
          <w:bCs w:val="1"/>
          <w:color w:val="auto"/>
        </w:rPr>
        <w:t xml:space="preserve">“Disability” </w:t>
      </w:r>
      <w:r>
        <w:rPr>
          <w:rFonts w:ascii="Arial" w:cs="Arial" w:eastAsia="Arial" w:hAnsi="Arial"/>
          <w:sz w:val="20"/>
          <w:szCs w:val="20"/>
          <w:color w:val="auto"/>
        </w:rPr>
        <w:t>means a determination by the Administrator that the Participant is either (a) unable to engage in any</w:t>
      </w:r>
      <w:r>
        <w:rPr>
          <w:rFonts w:ascii="Arial" w:cs="Arial" w:eastAsia="Arial" w:hAnsi="Arial"/>
          <w:sz w:val="20"/>
          <w:szCs w:val="20"/>
          <w:b w:val="1"/>
          <w:bCs w:val="1"/>
          <w:color w:val="auto"/>
        </w:rPr>
        <w:t xml:space="preserve"> </w:t>
      </w:r>
      <w:r>
        <w:rPr>
          <w:rFonts w:ascii="Arial" w:cs="Arial" w:eastAsia="Arial" w:hAnsi="Arial"/>
          <w:sz w:val="20"/>
          <w:szCs w:val="20"/>
          <w:color w:val="auto"/>
        </w:rPr>
        <w:t>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last for a continuous period of not less than twelve months, receiving income replacement benefits for a period of not less than three months under an accident and health plan covering employees of the Employer. A Participant will be considered to have incurred a Disability if he is determined to be totally disabled by the Social Security Administration or the Railroad Retirement Board.</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9"/>
          <w:szCs w:val="19"/>
          <w:b w:val="1"/>
          <w:bCs w:val="1"/>
          <w:color w:val="auto"/>
        </w:rPr>
        <w:t xml:space="preserve">“Discretionary Credits” </w:t>
      </w:r>
      <w:r>
        <w:rPr>
          <w:rFonts w:ascii="Arial" w:cs="Arial" w:eastAsia="Arial" w:hAnsi="Arial"/>
          <w:sz w:val="19"/>
          <w:szCs w:val="19"/>
          <w:color w:val="auto"/>
        </w:rPr>
        <w:t>has the meaning set forth in Section 5.1 hereof.</w:t>
      </w:r>
    </w:p>
    <w:p>
      <w:pPr>
        <w:spacing w:after="0" w:line="229"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20"/>
          <w:szCs w:val="20"/>
          <w:b w:val="1"/>
          <w:bCs w:val="1"/>
          <w:color w:val="auto"/>
        </w:rPr>
        <w:t xml:space="preserve">“Distribution Date” </w:t>
      </w:r>
      <w:r>
        <w:rPr>
          <w:rFonts w:ascii="Arial" w:cs="Arial" w:eastAsia="Arial" w:hAnsi="Arial"/>
          <w:sz w:val="20"/>
          <w:szCs w:val="20"/>
          <w:color w:val="auto"/>
        </w:rPr>
        <w:t>means the earliest to occur of: (1) a Specified Payment Date elected by the Participant or (2)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Separation from Service for any reason (including death or Disability). Notwithstanding the foregoing, in the case of a distribution to a Specified Employee on account of Separation from Service, the Distribution Date shall be the Specified Employee Delayed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4"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Election Period</w:t>
      </w:r>
      <w:r>
        <w:rPr>
          <w:rFonts w:ascii="Arial" w:cs="Arial" w:eastAsia="Arial" w:hAnsi="Arial"/>
          <w:sz w:val="20"/>
          <w:szCs w:val="20"/>
          <w:color w:val="auto"/>
        </w:rPr>
        <w:t>” means the period established by the Administrator during which Participant deferral and distribution elections must be made in accordance with the requirements of Code Section 409A. The Election Period for Base Compensation and for Bonus Compensation shall end no later than the last day of the Plan Year immediately preceding the Plan Year in which such Base Compensation or Bonus Compensation is earned. The Election Period for Fiscal Year Compensation that does not qualify as Performance-Based Compensation shall end no later than the last day of the immediately preceding Fiscal Year in which such Fiscal Year Compensation is earned (or such earlier date as the Administrator may prescribe). The Election Period for Performance-Based Compensation shall end no later than six (6) months before the end of the Fiscal Year or other period in which the Performance-Based Compensation is earned (or such earlier date as the Administrator may prescribe); provided, that the Eligible Employee is employed continuously from the later of the beginning of the performance period or the date the performance criteria are established through the date an election is made to defer such Performance-Based Compensation and the amount of such Performance-Based Compensation has not become readily ascertainable as of the date the election is made; and further provided, however, that the Election Period with respect to the first Plan Year in which an Eligible Employee is eligible to participate in the Plan may, to the extent permitted under Code Section 409A, end no later than thirty (30) days after the Eligible Employee first becomes eligible under the Plan and shall apply only to compensation earned after such election is made. A former Eligible Employee who again becomes an Eligible Employee shall be treated as newly eligible to make deferrals under the Plan within thirty (30) days upon return to eligible status if: (i) the former Eligible Employee has received distribution of the full amount of his or her Account balance attributable to deferral contributions and on or before the last such distribution was not eligible to make deferral contributions for periods after the last distribution payment; or (ii) the former Eligible Employee has not been eligible to make deferral contributions at any time during the twenty-four (24)-month period ending on the date he or she again becomes an Eligible Employee. In addition, if an Eligible Employee is or was eligible to participate in another plan that is aggregated with the elective deferral portion of the Plan under Code Section 409A, participation in such plan shall be treated as participation in the Plan for purposes of determining whether the Eligible Employee is treated as newly eligible under the Plan. Except in the case of the first Plan Year in which an Eligible Employee is eligible to participate in the Plan, including a former Eligible Employee who is treated as newly eligible to make deferrals, the effective date of elections to defer Base or Bonus Compensation shall be the first day of the calendar year following such election, the effective date of elections to defer Fiscal Year Compensation shall be the first day of the Fiscal Year following such election, and in the case of an election to defer Performance-Based Compensation, such election shall be effective with respect to Performance-Based Compensation payable after the end of the applicable performance period.</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9"/>
          <w:szCs w:val="19"/>
          <w:b w:val="1"/>
          <w:bCs w:val="1"/>
          <w:color w:val="auto"/>
        </w:rPr>
        <w:t xml:space="preserve">“Eligible Employee” </w:t>
      </w:r>
      <w:r>
        <w:rPr>
          <w:rFonts w:ascii="Arial" w:cs="Arial" w:eastAsia="Arial" w:hAnsi="Arial"/>
          <w:sz w:val="19"/>
          <w:szCs w:val="19"/>
          <w:color w:val="auto"/>
        </w:rPr>
        <w:t>means an employee of the Employer selected by the Employer for participation in the Plan.</w:t>
      </w:r>
    </w:p>
    <w:p>
      <w:pPr>
        <w:spacing w:after="0" w:line="216" w:lineRule="exact"/>
        <w:rPr>
          <w:sz w:val="20"/>
          <w:szCs w:val="20"/>
          <w:color w:val="auto"/>
        </w:rPr>
      </w:pPr>
    </w:p>
    <w:p>
      <w:pPr>
        <w:jc w:val="both"/>
        <w:ind w:left="640" w:right="2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20"/>
          <w:szCs w:val="20"/>
          <w:b w:val="1"/>
          <w:bCs w:val="1"/>
          <w:color w:val="auto"/>
        </w:rPr>
        <w:t xml:space="preserve">“Employer” </w:t>
      </w:r>
      <w:r>
        <w:rPr>
          <w:rFonts w:ascii="Arial" w:cs="Arial" w:eastAsia="Arial" w:hAnsi="Arial"/>
          <w:sz w:val="20"/>
          <w:szCs w:val="20"/>
          <w:color w:val="auto"/>
        </w:rPr>
        <w:t>means the Plan Sponsor and any other entity which is authorized by the Plan Sponsor to participate in and,</w:t>
      </w:r>
      <w:r>
        <w:rPr>
          <w:rFonts w:ascii="Arial" w:cs="Arial" w:eastAsia="Arial" w:hAnsi="Arial"/>
          <w:sz w:val="20"/>
          <w:szCs w:val="20"/>
          <w:b w:val="1"/>
          <w:bCs w:val="1"/>
          <w:color w:val="auto"/>
        </w:rPr>
        <w:t xml:space="preserve"> </w:t>
      </w:r>
      <w:r>
        <w:rPr>
          <w:rFonts w:ascii="Arial" w:cs="Arial" w:eastAsia="Arial" w:hAnsi="Arial"/>
          <w:sz w:val="20"/>
          <w:szCs w:val="20"/>
          <w:color w:val="auto"/>
        </w:rPr>
        <w:t>in fact, does adopt the Plan.</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9"/>
          <w:szCs w:val="19"/>
          <w:b w:val="1"/>
          <w:bCs w:val="1"/>
          <w:color w:val="auto"/>
        </w:rPr>
        <w:t xml:space="preserve">“ERISA” </w:t>
      </w:r>
      <w:r>
        <w:rPr>
          <w:rFonts w:ascii="Arial" w:cs="Arial" w:eastAsia="Arial" w:hAnsi="Arial"/>
          <w:sz w:val="19"/>
          <w:szCs w:val="19"/>
          <w:color w:val="auto"/>
        </w:rPr>
        <w:t>means the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9"/>
          <w:szCs w:val="19"/>
          <w:b w:val="1"/>
          <w:bCs w:val="1"/>
          <w:color w:val="auto"/>
        </w:rPr>
        <w:t xml:space="preserve">“Fiscal Year” </w:t>
      </w:r>
      <w:r>
        <w:rPr>
          <w:rFonts w:ascii="Arial" w:cs="Arial" w:eastAsia="Arial" w:hAnsi="Arial"/>
          <w:sz w:val="19"/>
          <w:szCs w:val="19"/>
          <w:color w:val="auto"/>
        </w:rPr>
        <w:t>means the Employer’s fiscal year, if other than the calendar year.</w:t>
      </w:r>
    </w:p>
    <w:p>
      <w:pPr>
        <w:spacing w:after="0" w:line="229"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20"/>
          <w:szCs w:val="20"/>
          <w:b w:val="1"/>
          <w:bCs w:val="1"/>
          <w:color w:val="auto"/>
        </w:rPr>
        <w:t xml:space="preserve">“Fiscal Year Compensation” </w:t>
      </w:r>
      <w:r>
        <w:rPr>
          <w:rFonts w:ascii="Arial" w:cs="Arial" w:eastAsia="Arial" w:hAnsi="Arial"/>
          <w:sz w:val="20"/>
          <w:szCs w:val="20"/>
          <w:color w:val="auto"/>
        </w:rPr>
        <w:t>means the Participant’s actual bonus or incentive compensation earned for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performed for the Employer for the Fiscal Year, of which no amount is paid or payable during the Fiscal Year, pursuant to, among others designated by the Employer, the Micron Technology, Inc. Executive Incentive Plan, the Micron Technology, Inc. Annual Incentive Plan, and/or the Micron Technology, Inc. Incentive Pay Plan.</w:t>
      </w:r>
    </w:p>
    <w:p>
      <w:pPr>
        <w:spacing w:after="0" w:line="184"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20"/>
          <w:szCs w:val="20"/>
          <w:b w:val="1"/>
          <w:bCs w:val="1"/>
          <w:color w:val="auto"/>
        </w:rPr>
        <w:t xml:space="preserve">“Micron Recoupment Policy” </w:t>
      </w:r>
      <w:r>
        <w:rPr>
          <w:rFonts w:ascii="Arial" w:cs="Arial" w:eastAsia="Arial" w:hAnsi="Arial"/>
          <w:sz w:val="20"/>
          <w:szCs w:val="20"/>
          <w:color w:val="auto"/>
        </w:rPr>
        <w:t>means the Micron Technology, Inc. Compensation Recoupment (Clawback) Policy, as</w:t>
      </w:r>
      <w:r>
        <w:rPr>
          <w:rFonts w:ascii="Arial" w:cs="Arial" w:eastAsia="Arial" w:hAnsi="Arial"/>
          <w:sz w:val="20"/>
          <w:szCs w:val="20"/>
          <w:b w:val="1"/>
          <w:bCs w:val="1"/>
          <w:color w:val="auto"/>
        </w:rPr>
        <w:t xml:space="preserve"> </w:t>
      </w:r>
      <w:r>
        <w:rPr>
          <w:rFonts w:ascii="Arial" w:cs="Arial" w:eastAsia="Arial" w:hAnsi="Arial"/>
          <w:sz w:val="20"/>
          <w:szCs w:val="20"/>
          <w:color w:val="auto"/>
        </w:rPr>
        <w:t>adopted by the Compensation Committee of the Board of Directors on September 25, 2023, as amended and restated from time-to-time, and any similar successor policy.</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9"/>
          <w:szCs w:val="19"/>
          <w:b w:val="1"/>
          <w:bCs w:val="1"/>
          <w:color w:val="auto"/>
        </w:rPr>
        <w:t xml:space="preserve">“Participant” </w:t>
      </w:r>
      <w:r>
        <w:rPr>
          <w:rFonts w:ascii="Arial" w:cs="Arial" w:eastAsia="Arial" w:hAnsi="Arial"/>
          <w:sz w:val="19"/>
          <w:szCs w:val="19"/>
          <w:color w:val="auto"/>
        </w:rPr>
        <w:t>means an Eligible Employee who commences participation in the Plan in accordance with Article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84"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9"/>
          <w:szCs w:val="19"/>
          <w:b w:val="1"/>
          <w:bCs w:val="1"/>
          <w:color w:val="auto"/>
        </w:rPr>
        <w:t xml:space="preserve">“Performance-Based Compensation” </w:t>
      </w:r>
      <w:r>
        <w:rPr>
          <w:rFonts w:ascii="Arial" w:cs="Arial" w:eastAsia="Arial" w:hAnsi="Arial"/>
          <w:sz w:val="19"/>
          <w:szCs w:val="19"/>
          <w:color w:val="auto"/>
        </w:rPr>
        <w:t>means any bonus, award or other compensation paid or payable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Fiscal Year, pursuant to, among others designated by the Employer, the Micron Technology, Inc. Executive Incentive Plan, the Micron Technology, Inc. Annual Incentive Plan, and/or the Micron Technology, Inc. Incentive Pay Plan, the amount of which, or the entitlement to which, is contingent on the satisfaction of pre-established organizational or individual performance criteria relating to a performance period of at least twelve (12) consecutive months. For such bonus or award to be performance-based with respect to a Participant’s deferral election with respect to such bonus or award, the following requirements must be met: (i) the performance criteria must be established in writing no later than ninety (90) days after the beginning of the applicable “performance period”; (ii) the outcome of the performance criteria must be substantially uncertain when the criteria are established; (iii) no bonus or award, or portion of any bonus or award, that will be paid either regardless of performance, or based upon a level of performance that is substantially certain to be met at the time the criteria are established, shall be considered Performance-Based Compensation; (iv) Performance-Based Compensation shall not include payments based upon subjective performance criteria unless: (a) the subjective performance criteria are bona fide and relate to the Participant’s performance, the performance of a group of employees that includes the Participant, or the performance of a business unit for which the Participant provides services (which may include the entire organization); and (b) the determination that any subjective performance criteria have been met is not made by the Participant or a family member of the Participant (as defined in Code Section 267(c)</w:t>
      </w:r>
    </w:p>
    <w:p>
      <w:pPr>
        <w:spacing w:after="0" w:line="9"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color w:val="auto"/>
        </w:rPr>
        <w:t>(4), applied as if the family of an individual includes the spouse of any member of the family), or a person under the effective control of the Participant or such a family member, and no amount of the compensation of the person making such determination is effectively controlled in whole or in part by the Participant or such a family member. A performance-based bonus that otherwise meets the above criteria may provide for payment regardless of satisfaction of the performance criteria upon the Participant’s death, disability (defined as a medically determinable physical or mental impairment resulting in the Participant’s inability to perform the duties of his or her position or any substantially similar position, where such impairment can be expected to result in death or can be expected to last for a continuous period of not less than six (6) months), or a change in control event (as defined in Treasury Regulations Section 1.409A-3(i)(5)(i)). Any amount that actually becomes payable upon such events without regard to the satisfaction of the performance criteria will not be considered Performance-Based Compensation.</w:t>
      </w:r>
    </w:p>
    <w:p>
      <w:pPr>
        <w:spacing w:after="0" w:line="184"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the unfunded plan of deferred compensation set forth herein, as adopted by the Plan Sponsor and as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from time to time.</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9"/>
          <w:szCs w:val="19"/>
          <w:b w:val="1"/>
          <w:bCs w:val="1"/>
          <w:color w:val="auto"/>
        </w:rPr>
        <w:t xml:space="preserve">“Plan Sponsor” </w:t>
      </w:r>
      <w:r>
        <w:rPr>
          <w:rFonts w:ascii="Arial" w:cs="Arial" w:eastAsia="Arial" w:hAnsi="Arial"/>
          <w:sz w:val="19"/>
          <w:szCs w:val="19"/>
          <w:color w:val="auto"/>
        </w:rPr>
        <w:t>means Micron Technology, Inc. or any successor by merger, consolidation or otherwise.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2.26</w:t>
      </w:r>
      <w:r>
        <w:rPr>
          <w:sz w:val="20"/>
          <w:szCs w:val="20"/>
          <w:color w:val="auto"/>
        </w:rPr>
        <w:tab/>
      </w:r>
      <w:r>
        <w:rPr>
          <w:rFonts w:ascii="Arial" w:cs="Arial" w:eastAsia="Arial" w:hAnsi="Arial"/>
          <w:sz w:val="19"/>
          <w:szCs w:val="19"/>
          <w:b w:val="1"/>
          <w:bCs w:val="1"/>
          <w:color w:val="auto"/>
        </w:rPr>
        <w:t xml:space="preserve">“Plan Year” </w:t>
      </w:r>
      <w:r>
        <w:rPr>
          <w:rFonts w:ascii="Arial" w:cs="Arial" w:eastAsia="Arial" w:hAnsi="Arial"/>
          <w:sz w:val="19"/>
          <w:szCs w:val="19"/>
          <w:color w:val="auto"/>
        </w:rPr>
        <w:t>means the period commencing January 1 and ending on December 31.</w:t>
      </w:r>
    </w:p>
    <w:p>
      <w:pPr>
        <w:spacing w:after="0" w:line="229"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20"/>
          <w:szCs w:val="20"/>
          <w:b w:val="1"/>
          <w:bCs w:val="1"/>
          <w:color w:val="auto"/>
        </w:rPr>
        <w:t xml:space="preserve">“Related Employer” </w:t>
      </w:r>
      <w:r>
        <w:rPr>
          <w:rFonts w:ascii="Arial" w:cs="Arial" w:eastAsia="Arial" w:hAnsi="Arial"/>
          <w:sz w:val="20"/>
          <w:szCs w:val="20"/>
          <w:color w:val="auto"/>
        </w:rPr>
        <w:t>means the Employer and (a) any corporation that is a member of a controlled group of</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corporations as defined in Code Section 414(b) that includes the Employer and (b) any trade or business that is under common control as defined in Code Section 414(c) that includes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4"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2.28</w:t>
      </w:r>
      <w:r>
        <w:rPr>
          <w:sz w:val="20"/>
          <w:szCs w:val="20"/>
          <w:color w:val="auto"/>
        </w:rPr>
        <w:tab/>
      </w:r>
      <w:r>
        <w:rPr>
          <w:rFonts w:ascii="Arial" w:cs="Arial" w:eastAsia="Arial" w:hAnsi="Arial"/>
          <w:sz w:val="20"/>
          <w:szCs w:val="20"/>
          <w:b w:val="1"/>
          <w:bCs w:val="1"/>
          <w:color w:val="auto"/>
        </w:rPr>
        <w:t xml:space="preserve">“Separation from Service” </w:t>
      </w:r>
      <w:r>
        <w:rPr>
          <w:rFonts w:ascii="Arial" w:cs="Arial" w:eastAsia="Arial" w:hAnsi="Arial"/>
          <w:sz w:val="20"/>
          <w:szCs w:val="20"/>
          <w:color w:val="auto"/>
        </w:rPr>
        <w:t>means the date that the Participant dies, retires or otherwise has a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respect to all entities comprising the Related Employer. A Separation from Service does not occur if the Participant is on military leave, sick leave or other bona fide leave of absence if the period of leave does not exceed six months or such longer period during which the Participant’s right to reemployment is provided by statute or contract. If the period of leave exceeds six months and the Participant’s right to re-employment is not provided either by statute or contract, a Separation from Service will be deemed to have occurred on the first day following the six-month period. If the period of leave is due to any medically determinable physical or mental impairment that can be expected to result in death or can be expected to last for a continuous period of not less than six months, where the impairment causes the Participant to be unable to perform the duties of his or her position of employment or any substantially similar position of employment, a 29 -month period of absence may be substituted for the six -month period.</w:t>
      </w:r>
    </w:p>
    <w:p>
      <w:pPr>
        <w:spacing w:after="0" w:line="206" w:lineRule="exact"/>
        <w:rPr>
          <w:sz w:val="20"/>
          <w:szCs w:val="20"/>
          <w:color w:val="auto"/>
        </w:rPr>
      </w:pPr>
    </w:p>
    <w:p>
      <w:pPr>
        <w:jc w:val="both"/>
        <w:ind w:left="660"/>
        <w:spacing w:after="0" w:line="252" w:lineRule="auto"/>
        <w:rPr>
          <w:sz w:val="20"/>
          <w:szCs w:val="20"/>
          <w:color w:val="auto"/>
        </w:rPr>
      </w:pPr>
      <w:r>
        <w:rPr>
          <w:rFonts w:ascii="Arial" w:cs="Arial" w:eastAsia="Arial" w:hAnsi="Arial"/>
          <w:sz w:val="20"/>
          <w:szCs w:val="20"/>
          <w:color w:val="auto"/>
        </w:rPr>
        <w:t>Whether a termination of employment has occurred is based on whether the facts and circumstances indicate that the Related Employer and the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36 -month period (or the full period of services to the Related Employer if the employee has been providing services to the Related Employer for less than 36 months).</w:t>
      </w:r>
    </w:p>
    <w:p>
      <w:pPr>
        <w:spacing w:after="0" w:line="186" w:lineRule="exact"/>
        <w:rPr>
          <w:sz w:val="20"/>
          <w:szCs w:val="20"/>
          <w:color w:val="auto"/>
        </w:rPr>
      </w:pPr>
    </w:p>
    <w:p>
      <w:pPr>
        <w:jc w:val="both"/>
        <w:ind w:left="660"/>
        <w:spacing w:after="0" w:line="256" w:lineRule="auto"/>
        <w:rPr>
          <w:sz w:val="20"/>
          <w:szCs w:val="20"/>
          <w:color w:val="auto"/>
        </w:rPr>
      </w:pPr>
      <w:r>
        <w:rPr>
          <w:rFonts w:ascii="Arial" w:cs="Arial" w:eastAsia="Arial" w:hAnsi="Arial"/>
          <w:sz w:val="20"/>
          <w:szCs w:val="20"/>
          <w:color w:val="auto"/>
        </w:rPr>
        <w:t>An independent contractor is considered to have experienced a Separation from Service with the Related Employer upon the expiration of the contract (or, in the case of more than one contract, all contracts) under which services are performed for the Related Employer if the expiration constitutes a good-faith and complete termination of the contractual relationship.</w:t>
      </w:r>
    </w:p>
    <w:p>
      <w:pPr>
        <w:spacing w:after="0" w:line="180" w:lineRule="exact"/>
        <w:rPr>
          <w:sz w:val="20"/>
          <w:szCs w:val="20"/>
          <w:color w:val="auto"/>
        </w:rPr>
      </w:pPr>
    </w:p>
    <w:p>
      <w:pPr>
        <w:jc w:val="both"/>
        <w:ind w:left="660"/>
        <w:spacing w:after="0" w:line="252" w:lineRule="auto"/>
        <w:rPr>
          <w:sz w:val="20"/>
          <w:szCs w:val="20"/>
          <w:color w:val="auto"/>
        </w:rPr>
      </w:pPr>
      <w:r>
        <w:rPr>
          <w:rFonts w:ascii="Arial" w:cs="Arial" w:eastAsia="Arial" w:hAnsi="Arial"/>
          <w:sz w:val="20"/>
          <w:szCs w:val="20"/>
          <w:color w:val="auto"/>
        </w:rPr>
        <w:t>If a Participant provides services as both an employee and an independent contractor of the Related Employer, the Participant must separate from service both as an employee and as an independent contractor to be treated as having incurred a Separation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experienced a Separation from Service until the Participant has ceased providing services in both capacities.</w:t>
      </w:r>
    </w:p>
    <w:p>
      <w:pPr>
        <w:spacing w:after="0" w:line="198" w:lineRule="exact"/>
        <w:rPr>
          <w:sz w:val="20"/>
          <w:szCs w:val="20"/>
          <w:color w:val="auto"/>
        </w:rPr>
      </w:pPr>
    </w:p>
    <w:p>
      <w:pPr>
        <w:jc w:val="both"/>
        <w:ind w:left="660"/>
        <w:spacing w:after="0" w:line="252" w:lineRule="auto"/>
        <w:rPr>
          <w:sz w:val="20"/>
          <w:szCs w:val="20"/>
          <w:color w:val="auto"/>
        </w:rPr>
      </w:pPr>
      <w:r>
        <w:rPr>
          <w:rFonts w:ascii="Arial" w:cs="Arial" w:eastAsia="Arial" w:hAnsi="Arial"/>
          <w:sz w:val="20"/>
          <w:szCs w:val="20"/>
          <w:color w:val="auto"/>
        </w:rPr>
        <w:t>If a Participant provides services both as an employee and as a member of the board of directors of a corporate Related Employer (or an analogous position with respect to a noncorporate Related Employer), the services provided as a director are not taken into account in determining whether the Participant has incurred a Separation from Service as an employee for purposes of a nonqualified deferred compensation plan in which the Participant participates as an employee that is not aggregated under Code Section 409A with any plan in which the Participant participates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jc w:val="both"/>
        <w:ind w:left="660"/>
        <w:spacing w:after="0" w:line="268" w:lineRule="auto"/>
        <w:rPr>
          <w:sz w:val="20"/>
          <w:szCs w:val="20"/>
          <w:color w:val="auto"/>
        </w:rPr>
      </w:pPr>
      <w:r>
        <w:rPr>
          <w:rFonts w:ascii="Arial" w:cs="Arial" w:eastAsia="Arial" w:hAnsi="Arial"/>
          <w:sz w:val="19"/>
          <w:szCs w:val="19"/>
          <w:color w:val="auto"/>
        </w:rPr>
        <w:t>If a Participant provides services both as an employee and as a member of the board of directors of a corporate related Employer (or an analogous position with respect to a noncorporate Related Employer), the services provided as an employee are not taken into account in determining whether the Participant has experienced a Separation from Service as a director for purposes of a nonqualified deferred compensation plan in which the Participant participates as a director that is not aggregated under Code Section 409A with any plan in which the Participant participates as an employee.</w:t>
      </w:r>
    </w:p>
    <w:p>
      <w:pPr>
        <w:spacing w:after="0" w:line="184" w:lineRule="exact"/>
        <w:rPr>
          <w:sz w:val="20"/>
          <w:szCs w:val="20"/>
          <w:color w:val="auto"/>
        </w:rPr>
      </w:pPr>
    </w:p>
    <w:p>
      <w:pPr>
        <w:jc w:val="both"/>
        <w:ind w:left="660"/>
        <w:spacing w:after="0" w:line="275" w:lineRule="auto"/>
        <w:rPr>
          <w:sz w:val="20"/>
          <w:szCs w:val="20"/>
          <w:color w:val="auto"/>
        </w:rPr>
      </w:pPr>
      <w:r>
        <w:rPr>
          <w:rFonts w:ascii="Arial" w:cs="Arial" w:eastAsia="Arial" w:hAnsi="Arial"/>
          <w:sz w:val="20"/>
          <w:szCs w:val="20"/>
          <w:color w:val="auto"/>
        </w:rPr>
        <w:t>All determinations of whether a Separation from Service has occurred will be made in a manner consistent with Code Section 409A and the final regulations thereunder.</w:t>
      </w:r>
    </w:p>
    <w:p>
      <w:pPr>
        <w:spacing w:after="0" w:line="151"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2.29</w:t>
      </w:r>
      <w:r>
        <w:rPr>
          <w:sz w:val="20"/>
          <w:szCs w:val="20"/>
          <w:color w:val="auto"/>
        </w:rPr>
        <w:tab/>
      </w:r>
      <w:r>
        <w:rPr>
          <w:rFonts w:ascii="Arial" w:cs="Arial" w:eastAsia="Arial" w:hAnsi="Arial"/>
          <w:sz w:val="20"/>
          <w:szCs w:val="20"/>
          <w:b w:val="1"/>
          <w:bCs w:val="1"/>
          <w:color w:val="auto"/>
        </w:rPr>
        <w:t xml:space="preserve">“Specified Employee” </w:t>
      </w:r>
      <w:r>
        <w:rPr>
          <w:rFonts w:ascii="Arial" w:cs="Arial" w:eastAsia="Arial" w:hAnsi="Arial"/>
          <w:sz w:val="20"/>
          <w:szCs w:val="20"/>
          <w:color w:val="auto"/>
        </w:rPr>
        <w:t>is an employee who on the date of his Separation from Service is a “specified employee” within</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given such term under Code Section 409A and the regulations thereunder applying the default criteria.</w:t>
      </w:r>
    </w:p>
    <w:p>
      <w:pPr>
        <w:spacing w:after="0" w:line="140" w:lineRule="exact"/>
        <w:rPr>
          <w:sz w:val="20"/>
          <w:szCs w:val="20"/>
          <w:color w:val="auto"/>
        </w:rPr>
      </w:pPr>
    </w:p>
    <w:p>
      <w:pPr>
        <w:jc w:val="both"/>
        <w:ind w:left="640" w:right="2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2.30</w:t>
      </w:r>
      <w:r>
        <w:rPr>
          <w:sz w:val="20"/>
          <w:szCs w:val="20"/>
          <w:color w:val="auto"/>
        </w:rPr>
        <w:tab/>
      </w:r>
      <w:r>
        <w:rPr>
          <w:rFonts w:ascii="Arial" w:cs="Arial" w:eastAsia="Arial" w:hAnsi="Arial"/>
          <w:sz w:val="20"/>
          <w:szCs w:val="20"/>
          <w:b w:val="1"/>
          <w:bCs w:val="1"/>
          <w:color w:val="auto"/>
        </w:rPr>
        <w:t xml:space="preserve">“Specified Employee Delayed Payment Date” </w:t>
      </w:r>
      <w:r>
        <w:rPr>
          <w:rFonts w:ascii="Arial" w:cs="Arial" w:eastAsia="Arial" w:hAnsi="Arial"/>
          <w:sz w:val="20"/>
          <w:szCs w:val="20"/>
          <w:color w:val="auto"/>
        </w:rPr>
        <w:t>means the first business day of the seventh month following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a Specified Employee’s Separation from Service.</w:t>
      </w:r>
    </w:p>
    <w:p>
      <w:pPr>
        <w:spacing w:after="0" w:line="154"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2.31</w:t>
      </w:r>
      <w:r>
        <w:rPr>
          <w:sz w:val="20"/>
          <w:szCs w:val="20"/>
          <w:color w:val="auto"/>
        </w:rPr>
        <w:tab/>
      </w:r>
      <w:r>
        <w:rPr>
          <w:rFonts w:ascii="Arial" w:cs="Arial" w:eastAsia="Arial" w:hAnsi="Arial"/>
          <w:sz w:val="20"/>
          <w:szCs w:val="20"/>
          <w:b w:val="1"/>
          <w:bCs w:val="1"/>
          <w:color w:val="auto"/>
        </w:rPr>
        <w:t xml:space="preserve">“Specified Payment Date” </w:t>
      </w:r>
      <w:r>
        <w:rPr>
          <w:rFonts w:ascii="Arial" w:cs="Arial" w:eastAsia="Arial" w:hAnsi="Arial"/>
          <w:sz w:val="20"/>
          <w:szCs w:val="20"/>
          <w:color w:val="auto"/>
        </w:rPr>
        <w:t>means a calendar year elected by the Participant to receive his or her deferrals that is after</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Year for which the deferrals are made.</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2.32</w:t>
      </w:r>
      <w:r>
        <w:rPr>
          <w:sz w:val="20"/>
          <w:szCs w:val="20"/>
          <w:color w:val="auto"/>
        </w:rPr>
        <w:tab/>
      </w:r>
      <w:r>
        <w:rPr>
          <w:rFonts w:ascii="Arial" w:cs="Arial" w:eastAsia="Arial" w:hAnsi="Arial"/>
          <w:sz w:val="19"/>
          <w:szCs w:val="19"/>
          <w:b w:val="1"/>
          <w:bCs w:val="1"/>
          <w:color w:val="auto"/>
        </w:rPr>
        <w:t xml:space="preserve">“Valuation Date” </w:t>
      </w:r>
      <w:r>
        <w:rPr>
          <w:rFonts w:ascii="Arial" w:cs="Arial" w:eastAsia="Arial" w:hAnsi="Arial"/>
          <w:sz w:val="19"/>
          <w:szCs w:val="19"/>
          <w:color w:val="auto"/>
        </w:rPr>
        <w:t>means each business day of the Plan Year that the Nasdaq Global Stock Market is open.</w:t>
      </w:r>
    </w:p>
    <w:p>
      <w:pPr>
        <w:spacing w:after="0" w:line="216"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2.33</w:t>
      </w:r>
      <w:r>
        <w:rPr>
          <w:sz w:val="20"/>
          <w:szCs w:val="20"/>
          <w:color w:val="auto"/>
        </w:rPr>
        <w:tab/>
      </w:r>
      <w:r>
        <w:rPr>
          <w:rFonts w:ascii="Arial" w:cs="Arial" w:eastAsia="Arial" w:hAnsi="Arial"/>
          <w:sz w:val="20"/>
          <w:szCs w:val="20"/>
          <w:b w:val="1"/>
          <w:bCs w:val="1"/>
          <w:color w:val="auto"/>
        </w:rPr>
        <w:t xml:space="preserve">“Years of Service” </w:t>
      </w:r>
      <w:r>
        <w:rPr>
          <w:rFonts w:ascii="Arial" w:cs="Arial" w:eastAsia="Arial" w:hAnsi="Arial"/>
          <w:sz w:val="20"/>
          <w:szCs w:val="20"/>
          <w:color w:val="auto"/>
        </w:rPr>
        <w:t>shall be determined in accordance with the Participant’s Years of Service credited under the Micron</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Inc. Retirement at Micron (RAM) Plan.</w:t>
      </w:r>
    </w:p>
    <w:p>
      <w:pPr>
        <w:spacing w:after="0" w:line="154" w:lineRule="exact"/>
        <w:rPr>
          <w:sz w:val="20"/>
          <w:szCs w:val="20"/>
          <w:color w:val="auto"/>
        </w:rPr>
      </w:pPr>
    </w:p>
    <w:p>
      <w:pPr>
        <w:ind w:left="4580"/>
        <w:spacing w:after="0"/>
        <w:tabs>
          <w:tab w:leader="none" w:pos="5800" w:val="left"/>
        </w:tabs>
        <w:rPr>
          <w:sz w:val="20"/>
          <w:szCs w:val="20"/>
          <w:color w:val="auto"/>
        </w:rPr>
      </w:pPr>
      <w:r>
        <w:rPr>
          <w:rFonts w:ascii="Arial" w:cs="Arial" w:eastAsia="Arial" w:hAnsi="Arial"/>
          <w:sz w:val="20"/>
          <w:szCs w:val="20"/>
          <w:b w:val="1"/>
          <w:bCs w:val="1"/>
          <w:color w:val="auto"/>
        </w:rPr>
        <w:t>Article 3 -</w:t>
      </w:r>
      <w:r>
        <w:rPr>
          <w:sz w:val="20"/>
          <w:szCs w:val="20"/>
          <w:color w:val="auto"/>
        </w:rPr>
        <w:tab/>
      </w:r>
      <w:r>
        <w:rPr>
          <w:rFonts w:ascii="Arial" w:cs="Arial" w:eastAsia="Arial" w:hAnsi="Arial"/>
          <w:sz w:val="19"/>
          <w:szCs w:val="19"/>
          <w:b w:val="1"/>
          <w:bCs w:val="1"/>
          <w:color w:val="auto"/>
        </w:rPr>
        <w:t>PARTICIPATION</w:t>
      </w:r>
    </w:p>
    <w:p>
      <w:pPr>
        <w:spacing w:after="0" w:line="216" w:lineRule="exact"/>
        <w:rPr>
          <w:sz w:val="20"/>
          <w:szCs w:val="20"/>
          <w:color w:val="auto"/>
        </w:rPr>
      </w:pPr>
    </w:p>
    <w:p>
      <w:pPr>
        <w:jc w:val="both"/>
        <w:ind w:left="640" w:right="2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20"/>
          <w:szCs w:val="20"/>
          <w:b w:val="1"/>
          <w:bCs w:val="1"/>
          <w:color w:val="auto"/>
        </w:rPr>
        <w:t xml:space="preserve">Participation. </w:t>
      </w:r>
      <w:r>
        <w:rPr>
          <w:rFonts w:ascii="Arial" w:cs="Arial" w:eastAsia="Arial" w:hAnsi="Arial"/>
          <w:sz w:val="20"/>
          <w:szCs w:val="20"/>
          <w:color w:val="auto"/>
        </w:rPr>
        <w:t>An Eligible Employee shall commence participation in the Plan upon the effectiveness of his first deferral</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 in accordance with Section 4.1.</w:t>
      </w:r>
    </w:p>
    <w:p>
      <w:pPr>
        <w:spacing w:after="0" w:line="140"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20"/>
          <w:szCs w:val="20"/>
          <w:b w:val="1"/>
          <w:bCs w:val="1"/>
          <w:color w:val="auto"/>
        </w:rPr>
        <w:t xml:space="preserve">Termination of Participation. </w:t>
      </w:r>
      <w:r>
        <w:rPr>
          <w:rFonts w:ascii="Arial" w:cs="Arial" w:eastAsia="Arial" w:hAnsi="Arial"/>
          <w:sz w:val="20"/>
          <w:szCs w:val="20"/>
          <w:color w:val="auto"/>
        </w:rPr>
        <w:t>The Administrator may terminate a Participant’s participation in the Plan in a manner</w:t>
      </w:r>
      <w:r>
        <w:rPr>
          <w:rFonts w:ascii="Arial" w:cs="Arial" w:eastAsia="Arial" w:hAnsi="Arial"/>
          <w:sz w:val="20"/>
          <w:szCs w:val="20"/>
          <w:b w:val="1"/>
          <w:bCs w:val="1"/>
          <w:color w:val="auto"/>
        </w:rPr>
        <w:t xml:space="preserve"> </w:t>
      </w:r>
      <w:r>
        <w:rPr>
          <w:rFonts w:ascii="Arial" w:cs="Arial" w:eastAsia="Arial" w:hAnsi="Arial"/>
          <w:sz w:val="20"/>
          <w:szCs w:val="20"/>
          <w:color w:val="auto"/>
        </w:rPr>
        <w:t>consistent with Code Section 409A. If the Employer terminates a Participant’s participation before the Participant experiences a Separation from Service the Participant’s vested Accounts shall be paid in accordance with the provisions of 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4" w:lineRule="exact"/>
        <w:rPr>
          <w:sz w:val="20"/>
          <w:szCs w:val="20"/>
          <w:color w:val="auto"/>
        </w:rPr>
      </w:pPr>
    </w:p>
    <w:p>
      <w:pPr>
        <w:ind w:left="4080"/>
        <w:spacing w:after="0"/>
        <w:tabs>
          <w:tab w:leader="none" w:pos="5300" w:val="left"/>
        </w:tabs>
        <w:rPr>
          <w:sz w:val="20"/>
          <w:szCs w:val="20"/>
          <w:color w:val="auto"/>
        </w:rPr>
      </w:pPr>
      <w:r>
        <w:rPr>
          <w:rFonts w:ascii="Arial" w:cs="Arial" w:eastAsia="Arial" w:hAnsi="Arial"/>
          <w:sz w:val="20"/>
          <w:szCs w:val="20"/>
          <w:b w:val="1"/>
          <w:bCs w:val="1"/>
          <w:color w:val="auto"/>
        </w:rPr>
        <w:t>Article 4 -</w:t>
      </w:r>
      <w:r>
        <w:rPr>
          <w:sz w:val="20"/>
          <w:szCs w:val="20"/>
          <w:color w:val="auto"/>
        </w:rPr>
        <w:tab/>
      </w:r>
      <w:r>
        <w:rPr>
          <w:rFonts w:ascii="Arial" w:cs="Arial" w:eastAsia="Arial" w:hAnsi="Arial"/>
          <w:sz w:val="19"/>
          <w:szCs w:val="19"/>
          <w:b w:val="1"/>
          <w:bCs w:val="1"/>
          <w:color w:val="auto"/>
        </w:rPr>
        <w:t>PARTICIPANT ELECTIONS</w:t>
      </w:r>
    </w:p>
    <w:p>
      <w:pPr>
        <w:spacing w:after="0" w:line="229" w:lineRule="exact"/>
        <w:rPr>
          <w:sz w:val="20"/>
          <w:szCs w:val="20"/>
          <w:color w:val="auto"/>
        </w:rPr>
      </w:pPr>
    </w:p>
    <w:p>
      <w:pPr>
        <w:jc w:val="both"/>
        <w:ind w:left="640" w:hanging="647"/>
        <w:spacing w:after="0" w:line="265" w:lineRule="auto"/>
        <w:tabs>
          <w:tab w:leader="none" w:pos="62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Deferral Agreement</w:t>
      </w:r>
      <w:r>
        <w:rPr>
          <w:rFonts w:ascii="Arial" w:cs="Arial" w:eastAsia="Arial" w:hAnsi="Arial"/>
          <w:sz w:val="19"/>
          <w:szCs w:val="19"/>
          <w:color w:val="auto"/>
        </w:rPr>
        <w:t>. An Eligible Employee may elect during the applicable Election Period, by executing in writing or</w:t>
      </w:r>
      <w:r>
        <w:rPr>
          <w:rFonts w:ascii="Arial" w:cs="Arial" w:eastAsia="Arial" w:hAnsi="Arial"/>
          <w:sz w:val="19"/>
          <w:szCs w:val="19"/>
          <w:b w:val="1"/>
          <w:bCs w:val="1"/>
          <w:color w:val="auto"/>
        </w:rPr>
        <w:t xml:space="preserve"> </w:t>
      </w:r>
      <w:r>
        <w:rPr>
          <w:rFonts w:ascii="Arial" w:cs="Arial" w:eastAsia="Arial" w:hAnsi="Arial"/>
          <w:sz w:val="19"/>
          <w:szCs w:val="19"/>
          <w:color w:val="auto"/>
        </w:rPr>
        <w:t>electronically a deferral agreement on form(s) approved by the Administrator, to defer the receipt of a designated percentage of Base Compensation per payroll period that is earned and payable after the effective date of such election, a designated percentage of Bonus Compensation per payroll period that is earned and payable after the effective date of such election, a designated percentage of Fiscal Year Compensation that is earned and payable after the effective date of such election and a designated percentage of Performance-Based Compensation that is payable after the effective date of such election and have such amount credited to the Participant’s Account pursuant to the terms of the Plan. The Participant shall make a separate deferral election for Base and Bonus Compensation deferrals for each Plan Year and a separate deferral election of Performance-Based Compensation and Fiscal Year Compensation for a Fiscal Year.</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A new deferral election must be timely executed for each Plan Year or Fiscal Year, as applicable, during which the Eligible Employee desires to defer Compensation. An Eligible Employee who does not timely execute a deferral election shall be deemed to have elected zero deferrals of Compensation for such Plan Year or Fiscal Year, as applicable.</w:t>
      </w:r>
    </w:p>
    <w:p>
      <w:pPr>
        <w:spacing w:after="0" w:line="165"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20"/>
          <w:szCs w:val="20"/>
          <w:b w:val="1"/>
          <w:bCs w:val="1"/>
          <w:color w:val="auto"/>
        </w:rPr>
        <w:t>Revocation/Modification of Deferral Elections</w:t>
      </w:r>
      <w:r>
        <w:rPr>
          <w:rFonts w:ascii="Arial" w:cs="Arial" w:eastAsia="Arial" w:hAnsi="Arial"/>
          <w:sz w:val="20"/>
          <w:szCs w:val="20"/>
          <w:color w:val="auto"/>
        </w:rPr>
        <w:t>. Except as otherwise provided in Section 9.2, a Participant may not</w:t>
      </w:r>
      <w:r>
        <w:rPr>
          <w:rFonts w:ascii="Arial" w:cs="Arial" w:eastAsia="Arial" w:hAnsi="Arial"/>
          <w:sz w:val="20"/>
          <w:szCs w:val="20"/>
          <w:b w:val="1"/>
          <w:bCs w:val="1"/>
          <w:color w:val="auto"/>
        </w:rPr>
        <w:t xml:space="preserve"> </w:t>
      </w:r>
      <w:r>
        <w:rPr>
          <w:rFonts w:ascii="Arial" w:cs="Arial" w:eastAsia="Arial" w:hAnsi="Arial"/>
          <w:sz w:val="20"/>
          <w:szCs w:val="20"/>
          <w:color w:val="auto"/>
        </w:rPr>
        <w:t>revoke or modify his deferral agreement after the Election Period. The Administrator in its discretion may cancel a deferral election if permitted under Code Section 409A (such as upon disability), provided that the Participant shall not be provided an election with respect to such cancellation.</w:t>
      </w:r>
    </w:p>
    <w:p>
      <w:pPr>
        <w:spacing w:after="0" w:line="168"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20"/>
          <w:szCs w:val="20"/>
          <w:b w:val="1"/>
          <w:bCs w:val="1"/>
          <w:color w:val="auto"/>
        </w:rPr>
        <w:t>Amount of Deferrals</w:t>
      </w:r>
      <w:r>
        <w:rPr>
          <w:rFonts w:ascii="Arial" w:cs="Arial" w:eastAsia="Arial" w:hAnsi="Arial"/>
          <w:sz w:val="20"/>
          <w:szCs w:val="20"/>
          <w:color w:val="auto"/>
        </w:rPr>
        <w:t>. An Eligible Employee is not required to make a deferral election for any Plan Year or Fiscal Year.</w:t>
      </w:r>
      <w:r>
        <w:rPr>
          <w:rFonts w:ascii="Arial" w:cs="Arial" w:eastAsia="Arial" w:hAnsi="Arial"/>
          <w:sz w:val="20"/>
          <w:szCs w:val="20"/>
          <w:b w:val="1"/>
          <w:bCs w:val="1"/>
          <w:color w:val="auto"/>
        </w:rPr>
        <w:t xml:space="preserve"> </w:t>
      </w:r>
      <w:r>
        <w:rPr>
          <w:rFonts w:ascii="Arial" w:cs="Arial" w:eastAsia="Arial" w:hAnsi="Arial"/>
          <w:sz w:val="20"/>
          <w:szCs w:val="20"/>
          <w:color w:val="auto"/>
        </w:rPr>
        <w:t>However, if an Eligible Employee makes a deferral election, the following minimums and maximums apply. These minimums and/or maximums may be modified by the Administrator for a given Plan Year or Fiscal Year on the election forms for such Plan Year or Fiscal Year without the need of a formal plan amendment.</w:t>
      </w:r>
    </w:p>
    <w:p>
      <w:pPr>
        <w:spacing w:after="0" w:line="168" w:lineRule="exact"/>
        <w:rPr>
          <w:sz w:val="20"/>
          <w:szCs w:val="20"/>
          <w:color w:val="auto"/>
        </w:rPr>
      </w:pPr>
    </w:p>
    <w:p>
      <w:pPr>
        <w:ind w:left="980" w:hanging="324"/>
        <w:spacing w:after="0" w:line="286" w:lineRule="auto"/>
        <w:tabs>
          <w:tab w:leader="none" w:pos="979"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Minimum Base Compensation Deferral Election</w:t>
      </w:r>
      <w:r>
        <w:rPr>
          <w:rFonts w:ascii="Arial" w:cs="Arial" w:eastAsia="Arial" w:hAnsi="Arial"/>
          <w:sz w:val="20"/>
          <w:szCs w:val="20"/>
          <w:color w:val="auto"/>
        </w:rPr>
        <w:t>. The minimum deferral election percentage an Eligible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may make for a Plan Year with respect to Base Compensation is 1% of Base Compensation.</w:t>
      </w:r>
    </w:p>
    <w:p>
      <w:pPr>
        <w:spacing w:after="0" w:line="153" w:lineRule="exact"/>
        <w:rPr>
          <w:rFonts w:ascii="Arial" w:cs="Arial" w:eastAsia="Arial" w:hAnsi="Arial"/>
          <w:sz w:val="20"/>
          <w:szCs w:val="20"/>
          <w:color w:val="auto"/>
        </w:rPr>
      </w:pPr>
    </w:p>
    <w:p>
      <w:pPr>
        <w:jc w:val="both"/>
        <w:ind w:left="980" w:hanging="324"/>
        <w:spacing w:after="0" w:line="255" w:lineRule="auto"/>
        <w:tabs>
          <w:tab w:leader="none" w:pos="979"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Minimum Bonus, Fiscal Year and Performance-Based Compensation Deferral Election</w:t>
      </w:r>
      <w:r>
        <w:rPr>
          <w:rFonts w:ascii="Arial" w:cs="Arial" w:eastAsia="Arial" w:hAnsi="Arial"/>
          <w:sz w:val="20"/>
          <w:szCs w:val="20"/>
          <w:color w:val="auto"/>
        </w:rPr>
        <w:t>. The minimum deferral</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 percentage an Eligible Employee may make for a Plan Year or Fiscal Year, as applicable, with respect to Bonus, Fiscal Year or Performance-Based Compensation is 1% of such Eligible Employee’s bonus or incentive compensation for a Plan Year or Fiscal Year, as applicable.</w:t>
      </w:r>
    </w:p>
    <w:p>
      <w:pPr>
        <w:spacing w:after="0" w:line="183" w:lineRule="exact"/>
        <w:rPr>
          <w:rFonts w:ascii="Arial" w:cs="Arial" w:eastAsia="Arial" w:hAnsi="Arial"/>
          <w:sz w:val="20"/>
          <w:szCs w:val="20"/>
          <w:color w:val="auto"/>
        </w:rPr>
      </w:pPr>
    </w:p>
    <w:p>
      <w:pPr>
        <w:ind w:left="980" w:hanging="324"/>
        <w:spacing w:after="0" w:line="286" w:lineRule="auto"/>
        <w:tabs>
          <w:tab w:leader="none" w:pos="968"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Maximum Base Compensation Deferral Election</w:t>
      </w:r>
      <w:r>
        <w:rPr>
          <w:rFonts w:ascii="Arial" w:cs="Arial" w:eastAsia="Arial" w:hAnsi="Arial"/>
          <w:sz w:val="20"/>
          <w:szCs w:val="20"/>
          <w:color w:val="auto"/>
        </w:rPr>
        <w:t>. The maximum deferral election percentage an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may make for a Plan Year with respect to Base Compensation is 75% of Base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4" w:lineRule="exact"/>
        <w:rPr>
          <w:sz w:val="20"/>
          <w:szCs w:val="20"/>
          <w:color w:val="auto"/>
        </w:rPr>
      </w:pPr>
    </w:p>
    <w:p>
      <w:pPr>
        <w:jc w:val="both"/>
        <w:ind w:left="980" w:hanging="324"/>
        <w:spacing w:after="0" w:line="259" w:lineRule="auto"/>
        <w:tabs>
          <w:tab w:leader="none" w:pos="979" w:val="left"/>
        </w:tabs>
        <w:numPr>
          <w:ilvl w:val="0"/>
          <w:numId w:val="36"/>
        </w:numPr>
        <w:rPr>
          <w:rFonts w:ascii="Arial" w:cs="Arial" w:eastAsia="Arial" w:hAnsi="Arial"/>
          <w:sz w:val="20"/>
          <w:szCs w:val="20"/>
          <w:color w:val="auto"/>
        </w:rPr>
      </w:pPr>
      <w:r>
        <w:rPr>
          <w:rFonts w:ascii="Arial" w:cs="Arial" w:eastAsia="Arial" w:hAnsi="Arial"/>
          <w:sz w:val="20"/>
          <w:szCs w:val="20"/>
          <w:b w:val="1"/>
          <w:bCs w:val="1"/>
          <w:color w:val="auto"/>
        </w:rPr>
        <w:t>Maximum Bonus, Fiscal Year and Performance-Based Compensation Deferral Election</w:t>
      </w:r>
      <w:r>
        <w:rPr>
          <w:rFonts w:ascii="Arial" w:cs="Arial" w:eastAsia="Arial" w:hAnsi="Arial"/>
          <w:sz w:val="20"/>
          <w:szCs w:val="20"/>
          <w:color w:val="auto"/>
        </w:rPr>
        <w:t>. The maximum deferral</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 percentage an Eligible Employee may make for a Plan Year or Fiscal Year, as applicable, with respect to Bonus, Fiscal Year or Performance-Based Compensation is 100% of such Eligible Employee’s bonus or incentive compensation for a Plan Year or Fiscal Year, as applicable.</w:t>
      </w:r>
    </w:p>
    <w:p>
      <w:pPr>
        <w:spacing w:after="0" w:line="168"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20"/>
          <w:szCs w:val="20"/>
          <w:b w:val="1"/>
          <w:bCs w:val="1"/>
          <w:color w:val="auto"/>
        </w:rPr>
        <w:t xml:space="preserve">Timing of Election to Defer. </w:t>
      </w:r>
      <w:r>
        <w:rPr>
          <w:rFonts w:ascii="Arial" w:cs="Arial" w:eastAsia="Arial" w:hAnsi="Arial"/>
          <w:sz w:val="20"/>
          <w:szCs w:val="20"/>
          <w:color w:val="auto"/>
        </w:rPr>
        <w:t>Each Eligible Employee who desires to defer Compensation otherwise payable during a</w:t>
      </w:r>
      <w:r>
        <w:rPr>
          <w:rFonts w:ascii="Arial" w:cs="Arial" w:eastAsia="Arial" w:hAnsi="Arial"/>
          <w:sz w:val="20"/>
          <w:szCs w:val="20"/>
          <w:b w:val="1"/>
          <w:bCs w:val="1"/>
          <w:color w:val="auto"/>
        </w:rPr>
        <w:t xml:space="preserve"> </w:t>
      </w:r>
      <w:r>
        <w:rPr>
          <w:rFonts w:ascii="Arial" w:cs="Arial" w:eastAsia="Arial" w:hAnsi="Arial"/>
          <w:sz w:val="20"/>
          <w:szCs w:val="20"/>
          <w:color w:val="auto"/>
        </w:rPr>
        <w:t>Plan Year or Fiscal Year must execute a deferral agreement within the Election Period.</w:t>
      </w:r>
    </w:p>
    <w:p>
      <w:pPr>
        <w:spacing w:after="0" w:line="154"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20"/>
          <w:szCs w:val="20"/>
          <w:b w:val="1"/>
          <w:bCs w:val="1"/>
          <w:color w:val="auto"/>
        </w:rPr>
        <w:t xml:space="preserve">Election of Payment Schedule and Form of Payment. </w:t>
      </w:r>
      <w:r>
        <w:rPr>
          <w:rFonts w:ascii="Arial" w:cs="Arial" w:eastAsia="Arial" w:hAnsi="Arial"/>
          <w:sz w:val="20"/>
          <w:szCs w:val="20"/>
          <w:color w:val="auto"/>
        </w:rPr>
        <w:t>All elections of a payment schedule and a form of payment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made in accordance with rules and procedures established by the Administrator. At the time an Eligible Employee completes a deferral agreement during the Election Period, the Eligible Employee must elect a form of payment in which to receive such deferrals in a payment schedule permitted under Section 9.3 and may elect a Specified Payment Date that occurs during the Participant’s employment. If an Eligible Employee fails to elect a form of payment permitted under Section 9.3, then he shall be deemed to have elected a lump sum form of payment.</w:t>
      </w:r>
    </w:p>
    <w:p>
      <w:pPr>
        <w:spacing w:after="0" w:line="173"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20"/>
          <w:szCs w:val="20"/>
          <w:b w:val="1"/>
          <w:bCs w:val="1"/>
          <w:color w:val="auto"/>
        </w:rPr>
        <w:t>No Deferrals from Severance</w:t>
      </w:r>
      <w:r>
        <w:rPr>
          <w:rFonts w:ascii="Arial" w:cs="Arial" w:eastAsia="Arial" w:hAnsi="Arial"/>
          <w:sz w:val="20"/>
          <w:szCs w:val="20"/>
          <w:color w:val="auto"/>
        </w:rPr>
        <w:t>. Deferral elections shall not apply to severance or other amounts payable after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Separation from Service.</w:t>
      </w:r>
    </w:p>
    <w:p>
      <w:pPr>
        <w:spacing w:after="0" w:line="140" w:lineRule="exact"/>
        <w:rPr>
          <w:sz w:val="20"/>
          <w:szCs w:val="20"/>
          <w:color w:val="auto"/>
        </w:rPr>
      </w:pPr>
    </w:p>
    <w:p>
      <w:pPr>
        <w:ind w:left="3920"/>
        <w:spacing w:after="0"/>
        <w:tabs>
          <w:tab w:leader="none" w:pos="5140" w:val="left"/>
        </w:tabs>
        <w:rPr>
          <w:sz w:val="20"/>
          <w:szCs w:val="20"/>
          <w:color w:val="auto"/>
        </w:rPr>
      </w:pPr>
      <w:r>
        <w:rPr>
          <w:rFonts w:ascii="Arial" w:cs="Arial" w:eastAsia="Arial" w:hAnsi="Arial"/>
          <w:sz w:val="20"/>
          <w:szCs w:val="20"/>
          <w:b w:val="1"/>
          <w:bCs w:val="1"/>
          <w:color w:val="auto"/>
        </w:rPr>
        <w:t>Article 5 -</w:t>
      </w:r>
      <w:r>
        <w:rPr>
          <w:sz w:val="20"/>
          <w:szCs w:val="20"/>
          <w:color w:val="auto"/>
        </w:rPr>
        <w:tab/>
      </w:r>
      <w:r>
        <w:rPr>
          <w:rFonts w:ascii="Arial" w:cs="Arial" w:eastAsia="Arial" w:hAnsi="Arial"/>
          <w:sz w:val="19"/>
          <w:szCs w:val="19"/>
          <w:b w:val="1"/>
          <w:bCs w:val="1"/>
          <w:color w:val="auto"/>
        </w:rPr>
        <w:t>EMPLOYER CONTRIBUTIONS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 xml:space="preserve">Employer Contributions. </w:t>
      </w:r>
      <w:r>
        <w:rPr>
          <w:rFonts w:ascii="Arial" w:cs="Arial" w:eastAsia="Arial" w:hAnsi="Arial"/>
          <w:sz w:val="19"/>
          <w:szCs w:val="19"/>
          <w:color w:val="auto"/>
        </w:rPr>
        <w:t>The Employer may, in its sole discretion, make discretionary Employer credits (“Discretionary</w:t>
      </w:r>
    </w:p>
    <w:p>
      <w:pPr>
        <w:spacing w:after="0" w:line="37"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color w:val="auto"/>
        </w:rPr>
        <w:t>Credits”) on behalf of any Eligible Participant. In its sole discretion, the Employer shall determine the Eligible Participants to be credited with any Discretionary Credit, the amount of any such Discretionary Credit and the vesting schedule applicable thereto (including any accelerated vesting thereof and the events of such acceleration). In addition, the Employer may permit the Participant to elect the timing and form of distribution of such Discretionary Credits, provided that any such election shall be made no later than the latest time permitted by Code Section 409A.</w:t>
      </w:r>
    </w:p>
    <w:p>
      <w:pPr>
        <w:spacing w:after="0" w:line="178" w:lineRule="exact"/>
        <w:rPr>
          <w:sz w:val="20"/>
          <w:szCs w:val="20"/>
          <w:color w:val="auto"/>
        </w:rPr>
      </w:pPr>
    </w:p>
    <w:p>
      <w:pPr>
        <w:ind w:left="4060"/>
        <w:spacing w:after="0"/>
        <w:tabs>
          <w:tab w:leader="none" w:pos="5280" w:val="left"/>
        </w:tabs>
        <w:rPr>
          <w:sz w:val="20"/>
          <w:szCs w:val="20"/>
          <w:color w:val="auto"/>
        </w:rPr>
      </w:pPr>
      <w:r>
        <w:rPr>
          <w:rFonts w:ascii="Arial" w:cs="Arial" w:eastAsia="Arial" w:hAnsi="Arial"/>
          <w:sz w:val="20"/>
          <w:szCs w:val="20"/>
          <w:b w:val="1"/>
          <w:bCs w:val="1"/>
          <w:color w:val="auto"/>
        </w:rPr>
        <w:t>Article 6 -</w:t>
      </w:r>
      <w:r>
        <w:rPr>
          <w:sz w:val="20"/>
          <w:szCs w:val="20"/>
          <w:color w:val="auto"/>
        </w:rPr>
        <w:tab/>
      </w:r>
      <w:r>
        <w:rPr>
          <w:rFonts w:ascii="Arial" w:cs="Arial" w:eastAsia="Arial" w:hAnsi="Arial"/>
          <w:sz w:val="19"/>
          <w:szCs w:val="19"/>
          <w:b w:val="1"/>
          <w:bCs w:val="1"/>
          <w:color w:val="auto"/>
        </w:rPr>
        <w:t>ACCOUNTS AND CREDITS</w:t>
      </w:r>
    </w:p>
    <w:p>
      <w:pPr>
        <w:spacing w:after="0" w:line="229"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20"/>
          <w:szCs w:val="20"/>
          <w:b w:val="1"/>
          <w:bCs w:val="1"/>
          <w:color w:val="auto"/>
        </w:rPr>
        <w:t xml:space="preserve">Establishment of Account. </w:t>
      </w:r>
      <w:r>
        <w:rPr>
          <w:rFonts w:ascii="Arial" w:cs="Arial" w:eastAsia="Arial" w:hAnsi="Arial"/>
          <w:sz w:val="20"/>
          <w:szCs w:val="20"/>
          <w:color w:val="auto"/>
        </w:rPr>
        <w:t>For accounting and computational purposes only, the Administrator will establish and</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 an Account on behalf of each Participant which will reflect the credits made pursuant to Section 6.2, distributions or withdrawals, along with the earnings, expenses, gains and losses allocated thereto, attributable to the hypothetical investments made with the amounts in the Account as provided in Article 7. The Administrator will establish and maintain such other records and accounts, as it decides in its discretion to be reasonably required or appropriate to discharge its duties under the Plan.</w:t>
      </w:r>
    </w:p>
    <w:p>
      <w:pPr>
        <w:spacing w:after="0" w:line="187"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20"/>
          <w:szCs w:val="20"/>
          <w:b w:val="1"/>
          <w:bCs w:val="1"/>
          <w:color w:val="auto"/>
        </w:rPr>
        <w:t xml:space="preserve">Credits to Account. </w:t>
      </w:r>
      <w:r>
        <w:rPr>
          <w:rFonts w:ascii="Arial" w:cs="Arial" w:eastAsia="Arial" w:hAnsi="Arial"/>
          <w:sz w:val="20"/>
          <w:szCs w:val="20"/>
          <w:color w:val="auto"/>
        </w:rPr>
        <w:t>A Participant’s Account will be credited with the amount of his elective deferrals under Section 4.1</w:t>
      </w:r>
      <w:r>
        <w:rPr>
          <w:rFonts w:ascii="Arial" w:cs="Arial" w:eastAsia="Arial" w:hAnsi="Arial"/>
          <w:sz w:val="20"/>
          <w:szCs w:val="20"/>
          <w:b w:val="1"/>
          <w:bCs w:val="1"/>
          <w:color w:val="auto"/>
        </w:rPr>
        <w:t xml:space="preserve"> </w:t>
      </w:r>
      <w:r>
        <w:rPr>
          <w:rFonts w:ascii="Arial" w:cs="Arial" w:eastAsia="Arial" w:hAnsi="Arial"/>
          <w:sz w:val="20"/>
          <w:szCs w:val="20"/>
          <w:color w:val="auto"/>
        </w:rPr>
        <w:t>at the time the amount subject to the deferral election would otherwise have been payable to the Participant and the amount of Employer contributions treated as allocated on his behalf under Article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4" w:lineRule="exact"/>
        <w:rPr>
          <w:sz w:val="20"/>
          <w:szCs w:val="20"/>
          <w:color w:val="auto"/>
        </w:rPr>
      </w:pPr>
    </w:p>
    <w:p>
      <w:pPr>
        <w:ind w:left="3680"/>
        <w:spacing w:after="0"/>
        <w:tabs>
          <w:tab w:leader="none" w:pos="4900" w:val="left"/>
        </w:tabs>
        <w:rPr>
          <w:sz w:val="20"/>
          <w:szCs w:val="20"/>
          <w:color w:val="auto"/>
        </w:rPr>
      </w:pPr>
      <w:r>
        <w:rPr>
          <w:rFonts w:ascii="Arial" w:cs="Arial" w:eastAsia="Arial" w:hAnsi="Arial"/>
          <w:sz w:val="20"/>
          <w:szCs w:val="20"/>
          <w:b w:val="1"/>
          <w:bCs w:val="1"/>
          <w:color w:val="auto"/>
        </w:rPr>
        <w:t>Article 7 -</w:t>
      </w:r>
      <w:r>
        <w:rPr>
          <w:sz w:val="20"/>
          <w:szCs w:val="20"/>
          <w:color w:val="auto"/>
        </w:rPr>
        <w:tab/>
      </w:r>
      <w:r>
        <w:rPr>
          <w:rFonts w:ascii="Arial" w:cs="Arial" w:eastAsia="Arial" w:hAnsi="Arial"/>
          <w:sz w:val="19"/>
          <w:szCs w:val="19"/>
          <w:b w:val="1"/>
          <w:bCs w:val="1"/>
          <w:color w:val="auto"/>
        </w:rPr>
        <w:t>INVESTMENT OF CONTRIBUTIONS</w:t>
      </w:r>
    </w:p>
    <w:p>
      <w:pPr>
        <w:spacing w:after="0" w:line="229"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20"/>
          <w:szCs w:val="20"/>
          <w:b w:val="1"/>
          <w:bCs w:val="1"/>
          <w:color w:val="auto"/>
        </w:rPr>
        <w:t xml:space="preserve">Investment Options. </w:t>
      </w:r>
      <w:r>
        <w:rPr>
          <w:rFonts w:ascii="Arial" w:cs="Arial" w:eastAsia="Arial" w:hAnsi="Arial"/>
          <w:sz w:val="20"/>
          <w:szCs w:val="20"/>
          <w:color w:val="auto"/>
        </w:rPr>
        <w:t>The amount credited to each Account shall be treated as invested in the investment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selected in advance by the Administrator. The Administrator, in its sole discretion, shall be permitted to add or remove notional investment options from the Plan menu from time to time, provided that any such additions or removals of investment options shall not be effective with respect to any period prior to the effective date of such change.</w:t>
      </w:r>
    </w:p>
    <w:p>
      <w:pPr>
        <w:spacing w:after="0" w:line="184"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20"/>
          <w:szCs w:val="20"/>
          <w:b w:val="1"/>
          <w:bCs w:val="1"/>
          <w:color w:val="auto"/>
        </w:rPr>
        <w:t>Investment Allocations</w:t>
      </w:r>
      <w:r>
        <w:rPr>
          <w:rFonts w:ascii="Arial" w:cs="Arial" w:eastAsia="Arial" w:hAnsi="Arial"/>
          <w:sz w:val="20"/>
          <w:szCs w:val="20"/>
          <w:color w:val="auto"/>
        </w:rPr>
        <w:t>. A Participant’s investment allocation constitutes a deemed, not actual, investment among the</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options comprising the investment menu. At no time shall a Participant have any real or beneficial ownership in any investment option included in the investment menu, nor shall the Employer or any trustee acting on its behalf have any obligation to purchase actual securities as a result of a Participant’s investment allocation. A Participant’s investment allocation shall be used solely for purposes of adjusting the value of a Participant’s Account.</w:t>
      </w:r>
    </w:p>
    <w:p>
      <w:pPr>
        <w:spacing w:after="0" w:line="197" w:lineRule="exact"/>
        <w:rPr>
          <w:sz w:val="20"/>
          <w:szCs w:val="20"/>
          <w:color w:val="auto"/>
        </w:rPr>
      </w:pPr>
    </w:p>
    <w:p>
      <w:pPr>
        <w:jc w:val="both"/>
        <w:ind w:left="980" w:hanging="324"/>
        <w:spacing w:after="0" w:line="257" w:lineRule="auto"/>
        <w:tabs>
          <w:tab w:leader="none" w:pos="979"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Participant shall specify an investment allocation for each of his Accounts in accordance with procedures established by the Administrator. Except as otherwise provided by the Administrator, the following provisions of this Section 7.2 shall apply to allocations under the Plan.</w:t>
      </w:r>
    </w:p>
    <w:p>
      <w:pPr>
        <w:spacing w:after="0" w:line="192" w:lineRule="exact"/>
        <w:rPr>
          <w:rFonts w:ascii="Arial" w:cs="Arial" w:eastAsia="Arial" w:hAnsi="Arial"/>
          <w:sz w:val="20"/>
          <w:szCs w:val="20"/>
          <w:color w:val="auto"/>
        </w:rPr>
      </w:pPr>
    </w:p>
    <w:p>
      <w:pPr>
        <w:jc w:val="both"/>
        <w:ind w:left="1620" w:hanging="316"/>
        <w:spacing w:after="0" w:line="257" w:lineRule="auto"/>
        <w:tabs>
          <w:tab w:leader="none" w:pos="1607" w:val="left"/>
        </w:tabs>
        <w:numPr>
          <w:ilvl w:val="1"/>
          <w:numId w:val="37"/>
        </w:numPr>
        <w:rPr>
          <w:rFonts w:ascii="Arial" w:cs="Arial" w:eastAsia="Arial" w:hAnsi="Arial"/>
          <w:sz w:val="20"/>
          <w:szCs w:val="20"/>
          <w:color w:val="auto"/>
        </w:rPr>
      </w:pPr>
      <w:r>
        <w:rPr>
          <w:rFonts w:ascii="Arial" w:cs="Arial" w:eastAsia="Arial" w:hAnsi="Arial"/>
          <w:sz w:val="20"/>
          <w:szCs w:val="20"/>
          <w:color w:val="auto"/>
        </w:rPr>
        <w:t>Allocation among the investment options must be designated in increments of 1%. The Participant’s investment allocation will become effective on the same business day or, in the case of investment allocations received after a time specified by the Administrator, the next business day.</w:t>
      </w:r>
    </w:p>
    <w:p>
      <w:pPr>
        <w:spacing w:after="0" w:line="192" w:lineRule="exact"/>
        <w:rPr>
          <w:rFonts w:ascii="Arial" w:cs="Arial" w:eastAsia="Arial" w:hAnsi="Arial"/>
          <w:sz w:val="20"/>
          <w:szCs w:val="20"/>
          <w:color w:val="auto"/>
        </w:rPr>
      </w:pPr>
    </w:p>
    <w:p>
      <w:pPr>
        <w:jc w:val="both"/>
        <w:ind w:left="1620" w:hanging="316"/>
        <w:spacing w:after="0" w:line="268" w:lineRule="auto"/>
        <w:tabs>
          <w:tab w:leader="none" w:pos="1610" w:val="left"/>
        </w:tabs>
        <w:numPr>
          <w:ilvl w:val="1"/>
          <w:numId w:val="37"/>
        </w:numPr>
        <w:rPr>
          <w:rFonts w:ascii="Arial" w:cs="Arial" w:eastAsia="Arial" w:hAnsi="Arial"/>
          <w:sz w:val="19"/>
          <w:szCs w:val="19"/>
          <w:color w:val="auto"/>
        </w:rPr>
      </w:pPr>
      <w:r>
        <w:rPr>
          <w:rFonts w:ascii="Arial" w:cs="Arial" w:eastAsia="Arial" w:hAnsi="Arial"/>
          <w:sz w:val="19"/>
          <w:szCs w:val="19"/>
          <w:color w:val="auto"/>
        </w:rPr>
        <w:t>A Participant may change an investment allocation on any business day, both with respect to future credits to the Plan and with respect to existing Accounts, in accordance with procedures adopted by the Administrator. Changes shall become effective on the same business day or, in the case of investment allocations received after a time specified by the Administrator, the next business day, and shall be applied prospectively.</w:t>
      </w:r>
    </w:p>
    <w:p>
      <w:pPr>
        <w:spacing w:after="0" w:line="175"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9"/>
          <w:szCs w:val="19"/>
          <w:b w:val="1"/>
          <w:bCs w:val="1"/>
          <w:color w:val="auto"/>
        </w:rPr>
        <w:t xml:space="preserve">Adjustment of Accounts. </w:t>
      </w:r>
      <w:r>
        <w:rPr>
          <w:rFonts w:ascii="Arial" w:cs="Arial" w:eastAsia="Arial" w:hAnsi="Arial"/>
          <w:sz w:val="19"/>
          <w:szCs w:val="19"/>
          <w:color w:val="auto"/>
        </w:rPr>
        <w:t>The amount credited to each Account shall be adjusted for hypothetical investment earnings,</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gains or losses in an amount equal to the earnings, expenses, gains or losses attributable to the investment options selected by the Participant from among the investment options provided in Section 7.1. A Participant (or the Participant’s Beneficiary after the death of the Participant) may, in accordance with rules and procedures established by the Administrator, select the investments from among the options provided in Section 7.1 to be used for the purpose of calculating future hypothetical investment adjustments to the Account or to future credits to the Account under Section 6.2 effective as of the Valuation Date coincident with or next following notice to the Administrator. Each Account shall be adjusted as of each Valuation Date to reflect: (a) the hypothetical earnings, expenses, gains and losses described above;</w:t>
      </w:r>
    </w:p>
    <w:p>
      <w:pPr>
        <w:spacing w:after="0" w:line="6" w:lineRule="exact"/>
        <w:rPr>
          <w:sz w:val="20"/>
          <w:szCs w:val="20"/>
          <w:color w:val="auto"/>
        </w:rPr>
      </w:pPr>
    </w:p>
    <w:p>
      <w:pPr>
        <w:jc w:val="both"/>
        <w:ind w:left="660" w:hanging="4"/>
        <w:spacing w:after="0" w:line="253" w:lineRule="auto"/>
        <w:tabs>
          <w:tab w:leader="none" w:pos="985" w:val="left"/>
        </w:tabs>
        <w:numPr>
          <w:ilvl w:val="0"/>
          <w:numId w:val="38"/>
        </w:numPr>
        <w:rPr>
          <w:rFonts w:ascii="Arial" w:cs="Arial" w:eastAsia="Arial" w:hAnsi="Arial"/>
          <w:sz w:val="20"/>
          <w:szCs w:val="20"/>
          <w:color w:val="auto"/>
        </w:rPr>
      </w:pPr>
      <w:r>
        <w:rPr>
          <w:rFonts w:ascii="Arial" w:cs="Arial" w:eastAsia="Arial" w:hAnsi="Arial"/>
          <w:sz w:val="20"/>
          <w:szCs w:val="20"/>
          <w:color w:val="auto"/>
        </w:rPr>
        <w:t>amounts credited pursuant to Section 6.2; and (c) distributions or withdrawals. In addition, each Account may be adjusted for its allocable share of the hypothetical costs and expenses associated with the maintenance of the hypothetical investments provided in Section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4" w:lineRule="exact"/>
        <w:rPr>
          <w:sz w:val="20"/>
          <w:szCs w:val="20"/>
          <w:color w:val="auto"/>
        </w:rPr>
      </w:pPr>
    </w:p>
    <w:p>
      <w:pPr>
        <w:ind w:left="4340"/>
        <w:spacing w:after="0"/>
        <w:tabs>
          <w:tab w:leader="none" w:pos="5560" w:val="left"/>
        </w:tabs>
        <w:rPr>
          <w:sz w:val="20"/>
          <w:szCs w:val="20"/>
          <w:color w:val="auto"/>
        </w:rPr>
      </w:pPr>
      <w:r>
        <w:rPr>
          <w:rFonts w:ascii="Arial" w:cs="Arial" w:eastAsia="Arial" w:hAnsi="Arial"/>
          <w:sz w:val="20"/>
          <w:szCs w:val="20"/>
          <w:b w:val="1"/>
          <w:bCs w:val="1"/>
          <w:color w:val="auto"/>
        </w:rPr>
        <w:t>Article 8 -</w:t>
      </w:r>
      <w:r>
        <w:rPr>
          <w:sz w:val="20"/>
          <w:szCs w:val="20"/>
          <w:color w:val="auto"/>
        </w:rPr>
        <w:tab/>
      </w:r>
      <w:r>
        <w:rPr>
          <w:rFonts w:ascii="Arial" w:cs="Arial" w:eastAsia="Arial" w:hAnsi="Arial"/>
          <w:sz w:val="19"/>
          <w:szCs w:val="19"/>
          <w:b w:val="1"/>
          <w:bCs w:val="1"/>
          <w:color w:val="auto"/>
        </w:rPr>
        <w:t>RIGHT TO BENEFITS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Vesting.</w:t>
      </w:r>
    </w:p>
    <w:p>
      <w:pPr>
        <w:spacing w:after="0" w:line="226" w:lineRule="exact"/>
        <w:rPr>
          <w:sz w:val="20"/>
          <w:szCs w:val="20"/>
          <w:color w:val="auto"/>
        </w:rPr>
      </w:pPr>
    </w:p>
    <w:p>
      <w:pPr>
        <w:ind w:left="980" w:right="20" w:hanging="324"/>
        <w:spacing w:after="0" w:line="275" w:lineRule="auto"/>
        <w:tabs>
          <w:tab w:leader="none" w:pos="979"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Participant, at all times, has a 100% nonforfeitable interest in the amounts credited to his Account attributable to his elective deferrals made in accordance with Section 4.1.</w:t>
      </w:r>
    </w:p>
    <w:p>
      <w:pPr>
        <w:spacing w:after="0" w:line="161" w:lineRule="exact"/>
        <w:rPr>
          <w:rFonts w:ascii="Arial" w:cs="Arial" w:eastAsia="Arial" w:hAnsi="Arial"/>
          <w:sz w:val="20"/>
          <w:szCs w:val="20"/>
          <w:color w:val="auto"/>
        </w:rPr>
      </w:pPr>
    </w:p>
    <w:p>
      <w:pPr>
        <w:jc w:val="both"/>
        <w:ind w:left="980" w:hanging="324"/>
        <w:spacing w:after="0" w:line="252" w:lineRule="auto"/>
        <w:tabs>
          <w:tab w:leader="none" w:pos="979"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Participant’s right to the amounts credited to his Account attributable to Discretionary Credits made in accordance with Article 5, if any, shall vest at to 100% of the applicable Discretionary Credit on the date that such Participant achieves two Years of Service (each, an “Employer Contribution Vesting Date”). Upon a Separation from Service prior to an Employer Contribution Vesting Date, the Participant shall forfeit the nonvested portion of his Account. Notwithstanding the foregoing, a Participant’s rights to the amounts credited to his Account attributable to Discretionary Credits made in accordance with Article 5, if any, shall vest as to 100% of the applicable Discretionary Credit in the event of such Participant’s death or Disability, or upon the occurrence of a Change in Control.</w:t>
      </w:r>
    </w:p>
    <w:p>
      <w:pPr>
        <w:spacing w:after="0" w:line="19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Death; Disability.</w:t>
      </w:r>
    </w:p>
    <w:p>
      <w:pPr>
        <w:spacing w:after="0" w:line="226" w:lineRule="exact"/>
        <w:rPr>
          <w:sz w:val="20"/>
          <w:szCs w:val="20"/>
          <w:color w:val="auto"/>
        </w:rPr>
      </w:pPr>
    </w:p>
    <w:p>
      <w:pPr>
        <w:jc w:val="both"/>
        <w:ind w:left="660"/>
        <w:spacing w:after="0" w:line="275" w:lineRule="auto"/>
        <w:rPr>
          <w:sz w:val="20"/>
          <w:szCs w:val="20"/>
          <w:color w:val="auto"/>
        </w:rPr>
      </w:pPr>
      <w:r>
        <w:rPr>
          <w:rFonts w:ascii="Arial" w:cs="Arial" w:eastAsia="Arial" w:hAnsi="Arial"/>
          <w:sz w:val="20"/>
          <w:szCs w:val="20"/>
          <w:color w:val="auto"/>
        </w:rPr>
        <w:t>A Participant may designate a Beneficiary or Beneficiaries, or change any prior designation of Beneficiary or Beneficiaries in accordance with rules and procedures established by the Administrator.</w:t>
      </w:r>
    </w:p>
    <w:p>
      <w:pPr>
        <w:spacing w:after="0" w:line="161" w:lineRule="exact"/>
        <w:rPr>
          <w:sz w:val="20"/>
          <w:szCs w:val="20"/>
          <w:color w:val="auto"/>
        </w:rPr>
      </w:pPr>
    </w:p>
    <w:p>
      <w:pPr>
        <w:jc w:val="both"/>
        <w:ind w:left="660"/>
        <w:spacing w:after="0" w:line="256" w:lineRule="auto"/>
        <w:rPr>
          <w:sz w:val="20"/>
          <w:szCs w:val="20"/>
          <w:color w:val="auto"/>
        </w:rPr>
      </w:pPr>
      <w:r>
        <w:rPr>
          <w:rFonts w:ascii="Arial" w:cs="Arial" w:eastAsia="Arial" w:hAnsi="Arial"/>
          <w:sz w:val="20"/>
          <w:szCs w:val="20"/>
          <w:color w:val="auto"/>
        </w:rPr>
        <w:t>A copy of the death notice or other sufficient documentation must be filed with and approved by the Administrator. If upon the death of the Participant there is, in the opinion of the Administrator, no designated Beneficiary for part or all of the Participant’s vested Account, such amount will be paid to his estate (such estate shall be deemed to be the Beneficiary for purposes of the Plan) in accordance with the provisions of Article 9.</w:t>
      </w:r>
    </w:p>
    <w:p>
      <w:pPr>
        <w:spacing w:after="0" w:line="183" w:lineRule="exact"/>
        <w:rPr>
          <w:sz w:val="20"/>
          <w:szCs w:val="20"/>
          <w:color w:val="auto"/>
        </w:rPr>
      </w:pPr>
    </w:p>
    <w:p>
      <w:pPr>
        <w:ind w:left="3940"/>
        <w:spacing w:after="0"/>
        <w:tabs>
          <w:tab w:leader="none" w:pos="5160" w:val="left"/>
        </w:tabs>
        <w:rPr>
          <w:sz w:val="20"/>
          <w:szCs w:val="20"/>
          <w:color w:val="auto"/>
        </w:rPr>
      </w:pPr>
      <w:r>
        <w:rPr>
          <w:rFonts w:ascii="Arial" w:cs="Arial" w:eastAsia="Arial" w:hAnsi="Arial"/>
          <w:sz w:val="20"/>
          <w:szCs w:val="20"/>
          <w:b w:val="1"/>
          <w:bCs w:val="1"/>
          <w:color w:val="auto"/>
        </w:rPr>
        <w:t>Article 9 -</w:t>
      </w:r>
      <w:r>
        <w:rPr>
          <w:sz w:val="20"/>
          <w:szCs w:val="20"/>
          <w:color w:val="auto"/>
        </w:rPr>
        <w:tab/>
      </w:r>
      <w:r>
        <w:rPr>
          <w:rFonts w:ascii="Arial" w:cs="Arial" w:eastAsia="Arial" w:hAnsi="Arial"/>
          <w:sz w:val="19"/>
          <w:szCs w:val="19"/>
          <w:b w:val="1"/>
          <w:bCs w:val="1"/>
          <w:color w:val="auto"/>
        </w:rPr>
        <w:t>DISTRIBUTION OF BENEFITS</w:t>
      </w:r>
    </w:p>
    <w:p>
      <w:pPr>
        <w:spacing w:after="0" w:line="216" w:lineRule="exact"/>
        <w:rPr>
          <w:sz w:val="20"/>
          <w:szCs w:val="20"/>
          <w:color w:val="auto"/>
        </w:rPr>
      </w:pPr>
    </w:p>
    <w:p>
      <w:pPr>
        <w:ind w:left="64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20"/>
          <w:szCs w:val="20"/>
          <w:b w:val="1"/>
          <w:bCs w:val="1"/>
          <w:color w:val="auto"/>
        </w:rPr>
        <w:t xml:space="preserve">Amount of Benefits. </w:t>
      </w:r>
      <w:r>
        <w:rPr>
          <w:rFonts w:ascii="Arial" w:cs="Arial" w:eastAsia="Arial" w:hAnsi="Arial"/>
          <w:sz w:val="20"/>
          <w:szCs w:val="20"/>
          <w:color w:val="auto"/>
        </w:rPr>
        <w:t>The vested amount credited to a Participant’s Account as determined under Articles 6, 7 and 8</w:t>
      </w:r>
      <w:r>
        <w:rPr>
          <w:rFonts w:ascii="Arial" w:cs="Arial" w:eastAsia="Arial" w:hAnsi="Arial"/>
          <w:sz w:val="20"/>
          <w:szCs w:val="20"/>
          <w:b w:val="1"/>
          <w:bCs w:val="1"/>
          <w:color w:val="auto"/>
        </w:rPr>
        <w:t xml:space="preserve"> </w:t>
      </w:r>
      <w:r>
        <w:rPr>
          <w:rFonts w:ascii="Arial" w:cs="Arial" w:eastAsia="Arial" w:hAnsi="Arial"/>
          <w:sz w:val="20"/>
          <w:szCs w:val="20"/>
          <w:color w:val="auto"/>
        </w:rPr>
        <w:t>shall determine and constitute the basis for the value of benefits payable to the Participant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4"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20"/>
          <w:szCs w:val="20"/>
          <w:b w:val="1"/>
          <w:bCs w:val="1"/>
          <w:color w:val="auto"/>
        </w:rPr>
        <w:t>Method and Timing of Distributions</w:t>
      </w:r>
      <w:r>
        <w:rPr>
          <w:rFonts w:ascii="Arial" w:cs="Arial" w:eastAsia="Arial" w:hAnsi="Arial"/>
          <w:sz w:val="20"/>
          <w:szCs w:val="20"/>
          <w:color w:val="auto"/>
        </w:rPr>
        <w:t>. Except as otherwise expressly provided herein, amounts credited to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Account shall be paid to the Participant in accordance with the Participant’s distribution election under Article 4. Distributions shall commence to be paid to the Participant as soon as administratively feasible following the Distribution Date, but in no event later than the time prescribed by Treas. Reg. Section 1.409A-3(d). A Participant may make a one (1) time change to his or her distribution election for a Plan Year or Fiscal Year, as applicable, to elect a later Specified Payment Date in accordance with this Section 9.2 and may make a one (1) time change to his or her distribution election for a Plan Year or Fiscal Year, as applicable, to elect a different payment schedule in accordance with this Section 9.2; provided, however, that an election to defer payment or change the form of distribution shall not take effect until at least 12 months after the date on which the election is made and shall be effective only if (i) the election is made at least twelve (12) months before the Specified Payment Date or payment schedule would otherwise commence or occur, and (ii) the Participant elects a new Specified Payment Date or payment schedule that delays the Specified Payment Date or payment schedule at least five (5) years. For purposes of this Section 9.2, a series of installment payments is always treated as a single payment and not as a series of separate payments.</w:t>
      </w:r>
    </w:p>
    <w:p>
      <w:pPr>
        <w:spacing w:after="0" w:line="193"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20"/>
          <w:szCs w:val="20"/>
          <w:b w:val="1"/>
          <w:bCs w:val="1"/>
          <w:color w:val="auto"/>
        </w:rPr>
        <w:t>Form of Distribution</w:t>
      </w:r>
      <w:r>
        <w:rPr>
          <w:rFonts w:ascii="Arial" w:cs="Arial" w:eastAsia="Arial" w:hAnsi="Arial"/>
          <w:sz w:val="20"/>
          <w:szCs w:val="20"/>
          <w:color w:val="auto"/>
        </w:rPr>
        <w:t>. Vested amounts credited to a Participant’s Account shall, at the Participant’s election specified in</w:t>
      </w:r>
      <w:r>
        <w:rPr>
          <w:rFonts w:ascii="Arial" w:cs="Arial" w:eastAsia="Arial" w:hAnsi="Arial"/>
          <w:sz w:val="20"/>
          <w:szCs w:val="20"/>
          <w:b w:val="1"/>
          <w:bCs w:val="1"/>
          <w:color w:val="auto"/>
        </w:rPr>
        <w:t xml:space="preserve"> </w:t>
      </w:r>
      <w:r>
        <w:rPr>
          <w:rFonts w:ascii="Arial" w:cs="Arial" w:eastAsia="Arial" w:hAnsi="Arial"/>
          <w:sz w:val="20"/>
          <w:szCs w:val="20"/>
          <w:color w:val="auto"/>
        </w:rPr>
        <w:t>his deferral agreement in accordance with Article 4, be payable to the Participant in a single sum cash payment or in substantially equal annual cash installments over not less than two (2) years and not more than ten (10) years. Annual installment payments shall be calculated by dividing the Account balance by the remaining annual installments to be made.</w:t>
      </w:r>
    </w:p>
    <w:p>
      <w:pPr>
        <w:spacing w:after="0" w:line="187"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9"/>
          <w:szCs w:val="19"/>
          <w:b w:val="1"/>
          <w:bCs w:val="1"/>
          <w:color w:val="auto"/>
        </w:rPr>
        <w:t xml:space="preserve">Payment Election Overrides. </w:t>
      </w:r>
      <w:r>
        <w:rPr>
          <w:rFonts w:ascii="Arial" w:cs="Arial" w:eastAsia="Arial" w:hAnsi="Arial"/>
          <w:sz w:val="19"/>
          <w:szCs w:val="19"/>
          <w:color w:val="auto"/>
        </w:rPr>
        <w:t>Notwithstanding the Participant’s election as to the time and form of payment,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death or Disability, the Participant’s entire Account (including any amounts with respect to which installment payments have previously commenced) shall be paid to the Participant or his Beneficiary in a single sum cash payment.</w:t>
      </w:r>
    </w:p>
    <w:p>
      <w:pPr>
        <w:spacing w:after="0" w:line="148"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20"/>
          <w:szCs w:val="20"/>
          <w:b w:val="1"/>
          <w:bCs w:val="1"/>
          <w:color w:val="auto"/>
        </w:rPr>
        <w:t>9.5</w:t>
      </w:r>
      <w:r>
        <w:rPr>
          <w:sz w:val="20"/>
          <w:szCs w:val="20"/>
          <w:color w:val="auto"/>
        </w:rPr>
        <w:tab/>
      </w: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Notwithstanding the Participant’s election as to the time and form of payment, in the event of a</w:t>
      </w:r>
      <w:r>
        <w:rPr>
          <w:rFonts w:ascii="Arial" w:cs="Arial" w:eastAsia="Arial" w:hAnsi="Arial"/>
          <w:sz w:val="20"/>
          <w:szCs w:val="20"/>
          <w:b w:val="1"/>
          <w:bCs w:val="1"/>
          <w:color w:val="auto"/>
        </w:rPr>
        <w:t xml:space="preserve"> </w:t>
      </w:r>
      <w:r>
        <w:rPr>
          <w:rFonts w:ascii="Arial" w:cs="Arial" w:eastAsia="Arial" w:hAnsi="Arial"/>
          <w:sz w:val="20"/>
          <w:szCs w:val="20"/>
          <w:color w:val="auto"/>
        </w:rPr>
        <w:t>Change in Control, the Participant’s entire Account (including any amounts with respect to which installment payments have previously commenced) shall be paid to the Participant in a single sum cash payment upon the Change in Control.</w:t>
      </w:r>
    </w:p>
    <w:p>
      <w:pPr>
        <w:spacing w:after="0" w:line="168" w:lineRule="exact"/>
        <w:rPr>
          <w:sz w:val="20"/>
          <w:szCs w:val="20"/>
          <w:color w:val="auto"/>
        </w:rPr>
      </w:pPr>
    </w:p>
    <w:p>
      <w:pPr>
        <w:jc w:val="both"/>
        <w:ind w:left="660"/>
        <w:spacing w:after="0" w:line="257" w:lineRule="auto"/>
        <w:rPr>
          <w:sz w:val="20"/>
          <w:szCs w:val="20"/>
          <w:color w:val="auto"/>
        </w:rPr>
      </w:pPr>
      <w:r>
        <w:rPr>
          <w:rFonts w:ascii="Arial" w:cs="Arial" w:eastAsia="Arial" w:hAnsi="Arial"/>
          <w:sz w:val="20"/>
          <w:szCs w:val="20"/>
          <w:color w:val="auto"/>
        </w:rPr>
        <w:t>A Change in Control, for purposes of the Plan, will occur upon a change in the ownership of the Plan Sponsor, a change in the effective control of the Plan Sponsor or a change in the ownership of a substantial portion of the assets of the Plan Sponsor. The Plan Sponsor, for this purpose, includes any corporation identified in this Section 9.6.</w:t>
      </w:r>
    </w:p>
    <w:p>
      <w:pPr>
        <w:spacing w:after="0" w:line="193" w:lineRule="exact"/>
        <w:rPr>
          <w:sz w:val="20"/>
          <w:szCs w:val="20"/>
          <w:color w:val="auto"/>
        </w:rPr>
      </w:pPr>
    </w:p>
    <w:p>
      <w:pPr>
        <w:jc w:val="both"/>
        <w:ind w:left="660"/>
        <w:spacing w:after="0" w:line="257" w:lineRule="auto"/>
        <w:rPr>
          <w:sz w:val="20"/>
          <w:szCs w:val="20"/>
          <w:color w:val="auto"/>
        </w:rPr>
      </w:pPr>
      <w:r>
        <w:rPr>
          <w:rFonts w:ascii="Arial" w:cs="Arial" w:eastAsia="Arial" w:hAnsi="Arial"/>
          <w:sz w:val="20"/>
          <w:szCs w:val="20"/>
          <w:color w:val="auto"/>
        </w:rPr>
        <w:t>If a Participant continues to make deferrals in accordance with Article 4 after he has received a distribution due to a Change in Control, the residual amount payable to the Participant shall be paid at the time and in the form specified in the elections he makes in accordance with Article 4 or upon his death or Disability as provided in Article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4" w:lineRule="exact"/>
        <w:rPr>
          <w:sz w:val="20"/>
          <w:szCs w:val="20"/>
          <w:color w:val="auto"/>
        </w:rPr>
      </w:pPr>
    </w:p>
    <w:p>
      <w:pPr>
        <w:jc w:val="both"/>
        <w:ind w:left="4"/>
        <w:spacing w:after="0" w:line="256" w:lineRule="auto"/>
        <w:rPr>
          <w:sz w:val="20"/>
          <w:szCs w:val="20"/>
          <w:color w:val="auto"/>
        </w:rPr>
      </w:pPr>
      <w:r>
        <w:rPr>
          <w:rFonts w:ascii="Arial" w:cs="Arial" w:eastAsia="Arial" w:hAnsi="Arial"/>
          <w:sz w:val="20"/>
          <w:szCs w:val="20"/>
          <w:color w:val="auto"/>
        </w:rPr>
        <w:t>Whether a Change in Control has occurred will be determined by the Administrator in accordance with the rules and definitions set forth in this Section 9.6. A distribution to the Participant will be treated as occurring upon a Change in Control if the Plan Sponsor terminates the Plan in accordance with Section 10.2 and distributes the Participant’s benefits within twelve months of a Change in Control as provided in Section 10.3.</w:t>
      </w:r>
    </w:p>
    <w:p>
      <w:pPr>
        <w:spacing w:after="0" w:line="170" w:lineRule="exact"/>
        <w:rPr>
          <w:sz w:val="20"/>
          <w:szCs w:val="20"/>
          <w:color w:val="auto"/>
        </w:rPr>
      </w:pPr>
    </w:p>
    <w:p>
      <w:pPr>
        <w:jc w:val="both"/>
        <w:ind w:left="324" w:hanging="324"/>
        <w:spacing w:after="0" w:line="251" w:lineRule="auto"/>
        <w:tabs>
          <w:tab w:leader="none" w:pos="323"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 xml:space="preserve">Relevant Corporations. </w:t>
      </w:r>
      <w:r>
        <w:rPr>
          <w:rFonts w:ascii="Arial" w:cs="Arial" w:eastAsia="Arial" w:hAnsi="Arial"/>
          <w:sz w:val="20"/>
          <w:szCs w:val="20"/>
          <w:color w:val="auto"/>
        </w:rPr>
        <w:t>To constitute a Change in Control for purposes of the Plan, the event must relate to (i) 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for whom the Participant is performing services at the time of the Change in Control, (ii) the corporation that is liable for the payment of the Participant’s benefits under the Plan (or all corporations liable if more than one corporation is liable) but only if either the deferred compensation is attributable to the performance of services by the Participant for such corporation (or corporations) or there is a bona fide business purpose for such corporation (or corporations) to be liable for such payment and, in either case, no significant purpose of making such corporation (or corporations) liable for such payment is the avoidance of federal income tax, or (iii) a corporation that is a majority shareholder of a corporation identified in (i) or (ii), or any corporation in a chain of corporations in which each corporation is a majority shareholder of another corporation in the chain, ending in a corporation identified in (i) or (ii). A majority shareholder is defined as a shareholder owning more than fifty percent (50%) of the total fair market value and voting power of such corporation.</w:t>
      </w:r>
    </w:p>
    <w:p>
      <w:pPr>
        <w:spacing w:after="0" w:line="189" w:lineRule="exact"/>
        <w:rPr>
          <w:rFonts w:ascii="Arial" w:cs="Arial" w:eastAsia="Arial" w:hAnsi="Arial"/>
          <w:sz w:val="20"/>
          <w:szCs w:val="20"/>
          <w:color w:val="auto"/>
        </w:rPr>
      </w:pPr>
    </w:p>
    <w:p>
      <w:pPr>
        <w:jc w:val="both"/>
        <w:ind w:left="324" w:hanging="324"/>
        <w:spacing w:after="0" w:line="254" w:lineRule="auto"/>
        <w:tabs>
          <w:tab w:leader="none" w:pos="323" w:val="left"/>
        </w:tabs>
        <w:numPr>
          <w:ilvl w:val="0"/>
          <w:numId w:val="40"/>
        </w:numPr>
        <w:rPr>
          <w:rFonts w:ascii="Arial" w:cs="Arial" w:eastAsia="Arial" w:hAnsi="Arial"/>
          <w:sz w:val="20"/>
          <w:szCs w:val="20"/>
          <w:color w:val="auto"/>
        </w:rPr>
      </w:pPr>
      <w:r>
        <w:rPr>
          <w:rFonts w:ascii="Arial" w:cs="Arial" w:eastAsia="Arial" w:hAnsi="Arial"/>
          <w:sz w:val="20"/>
          <w:szCs w:val="20"/>
          <w:b w:val="1"/>
          <w:bCs w:val="1"/>
          <w:color w:val="auto"/>
        </w:rPr>
        <w:t xml:space="preserve">Stock Ownership. </w:t>
      </w:r>
      <w:r>
        <w:rPr>
          <w:rFonts w:ascii="Arial" w:cs="Arial" w:eastAsia="Arial" w:hAnsi="Arial"/>
          <w:sz w:val="20"/>
          <w:szCs w:val="20"/>
          <w:color w:val="auto"/>
        </w:rPr>
        <w:t>Code Section 318(a) applies for purposes of determining stock ownership. Stock underlying a</w:t>
      </w:r>
      <w:r>
        <w:rPr>
          <w:rFonts w:ascii="Arial" w:cs="Arial" w:eastAsia="Arial" w:hAnsi="Arial"/>
          <w:sz w:val="20"/>
          <w:szCs w:val="20"/>
          <w:b w:val="1"/>
          <w:bCs w:val="1"/>
          <w:color w:val="auto"/>
        </w:rPr>
        <w:t xml:space="preserve"> </w:t>
      </w:r>
      <w:r>
        <w:rPr>
          <w:rFonts w:ascii="Arial" w:cs="Arial" w:eastAsia="Arial" w:hAnsi="Arial"/>
          <w:sz w:val="20"/>
          <w:szCs w:val="20"/>
          <w:color w:val="auto"/>
        </w:rPr>
        <w:t>vested option is considered owned by the individual who owns the vested option (and the stock underlying an unvested option is not considered owned by the individual who holds the unvested option). If, however, a vested option is exercisable for stock that is not substantially vested (as defined by Treasury Regulation Section 1.83-3(b) and (j)) the stock underlying the option is not treated as owned by the individual who holds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584"/>
          </w:cols>
          <w:pgMar w:left="976" w:top="1440" w:right="339" w:bottom="1440" w:gutter="0" w:footer="0" w:header="0"/>
        </w:sectPr>
      </w:pPr>
    </w:p>
    <w:bookmarkStart w:id="116" w:name="page117"/>
    <w:bookmarkEnd w:id="116"/>
    <w:p>
      <w:pPr>
        <w:spacing w:after="0" w:line="184" w:lineRule="exact"/>
        <w:rPr>
          <w:sz w:val="20"/>
          <w:szCs w:val="20"/>
          <w:color w:val="auto"/>
        </w:rPr>
      </w:pPr>
    </w:p>
    <w:p>
      <w:pPr>
        <w:jc w:val="both"/>
        <w:ind w:left="324" w:hanging="324"/>
        <w:spacing w:after="0" w:line="249" w:lineRule="auto"/>
        <w:tabs>
          <w:tab w:leader="none" w:pos="312" w:val="left"/>
        </w:tabs>
        <w:numPr>
          <w:ilvl w:val="0"/>
          <w:numId w:val="41"/>
        </w:numPr>
        <w:rPr>
          <w:rFonts w:ascii="Arial" w:cs="Arial" w:eastAsia="Arial" w:hAnsi="Arial"/>
          <w:sz w:val="20"/>
          <w:szCs w:val="20"/>
          <w:color w:val="auto"/>
        </w:rPr>
      </w:pPr>
      <w:r>
        <w:rPr>
          <w:rFonts w:ascii="Arial" w:cs="Arial" w:eastAsia="Arial" w:hAnsi="Arial"/>
          <w:sz w:val="20"/>
          <w:szCs w:val="20"/>
          <w:b w:val="1"/>
          <w:bCs w:val="1"/>
          <w:color w:val="auto"/>
        </w:rPr>
        <w:t xml:space="preserve">Change in the Ownership of a Corporation. </w:t>
      </w:r>
      <w:r>
        <w:rPr>
          <w:rFonts w:ascii="Arial" w:cs="Arial" w:eastAsia="Arial" w:hAnsi="Arial"/>
          <w:sz w:val="20"/>
          <w:szCs w:val="20"/>
          <w:color w:val="auto"/>
        </w:rPr>
        <w:t>A change in the ownership of a corporation occurs on the date that</w:t>
      </w:r>
      <w:r>
        <w:rPr>
          <w:rFonts w:ascii="Arial" w:cs="Arial" w:eastAsia="Arial" w:hAnsi="Arial"/>
          <w:sz w:val="20"/>
          <w:szCs w:val="20"/>
          <w:b w:val="1"/>
          <w:bCs w:val="1"/>
          <w:color w:val="auto"/>
        </w:rPr>
        <w:t xml:space="preserve"> </w:t>
      </w:r>
      <w:r>
        <w:rPr>
          <w:rFonts w:ascii="Arial" w:cs="Arial" w:eastAsia="Arial" w:hAnsi="Arial"/>
          <w:sz w:val="20"/>
          <w:szCs w:val="20"/>
          <w:color w:val="auto"/>
        </w:rPr>
        <w:t>any one person or more than one person acting as a group, acquires ownership of stock of the corporation that, together with stock held by such person or group, constitutes more than fifty percent (50%) of the total fair market value or total voting power of the stock of such corporation.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(or to cause a change in the effective control of the corporation as discussed below in Section 9.6(d)). An increase in the percentage of stock owned by any one person, or persons acting as a group, as a result of a transaction in which the corporation acquires its stock in exchange for property will be treated as an acquisition of stock. Section 9.6(c) applies only when there is a transfer of stock of a corporation (or issuance of stock of a corporation) and stock in such corporation remains outstanding after the transaction. For purposes of this Section 9.6(c), persons will not be considered to be acting as a group solely because they purchase or own stock of the same corporation at the same time or as a result of a public offering. Persons will, however, be considered to be acting as a group if they are owners of a corporation that enters into a merger, consolidation, purchase or acquisition of stock, or similar business transaction with the corporation.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ownership in that corporation prior to the transaction giving rise to the change and not with respect to the ownership interest in the other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584"/>
          </w:cols>
          <w:pgMar w:left="976" w:top="1440" w:right="339" w:bottom="1440" w:gutter="0" w:footer="0" w:header="0"/>
        </w:sectPr>
      </w:pPr>
    </w:p>
    <w:bookmarkStart w:id="117" w:name="page118"/>
    <w:bookmarkEnd w:id="117"/>
    <w:p>
      <w:pPr>
        <w:spacing w:after="0" w:line="184" w:lineRule="exact"/>
        <w:rPr>
          <w:sz w:val="20"/>
          <w:szCs w:val="20"/>
          <w:color w:val="auto"/>
        </w:rPr>
      </w:pPr>
    </w:p>
    <w:p>
      <w:pPr>
        <w:jc w:val="both"/>
        <w:ind w:left="324" w:hanging="324"/>
        <w:spacing w:after="0" w:line="249" w:lineRule="auto"/>
        <w:tabs>
          <w:tab w:leader="none" w:pos="323"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Change in the effective control of a corporation. </w:t>
      </w:r>
      <w:r>
        <w:rPr>
          <w:rFonts w:ascii="Arial" w:cs="Arial" w:eastAsia="Arial" w:hAnsi="Arial"/>
          <w:sz w:val="20"/>
          <w:szCs w:val="20"/>
          <w:color w:val="auto"/>
        </w:rPr>
        <w:t>A change in the effective control of a corporation occurs on the</w:t>
      </w:r>
      <w:r>
        <w:rPr>
          <w:rFonts w:ascii="Arial" w:cs="Arial" w:eastAsia="Arial" w:hAnsi="Arial"/>
          <w:sz w:val="20"/>
          <w:szCs w:val="20"/>
          <w:b w:val="1"/>
          <w:bCs w:val="1"/>
          <w:color w:val="auto"/>
        </w:rPr>
        <w:t xml:space="preserve"> </w:t>
      </w:r>
      <w:r>
        <w:rPr>
          <w:rFonts w:ascii="Arial" w:cs="Arial" w:eastAsia="Arial" w:hAnsi="Arial"/>
          <w:sz w:val="20"/>
          <w:szCs w:val="20"/>
          <w:color w:val="auto"/>
        </w:rPr>
        <w:t>date that either (i) any one person, or more than one person acting as a group, acquires (or has acquired during the twelve month period ending on the date of the most recent acquisition by such person or persons) ownership of stock of the corporation possessing thirty percent (30%) or more of the total voting power of the stock of such corporation, or (ii) a majority of members of the corporation’s board of directors is replaced during any twelve month period by directors whose appointment or election is not endorsed by a majority of the members of the corporation’s board of directors prior to the date of the appointment or election, provided that for purposes of this paragraph (ii), the term corporation refers solely to the relevant corporation identified in Section 9.6(a) for which no other corporation is a majority shareholder for purposes of Section 9.6(a). In the absence of an event described in Section 9.6(d)(i) or (ii), a change in the effective control of a corporation will not have occurred. A change in effective control may also occur in any transaction in which either of the two corporations involved in the transaction has a change in the ownership of such corporation as described in Section 9.6(c) or a change in the ownership of a substantial portion of the assets of such corporation as described in Section 9.6(e). If any one person, or more than one person acting as a group, is considered to effectively control a corporation within the meaning of this Section 9.6(d), the acquisition of additional control of the corporation by the same person or persons is not considered to cause a change in the effective control of the corporation or to cause a change in the ownership of the corporation within the meaning of Section 9.6(c). For purposes of this Section 9.6(d), persons will or will not be considered to be acting as a group in accordance with rules similar to those set forth in Section 9.6(c) with the following exception.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584"/>
          </w:cols>
          <w:pgMar w:left="976" w:top="1440" w:right="339" w:bottom="1440" w:gutter="0" w:footer="0" w:header="0"/>
        </w:sectPr>
      </w:pPr>
    </w:p>
    <w:bookmarkStart w:id="118" w:name="page119"/>
    <w:bookmarkEnd w:id="118"/>
    <w:p>
      <w:pPr>
        <w:spacing w:after="0" w:line="184" w:lineRule="exact"/>
        <w:rPr>
          <w:sz w:val="20"/>
          <w:szCs w:val="20"/>
          <w:color w:val="auto"/>
        </w:rPr>
      </w:pPr>
    </w:p>
    <w:p>
      <w:pPr>
        <w:jc w:val="both"/>
        <w:ind w:left="980" w:hanging="324"/>
        <w:spacing w:after="0" w:line="264" w:lineRule="auto"/>
        <w:tabs>
          <w:tab w:leader="none" w:pos="979"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 xml:space="preserve">Change in the ownership of a substantial portion of a corporation’s assets. </w:t>
      </w:r>
      <w:r>
        <w:rPr>
          <w:rFonts w:ascii="Arial" w:cs="Arial" w:eastAsia="Arial" w:hAnsi="Arial"/>
          <w:sz w:val="19"/>
          <w:szCs w:val="19"/>
          <w:color w:val="auto"/>
        </w:rPr>
        <w:t>A change in the ownership of a</w:t>
      </w:r>
      <w:r>
        <w:rPr>
          <w:rFonts w:ascii="Arial" w:cs="Arial" w:eastAsia="Arial" w:hAnsi="Arial"/>
          <w:sz w:val="19"/>
          <w:szCs w:val="19"/>
          <w:b w:val="1"/>
          <w:bCs w:val="1"/>
          <w:color w:val="auto"/>
        </w:rPr>
        <w:t xml:space="preserve"> </w:t>
      </w:r>
      <w:r>
        <w:rPr>
          <w:rFonts w:ascii="Arial" w:cs="Arial" w:eastAsia="Arial" w:hAnsi="Arial"/>
          <w:sz w:val="19"/>
          <w:szCs w:val="19"/>
          <w:color w:val="auto"/>
        </w:rPr>
        <w:t>substantial portion of a corporation’s assets occurs on the date that any one person, or more than one person acting as a group (as determined in accordance with rules similar to those set forth in Section 9.6(d)), acquires (or has acquired during the twelve month period ending on the date of the most recent acquisition by such person or persons) assets from the corporation that have a total gross fair market value equal to or more than forty percent (40%) of the total gross fair market value of all of the assets of the corporation immediately prior to such acquisition or acquisitions. For this purpose, gross fair market value means the value of the assets of the corporation or the value of the assets being disposed of determined without regard to any liabilities associated with such assets. There is no Change in Control event under this Section 9.6(e) when there is a transfer to an entity that is controlled by the shareholders of the transferring corporation immediately after the transfer. A transfer of assets by a corporation is not treated as a change in ownership of such assets if the assets are transferred to (i) a shareholder of the corporation (immediately before the asset transfer) in exchange for or with respect to its stock, (ii) an entity, fifty percent (50%) or more of the total value or voting power of which is owned, directly or indirectly, by the corporation, (iii) a person, or more than one person acting as a group, that owns, directly or indirectly, fifty percent (50%) or more of the total value or voting power of all the outstanding stock of the corporation, or (iv) an entity, at least fifty (50%) of the total value or voting power of which is owned, directly or indirectly, by a person described in Section 9.6(e)(iii). For purposes of the foregoing, and except as otherwise provided, a person’s status is determined immediately after the transfer of assets.</w:t>
      </w:r>
    </w:p>
    <w:p>
      <w:pPr>
        <w:spacing w:after="0" w:line="167"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20"/>
          <w:szCs w:val="20"/>
          <w:b w:val="1"/>
          <w:bCs w:val="1"/>
          <w:color w:val="auto"/>
        </w:rPr>
        <w:t xml:space="preserve">Permissible Delays in Payment. </w:t>
      </w:r>
      <w:r>
        <w:rPr>
          <w:rFonts w:ascii="Arial" w:cs="Arial" w:eastAsia="Arial" w:hAnsi="Arial"/>
          <w:sz w:val="20"/>
          <w:szCs w:val="20"/>
          <w:color w:val="auto"/>
        </w:rPr>
        <w:t>Distributions may be delayed beyond the date payment would otherwise occur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provisions of Articles 8 and 9 in any of the following circumstances as long as the Employer treats all payments to similarly situated Participants on a reasonably consistent basis.</w:t>
      </w:r>
    </w:p>
    <w:p>
      <w:pPr>
        <w:spacing w:after="0" w:line="188" w:lineRule="exact"/>
        <w:rPr>
          <w:sz w:val="20"/>
          <w:szCs w:val="20"/>
          <w:color w:val="auto"/>
        </w:rPr>
      </w:pPr>
    </w:p>
    <w:p>
      <w:pPr>
        <w:jc w:val="both"/>
        <w:ind w:left="980" w:hanging="324"/>
        <w:spacing w:after="0" w:line="251" w:lineRule="auto"/>
        <w:tabs>
          <w:tab w:leader="none" w:pos="979"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Employer may delay payment if it reasonably anticipates that its deduction with respect to such payment would be limited or eliminated by the application of Code Section 162(m). Payment must be made during the Participant’s first taxable year in which the Employer reasonably anticipates, or should reasonably anticipate, that if the payment is made during such year the deduction of such payment will not be barred by the application of Code Section 162(m) or during the period beginning with the Participant’s Separation from Service and ending on the later of the last day of the Employer’s taxable year in which the Participant separates from service or the 15th day of the third month following the Participant’s Separation from Service. If a scheduled payment to a Participant is delayed in accordance with this Section 9.7(a), all scheduled payments to the Participant that could be delayed in accordance with this Section 9.7(a) will also be delayed.</w:t>
      </w:r>
    </w:p>
    <w:p>
      <w:pPr>
        <w:spacing w:after="0" w:line="184" w:lineRule="exact"/>
        <w:rPr>
          <w:rFonts w:ascii="Arial" w:cs="Arial" w:eastAsia="Arial" w:hAnsi="Arial"/>
          <w:sz w:val="20"/>
          <w:szCs w:val="20"/>
          <w:color w:val="auto"/>
        </w:rPr>
      </w:pPr>
    </w:p>
    <w:p>
      <w:pPr>
        <w:jc w:val="both"/>
        <w:ind w:left="980" w:hanging="324"/>
        <w:spacing w:after="0" w:line="257" w:lineRule="auto"/>
        <w:tabs>
          <w:tab w:leader="none" w:pos="979"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Employer may also delay payment if it reasonably anticipates that the making of the payment will violate federal securities laws or other applicable laws provided payment is made at the earliest date on which the Employer reasonably anticipates that the making of the payment will not cause such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4" w:lineRule="exact"/>
        <w:rPr>
          <w:sz w:val="20"/>
          <w:szCs w:val="20"/>
          <w:color w:val="auto"/>
        </w:rPr>
      </w:pPr>
    </w:p>
    <w:p>
      <w:pPr>
        <w:jc w:val="both"/>
        <w:ind w:left="980" w:hanging="324"/>
        <w:spacing w:after="0" w:line="257" w:lineRule="auto"/>
        <w:tabs>
          <w:tab w:leader="none" w:pos="968"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Employer reserves the right to amend the Plan to provide for a delay in payment upon such other events and conditions as the Secretary of the Treasury may prescribe in generally applicable guidance published in the Internal Revenue Bulletin.</w:t>
      </w:r>
    </w:p>
    <w:p>
      <w:pPr>
        <w:spacing w:after="0" w:line="183"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9.7</w:t>
      </w:r>
      <w:r>
        <w:rPr>
          <w:sz w:val="20"/>
          <w:szCs w:val="20"/>
          <w:color w:val="auto"/>
        </w:rPr>
        <w:tab/>
      </w:r>
      <w:r>
        <w:rPr>
          <w:rFonts w:ascii="Arial" w:cs="Arial" w:eastAsia="Arial" w:hAnsi="Arial"/>
          <w:sz w:val="20"/>
          <w:szCs w:val="20"/>
          <w:b w:val="1"/>
          <w:bCs w:val="1"/>
          <w:color w:val="auto"/>
        </w:rPr>
        <w:t xml:space="preserve">Permitted Acceleration of Payment. </w:t>
      </w:r>
      <w:r>
        <w:rPr>
          <w:rFonts w:ascii="Arial" w:cs="Arial" w:eastAsia="Arial" w:hAnsi="Arial"/>
          <w:sz w:val="20"/>
          <w:szCs w:val="20"/>
          <w:color w:val="auto"/>
        </w:rPr>
        <w:t>The Employer may permit acceleration of the time or schedule of any payment or</w:t>
      </w:r>
      <w:r>
        <w:rPr>
          <w:rFonts w:ascii="Arial" w:cs="Arial" w:eastAsia="Arial" w:hAnsi="Arial"/>
          <w:sz w:val="20"/>
          <w:szCs w:val="20"/>
          <w:b w:val="1"/>
          <w:bCs w:val="1"/>
          <w:color w:val="auto"/>
        </w:rPr>
        <w:t xml:space="preserve"> </w:t>
      </w:r>
      <w:r>
        <w:rPr>
          <w:rFonts w:ascii="Arial" w:cs="Arial" w:eastAsia="Arial" w:hAnsi="Arial"/>
          <w:sz w:val="20"/>
          <w:szCs w:val="20"/>
          <w:color w:val="auto"/>
        </w:rPr>
        <w:t>amount scheduled to be paid pursuant to a payment under the Plan provided such acceleration would be permitted by the provisions of Reg. Sec. 1.409A-3(j)(4), including the following events:</w:t>
      </w:r>
    </w:p>
    <w:p>
      <w:pPr>
        <w:spacing w:after="0" w:line="178" w:lineRule="exact"/>
        <w:rPr>
          <w:sz w:val="20"/>
          <w:szCs w:val="20"/>
          <w:color w:val="auto"/>
        </w:rPr>
      </w:pPr>
    </w:p>
    <w:p>
      <w:pPr>
        <w:ind w:left="980" w:hanging="324"/>
        <w:spacing w:after="0" w:line="298" w:lineRule="auto"/>
        <w:tabs>
          <w:tab w:leader="none" w:pos="979"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Domestic Relations Order. </w:t>
      </w:r>
      <w:r>
        <w:rPr>
          <w:rFonts w:ascii="Arial" w:cs="Arial" w:eastAsia="Arial" w:hAnsi="Arial"/>
          <w:sz w:val="19"/>
          <w:szCs w:val="19"/>
          <w:color w:val="auto"/>
        </w:rPr>
        <w:t>A payment may be accelerated if such payment is made to an alternate payee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and following the receipt and qualification of a domestic relations order as defined in Code Section 414(p).</w:t>
      </w:r>
    </w:p>
    <w:p>
      <w:pPr>
        <w:spacing w:after="0" w:line="145" w:lineRule="exact"/>
        <w:rPr>
          <w:rFonts w:ascii="Arial" w:cs="Arial" w:eastAsia="Arial" w:hAnsi="Arial"/>
          <w:sz w:val="19"/>
          <w:szCs w:val="19"/>
          <w:color w:val="auto"/>
        </w:rPr>
      </w:pPr>
    </w:p>
    <w:p>
      <w:pPr>
        <w:jc w:val="both"/>
        <w:ind w:left="980" w:hanging="324"/>
        <w:spacing w:after="0" w:line="259" w:lineRule="auto"/>
        <w:tabs>
          <w:tab w:leader="none" w:pos="979"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Compliance with Ethics Agreements and Legal Requirements. </w:t>
      </w:r>
      <w:r>
        <w:rPr>
          <w:rFonts w:ascii="Arial" w:cs="Arial" w:eastAsia="Arial" w:hAnsi="Arial"/>
          <w:sz w:val="20"/>
          <w:szCs w:val="20"/>
          <w:color w:val="auto"/>
        </w:rPr>
        <w:t>A payment may be accelerated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to comply with ethics agreements with the Federal government or as may be reasonably necessary to avoid the violation of Federal, state, local or foreign ethics law or conflicts of laws, in accordance with the requirements of Code Section 409A.</w:t>
      </w:r>
    </w:p>
    <w:p>
      <w:pPr>
        <w:spacing w:after="0" w:line="168" w:lineRule="exact"/>
        <w:rPr>
          <w:rFonts w:ascii="Arial" w:cs="Arial" w:eastAsia="Arial" w:hAnsi="Arial"/>
          <w:sz w:val="20"/>
          <w:szCs w:val="20"/>
          <w:color w:val="auto"/>
        </w:rPr>
      </w:pPr>
    </w:p>
    <w:p>
      <w:pPr>
        <w:jc w:val="both"/>
        <w:ind w:left="980" w:hanging="324"/>
        <w:spacing w:after="0" w:line="254" w:lineRule="auto"/>
        <w:tabs>
          <w:tab w:leader="none" w:pos="968"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FICA Tax. </w:t>
      </w:r>
      <w:r>
        <w:rPr>
          <w:rFonts w:ascii="Arial" w:cs="Arial" w:eastAsia="Arial" w:hAnsi="Arial"/>
          <w:sz w:val="20"/>
          <w:szCs w:val="20"/>
          <w:color w:val="auto"/>
        </w:rPr>
        <w:t>A payment may be accelerated to the extent required to pay the Federal Insurance Contributions Act tax</w:t>
      </w:r>
      <w:r>
        <w:rPr>
          <w:rFonts w:ascii="Arial" w:cs="Arial" w:eastAsia="Arial" w:hAnsi="Arial"/>
          <w:sz w:val="20"/>
          <w:szCs w:val="20"/>
          <w:b w:val="1"/>
          <w:bCs w:val="1"/>
          <w:color w:val="auto"/>
        </w:rPr>
        <w:t xml:space="preserve"> </w:t>
      </w:r>
      <w:r>
        <w:rPr>
          <w:rFonts w:ascii="Arial" w:cs="Arial" w:eastAsia="Arial" w:hAnsi="Arial"/>
          <w:sz w:val="20"/>
          <w:szCs w:val="20"/>
          <w:color w:val="auto"/>
        </w:rPr>
        <w:t>imposed under Code Sections 3101, 3121(a) and 3121(v)(2) with respect to compensation deferred under the Plan (the “FICA Amount”). Additionally, a payment may be accelerated to pay the income tax on wages imposed under Code Section 3401 on the FICA Amount and to pay the additional income tax at source on wages attributable to the pyramiding Code Section 3401 wages and taxes. The total payment under this subsection (c) may not exceed the aggregate of the FICA Amount and the income tax withholding related to the FICA Amount.</w:t>
      </w:r>
    </w:p>
    <w:p>
      <w:pPr>
        <w:spacing w:after="0" w:line="186" w:lineRule="exact"/>
        <w:rPr>
          <w:rFonts w:ascii="Arial" w:cs="Arial" w:eastAsia="Arial" w:hAnsi="Arial"/>
          <w:sz w:val="20"/>
          <w:szCs w:val="20"/>
          <w:color w:val="auto"/>
        </w:rPr>
      </w:pPr>
    </w:p>
    <w:p>
      <w:pPr>
        <w:jc w:val="both"/>
        <w:ind w:left="980" w:hanging="324"/>
        <w:spacing w:after="0" w:line="262" w:lineRule="auto"/>
        <w:tabs>
          <w:tab w:leader="none" w:pos="979"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Section 409A Additional Tax. </w:t>
      </w:r>
      <w:r>
        <w:rPr>
          <w:rFonts w:ascii="Arial" w:cs="Arial" w:eastAsia="Arial" w:hAnsi="Arial"/>
          <w:sz w:val="20"/>
          <w:szCs w:val="20"/>
          <w:color w:val="auto"/>
        </w:rPr>
        <w:t>A payment may be accelerated if the Plan fails to meet the requirements of Code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409A; provided that such payment may not exceed the amount required to be included in income as a result of the failure to comply with the requirements of Code Section 409A.</w:t>
      </w:r>
    </w:p>
    <w:p>
      <w:pPr>
        <w:spacing w:after="0" w:line="164" w:lineRule="exact"/>
        <w:rPr>
          <w:rFonts w:ascii="Arial" w:cs="Arial" w:eastAsia="Arial" w:hAnsi="Arial"/>
          <w:sz w:val="20"/>
          <w:szCs w:val="20"/>
          <w:color w:val="auto"/>
        </w:rPr>
      </w:pPr>
    </w:p>
    <w:p>
      <w:pPr>
        <w:jc w:val="both"/>
        <w:ind w:left="980" w:hanging="324"/>
        <w:spacing w:after="0" w:line="258" w:lineRule="auto"/>
        <w:tabs>
          <w:tab w:leader="none" w:pos="979"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Offset. </w:t>
      </w:r>
      <w:r>
        <w:rPr>
          <w:rFonts w:ascii="Arial" w:cs="Arial" w:eastAsia="Arial" w:hAnsi="Arial"/>
          <w:sz w:val="20"/>
          <w:szCs w:val="20"/>
          <w:color w:val="auto"/>
        </w:rPr>
        <w:t>A payment may be accelerated in the Employer’s discretion as satisfaction of a debt of the Participant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where such debt is incurred in the ordinary course of the service relationship between the Participant and the Employer, the entire amount of the reduction in any of the Employer’s taxable years does not exceed $5,000, and the reduction is made at the same time and in the same amount as the debt otherwise would have been due and collected from the Participant.</w:t>
      </w:r>
    </w:p>
    <w:p>
      <w:pPr>
        <w:spacing w:after="0" w:line="167" w:lineRule="exact"/>
        <w:rPr>
          <w:rFonts w:ascii="Arial" w:cs="Arial" w:eastAsia="Arial" w:hAnsi="Arial"/>
          <w:sz w:val="20"/>
          <w:szCs w:val="20"/>
          <w:color w:val="auto"/>
        </w:rPr>
      </w:pPr>
    </w:p>
    <w:p>
      <w:pPr>
        <w:ind w:left="980" w:hanging="324"/>
        <w:spacing w:after="0" w:line="286" w:lineRule="auto"/>
        <w:tabs>
          <w:tab w:leader="none" w:pos="978"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Other Events. </w:t>
      </w:r>
      <w:r>
        <w:rPr>
          <w:rFonts w:ascii="Arial" w:cs="Arial" w:eastAsia="Arial" w:hAnsi="Arial"/>
          <w:sz w:val="20"/>
          <w:szCs w:val="20"/>
          <w:color w:val="auto"/>
        </w:rPr>
        <w:t>A payment may be accelerated in the Administrator’s discretion in connection with such other events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as permitted by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84" w:lineRule="exact"/>
        <w:rPr>
          <w:sz w:val="20"/>
          <w:szCs w:val="20"/>
          <w:color w:val="auto"/>
        </w:rPr>
      </w:pPr>
    </w:p>
    <w:p>
      <w:pPr>
        <w:ind w:left="3740"/>
        <w:spacing w:after="0"/>
        <w:tabs>
          <w:tab w:leader="none" w:pos="4960" w:val="left"/>
        </w:tabs>
        <w:rPr>
          <w:sz w:val="20"/>
          <w:szCs w:val="20"/>
          <w:color w:val="auto"/>
        </w:rPr>
      </w:pPr>
      <w:r>
        <w:rPr>
          <w:rFonts w:ascii="Arial" w:cs="Arial" w:eastAsia="Arial" w:hAnsi="Arial"/>
          <w:sz w:val="20"/>
          <w:szCs w:val="20"/>
          <w:b w:val="1"/>
          <w:bCs w:val="1"/>
          <w:color w:val="auto"/>
        </w:rPr>
        <w:t>Article 10 -</w:t>
      </w:r>
      <w:r>
        <w:rPr>
          <w:sz w:val="20"/>
          <w:szCs w:val="20"/>
          <w:color w:val="auto"/>
        </w:rPr>
        <w:tab/>
      </w:r>
      <w:r>
        <w:rPr>
          <w:rFonts w:ascii="Arial" w:cs="Arial" w:eastAsia="Arial" w:hAnsi="Arial"/>
          <w:sz w:val="19"/>
          <w:szCs w:val="19"/>
          <w:b w:val="1"/>
          <w:bCs w:val="1"/>
          <w:color w:val="auto"/>
        </w:rPr>
        <w:t>AMENDMENT AND TERMINATION</w:t>
      </w:r>
    </w:p>
    <w:p>
      <w:pPr>
        <w:spacing w:after="0" w:line="229"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20"/>
          <w:szCs w:val="20"/>
          <w:b w:val="1"/>
          <w:bCs w:val="1"/>
          <w:color w:val="auto"/>
        </w:rPr>
        <w:t xml:space="preserve">Amendment by Plan Sponsor. </w:t>
      </w:r>
      <w:r>
        <w:rPr>
          <w:rFonts w:ascii="Arial" w:cs="Arial" w:eastAsia="Arial" w:hAnsi="Arial"/>
          <w:sz w:val="20"/>
          <w:szCs w:val="20"/>
          <w:color w:val="auto"/>
        </w:rPr>
        <w:t>The Plan Sponsor reserves the right to amend the Plan (for itself and each Employer)</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action of its Board of Directors. No amendment can directly or indirectly deprive any current or former Participant or Beneficiary of all or any portion of his Account which had accrued and vested prior to the amendment.</w:t>
      </w:r>
    </w:p>
    <w:p>
      <w:pPr>
        <w:spacing w:after="0" w:line="165"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9"/>
          <w:szCs w:val="19"/>
          <w:b w:val="1"/>
          <w:bCs w:val="1"/>
          <w:color w:val="auto"/>
        </w:rPr>
        <w:t xml:space="preserve">Plan Termination Following Change in Control or Corporate Dissolution. </w:t>
      </w:r>
      <w:r>
        <w:rPr>
          <w:rFonts w:ascii="Arial" w:cs="Arial" w:eastAsia="Arial" w:hAnsi="Arial"/>
          <w:sz w:val="19"/>
          <w:szCs w:val="19"/>
          <w:color w:val="auto"/>
        </w:rPr>
        <w:t>The Plan Sponsor reserves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 the Plan and distribute all amounts credited to all Participant Accounts within the 30 days preceding or the twelve months following a Change in Control as determined in accordance with the rules set forth in Section 9.6. For this purpose, the Plan will be treated as terminated only if all agreements, methods, programs and other arrangements sponsored by the Related Employer immediately after the Change in Control which are treated as a single plan under Reg. Sec. 1.409A-1(c)(2) are also terminated so that all participants under the Plan and all similar arrangements are required to receive all amounts deferred under the terminated arrangements within twelve months of the date the Plan Sponsor irrevocably takes all necessary action to terminate the arrangements. In addition, the Plan Sponsor reserves the right to terminate the Plan within twelve months of a corporate dissolution taxed under Code Section 331 or with the approval of a bankruptcy court pursuant to 11 U. S. C. Section 503(b)(1)(A) provided that amounts deferred under the Plan are included in the gross incomes of Participants in the latest of (a) the calendar year in which the termination and liquidation occurs, (b) the first calendar year in which the amount is no longer subject to a substantial risk of forfeiture, or</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 the first calendar year in which payment is administratively practicable.</w:t>
      </w:r>
    </w:p>
    <w:p>
      <w:pPr>
        <w:spacing w:after="0" w:line="197" w:lineRule="exact"/>
        <w:rPr>
          <w:sz w:val="20"/>
          <w:szCs w:val="20"/>
          <w:color w:val="auto"/>
        </w:rPr>
      </w:pPr>
    </w:p>
    <w:p>
      <w:pPr>
        <w:jc w:val="both"/>
        <w:ind w:left="640" w:hanging="647"/>
        <w:spacing w:after="0" w:line="251" w:lineRule="auto"/>
        <w:tabs>
          <w:tab w:leader="none" w:pos="62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20"/>
          <w:szCs w:val="20"/>
          <w:b w:val="1"/>
          <w:bCs w:val="1"/>
          <w:color w:val="auto"/>
        </w:rPr>
        <w:t xml:space="preserve">Other Plan Terminations. </w:t>
      </w:r>
      <w:r>
        <w:rPr>
          <w:rFonts w:ascii="Arial" w:cs="Arial" w:eastAsia="Arial" w:hAnsi="Arial"/>
          <w:sz w:val="20"/>
          <w:szCs w:val="20"/>
          <w:color w:val="auto"/>
        </w:rPr>
        <w:t>The Plan Sponsor retains the discretion to terminate the Plan if (a) all arrangements</w:t>
      </w:r>
      <w:r>
        <w:rPr>
          <w:rFonts w:ascii="Arial" w:cs="Arial" w:eastAsia="Arial" w:hAnsi="Arial"/>
          <w:sz w:val="20"/>
          <w:szCs w:val="20"/>
          <w:b w:val="1"/>
          <w:bCs w:val="1"/>
          <w:color w:val="auto"/>
        </w:rPr>
        <w:t xml:space="preserve"> </w:t>
      </w:r>
      <w:r>
        <w:rPr>
          <w:rFonts w:ascii="Arial" w:cs="Arial" w:eastAsia="Arial" w:hAnsi="Arial"/>
          <w:sz w:val="20"/>
          <w:szCs w:val="20"/>
          <w:color w:val="auto"/>
        </w:rPr>
        <w:t>sponsored by the Plan Sponsor that would be aggregated with any terminated arrangement under Code Section 409A and Reg. Sec. 1.409A-1(c)(2) are terminated, (b) no payments other than payments that would be payable under the terms of the arrangements if the termination had not occurred are made within twelve months of the termination of the arrangements, (c) all payments are made within twenty-four months of the date the Plan Sponsor takes all necessary action to irrevocably terminate and liquidate the arrangements, (d) the Plan Sponsor does not adopt a new arrangement that would be aggregated with any terminated arrangement under Code Section 409A and the regulations thereunder at any time within the three year period following the date of termination of the arrangement, and (e) the termination does not occur proximate to a downturn in the financial health of the Plan sponsor. The Plan Sponsor also reserves the right to amend the Plan to provide that termination of the Plan will occur under such conditions and events as may be prescribed by the Secretary of the Treasury in generally applicable guidance published in the Internal Revenue Bulletin.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4" w:lineRule="exact"/>
        <w:rPr>
          <w:sz w:val="20"/>
          <w:szCs w:val="20"/>
          <w:color w:val="auto"/>
        </w:rPr>
      </w:pPr>
    </w:p>
    <w:p>
      <w:pPr>
        <w:ind w:left="4780"/>
        <w:spacing w:after="0"/>
        <w:tabs>
          <w:tab w:leader="none" w:pos="5980" w:val="left"/>
        </w:tabs>
        <w:rPr>
          <w:sz w:val="20"/>
          <w:szCs w:val="20"/>
          <w:color w:val="auto"/>
        </w:rPr>
      </w:pPr>
      <w:r>
        <w:rPr>
          <w:rFonts w:ascii="Arial" w:cs="Arial" w:eastAsia="Arial" w:hAnsi="Arial"/>
          <w:sz w:val="20"/>
          <w:szCs w:val="20"/>
          <w:b w:val="1"/>
          <w:bCs w:val="1"/>
          <w:color w:val="auto"/>
        </w:rPr>
        <w:t>Article 11 -</w:t>
      </w:r>
      <w:r>
        <w:rPr>
          <w:sz w:val="20"/>
          <w:szCs w:val="20"/>
          <w:color w:val="auto"/>
        </w:rPr>
        <w:tab/>
      </w:r>
      <w:r>
        <w:rPr>
          <w:rFonts w:ascii="Arial" w:cs="Arial" w:eastAsia="Arial" w:hAnsi="Arial"/>
          <w:sz w:val="19"/>
          <w:szCs w:val="19"/>
          <w:b w:val="1"/>
          <w:bCs w:val="1"/>
          <w:color w:val="auto"/>
        </w:rPr>
        <w:t>THE TRUST</w:t>
      </w:r>
    </w:p>
    <w:p>
      <w:pPr>
        <w:spacing w:after="0" w:line="229"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20"/>
          <w:szCs w:val="20"/>
          <w:b w:val="1"/>
          <w:bCs w:val="1"/>
          <w:color w:val="auto"/>
        </w:rPr>
        <w:t xml:space="preserve">Establishment of Trust. </w:t>
      </w:r>
      <w:r>
        <w:rPr>
          <w:rFonts w:ascii="Arial" w:cs="Arial" w:eastAsia="Arial" w:hAnsi="Arial"/>
          <w:sz w:val="20"/>
          <w:szCs w:val="20"/>
          <w:color w:val="auto"/>
        </w:rPr>
        <w:t>The Plan Sponsor may but is not required to establish a trust to hold amounts which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Sponsor may contribute from time to time to correspond to some or all amounts credited to Participants under Section 6.2. In the event that the Plan Sponsor wishes to establish a trust to provide a source of funds for the payment of Plan benefits, any such trust shall be constructed to constitute an unfunded arrangement that does not affect the status of the Plan as an unfunded plan for purposes of Title I of ERISA and the Code.</w:t>
      </w:r>
    </w:p>
    <w:p>
      <w:pPr>
        <w:spacing w:after="0" w:line="187"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20"/>
          <w:szCs w:val="20"/>
          <w:b w:val="1"/>
          <w:bCs w:val="1"/>
          <w:color w:val="auto"/>
        </w:rPr>
        <w:t xml:space="preserve">Rabbi Trust. </w:t>
      </w:r>
      <w:r>
        <w:rPr>
          <w:rFonts w:ascii="Arial" w:cs="Arial" w:eastAsia="Arial" w:hAnsi="Arial"/>
          <w:sz w:val="20"/>
          <w:szCs w:val="20"/>
          <w:color w:val="auto"/>
        </w:rPr>
        <w:t>Any trust established by the Plan Sponsor shall be between the Plan Sponsor and a trustee pursuant to a</w:t>
      </w:r>
      <w:r>
        <w:rPr>
          <w:rFonts w:ascii="Arial" w:cs="Arial" w:eastAsia="Arial" w:hAnsi="Arial"/>
          <w:sz w:val="20"/>
          <w:szCs w:val="20"/>
          <w:b w:val="1"/>
          <w:bCs w:val="1"/>
          <w:color w:val="auto"/>
        </w:rPr>
        <w:t xml:space="preserve"> </w:t>
      </w:r>
      <w:r>
        <w:rPr>
          <w:rFonts w:ascii="Arial" w:cs="Arial" w:eastAsia="Arial" w:hAnsi="Arial"/>
          <w:sz w:val="20"/>
          <w:szCs w:val="20"/>
          <w:color w:val="auto"/>
        </w:rPr>
        <w:t>separate written agreement under which assets are held, administered and managed, subject to the claims of the Plan Sponsor’s creditors in the event of the Plan Sponsor’s insolvency. The trust is intended to be treated as a rabbi trust in accordance with existing guidance of the Internal Revenue Service, and the establishment of the trust shall not cause the Participant to realize current income on amounts contributed thereto. The Plan Sponsor must notify the trustee in the event of a bankruptcy or insolvency.</w:t>
      </w:r>
    </w:p>
    <w:p>
      <w:pPr>
        <w:spacing w:after="0" w:line="173"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20"/>
          <w:szCs w:val="20"/>
          <w:b w:val="1"/>
          <w:bCs w:val="1"/>
          <w:color w:val="auto"/>
        </w:rPr>
        <w:t xml:space="preserve">Investment of Trust Funds. </w:t>
      </w:r>
      <w:r>
        <w:rPr>
          <w:rFonts w:ascii="Arial" w:cs="Arial" w:eastAsia="Arial" w:hAnsi="Arial"/>
          <w:sz w:val="20"/>
          <w:szCs w:val="20"/>
          <w:color w:val="auto"/>
        </w:rPr>
        <w:t>Any amounts contributed to the trust by the Plan Sponsor shall be invested by the trustee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provisions of the trust and the instructions of the Plan Sponsor. Trust investments need not reflect the hypothetical investments selected by Participants under Section 7.1 for the purpose of adjusting Accounts and the earnings or investment results of the trust need not affect the hypothetical investment adjustments to Participant Accounts under the Plan.</w:t>
      </w:r>
    </w:p>
    <w:p>
      <w:pPr>
        <w:spacing w:after="0" w:line="168" w:lineRule="exact"/>
        <w:rPr>
          <w:sz w:val="20"/>
          <w:szCs w:val="20"/>
          <w:color w:val="auto"/>
        </w:rPr>
      </w:pPr>
    </w:p>
    <w:p>
      <w:pPr>
        <w:ind w:left="4180"/>
        <w:spacing w:after="0"/>
        <w:tabs>
          <w:tab w:leader="none" w:pos="5400" w:val="left"/>
        </w:tabs>
        <w:rPr>
          <w:sz w:val="20"/>
          <w:szCs w:val="20"/>
          <w:color w:val="auto"/>
        </w:rPr>
      </w:pPr>
      <w:r>
        <w:rPr>
          <w:rFonts w:ascii="Arial" w:cs="Arial" w:eastAsia="Arial" w:hAnsi="Arial"/>
          <w:sz w:val="20"/>
          <w:szCs w:val="20"/>
          <w:b w:val="1"/>
          <w:bCs w:val="1"/>
          <w:color w:val="auto"/>
        </w:rPr>
        <w:t>Article 12 -</w:t>
      </w:r>
      <w:r>
        <w:rPr>
          <w:sz w:val="20"/>
          <w:szCs w:val="20"/>
          <w:color w:val="auto"/>
        </w:rPr>
        <w:tab/>
      </w:r>
      <w:r>
        <w:rPr>
          <w:rFonts w:ascii="Arial" w:cs="Arial" w:eastAsia="Arial" w:hAnsi="Arial"/>
          <w:sz w:val="19"/>
          <w:szCs w:val="19"/>
          <w:b w:val="1"/>
          <w:bCs w:val="1"/>
          <w:color w:val="auto"/>
        </w:rPr>
        <w:t>PLAN ADMINISTRATION</w:t>
      </w:r>
    </w:p>
    <w:p>
      <w:pPr>
        <w:spacing w:after="0" w:line="229"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20"/>
          <w:szCs w:val="20"/>
          <w:b w:val="1"/>
          <w:bCs w:val="1"/>
          <w:color w:val="auto"/>
        </w:rPr>
        <w:t xml:space="preserve">Powers and Responsibilities of the Administrator. </w:t>
      </w:r>
      <w:r>
        <w:rPr>
          <w:rFonts w:ascii="Arial" w:cs="Arial" w:eastAsia="Arial" w:hAnsi="Arial"/>
          <w:sz w:val="20"/>
          <w:szCs w:val="20"/>
          <w:color w:val="auto"/>
        </w:rPr>
        <w:t>The Administrator has the full power and the full responsibility to</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administer the Plan in all of its details, subject, however, to the applicable requirements of ERISA. The Administrator’s powers and responsibilities include, but are not limited to, the following:</w:t>
      </w:r>
    </w:p>
    <w:p>
      <w:pPr>
        <w:spacing w:after="0" w:line="175" w:lineRule="exact"/>
        <w:rPr>
          <w:sz w:val="20"/>
          <w:szCs w:val="20"/>
          <w:color w:val="auto"/>
        </w:rPr>
      </w:pPr>
    </w:p>
    <w:p>
      <w:pPr>
        <w:ind w:left="980" w:hanging="324"/>
        <w:spacing w:after="0" w:line="275" w:lineRule="auto"/>
        <w:tabs>
          <w:tab w:leader="none" w:pos="979"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make and enforce such rules and procedures as it deems necessary or proper for the efficient administration of the Plan;</w:t>
      </w:r>
    </w:p>
    <w:p>
      <w:pPr>
        <w:spacing w:after="0" w:line="174" w:lineRule="exact"/>
        <w:rPr>
          <w:rFonts w:ascii="Arial" w:cs="Arial" w:eastAsia="Arial" w:hAnsi="Arial"/>
          <w:sz w:val="20"/>
          <w:szCs w:val="20"/>
          <w:color w:val="auto"/>
        </w:rPr>
      </w:pPr>
    </w:p>
    <w:p>
      <w:pPr>
        <w:ind w:left="980" w:right="20" w:hanging="324"/>
        <w:spacing w:after="0" w:line="261" w:lineRule="auto"/>
        <w:tabs>
          <w:tab w:leader="none" w:pos="979"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interpret the Plan, its interpretation thereof to be final, except as provided in Section 12.2, on all persons claiming benefits under the Plan;</w:t>
      </w:r>
    </w:p>
    <w:p>
      <w:pPr>
        <w:spacing w:after="0" w:line="188" w:lineRule="exact"/>
        <w:rPr>
          <w:rFonts w:ascii="Arial" w:cs="Arial" w:eastAsia="Arial" w:hAnsi="Arial"/>
          <w:sz w:val="20"/>
          <w:szCs w:val="20"/>
          <w:color w:val="auto"/>
        </w:rPr>
      </w:pPr>
    </w:p>
    <w:p>
      <w:pPr>
        <w:ind w:left="960" w:hanging="304"/>
        <w:spacing w:after="0"/>
        <w:tabs>
          <w:tab w:leader="none" w:pos="9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decide all questions concerning the Plan and the eligibility of any person to participate in the Plan;</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administer the claims and review procedures specified in Section 12.2;</w:t>
      </w:r>
    </w:p>
    <w:p>
      <w:pPr>
        <w:spacing w:after="0" w:line="229" w:lineRule="exact"/>
        <w:rPr>
          <w:rFonts w:ascii="Arial" w:cs="Arial" w:eastAsia="Arial" w:hAnsi="Arial"/>
          <w:sz w:val="20"/>
          <w:szCs w:val="20"/>
          <w:color w:val="auto"/>
        </w:rPr>
      </w:pPr>
    </w:p>
    <w:p>
      <w:pPr>
        <w:ind w:left="980" w:hanging="324"/>
        <w:spacing w:after="0" w:line="275" w:lineRule="auto"/>
        <w:tabs>
          <w:tab w:leader="none" w:pos="979"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compute the amount of benefits which will be payable to any Participant, former Participant or Beneficiary in accordance with the provisions of the Plan;</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determine the person or persons to whom such benefits will be paid;</w:t>
      </w:r>
    </w:p>
    <w:p>
      <w:pPr>
        <w:spacing w:after="0" w:line="229" w:lineRule="exact"/>
        <w:rPr>
          <w:rFonts w:ascii="Arial" w:cs="Arial" w:eastAsia="Arial" w:hAnsi="Arial"/>
          <w:sz w:val="20"/>
          <w:szCs w:val="20"/>
          <w:color w:val="auto"/>
        </w:rPr>
      </w:pPr>
    </w:p>
    <w:p>
      <w:pPr>
        <w:ind w:left="980" w:hanging="324"/>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authorize the payment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4"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comply with the reporting and disclosure requirements of Part 1 of Subtitle B of Title I of ERISA;</w:t>
      </w:r>
    </w:p>
    <w:p>
      <w:pPr>
        <w:spacing w:after="0" w:line="229" w:lineRule="exact"/>
        <w:rPr>
          <w:rFonts w:ascii="Arial" w:cs="Arial" w:eastAsia="Arial" w:hAnsi="Arial"/>
          <w:sz w:val="20"/>
          <w:szCs w:val="20"/>
          <w:color w:val="auto"/>
        </w:rPr>
      </w:pPr>
    </w:p>
    <w:p>
      <w:pPr>
        <w:ind w:left="980" w:hanging="324"/>
        <w:spacing w:after="0" w:line="261" w:lineRule="auto"/>
        <w:tabs>
          <w:tab w:leader="none" w:pos="967"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appoint such agents, counsel, accountants, and consultants as may be required to assist in administering the Plan;</w:t>
      </w:r>
    </w:p>
    <w:p>
      <w:pPr>
        <w:spacing w:after="0" w:line="188" w:lineRule="exact"/>
        <w:rPr>
          <w:rFonts w:ascii="Arial" w:cs="Arial" w:eastAsia="Arial" w:hAnsi="Arial"/>
          <w:sz w:val="20"/>
          <w:szCs w:val="20"/>
          <w:color w:val="auto"/>
        </w:rPr>
      </w:pPr>
    </w:p>
    <w:p>
      <w:pPr>
        <w:ind w:left="980" w:hanging="324"/>
        <w:spacing w:after="0" w:line="261" w:lineRule="auto"/>
        <w:tabs>
          <w:tab w:leader="none" w:pos="967" w:val="left"/>
        </w:tabs>
        <w:numPr>
          <w:ilvl w:val="0"/>
          <w:numId w:val="48"/>
        </w:numPr>
        <w:rPr>
          <w:rFonts w:ascii="Arial" w:cs="Arial" w:eastAsia="Arial" w:hAnsi="Arial"/>
          <w:sz w:val="20"/>
          <w:szCs w:val="20"/>
          <w:color w:val="auto"/>
        </w:rPr>
      </w:pPr>
      <w:r>
        <w:rPr>
          <w:rFonts w:ascii="Arial" w:cs="Arial" w:eastAsia="Arial" w:hAnsi="Arial"/>
          <w:sz w:val="20"/>
          <w:szCs w:val="20"/>
          <w:color w:val="auto"/>
        </w:rPr>
        <w:t>By written instrument, to allocate and delegate its responsibilities, including the formation of an administrative committee to administer the Plan.</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b w:val="1"/>
          <w:bCs w:val="1"/>
          <w:color w:val="auto"/>
        </w:rPr>
        <w:t>Claims and Review Procedures.</w:t>
      </w:r>
    </w:p>
    <w:p>
      <w:pPr>
        <w:spacing w:after="0" w:line="229" w:lineRule="exact"/>
        <w:rPr>
          <w:sz w:val="20"/>
          <w:szCs w:val="20"/>
          <w:color w:val="auto"/>
        </w:rPr>
      </w:pPr>
    </w:p>
    <w:p>
      <w:pPr>
        <w:jc w:val="both"/>
        <w:ind w:left="980"/>
        <w:spacing w:after="0" w:line="262" w:lineRule="auto"/>
        <w:rPr>
          <w:sz w:val="20"/>
          <w:szCs w:val="20"/>
          <w:color w:val="auto"/>
        </w:rPr>
      </w:pPr>
      <w:r>
        <w:rPr>
          <w:rFonts w:ascii="Arial" w:cs="Arial" w:eastAsia="Arial" w:hAnsi="Arial"/>
          <w:sz w:val="19"/>
          <w:szCs w:val="19"/>
          <w:b w:val="1"/>
          <w:bCs w:val="1"/>
          <w:color w:val="auto"/>
        </w:rPr>
        <w:t>Claims Procedure</w:t>
      </w:r>
      <w:r>
        <w:rPr>
          <w:rFonts w:ascii="Arial" w:cs="Arial" w:eastAsia="Arial" w:hAnsi="Arial"/>
          <w:sz w:val="19"/>
          <w:szCs w:val="19"/>
          <w:color w:val="auto"/>
        </w:rPr>
        <w:t>. If any person believes he is being denied any rights or benefits under the Plan, such person may</w:t>
      </w:r>
      <w:r>
        <w:rPr>
          <w:rFonts w:ascii="Arial" w:cs="Arial" w:eastAsia="Arial" w:hAnsi="Arial"/>
          <w:sz w:val="19"/>
          <w:szCs w:val="19"/>
          <w:b w:val="1"/>
          <w:bCs w:val="1"/>
          <w:color w:val="auto"/>
        </w:rPr>
        <w:t xml:space="preserve"> </w:t>
      </w:r>
      <w:r>
        <w:rPr>
          <w:rFonts w:ascii="Arial" w:cs="Arial" w:eastAsia="Arial" w:hAnsi="Arial"/>
          <w:sz w:val="19"/>
          <w:szCs w:val="19"/>
          <w:color w:val="auto"/>
        </w:rPr>
        <w:t>file a claim in writing with the Administrator. If any such claim is wholly or partially denied, the Administrator will notify such person of its decision in writing. Such notification will be given within 90 days (45 days in the case of a claim regarding Disability) after the claim is received by the Administrator. The Administrator may extend the period for providing the notification by 90 days (30 days in the case of a claim regarding Disability) if special circumstances require an extension of time for processing the claim and if written notice of such extension and circumstance is given to such person within the initial 90 -day period (45 day period in the case of a claim regarding Disability). If such notification is not given within such period, the claim will be considered denied as of the last day of such period and such person may request a review of his claim. Such notification will contain (i) specific reasons for the denial, (ii) specific reference to pertinent Plan provisions, (iii) a description of any additional material or information necessary for such person to perfect such claim and an explanation of why such material or information is necessary, and (iv) a description of the Plan’s review procedures and the time limits applicable to such procedures, including a statement of the person’s right to bring a civil action following an adverse decision on review. In addition, for a claim regarding Disability, such notification will be provided in a culturally and linguistically appropriate manner and will contain (v) a discussion of the decision, including an explanation of the basis for disagreeing with or not following: (a) the views provided by the claimant’s health care or vocation professionals who treated and evaluated the claimant; (b) the views of medical or vocational experts whose advice was obtained by the plan, regardless of whether the advice was relied upon in making the benefit determination; and (c) any disability determination made by the Social Security Administration, (vi) if the adverse benefit determination is based on medical necessity, experimental treatment, or similar exclusion or limit, either an explanation of the scientific or clinical judgement for the determination, applying the terms of the plan to the claimant’s medical circumstances, or a statement that an explanation will be provided free of charge upon request, (vii) the specific internal rules, guidelines, protocols, standards or other similar criteria (a “Guideline”) that were relied upon in making the adverse determination or a statement that such Guideline does not exist, and (viii) a statement that the claimant is entitled to receive, upon request and free of charge, reasonable access to, and copies of, all documents, records, and other information relevant to the claim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Review Procedure</w:t>
      </w:r>
      <w:r>
        <w:rPr>
          <w:rFonts w:ascii="Arial" w:cs="Arial" w:eastAsia="Arial" w:hAnsi="Arial"/>
          <w:sz w:val="20"/>
          <w:szCs w:val="20"/>
          <w:color w:val="auto"/>
        </w:rPr>
        <w:t>. Within 60 days (180 days in the case of a claim regarding Disability) after the date on which a</w:t>
      </w:r>
      <w:r>
        <w:rPr>
          <w:rFonts w:ascii="Arial" w:cs="Arial" w:eastAsia="Arial" w:hAnsi="Arial"/>
          <w:sz w:val="20"/>
          <w:szCs w:val="20"/>
          <w:b w:val="1"/>
          <w:bCs w:val="1"/>
          <w:color w:val="auto"/>
        </w:rPr>
        <w:t xml:space="preserve"> </w:t>
      </w:r>
      <w:r>
        <w:rPr>
          <w:rFonts w:ascii="Arial" w:cs="Arial" w:eastAsia="Arial" w:hAnsi="Arial"/>
          <w:sz w:val="20"/>
          <w:szCs w:val="20"/>
          <w:color w:val="auto"/>
        </w:rPr>
        <w:t>person receives a written notification of denial of claim (or, if written notification is not provided, within 60 days (180 days in the case of a claim regarding Disability) of the date denial is considered to have occurred), such person (or his duly authorized representative) may (i) file a written request with the Administrator for a review of his denied claim and of pertinent documents and (ii) submit written issues and comments to the Administrator. The decision on review will be made within 60 days (45 days in the case of a claim regarding Disability). The Administrator may extend the period for making the decision on review by 60 days (45 days in the case of a claim regarding Disability) if special circumstances require an extension of time for processing the request such as an election by the Administrator to hold a hearing, and if written notice of such extension and circumstances is given to such person within the initial 60-day period (45 days in the case of a claim regarding Disability). If the decision on review is not made within such period, the claim will be considered denied. In the case of a claim regarding Disability, before a final adverse benefit determination is made, the Administrator will provide the claimant, free of charge, with any new or additional evidence or rationale considered, relied upon, or generated by the plan in connection with the claim as soon as possible and sufficiently in advance of the final notice to give the claimant a reasonable opportunity to respond prior to that date.</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Administrator will notify such person of its decision in writing. Such notification will be written in a manner calculated to be understood by such person and will contain specific reasons for the decision as well as specific references to pertinent Plan provisions. The notification will explain that the person is entitled to receive, upon request and free of charge, reasonable access to and copies of all pertinent documents and has the right to bring a civil action following an adverse decision on review. In addition, for a claim regarding Disability, the notification will be provided in a culturally and linguistically appropriate manner and will contain (i) a discussion of the decision, including an explanation of the basis for disagreeing with or not following the views provided by the claimant’s health care or vocation professionals that treated and evaluated the claimant; the views of medical or vocational experts whose advise was obtained by the plan, regardless of whether the advice was relied upon in making the benefit determination; and any disability determination made by the Social Security Administration, (ii) if the adverse benefit determination is based on medical necessity, experimental treatment, or similar exclusion or limit, either an explanation of the scientific or clinical judgement for the determination, applying the terms of the plan to the claimant’s medical circumstances, or a statement that explanation will be provided free of charge upon request, (iii) any Guideline that was relied upon in making the adverse determination or a statement that such Guideline does not exist.</w:t>
      </w:r>
    </w:p>
    <w:p>
      <w:pPr>
        <w:spacing w:after="0" w:line="191"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b w:val="1"/>
          <w:bCs w:val="1"/>
          <w:color w:val="auto"/>
        </w:rPr>
        <w:t>Exhaustion of Claims Procedures and Right to Bring Legal Claim</w:t>
      </w:r>
      <w:r>
        <w:rPr>
          <w:rFonts w:ascii="Arial" w:cs="Arial" w:eastAsia="Arial" w:hAnsi="Arial"/>
          <w:sz w:val="20"/>
          <w:szCs w:val="20"/>
          <w:color w:val="auto"/>
        </w:rPr>
        <w:t>. No action at law or equity shall be brought</w:t>
      </w:r>
      <w:r>
        <w:rPr>
          <w:rFonts w:ascii="Arial" w:cs="Arial" w:eastAsia="Arial" w:hAnsi="Arial"/>
          <w:sz w:val="20"/>
          <w:szCs w:val="20"/>
          <w:b w:val="1"/>
          <w:bCs w:val="1"/>
          <w:color w:val="auto"/>
        </w:rPr>
        <w:t xml:space="preserve"> </w:t>
      </w:r>
      <w:r>
        <w:rPr>
          <w:rFonts w:ascii="Arial" w:cs="Arial" w:eastAsia="Arial" w:hAnsi="Arial"/>
          <w:sz w:val="20"/>
          <w:szCs w:val="20"/>
          <w:color w:val="auto"/>
        </w:rPr>
        <w:t>more than one (1) year after the Administrator’s affirmation of a denial of a claim, or, if earlier, more than four (4) years after the facts or events giving rising to the claimant’s allegation(s) or claim(s) first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260"/>
          </w:cols>
          <w:pgMar w:left="1300" w:top="1440" w:right="339" w:bottom="1440" w:gutter="0" w:footer="0" w:header="0"/>
        </w:sectPr>
      </w:pPr>
    </w:p>
    <w:bookmarkStart w:id="124" w:name="page125"/>
    <w:bookmarkEnd w:id="124"/>
    <w:p>
      <w:pPr>
        <w:spacing w:after="0" w:line="184"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20"/>
          <w:szCs w:val="20"/>
          <w:b w:val="1"/>
          <w:bCs w:val="1"/>
          <w:color w:val="auto"/>
        </w:rPr>
        <w:t xml:space="preserve">Plan Administrative Costs. </w:t>
      </w:r>
      <w:r>
        <w:rPr>
          <w:rFonts w:ascii="Arial" w:cs="Arial" w:eastAsia="Arial" w:hAnsi="Arial"/>
          <w:sz w:val="20"/>
          <w:szCs w:val="20"/>
          <w:color w:val="auto"/>
        </w:rPr>
        <w:t>All reasonable costs and expenses (including legal, accounting, and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 fees) incurred by the Administrator in administering the Plan shall be paid by the Plan to the extent not paid by the Employer.</w:t>
      </w:r>
    </w:p>
    <w:p>
      <w:pPr>
        <w:spacing w:after="0" w:line="178" w:lineRule="exact"/>
        <w:rPr>
          <w:sz w:val="20"/>
          <w:szCs w:val="20"/>
          <w:color w:val="auto"/>
        </w:rPr>
      </w:pPr>
    </w:p>
    <w:p>
      <w:pPr>
        <w:ind w:left="4480"/>
        <w:spacing w:after="0"/>
        <w:tabs>
          <w:tab w:leader="none" w:pos="5680" w:val="left"/>
        </w:tabs>
        <w:rPr>
          <w:sz w:val="20"/>
          <w:szCs w:val="20"/>
          <w:color w:val="auto"/>
        </w:rPr>
      </w:pPr>
      <w:r>
        <w:rPr>
          <w:rFonts w:ascii="Arial" w:cs="Arial" w:eastAsia="Arial" w:hAnsi="Arial"/>
          <w:sz w:val="20"/>
          <w:szCs w:val="20"/>
          <w:b w:val="1"/>
          <w:bCs w:val="1"/>
          <w:color w:val="auto"/>
        </w:rPr>
        <w:t>Article 13 -</w:t>
      </w:r>
      <w:r>
        <w:rPr>
          <w:sz w:val="20"/>
          <w:szCs w:val="20"/>
          <w:color w:val="auto"/>
        </w:rPr>
        <w:tab/>
      </w:r>
      <w:r>
        <w:rPr>
          <w:rFonts w:ascii="Arial" w:cs="Arial" w:eastAsia="Arial" w:hAnsi="Arial"/>
          <w:sz w:val="19"/>
          <w:szCs w:val="19"/>
          <w:b w:val="1"/>
          <w:bCs w:val="1"/>
          <w:color w:val="auto"/>
        </w:rPr>
        <w:t>MISCELLANEOUS</w:t>
      </w:r>
    </w:p>
    <w:p>
      <w:pPr>
        <w:spacing w:after="0" w:line="216"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20"/>
          <w:szCs w:val="20"/>
          <w:b w:val="1"/>
          <w:bCs w:val="1"/>
          <w:color w:val="auto"/>
        </w:rPr>
        <w:t xml:space="preserve">Unsecured General Creditor of the Employer. </w:t>
      </w:r>
      <w:r>
        <w:rPr>
          <w:rFonts w:ascii="Arial" w:cs="Arial" w:eastAsia="Arial" w:hAnsi="Arial"/>
          <w:sz w:val="20"/>
          <w:szCs w:val="20"/>
          <w:color w:val="auto"/>
        </w:rPr>
        <w:t>Participants and their Beneficiaries, heirs, successors and assigns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no legal or equitable rights, interests or claims in any property or assets of the Employer. For purposes of the payment of benefits under the Plan, any and all of the Employer’s assets shall be, and shall remain, the general, unpledged, unrestricted assets of the Employer. Each Employer’s obligation under the Plan shall be merely that of an unfunded and unsecured promise to pay money in the future.</w:t>
      </w:r>
    </w:p>
    <w:p>
      <w:pPr>
        <w:spacing w:after="0" w:line="168"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20"/>
          <w:szCs w:val="20"/>
          <w:b w:val="1"/>
          <w:bCs w:val="1"/>
          <w:color w:val="auto"/>
        </w:rPr>
        <w:t xml:space="preserve">Employer’s Liability. </w:t>
      </w:r>
      <w:r>
        <w:rPr>
          <w:rFonts w:ascii="Arial" w:cs="Arial" w:eastAsia="Arial" w:hAnsi="Arial"/>
          <w:sz w:val="20"/>
          <w:szCs w:val="20"/>
          <w:color w:val="auto"/>
        </w:rPr>
        <w:t>Each Employer’s liability for the payment of benefits under the Plan shall be defined only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and by the deferral elections entered into between a Participant and the Employer. An Employer shall have no obligation or liability to a Participant under the Plan except as provided by the Plan and a deferral election or agreements. An Employer shall have no liability to Participants employed by other Employers.</w:t>
      </w:r>
    </w:p>
    <w:p>
      <w:pPr>
        <w:spacing w:after="0" w:line="182"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20"/>
          <w:szCs w:val="20"/>
          <w:b w:val="1"/>
          <w:bCs w:val="1"/>
          <w:color w:val="auto"/>
        </w:rPr>
        <w:t xml:space="preserve">Limitation of Rights. </w:t>
      </w:r>
      <w:r>
        <w:rPr>
          <w:rFonts w:ascii="Arial" w:cs="Arial" w:eastAsia="Arial" w:hAnsi="Arial"/>
          <w:sz w:val="20"/>
          <w:szCs w:val="20"/>
          <w:color w:val="auto"/>
        </w:rPr>
        <w:t>Neither the establishment of the Plan, nor any amendment thereof, nor the creation of any fund or</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nor the payment of any benefits, will be construed as giving to the Participant or any other person any legal or equitable right against the Employer, the Plan or the Administrator, except as provided herein; and in no event will the terms of employment or service of the Participant be modified or in any way affected hereby.</w:t>
      </w:r>
    </w:p>
    <w:p>
      <w:pPr>
        <w:spacing w:after="0" w:line="168" w:lineRule="exact"/>
        <w:rPr>
          <w:sz w:val="20"/>
          <w:szCs w:val="20"/>
          <w:color w:val="auto"/>
        </w:rPr>
      </w:pPr>
    </w:p>
    <w:p>
      <w:pPr>
        <w:jc w:val="both"/>
        <w:ind w:left="640" w:hanging="647"/>
        <w:spacing w:after="0" w:line="252" w:lineRule="auto"/>
        <w:tabs>
          <w:tab w:leader="none" w:pos="62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20"/>
          <w:szCs w:val="20"/>
          <w:b w:val="1"/>
          <w:bCs w:val="1"/>
          <w:color w:val="auto"/>
        </w:rPr>
        <w:t xml:space="preserve">Anti-Assignment. </w:t>
      </w:r>
      <w:r>
        <w:rPr>
          <w:rFonts w:ascii="Arial" w:cs="Arial" w:eastAsia="Arial" w:hAnsi="Arial"/>
          <w:sz w:val="20"/>
          <w:szCs w:val="20"/>
          <w:color w:val="auto"/>
        </w:rPr>
        <w:t>Except as may be necessary to fulfill a domestic relations order within the meaning of Code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414(p), none of the benefits or rights of a Participant or any Beneficiary of a Participant shall be subject to the claim of any creditor. In particular, to the fullest extent permitted by law, all such benefits and rights shall be free from attachment, garnishment, or any other legal or equitable process available to any creditor of the Participant and his or her Beneficiary. Neither the Participant nor his or her Beneficiary shall have the right to alienate, anticipate, commute, pledge, encumber, or assign any of the payments which he or she may expect to receive, contingently or otherwise, under the Plan, except the right to designate a Beneficiary to receive death benefits provided hereunder. Notwithstanding the preceding, the benefit payable from a Participant’s Account may be reduced, at the discretion of the administrator, to satisfy any debt or liability to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4"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20"/>
          <w:szCs w:val="20"/>
          <w:b w:val="1"/>
          <w:bCs w:val="1"/>
          <w:color w:val="auto"/>
        </w:rPr>
        <w:t xml:space="preserve">Facility of Payment. </w:t>
      </w:r>
      <w:r>
        <w:rPr>
          <w:rFonts w:ascii="Arial" w:cs="Arial" w:eastAsia="Arial" w:hAnsi="Arial"/>
          <w:sz w:val="20"/>
          <w:szCs w:val="20"/>
          <w:color w:val="auto"/>
        </w:rPr>
        <w:t>If the Administrator determines, on the basis of medical reports or other evidence satisfactory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Administrator, that the recipient of any benefit payments under the Plan is incapable of handling his affairs by reason of minority, illness, infirmity or other incapacity, the Administrator may direct the Employer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Employer, the Plan and the Administrator for the payment of benefits hereunder to such recipient.</w:t>
      </w:r>
    </w:p>
    <w:p>
      <w:pPr>
        <w:spacing w:after="0" w:line="173"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20"/>
          <w:szCs w:val="20"/>
          <w:b w:val="1"/>
          <w:bCs w:val="1"/>
          <w:color w:val="auto"/>
        </w:rPr>
        <w:t xml:space="preserve">Notices. </w:t>
      </w:r>
      <w:r>
        <w:rPr>
          <w:rFonts w:ascii="Arial" w:cs="Arial" w:eastAsia="Arial" w:hAnsi="Arial"/>
          <w:sz w:val="20"/>
          <w:szCs w:val="20"/>
          <w:color w:val="auto"/>
        </w:rPr>
        <w:t>Any notice or other communication to the Employer or Administrator in connection with the Plan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delivered in writing if addressed to the Plan Sponsor at the following address: 8000 South Federal Way, Boise, ID 83707, and if either actually delivered at said address or, in the case or a letter, 5 business days shall have elapsed after the same shall have been deposited in the United States mails, first-class postage prepaid and registered or certified.</w:t>
      </w:r>
    </w:p>
    <w:p>
      <w:pPr>
        <w:spacing w:after="0" w:line="168" w:lineRule="exact"/>
        <w:rPr>
          <w:sz w:val="20"/>
          <w:szCs w:val="20"/>
          <w:color w:val="auto"/>
        </w:rPr>
      </w:pPr>
    </w:p>
    <w:p>
      <w:pPr>
        <w:jc w:val="both"/>
        <w:ind w:left="640" w:right="2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20"/>
          <w:szCs w:val="20"/>
          <w:b w:val="1"/>
          <w:bCs w:val="1"/>
          <w:color w:val="auto"/>
        </w:rPr>
        <w:t xml:space="preserve">Tax Withholding. </w:t>
      </w:r>
      <w:r>
        <w:rPr>
          <w:rFonts w:ascii="Arial" w:cs="Arial" w:eastAsia="Arial" w:hAnsi="Arial"/>
          <w:sz w:val="20"/>
          <w:szCs w:val="20"/>
          <w:color w:val="auto"/>
        </w:rPr>
        <w:t>If the Employer concludes that tax is owing with respect to any deferral or payment hereunder,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shall withhold such amounts from any payments due the Participant or from amounts deferred, as permitted by law, or otherwise make appropriate arrangements with the Participant or his Beneficiary for satisfaction of such obligation. Tax, for purposes of this Section 13.7 means any federal, state, local or any other governmental income tax, employment or payroll tax, excise tax, or any other tax or assessment owing with respect to amounts deferred, any earnings thereon, and any payments made to Participants under the Plan.</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9"/>
          <w:szCs w:val="19"/>
          <w:b w:val="1"/>
          <w:bCs w:val="1"/>
          <w:color w:val="auto"/>
        </w:rPr>
        <w:t>Indemnification.</w:t>
      </w:r>
    </w:p>
    <w:p>
      <w:pPr>
        <w:spacing w:after="0" w:line="226" w:lineRule="exact"/>
        <w:rPr>
          <w:sz w:val="20"/>
          <w:szCs w:val="20"/>
          <w:color w:val="auto"/>
        </w:rPr>
      </w:pPr>
    </w:p>
    <w:p>
      <w:pPr>
        <w:jc w:val="both"/>
        <w:ind w:left="980" w:hanging="324"/>
        <w:spacing w:after="0" w:line="265" w:lineRule="auto"/>
        <w:tabs>
          <w:tab w:leader="none" w:pos="1062" w:val="left"/>
        </w:tabs>
        <w:numPr>
          <w:ilvl w:val="0"/>
          <w:numId w:val="49"/>
        </w:numPr>
        <w:rPr>
          <w:rFonts w:ascii="Arial" w:cs="Arial" w:eastAsia="Arial" w:hAnsi="Arial"/>
          <w:sz w:val="19"/>
          <w:szCs w:val="19"/>
          <w:color w:val="auto"/>
        </w:rPr>
      </w:pPr>
      <w:r>
        <w:rPr>
          <w:rFonts w:ascii="Arial" w:cs="Arial" w:eastAsia="Arial" w:hAnsi="Arial"/>
          <w:sz w:val="19"/>
          <w:szCs w:val="19"/>
          <w:color w:val="auto"/>
        </w:rPr>
        <w:t>Each Indemnitee (as defined in Section 13.8(e)) shall be indemnified and held harmless by the Employer for all actions taken by him and for all failures to take action (regardless of the date of any such action or failure to take action), to the fullest extent permitted by the law of the jurisdiction in which the Employer is incorporated, against all expense, liability, and loss (including, without limitation, attorneys’ fees, judgments, fines, taxes, penalties, and amounts paid or to be paid in settlement) reasonably incurred or suffered by the Indemnitee in connection with any Proceeding (as defined in Subsection (e)). No indemnification pursuant to this Section shall be made, however, in any case where (1) the act or failure to act giving rise to the claim for indemnification is determined by a court to have constituted willful misconduct or recklessness or (2) there is a settlement to which the Employer does not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4" w:lineRule="exact"/>
        <w:rPr>
          <w:sz w:val="20"/>
          <w:szCs w:val="20"/>
          <w:color w:val="auto"/>
        </w:rPr>
      </w:pPr>
    </w:p>
    <w:p>
      <w:pPr>
        <w:jc w:val="both"/>
        <w:ind w:left="980" w:hanging="324"/>
        <w:spacing w:after="0" w:line="252" w:lineRule="auto"/>
        <w:tabs>
          <w:tab w:leader="none" w:pos="979"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right to indemnification provided in this Section shall include the right to have the expenses incurred by the Indemnitee in defending any Proceeding paid by the Employer in advance of the final disposition of the Proceeding, to the fullest extent permitted by the law of the jurisdiction in which the Employer is incorporated; provided that, if such law requires, the payment of such expenses incurred by the Indemnitee in advance of the final disposition of a Proceeding shall be made only on delivery to the Employer of an undertaking, by or on behalf of the Indemnitee, to repay all amounts so advanced without interest if it shall ultimately be determined that the Indemnitee is not entitled to be indemnified under this Section or otherwise.</w:t>
      </w:r>
    </w:p>
    <w:p>
      <w:pPr>
        <w:spacing w:after="0" w:line="186" w:lineRule="exact"/>
        <w:rPr>
          <w:rFonts w:ascii="Arial" w:cs="Arial" w:eastAsia="Arial" w:hAnsi="Arial"/>
          <w:sz w:val="20"/>
          <w:szCs w:val="20"/>
          <w:color w:val="auto"/>
        </w:rPr>
      </w:pPr>
    </w:p>
    <w:p>
      <w:pPr>
        <w:jc w:val="both"/>
        <w:ind w:left="980" w:hanging="324"/>
        <w:spacing w:after="0" w:line="256" w:lineRule="auto"/>
        <w:tabs>
          <w:tab w:leader="none" w:pos="968"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Indemnification pursuant to this Section shall continue as to an Indemnitee who has ceased to be such and shall inure to the benefit of his heirs, executors, and administrators. The Employer agrees that the undertakings made in this Section shall be binding on its successors or assigns and shall survive the termination, amendment or restatement of the Plan.</w:t>
      </w:r>
    </w:p>
    <w:p>
      <w:pPr>
        <w:spacing w:after="0" w:line="193" w:lineRule="exact"/>
        <w:rPr>
          <w:rFonts w:ascii="Arial" w:cs="Arial" w:eastAsia="Arial" w:hAnsi="Arial"/>
          <w:sz w:val="20"/>
          <w:szCs w:val="20"/>
          <w:color w:val="auto"/>
        </w:rPr>
      </w:pPr>
    </w:p>
    <w:p>
      <w:pPr>
        <w:jc w:val="both"/>
        <w:ind w:left="980" w:hanging="324"/>
        <w:spacing w:after="0" w:line="257" w:lineRule="auto"/>
        <w:tabs>
          <w:tab w:leader="none" w:pos="979"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foregoing right to indemnification shall be in addition to such other rights as the Indemnitee may enjoy as a matter of law or by reason of insurance coverage of any kind and is in addition to and not in lieu of any rights to indemnification to which the Indemnitee may be entitled pursuant to the by-laws of the Employer.</w:t>
      </w:r>
    </w:p>
    <w:p>
      <w:pPr>
        <w:spacing w:after="0" w:line="179" w:lineRule="exact"/>
        <w:rPr>
          <w:rFonts w:ascii="Arial" w:cs="Arial" w:eastAsia="Arial" w:hAnsi="Arial"/>
          <w:sz w:val="20"/>
          <w:szCs w:val="20"/>
          <w:color w:val="auto"/>
        </w:rPr>
      </w:pPr>
    </w:p>
    <w:p>
      <w:pPr>
        <w:ind w:left="980" w:hanging="324"/>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For the purposes of this Section, the following definitions shall apply:</w:t>
      </w:r>
    </w:p>
    <w:p>
      <w:pPr>
        <w:spacing w:after="0" w:line="229" w:lineRule="exact"/>
        <w:rPr>
          <w:rFonts w:ascii="Arial" w:cs="Arial" w:eastAsia="Arial" w:hAnsi="Arial"/>
          <w:sz w:val="20"/>
          <w:szCs w:val="20"/>
          <w:color w:val="auto"/>
        </w:rPr>
      </w:pPr>
    </w:p>
    <w:p>
      <w:pPr>
        <w:jc w:val="both"/>
        <w:ind w:left="1620" w:hanging="235"/>
        <w:spacing w:after="0" w:line="256" w:lineRule="auto"/>
        <w:tabs>
          <w:tab w:leader="none" w:pos="1607" w:val="left"/>
        </w:tabs>
        <w:numPr>
          <w:ilvl w:val="1"/>
          <w:numId w:val="50"/>
        </w:numPr>
        <w:rPr>
          <w:rFonts w:ascii="Arial" w:cs="Arial" w:eastAsia="Arial" w:hAnsi="Arial"/>
          <w:sz w:val="20"/>
          <w:szCs w:val="20"/>
          <w:color w:val="auto"/>
        </w:rPr>
      </w:pPr>
      <w:r>
        <w:rPr>
          <w:rFonts w:ascii="Arial" w:cs="Arial" w:eastAsia="Arial" w:hAnsi="Arial"/>
          <w:sz w:val="20"/>
          <w:szCs w:val="20"/>
          <w:color w:val="auto"/>
        </w:rPr>
        <w:t>“Indemnitee” shall mean each person serving as an Administrator (or any other person who is an employee, director, or officer of the Employer) who was or is a party to, or is threatened to be made a party to, or is otherwise involved in, any Proceeding, by reason of the fact that he is or was performing administrative functions under the Plan.</w:t>
      </w:r>
    </w:p>
    <w:p>
      <w:pPr>
        <w:spacing w:after="0" w:line="180" w:lineRule="exact"/>
        <w:rPr>
          <w:sz w:val="20"/>
          <w:szCs w:val="20"/>
          <w:color w:val="auto"/>
        </w:rPr>
      </w:pPr>
    </w:p>
    <w:p>
      <w:pPr>
        <w:jc w:val="both"/>
        <w:ind w:left="1620" w:hanging="242"/>
        <w:spacing w:after="0" w:line="257" w:lineRule="auto"/>
        <w:rPr>
          <w:sz w:val="20"/>
          <w:szCs w:val="20"/>
          <w:color w:val="auto"/>
        </w:rPr>
      </w:pPr>
      <w:r>
        <w:rPr>
          <w:rFonts w:ascii="Arial" w:cs="Arial" w:eastAsia="Arial" w:hAnsi="Arial"/>
          <w:sz w:val="20"/>
          <w:szCs w:val="20"/>
          <w:color w:val="auto"/>
        </w:rPr>
        <w:t>(ii)“Proceeding” shall mean any threatened, pending, or completed action, suit, or proceeding (including, without limitation, an action, suit, or proceeding by or in the right of the Employer), whether civil, criminal, administrative, investigative, or through arbitration.</w:t>
      </w:r>
    </w:p>
    <w:p>
      <w:pPr>
        <w:spacing w:after="0" w:line="183"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20"/>
          <w:szCs w:val="20"/>
          <w:b w:val="1"/>
          <w:bCs w:val="1"/>
          <w:color w:val="auto"/>
        </w:rPr>
        <w:t xml:space="preserve">Successors. </w:t>
      </w:r>
      <w:r>
        <w:rPr>
          <w:rFonts w:ascii="Arial" w:cs="Arial" w:eastAsia="Arial" w:hAnsi="Arial"/>
          <w:sz w:val="20"/>
          <w:szCs w:val="20"/>
          <w:color w:val="auto"/>
        </w:rPr>
        <w:t>The provisions of the Plan shall bind and inure to the benefit of the Plan Sponsor, the Employer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and the Participant and the Participant’s designated Beneficiaries.</w:t>
      </w:r>
    </w:p>
    <w:p>
      <w:pPr>
        <w:spacing w:after="0" w:line="140"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0"/>
          <w:szCs w:val="20"/>
          <w:b w:val="1"/>
          <w:bCs w:val="1"/>
          <w:color w:val="auto"/>
        </w:rPr>
        <w:t>13.10</w:t>
        <w:tab/>
        <w:t xml:space="preserve">Disclaimer. </w:t>
      </w:r>
      <w:r>
        <w:rPr>
          <w:rFonts w:ascii="Arial" w:cs="Arial" w:eastAsia="Arial" w:hAnsi="Arial"/>
          <w:sz w:val="20"/>
          <w:szCs w:val="20"/>
          <w:color w:val="auto"/>
        </w:rPr>
        <w:t>It is the Plan Sponsor’s intention that the Plan comply with the requirements of Code Section 409A. Neither</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Sponsor nor the Employer shall have any liability to any Participant should any provision of the Plan fail to satisfy the requirements of Code Section 409A.</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13.11</w:t>
      </w:r>
      <w:r>
        <w:rPr>
          <w:sz w:val="20"/>
          <w:szCs w:val="20"/>
          <w:color w:val="auto"/>
        </w:rPr>
        <w:tab/>
      </w: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The Plan will be construed, administered and enforced according to the laws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4"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0"/>
          <w:szCs w:val="20"/>
          <w:b w:val="1"/>
          <w:bCs w:val="1"/>
          <w:color w:val="auto"/>
        </w:rPr>
        <w:t>13.12</w:t>
        <w:tab/>
        <w:t xml:space="preserve">Clawback. </w:t>
      </w:r>
      <w:r>
        <w:rPr>
          <w:rFonts w:ascii="Arial" w:cs="Arial" w:eastAsia="Arial" w:hAnsi="Arial"/>
          <w:sz w:val="20"/>
          <w:szCs w:val="20"/>
          <w:color w:val="auto"/>
        </w:rPr>
        <w:t>Covered Compensation that is elected to be deferred under the Plan, including amounts currently deferred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Plan (and earnings thereon) and any amounts previously deferred under the Plan and subsequently paid to Participants (and earnings thereon), shall at all times remain subject to the Micron Recoupment Policy as follows:</w:t>
      </w:r>
    </w:p>
    <w:p>
      <w:pPr>
        <w:spacing w:after="0" w:line="188" w:lineRule="exact"/>
        <w:rPr>
          <w:sz w:val="20"/>
          <w:szCs w:val="20"/>
          <w:color w:val="auto"/>
        </w:rPr>
      </w:pPr>
    </w:p>
    <w:p>
      <w:pPr>
        <w:jc w:val="both"/>
        <w:ind w:left="980" w:hanging="324"/>
        <w:spacing w:after="0" w:line="252" w:lineRule="auto"/>
        <w:tabs>
          <w:tab w:leader="none" w:pos="979"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a Participant has timely and properly elected to defer Covered Compensation under the Plan that has become subject to recoupment or forfeiture under the Micron Recoupment Policy prior to the date such Covered Compensation would otherwise be credited as a deferral under the Plan, the Participant’s deferral election with respect to such Covered Compensation will remain in full force and effect (without adjustment or proration) and will be applied to the amount of Covered Compensation that remains payable to such Participant after reduction of the amount of Covered Compensation payable in accordance with the Micron Recoupment Policy.</w:t>
      </w:r>
    </w:p>
    <w:p>
      <w:pPr>
        <w:spacing w:after="0" w:line="184" w:lineRule="exact"/>
        <w:rPr>
          <w:rFonts w:ascii="Arial" w:cs="Arial" w:eastAsia="Arial" w:hAnsi="Arial"/>
          <w:sz w:val="20"/>
          <w:szCs w:val="20"/>
          <w:color w:val="auto"/>
        </w:rPr>
      </w:pPr>
    </w:p>
    <w:p>
      <w:pPr>
        <w:jc w:val="both"/>
        <w:ind w:left="980" w:hanging="324"/>
        <w:spacing w:after="0" w:line="256" w:lineRule="auto"/>
        <w:tabs>
          <w:tab w:leader="none" w:pos="979"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event a Participant’s Covered Compensation becomes subject to recoupment or forfeiture under the Micron Recoupment Policy, and all or a portion of such Covered Compensation was credited to the Participant’s Account under the Plan, the Participant’s Account may be reduced by forfeiting the amount of such Covered Compensation (and any earnings thereon) that remains credited to the Participant’s Account under the Plan.</w:t>
      </w:r>
    </w:p>
    <w:p>
      <w:pPr>
        <w:spacing w:after="0" w:line="193" w:lineRule="exact"/>
        <w:rPr>
          <w:rFonts w:ascii="Arial" w:cs="Arial" w:eastAsia="Arial" w:hAnsi="Arial"/>
          <w:sz w:val="20"/>
          <w:szCs w:val="20"/>
          <w:color w:val="auto"/>
        </w:rPr>
      </w:pPr>
    </w:p>
    <w:p>
      <w:pPr>
        <w:jc w:val="both"/>
        <w:ind w:left="980" w:hanging="324"/>
        <w:spacing w:after="0" w:line="250" w:lineRule="auto"/>
        <w:tabs>
          <w:tab w:leader="none" w:pos="968"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event a Participant’s Covered Compensation becomes subject to recoupment or forfeiture under the Micron Recoupment Policy, and all or a portion of such Covered Compensation was credited to the Participant’s Account under the Plan, and all or a portion of such Covered Compensation so credited (and any earnings thereon) was subsequently distributed from the Plan to the Participant, the amount of such Covered Compensation (and any earnings thereon) so distributed from the Plan shall remain subject to the Micron Recoupment Policy. Such Covered Compensation (including earnings) so distributed shall be subject to recoupment in accordance with the Micron Recoupment Policy as though such amount was not previously credited under the Plan.</w:t>
      </w:r>
    </w:p>
    <w:p>
      <w:pPr>
        <w:spacing w:after="0" w:line="199" w:lineRule="exact"/>
        <w:rPr>
          <w:rFonts w:ascii="Arial" w:cs="Arial" w:eastAsia="Arial" w:hAnsi="Arial"/>
          <w:sz w:val="20"/>
          <w:szCs w:val="20"/>
          <w:color w:val="auto"/>
        </w:rPr>
      </w:pPr>
    </w:p>
    <w:p>
      <w:pPr>
        <w:jc w:val="both"/>
        <w:ind w:left="980" w:hanging="324"/>
        <w:spacing w:after="0" w:line="252" w:lineRule="auto"/>
        <w:tabs>
          <w:tab w:leader="none" w:pos="979"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event that a Participant’s Account has been paid or has become payable to a Beneficiary or alternate payee in accordance with the operation of the Plan or in accordance with law, any amount subject to forfeiture or recoupment under subsections (b) and (c) above shall remain subject to forfeiture or recoupment in accordance with the terms of the Micron Recoupment Policy with respect to such Beneficiary or alternate payee to the maximum extent permitted by law.</w:t>
      </w:r>
    </w:p>
    <w:p>
      <w:pPr>
        <w:spacing w:after="0" w:line="196" w:lineRule="exact"/>
        <w:rPr>
          <w:rFonts w:ascii="Arial" w:cs="Arial" w:eastAsia="Arial" w:hAnsi="Arial"/>
          <w:sz w:val="20"/>
          <w:szCs w:val="20"/>
          <w:color w:val="auto"/>
        </w:rPr>
      </w:pPr>
    </w:p>
    <w:p>
      <w:pPr>
        <w:jc w:val="both"/>
        <w:ind w:left="980" w:hanging="324"/>
        <w:spacing w:after="0" w:line="252" w:lineRule="auto"/>
        <w:tabs>
          <w:tab w:leader="none" w:pos="979"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provisions of this Section 13.12 are not intended to constitute an assignment of a Participant’s interest under the Plan in violation of Section 13.4 of the Plan. Further, the reduction of a Participant’s Account by forfeiture in accordance with this Section 13.12 is not intended to constitute an impermissible acceleration of benefits in violation of Code Section 409A or a payment to the Plan Sponsor in violation of any trust established by the Plan Sponsor under Article 11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Effective as of October 1, 2023, except as otherwise expressly provided herein.</w:t>
      </w: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April Arnzen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4103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April Arnzen</w:t>
      </w:r>
    </w:p>
    <w:p>
      <w:pPr>
        <w:spacing w:after="0" w:line="5" w:lineRule="exact"/>
        <w:rPr>
          <w:sz w:val="20"/>
          <w:szCs w:val="20"/>
          <w:color w:val="auto"/>
        </w:rPr>
      </w:pPr>
    </w:p>
    <w:p>
      <w:pPr>
        <w:jc w:val="right"/>
        <w:ind w:right="1819"/>
        <w:spacing w:after="0"/>
        <w:rPr>
          <w:sz w:val="20"/>
          <w:szCs w:val="20"/>
          <w:color w:val="auto"/>
        </w:rPr>
      </w:pPr>
      <w:r>
        <w:rPr>
          <w:rFonts w:ascii="Arial" w:cs="Arial" w:eastAsia="Arial" w:hAnsi="Arial"/>
          <w:sz w:val="20"/>
          <w:szCs w:val="20"/>
          <w:color w:val="auto"/>
        </w:rPr>
        <w:t>Its: Senior Vice President and 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139"/>
          </w:cols>
          <w:pgMar w:left="320" w:top="1440" w:right="144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301"/>
        </w:trPr>
        <w:tc>
          <w:tcPr>
            <w:tcW w:w="7960" w:type="dxa"/>
            <w:vAlign w:val="bottom"/>
          </w:tcPr>
          <w:p>
            <w:pPr>
              <w:spacing w:after="0"/>
              <w:rPr>
                <w:sz w:val="24"/>
                <w:szCs w:val="24"/>
                <w:color w:val="auto"/>
              </w:rPr>
            </w:pPr>
          </w:p>
        </w:tc>
        <w:tc>
          <w:tcPr>
            <w:tcW w:w="3280" w:type="dxa"/>
            <w:vAlign w:val="bottom"/>
          </w:tcPr>
          <w:p>
            <w:pPr>
              <w:ind w:left="1940"/>
              <w:spacing w:after="0"/>
              <w:rPr>
                <w:sz w:val="20"/>
                <w:szCs w:val="20"/>
                <w:color w:val="auto"/>
              </w:rPr>
            </w:pPr>
            <w:r>
              <w:rPr>
                <w:rFonts w:ascii="Arial" w:cs="Arial" w:eastAsia="Arial" w:hAnsi="Arial"/>
                <w:sz w:val="22"/>
                <w:szCs w:val="22"/>
                <w:b w:val="1"/>
                <w:bCs w:val="1"/>
                <w:color w:val="auto"/>
                <w:w w:val="97"/>
              </w:rPr>
              <w:t>EXHIBIT 21.1</w:t>
            </w:r>
          </w:p>
        </w:tc>
        <w:tc>
          <w:tcPr>
            <w:tcW w:w="0" w:type="dxa"/>
            <w:vAlign w:val="bottom"/>
          </w:tcPr>
          <w:p>
            <w:pPr>
              <w:spacing w:after="0"/>
              <w:rPr>
                <w:sz w:val="1"/>
                <w:szCs w:val="1"/>
                <w:color w:val="auto"/>
              </w:rPr>
            </w:pPr>
          </w:p>
        </w:tc>
      </w:tr>
      <w:tr>
        <w:trPr>
          <w:trHeight w:val="659"/>
        </w:trPr>
        <w:tc>
          <w:tcPr>
            <w:tcW w:w="79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7960" w:type="dxa"/>
            <w:vAlign w:val="bottom"/>
          </w:tcPr>
          <w:p>
            <w:pPr>
              <w:spacing w:after="0"/>
              <w:rPr>
                <w:sz w:val="20"/>
                <w:szCs w:val="20"/>
                <w:color w:val="auto"/>
              </w:rPr>
            </w:pPr>
            <w:r>
              <w:rPr>
                <w:rFonts w:ascii="Arial" w:cs="Arial" w:eastAsia="Arial" w:hAnsi="Arial"/>
                <w:sz w:val="40"/>
                <w:szCs w:val="40"/>
                <w:b w:val="1"/>
                <w:bCs w:val="1"/>
                <w:color w:val="auto"/>
              </w:rPr>
              <w:t>SUBSIDIARIES OF THE REGISTRANT*</w:t>
            </w:r>
          </w:p>
        </w:tc>
        <w:tc>
          <w:tcPr>
            <w:tcW w:w="3280" w:type="dxa"/>
            <w:vAlign w:val="bottom"/>
            <w:vMerge w:val="restart"/>
          </w:tcPr>
          <w:p>
            <w:pPr>
              <w:ind w:left="960"/>
              <w:spacing w:after="0"/>
              <w:rPr>
                <w:sz w:val="20"/>
                <w:szCs w:val="20"/>
                <w:color w:val="auto"/>
              </w:rPr>
            </w:pPr>
            <w:r>
              <w:rPr>
                <w:rFonts w:ascii="Arial" w:cs="Arial" w:eastAsia="Arial" w:hAnsi="Arial"/>
                <w:sz w:val="18"/>
                <w:szCs w:val="18"/>
                <w:b w:val="1"/>
                <w:bCs w:val="1"/>
                <w:color w:val="auto"/>
              </w:rPr>
              <w:t>State (or Jurisdiction) in</w:t>
            </w:r>
          </w:p>
        </w:tc>
        <w:tc>
          <w:tcPr>
            <w:tcW w:w="0" w:type="dxa"/>
            <w:vAlign w:val="bottom"/>
          </w:tcPr>
          <w:p>
            <w:pPr>
              <w:spacing w:after="0"/>
              <w:rPr>
                <w:sz w:val="1"/>
                <w:szCs w:val="1"/>
                <w:color w:val="auto"/>
              </w:rPr>
            </w:pPr>
          </w:p>
        </w:tc>
      </w:tr>
      <w:tr>
        <w:trPr>
          <w:trHeight w:val="163"/>
        </w:trPr>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auto"/>
            </w:tcBorders>
            <w:vMerge w:val="continue"/>
          </w:tcPr>
          <w:p>
            <w:pPr>
              <w:spacing w:after="0"/>
              <w:rPr>
                <w:sz w:val="21"/>
                <w:szCs w:val="21"/>
                <w:color w:val="auto"/>
              </w:rPr>
            </w:pPr>
          </w:p>
        </w:tc>
        <w:tc>
          <w:tcPr>
            <w:tcW w:w="328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which Organized</w:t>
            </w:r>
          </w:p>
        </w:tc>
        <w:tc>
          <w:tcPr>
            <w:tcW w:w="0" w:type="dxa"/>
            <w:vAlign w:val="bottom"/>
          </w:tcPr>
          <w:p>
            <w:pPr>
              <w:spacing w:after="0"/>
              <w:rPr>
                <w:sz w:val="1"/>
                <w:szCs w:val="1"/>
                <w:color w:val="auto"/>
              </w:rPr>
            </w:pPr>
          </w:p>
        </w:tc>
      </w:tr>
      <w:tr>
        <w:trPr>
          <w:trHeight w:val="34"/>
        </w:trPr>
        <w:tc>
          <w:tcPr>
            <w:tcW w:w="7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Europe Limited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Micron Japan, Ltd.</w:t>
            </w:r>
          </w:p>
        </w:tc>
        <w:tc>
          <w:tcPr>
            <w:tcW w:w="3280" w:type="dxa"/>
            <w:vAlign w:val="bottom"/>
          </w:tcPr>
          <w:p>
            <w:pPr>
              <w:ind w:left="7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Memory Japan, K.K.</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Memory Malaysia Sdn. Bhd.</w:t>
            </w:r>
          </w:p>
        </w:tc>
        <w:tc>
          <w:tcPr>
            <w:tcW w:w="3280" w:type="dxa"/>
            <w:vAlign w:val="bottom"/>
          </w:tcPr>
          <w:p>
            <w:pPr>
              <w:ind w:left="74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Memory Taiwan Co.,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Asia, LLC</w:t>
            </w:r>
          </w:p>
        </w:tc>
        <w:tc>
          <w:tcPr>
            <w:tcW w:w="32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Asia Operations Pte.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Asia Pte. Ltd.</w:t>
            </w:r>
          </w:p>
        </w:tc>
        <w:tc>
          <w:tcPr>
            <w:tcW w:w="3280" w:type="dxa"/>
            <w:vAlign w:val="bottom"/>
          </w:tcPr>
          <w:p>
            <w:pPr>
              <w:ind w:left="7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Products, Inc.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(Xi’an) Co., Ltd.</w:t>
            </w:r>
          </w:p>
        </w:tc>
        <w:tc>
          <w:tcPr>
            <w:tcW w:w="3280" w:type="dxa"/>
            <w:vAlign w:val="bottom"/>
          </w:tcPr>
          <w:p>
            <w:pPr>
              <w:ind w:left="74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B.V.</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Technology Taiwan, Inc.</w:t>
            </w:r>
          </w:p>
        </w:tc>
        <w:tc>
          <w:tcPr>
            <w:tcW w:w="3280" w:type="dxa"/>
            <w:vAlign w:val="bottom"/>
          </w:tcPr>
          <w:p>
            <w:pPr>
              <w:ind w:left="74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S-Squared Insurance Company, Inc.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400" w:firstLine="8"/>
        <w:spacing w:after="0" w:line="226" w:lineRule="auto"/>
        <w:tabs>
          <w:tab w:leader="none" w:pos="95"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The above list of subsidiaries of Micron Technology, Inc. omitted subsidiaries which, considered in the aggregate as a single subsidiary, would not constitute a significant subsidiary as of the end of the year covered by this report.</w:t>
      </w:r>
    </w:p>
    <w:p>
      <w:pPr>
        <w:sectPr>
          <w:pgSz w:w="11900" w:h="16838" w:orient="portrait"/>
          <w:cols w:equalWidth="0" w:num="1">
            <w:col w:w="11240"/>
          </w:cols>
          <w:pgMar w:left="320" w:top="1133" w:right="339" w:bottom="1440" w:gutter="0" w:footer="0" w:header="0"/>
        </w:sectPr>
      </w:pPr>
    </w:p>
    <w:bookmarkStart w:id="130" w:name="page131"/>
    <w:bookmarkEnd w:id="130"/>
    <w:p>
      <w:pPr>
        <w:ind w:left="9900"/>
        <w:spacing w:after="0"/>
        <w:rPr>
          <w:sz w:val="20"/>
          <w:szCs w:val="20"/>
          <w:color w:val="auto"/>
        </w:rPr>
      </w:pPr>
      <w:r>
        <w:rPr>
          <w:rFonts w:ascii="Arial" w:cs="Arial" w:eastAsia="Arial" w:hAnsi="Arial"/>
          <w:sz w:val="21"/>
          <w:szCs w:val="21"/>
          <w:b w:val="1"/>
          <w:bCs w:val="1"/>
          <w:color w:val="auto"/>
        </w:rPr>
        <w:t>EXHIBIT 23.1</w:t>
      </w:r>
    </w:p>
    <w:p>
      <w:pPr>
        <w:spacing w:after="0" w:line="24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CONSENT OF INDEPENDENT REGISTERED PUBLIC ACCOUNTING FIRM</w:t>
      </w:r>
    </w:p>
    <w:p>
      <w:pPr>
        <w:spacing w:after="0" w:line="2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 333-249838) and Form S-8 (File Nos. 333-17073, 333-50353, 333-103341, 333-120620, 333-133667, 333-140091, 333-148357, 333-159711, 333-171717, 333-179592, 333-190010, 333-196293, 333-203467, 333-217314, 333-223874, 333-234359, 333-255794, 333-273808) of Micron Technology, Inc. of our report dated October 6, 2023 relating to the financial statements and financial statement schedule and the effectiveness of internal control over financial reporting, which appears in this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October 6, 2023</w:t>
      </w:r>
    </w:p>
    <w:p>
      <w:pPr>
        <w:sectPr>
          <w:pgSz w:w="11900" w:h="16838" w:orient="portrait"/>
          <w:cols w:equalWidth="0" w:num="1">
            <w:col w:w="11240"/>
          </w:cols>
          <w:pgMar w:left="320" w:top="89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31.1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171" w:lineRule="exact"/>
        <w:rPr>
          <w:rFonts w:ascii="Arial" w:cs="Arial" w:eastAsia="Arial" w:hAnsi="Arial"/>
          <w:sz w:val="18"/>
          <w:szCs w:val="18"/>
          <w:color w:val="auto"/>
        </w:rPr>
      </w:pPr>
    </w:p>
    <w:p>
      <w:pPr>
        <w:ind w:left="340" w:right="80" w:hanging="332"/>
        <w:spacing w:after="0" w:line="263" w:lineRule="auto"/>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120" w:hanging="332"/>
        <w:spacing w:after="0" w:line="306" w:lineRule="auto"/>
        <w:tabs>
          <w:tab w:leader="none" w:pos="328"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340" w:right="140" w:hanging="332"/>
        <w:spacing w:after="0" w:line="272" w:lineRule="auto"/>
        <w:tabs>
          <w:tab w:leader="none" w:pos="328"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9" w:lineRule="exact"/>
        <w:rPr>
          <w:rFonts w:ascii="Arial" w:cs="Arial" w:eastAsia="Arial" w:hAnsi="Arial"/>
          <w:sz w:val="17"/>
          <w:szCs w:val="17"/>
          <w:color w:val="auto"/>
        </w:rPr>
      </w:pPr>
    </w:p>
    <w:p>
      <w:pPr>
        <w:ind w:left="660" w:right="60" w:hanging="328"/>
        <w:spacing w:after="0" w:line="263" w:lineRule="auto"/>
        <w:tabs>
          <w:tab w:leader="none" w:pos="6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660" w:right="80" w:hanging="328"/>
        <w:spacing w:after="0" w:line="263" w:lineRule="auto"/>
        <w:tabs>
          <w:tab w:leader="none" w:pos="6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660" w:right="400" w:hanging="328"/>
        <w:spacing w:after="0" w:line="263" w:lineRule="auto"/>
        <w:tabs>
          <w:tab w:leader="none" w:pos="6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40" w:hanging="332"/>
        <w:spacing w:after="0" w:line="263" w:lineRule="auto"/>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660" w:right="280" w:hanging="328"/>
        <w:spacing w:after="0" w:line="306" w:lineRule="auto"/>
        <w:tabs>
          <w:tab w:leader="none" w:pos="648"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7"/>
          <w:szCs w:val="17"/>
          <w:color w:val="auto"/>
        </w:rPr>
      </w:pPr>
    </w:p>
    <w:p>
      <w:pPr>
        <w:ind w:left="660" w:right="520" w:hanging="328"/>
        <w:spacing w:after="0" w:line="275" w:lineRule="auto"/>
        <w:tabs>
          <w:tab w:leader="none" w:pos="6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6, 2023</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13970</wp:posOffset>
            </wp:positionV>
            <wp:extent cx="33261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31.2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171" w:lineRule="exact"/>
        <w:rPr>
          <w:rFonts w:ascii="Arial" w:cs="Arial" w:eastAsia="Arial" w:hAnsi="Arial"/>
          <w:sz w:val="18"/>
          <w:szCs w:val="18"/>
          <w:color w:val="auto"/>
        </w:rPr>
      </w:pPr>
    </w:p>
    <w:p>
      <w:pPr>
        <w:ind w:left="340" w:right="80" w:hanging="332"/>
        <w:spacing w:after="0" w:line="263"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120" w:hanging="332"/>
        <w:spacing w:after="0" w:line="306" w:lineRule="auto"/>
        <w:tabs>
          <w:tab w:leader="none" w:pos="328"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340" w:right="140" w:hanging="332"/>
        <w:spacing w:after="0" w:line="272" w:lineRule="auto"/>
        <w:tabs>
          <w:tab w:leader="none" w:pos="32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9" w:lineRule="exact"/>
        <w:rPr>
          <w:rFonts w:ascii="Arial" w:cs="Arial" w:eastAsia="Arial" w:hAnsi="Arial"/>
          <w:sz w:val="17"/>
          <w:szCs w:val="17"/>
          <w:color w:val="auto"/>
        </w:rPr>
      </w:pPr>
    </w:p>
    <w:p>
      <w:pPr>
        <w:ind w:left="660" w:right="60" w:hanging="328"/>
        <w:spacing w:after="0" w:line="263" w:lineRule="auto"/>
        <w:tabs>
          <w:tab w:leader="none" w:pos="6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660" w:right="80" w:hanging="328"/>
        <w:spacing w:after="0" w:line="263" w:lineRule="auto"/>
        <w:tabs>
          <w:tab w:leader="none" w:pos="651"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660" w:right="400" w:hanging="328"/>
        <w:spacing w:after="0" w:line="263" w:lineRule="auto"/>
        <w:tabs>
          <w:tab w:leader="none" w:pos="6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40" w:hanging="332"/>
        <w:spacing w:after="0" w:line="263"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660" w:right="280" w:hanging="328"/>
        <w:spacing w:after="0" w:line="306" w:lineRule="auto"/>
        <w:tabs>
          <w:tab w:leader="none" w:pos="648"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7"/>
          <w:szCs w:val="17"/>
          <w:color w:val="auto"/>
        </w:rPr>
      </w:pPr>
    </w:p>
    <w:p>
      <w:pPr>
        <w:ind w:left="660" w:right="520" w:hanging="328"/>
        <w:spacing w:after="0" w:line="275" w:lineRule="auto"/>
        <w:tabs>
          <w:tab w:leader="none" w:pos="6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October 6, 2023</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572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4"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9"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Annual Report of Micron Technology, Inc. on Form 10-K for the period ended August 31, 2023,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76"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October 6, 2023</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13970</wp:posOffset>
            </wp:positionV>
            <wp:extent cx="35572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Annual Report of Micron Technology, Inc. on Form 10-K for the period ended August 31, 2023,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76"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October 6, 2023</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5572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Murphy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4" w:right="339" w:bottom="1440" w:gutter="0" w:footer="0" w:header="0"/>
        </w:sectPr>
      </w:pPr>
    </w:p>
    <w:bookmarkStart w:id="135" w:name="page136"/>
    <w:bookmarkEnd w:id="135"/>
    <w:p>
      <w:pPr>
        <w:spacing w:after="0" w:line="18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97.1</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MICRON TECHNOLOGY,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 RECOUPMENT (CLAWBACK) POLICY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and Restated effective September 25, 2023</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Micron Technology, Inc. (the “</w:t>
      </w:r>
      <w:r>
        <w:rPr>
          <w:rFonts w:ascii="Arial" w:cs="Arial" w:eastAsia="Arial" w:hAnsi="Arial"/>
          <w:sz w:val="20"/>
          <w:szCs w:val="20"/>
          <w:b w:val="1"/>
          <w:bCs w:val="1"/>
          <w:color w:val="auto"/>
        </w:rPr>
        <w:t>Company</w:t>
      </w:r>
      <w:r>
        <w:rPr>
          <w:rFonts w:ascii="Arial" w:cs="Arial" w:eastAsia="Arial" w:hAnsi="Arial"/>
          <w:sz w:val="20"/>
          <w:szCs w:val="20"/>
          <w:color w:val="auto"/>
        </w:rPr>
        <w:t>”) is committed to strong corporate governance. As part of this commitment, the Compensation Committee (the “</w:t>
      </w:r>
      <w:r>
        <w:rPr>
          <w:rFonts w:ascii="Arial" w:cs="Arial" w:eastAsia="Arial" w:hAnsi="Arial"/>
          <w:sz w:val="20"/>
          <w:szCs w:val="20"/>
          <w:b w:val="1"/>
          <w:bCs w:val="1"/>
          <w:color w:val="auto"/>
        </w:rPr>
        <w:t>Compensation Committee</w:t>
      </w:r>
      <w:r>
        <w:rPr>
          <w:rFonts w:ascii="Arial" w:cs="Arial" w:eastAsia="Arial" w:hAnsi="Arial"/>
          <w:sz w:val="20"/>
          <w:szCs w:val="20"/>
          <w:color w:val="auto"/>
        </w:rPr>
        <w:t>”) of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having previously adopted a Compensation Recoupment (Clawback) Policy effective as of October 20, 2016, hereby amends and restates the Policy, effective as of the date specified above. This Policy is intended to further the Company’s pay-for-performance philosophy and to comply with applicable law by providing for the recovery of certain executive compensation in the event of an Accounting Restatement. The capitalized terms in this Policy are defined below.</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The application of the Policy to Executive Officers is not discretionary and applies without regard to whether an Executive Officer was at fault, except to the limited extent provided below.</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Persons Covered by the Policy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262626"/>
        </w:rPr>
        <w:t>This Policy is binding and enforceable against all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 of the Policy</w:t>
      </w:r>
    </w:p>
    <w:p>
      <w:pPr>
        <w:spacing w:after="0" w:line="2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The Compensation Committee has full authority to administer this Policy. The Compensation Committee is authorized to interpret and construe this Policy and to make all determinations necessary, appropriate, or advisable for the administration of this Policy. In addition, if determined in the discretion of the Board, this Policy may be administered by the independent members of the Board or another independent committee thereof, in which case all references herein to the Compensation Committee shall be deemed references to the independent members of the Board or the other independent committee of the Board, as applicable. All determinations of the Compensation Committee and any other administrator of the Policy will be final and binding on all interested persons and will be given the maximum deference permitted by law.</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Covered by the Policy</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color w:val="auto"/>
        </w:rPr>
        <w:t>This Policy applies to all Incentive-Based Compensation that is Received on or after October 2, 2023, by a person (a) after such individual became an Executive Officer, (B) who was as an Executive Officer at any time during the applicable performance period for that Incentive-Based Compensation and (c) during the Covered Period (“</w:t>
      </w:r>
      <w:r>
        <w:rPr>
          <w:rFonts w:ascii="Arial" w:cs="Arial" w:eastAsia="Arial" w:hAnsi="Arial"/>
          <w:sz w:val="20"/>
          <w:szCs w:val="20"/>
          <w:b w:val="1"/>
          <w:bCs w:val="1"/>
          <w:color w:val="auto"/>
        </w:rPr>
        <w:t>Clawback Eligible Incentive-Based Compensation</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Events Requiring Application of the Policy</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Arial" w:cs="Arial" w:eastAsia="Arial" w:hAnsi="Arial"/>
          <w:sz w:val="20"/>
          <w:szCs w:val="20"/>
          <w:b w:val="1"/>
          <w:bCs w:val="1"/>
          <w:color w:val="auto"/>
        </w:rPr>
        <w:t>Accounting Restatement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AND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any Executive Officer has Received Clawback Eligible Incentive-Based Compensation that exceeds the amount of Incentive-Based Compensation that otherwise would have been Received had such Incentive-Based Compensation been determined based on the restated amounts, computed without regard to any taxes paid (such compensation, the “</w:t>
      </w:r>
      <w:r>
        <w:rPr>
          <w:rFonts w:ascii="Arial" w:cs="Arial" w:eastAsia="Arial" w:hAnsi="Arial"/>
          <w:sz w:val="20"/>
          <w:szCs w:val="20"/>
          <w:b w:val="1"/>
          <w:bCs w:val="1"/>
          <w:color w:val="auto"/>
        </w:rPr>
        <w:t>Excess</w:t>
      </w:r>
      <w:r>
        <w:rPr>
          <w:rFonts w:ascii="Arial" w:cs="Arial" w:eastAsia="Arial" w:hAnsi="Arial"/>
          <w:sz w:val="20"/>
          <w:szCs w:val="20"/>
          <w:color w:val="auto"/>
        </w:rPr>
        <w:t xml:space="preserve"> </w:t>
      </w:r>
      <w:r>
        <w:rPr>
          <w:rFonts w:ascii="Arial" w:cs="Arial" w:eastAsia="Arial" w:hAnsi="Arial"/>
          <w:sz w:val="20"/>
          <w:szCs w:val="20"/>
          <w:b w:val="1"/>
          <w:bCs w:val="1"/>
          <w:color w:val="auto"/>
        </w:rPr>
        <w:t>Compensation</w:t>
      </w:r>
      <w:r>
        <w:rPr>
          <w:rFonts w:ascii="Arial" w:cs="Arial" w:eastAsia="Arial" w:hAnsi="Arial"/>
          <w:sz w:val="20"/>
          <w:szCs w:val="20"/>
          <w:color w:val="auto"/>
        </w:rPr>
        <w:t>” (which the Nasdaq listing standards describe as erroneously awarded incentive-based compensation);</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then, the Company will recover reasonably promptly the amount of such Excess Compensation in compliance with this Policy unless an exception applies under this Policy.</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Determining Excess Compensation for Certain Incentive-Based Compensation</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To determine the amount of Excess Compensation for Incentive-Based Compensation based on stock price or total shareholder return, where it is not subject to mathematical recalculation directly from the information in an Accounting Restatement:</w:t>
      </w:r>
    </w:p>
    <w:p>
      <w:pPr>
        <w:spacing w:after="0" w:line="193" w:lineRule="exact"/>
        <w:rPr>
          <w:sz w:val="20"/>
          <w:szCs w:val="20"/>
          <w:color w:val="auto"/>
        </w:rPr>
      </w:pPr>
    </w:p>
    <w:p>
      <w:pPr>
        <w:ind w:left="1300" w:right="20" w:hanging="644"/>
        <w:spacing w:after="0" w:line="261" w:lineRule="auto"/>
        <w:tabs>
          <w:tab w:leader="none" w:pos="128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amount must be based on a reasonable estimate of the effect of the Accounting Restatement on the stock price or total shareholder return upon which the Incentive-Based Compensation was Received; and</w:t>
      </w:r>
    </w:p>
    <w:p>
      <w:pPr>
        <w:spacing w:after="0" w:line="188" w:lineRule="exact"/>
        <w:rPr>
          <w:rFonts w:ascii="Arial" w:cs="Arial" w:eastAsia="Arial" w:hAnsi="Arial"/>
          <w:sz w:val="20"/>
          <w:szCs w:val="20"/>
          <w:color w:val="auto"/>
        </w:rPr>
      </w:pPr>
    </w:p>
    <w:p>
      <w:pPr>
        <w:ind w:left="1300" w:hanging="644"/>
        <w:spacing w:after="0" w:line="261" w:lineRule="auto"/>
        <w:tabs>
          <w:tab w:leader="none" w:pos="128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Company must maintain documentation of the determination of that reasonable estimate and provide such documentation to the Exchange.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Exceptions to the Policy</w:t>
      </w:r>
    </w:p>
    <w:p>
      <w:pPr>
        <w:spacing w:after="0" w:line="22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0"/>
          <w:szCs w:val="20"/>
          <w:color w:val="auto"/>
        </w:rPr>
        <w:t>The Company must recover the Excess Compensation in accordance with this Policy except to the limited extent that the conditions set forth below are met, and the Compensation Committee has made a determination that recovery of the Excess Compensation would be impracticable:</w:t>
      </w:r>
    </w:p>
    <w:p>
      <w:pPr>
        <w:spacing w:after="0" w:line="173" w:lineRule="exact"/>
        <w:rPr>
          <w:sz w:val="20"/>
          <w:szCs w:val="20"/>
          <w:color w:val="auto"/>
        </w:rPr>
      </w:pPr>
    </w:p>
    <w:p>
      <w:pPr>
        <w:jc w:val="both"/>
        <w:ind w:firstLine="656"/>
        <w:spacing w:after="0" w:line="257" w:lineRule="auto"/>
        <w:tabs>
          <w:tab w:leader="none" w:pos="1077"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direct expense paid to a third party to assist in enforcing this Policy would exceed the amount to be recovered. Before reaching this conclusion, the Company must make a reasonable attempt to recover such Excess Compensation, document such reasonable attempt(s) to recover, and provide that documentation to the Exchange; or</w:t>
      </w:r>
    </w:p>
    <w:p>
      <w:pPr>
        <w:spacing w:after="0" w:line="192" w:lineRule="exact"/>
        <w:rPr>
          <w:rFonts w:ascii="Arial" w:cs="Arial" w:eastAsia="Arial" w:hAnsi="Arial"/>
          <w:sz w:val="20"/>
          <w:szCs w:val="20"/>
          <w:color w:val="auto"/>
        </w:rPr>
      </w:pPr>
    </w:p>
    <w:p>
      <w:pPr>
        <w:jc w:val="both"/>
        <w:ind w:firstLine="656"/>
        <w:spacing w:after="0" w:line="257" w:lineRule="auto"/>
        <w:tabs>
          <w:tab w:leader="none" w:pos="1065"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Recovery would violate home country law where that law was adopted prior to November 28, 2022. Before reaching this conclusion, the Company must obtain an opinion of home country counsel, acceptable to the Exchange, that recovery would result in such a violation, and must provide such opinion to the Exchange;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4" w:lineRule="exact"/>
        <w:rPr>
          <w:sz w:val="20"/>
          <w:szCs w:val="20"/>
          <w:color w:val="auto"/>
        </w:rPr>
      </w:pPr>
    </w:p>
    <w:p>
      <w:pPr>
        <w:jc w:val="both"/>
        <w:ind w:firstLine="656"/>
        <w:spacing w:after="0" w:line="257" w:lineRule="auto"/>
        <w:tabs>
          <w:tab w:leader="none" w:pos="1108" w:val="left"/>
        </w:tabs>
        <w:numPr>
          <w:ilvl w:val="0"/>
          <w:numId w:val="57"/>
        </w:numPr>
        <w:rPr>
          <w:rFonts w:ascii="Arial" w:cs="Arial" w:eastAsia="Arial" w:hAnsi="Arial"/>
          <w:sz w:val="20"/>
          <w:szCs w:val="20"/>
          <w:color w:val="auto"/>
        </w:rPr>
      </w:pPr>
      <w:r>
        <w:rPr>
          <w:rFonts w:ascii="Arial" w:cs="Arial" w:eastAsia="Arial" w:hAnsi="Arial"/>
          <w:sz w:val="20"/>
          <w:szCs w:val="20"/>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Terms in this Policy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capitalized terms in this Policy have the following meaning, unless clearly required otherwise by the context.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Accounting Restatement</w:t>
      </w:r>
      <w:r>
        <w:rPr>
          <w:rFonts w:ascii="Arial" w:cs="Arial" w:eastAsia="Arial" w:hAnsi="Arial"/>
          <w:sz w:val="20"/>
          <w:szCs w:val="20"/>
          <w:color w:val="auto"/>
        </w:rPr>
        <w:t>” is defined in the “Events Requiring Application of the Policy” section of this Policy.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Accounting Restatement Determination Date</w:t>
      </w:r>
      <w:r>
        <w:rPr>
          <w:rFonts w:ascii="Arial" w:cs="Arial" w:eastAsia="Arial" w:hAnsi="Arial"/>
          <w:sz w:val="20"/>
          <w:szCs w:val="20"/>
          <w:color w:val="auto"/>
        </w:rPr>
        <w:t>” means the earliest to occur of:</w:t>
      </w:r>
    </w:p>
    <w:p>
      <w:pPr>
        <w:spacing w:after="0" w:line="253" w:lineRule="exact"/>
        <w:rPr>
          <w:sz w:val="20"/>
          <w:szCs w:val="20"/>
          <w:color w:val="auto"/>
        </w:rPr>
      </w:pPr>
    </w:p>
    <w:p>
      <w:pPr>
        <w:jc w:val="both"/>
        <w:ind w:left="1300" w:hanging="644"/>
        <w:spacing w:after="0" w:line="257" w:lineRule="auto"/>
        <w:tabs>
          <w:tab w:leader="none" w:pos="1298"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date the Board, a committee of the Board, or one or more of the officers of the Company authorized to take such action if Board action is not required, concludes, or reasonably should have concluded, that the Company is required to prepare an Accounting Restatement; and</w:t>
      </w:r>
    </w:p>
    <w:p>
      <w:pPr>
        <w:spacing w:after="0" w:line="192" w:lineRule="exact"/>
        <w:rPr>
          <w:rFonts w:ascii="Arial" w:cs="Arial" w:eastAsia="Arial" w:hAnsi="Arial"/>
          <w:sz w:val="20"/>
          <w:szCs w:val="20"/>
          <w:color w:val="auto"/>
        </w:rPr>
      </w:pPr>
    </w:p>
    <w:p>
      <w:pPr>
        <w:ind w:left="1300" w:hanging="644"/>
        <w:spacing w:after="0" w:line="275" w:lineRule="auto"/>
        <w:tabs>
          <w:tab w:leader="none" w:pos="1298"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date a court, regulator, or other legally authorized body directs the Company to prepare an Accounting Restatement.</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Period</w:t>
      </w:r>
      <w:r>
        <w:rPr>
          <w:rFonts w:ascii="Arial" w:cs="Arial" w:eastAsia="Arial" w:hAnsi="Arial"/>
          <w:sz w:val="20"/>
          <w:szCs w:val="20"/>
          <w:color w:val="auto"/>
        </w:rPr>
        <w:t>” means the three completed fiscal years immediately preceding the Accounting Restatement Determination Date, as well as any transition period (that results from a change in the Company’s fiscal year) within or immediately following those three completed fiscal years in accordance with Rule 10D-1 under the Exchange Act. The Company’s obligation to recover Excess Compensation (as defined below) is not dependent on if or when the restated financial statements are filed.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Excess Compensation</w:t>
      </w:r>
      <w:r>
        <w:rPr>
          <w:rFonts w:ascii="Arial" w:cs="Arial" w:eastAsia="Arial" w:hAnsi="Arial"/>
          <w:sz w:val="20"/>
          <w:szCs w:val="20"/>
          <w:color w:val="auto"/>
        </w:rPr>
        <w:t>” is defined in the “Events Requiring Application of the Policy” section of this Policy.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Executive Officer</w:t>
      </w:r>
      <w:r>
        <w:rPr>
          <w:rFonts w:ascii="Arial" w:cs="Arial" w:eastAsia="Arial" w:hAnsi="Arial"/>
          <w:sz w:val="19"/>
          <w:szCs w:val="19"/>
          <w:color w:val="auto"/>
        </w:rPr>
        <w:t xml:space="preserve">” means each individual who either (a) at the time of determination is designated as an “officer” of the Company in accordance with Exchange Act Rule 16a-1(f), (b) at any time prior to the time of determination was designated as an “officer” of the Company in accordance with Exchange Act Rule 16a-1(f). </w:t>
      </w:r>
      <w:r>
        <w:rPr>
          <w:rFonts w:ascii="Arial" w:cs="Arial" w:eastAsia="Arial" w:hAnsi="Arial"/>
          <w:sz w:val="19"/>
          <w:szCs w:val="19"/>
          <w:color w:val="262626"/>
        </w:rPr>
        <w:t>Each Executive Officer must sign and return to the</w:t>
      </w:r>
      <w:r>
        <w:rPr>
          <w:rFonts w:ascii="Arial" w:cs="Arial" w:eastAsia="Arial" w:hAnsi="Arial"/>
          <w:sz w:val="19"/>
          <w:szCs w:val="19"/>
          <w:color w:val="auto"/>
        </w:rPr>
        <w:t xml:space="preserve"> </w:t>
      </w:r>
      <w:r>
        <w:rPr>
          <w:rFonts w:ascii="Arial" w:cs="Arial" w:eastAsia="Arial" w:hAnsi="Arial"/>
          <w:sz w:val="19"/>
          <w:szCs w:val="19"/>
          <w:color w:val="262626"/>
        </w:rPr>
        <w:t>Company an acknowledgement (in substantially the form provided in this Policy or provided by a duly authorized representative of the Company) that the Executive Officer agrees to be bound by the terms and comply with the Policy. However, this Policy will be enforceable against each Executive Officer whether or not the Executive Officer complies with the preceding sentence.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w:t>
      </w:r>
      <w:r>
        <w:rPr>
          <w:rFonts w:ascii="Arial" w:cs="Arial" w:eastAsia="Arial" w:hAnsi="Arial"/>
          <w:sz w:val="20"/>
          <w:szCs w:val="20"/>
          <w:color w:val="auto"/>
        </w:rPr>
        <w:t>” is defined in the “Other Important Information in the Policy” section of this Policy.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and any valid regulation or applicable guidance of general applicability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Reporting Measure</w:t>
      </w:r>
      <w:r>
        <w:rPr>
          <w:rFonts w:ascii="Arial" w:cs="Arial" w:eastAsia="Arial" w:hAnsi="Arial"/>
          <w:sz w:val="20"/>
          <w:szCs w:val="20"/>
          <w:color w:val="auto"/>
        </w:rPr>
        <w:t>” means a measure that is determined and presented in accordance with the accounting principles used in preparing the Company’s financial statements, and any measure that is derived wholly or in part from such measure. Stock price and total shareholder return are also Financial Reporting Measures. A Financial Reporting Measure need not be presented within the financial statements or included in a filing with the Securities and Exchange Commission.</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Incentive-Based Compensation</w:t>
      </w:r>
      <w:r>
        <w:rPr>
          <w:rFonts w:ascii="Arial" w:cs="Arial" w:eastAsia="Arial" w:hAnsi="Arial"/>
          <w:sz w:val="20"/>
          <w:szCs w:val="20"/>
          <w:color w:val="auto"/>
        </w:rPr>
        <w:t>” means any compensation that is granted, earned, or vested based wholly or in part upon the attainment of a Financial Reporting Measure.</w:t>
      </w:r>
    </w:p>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following items of compensation are not Incentive-Based Compensation under the Policy: salaries, bonuses paid solely at the discretion of the Compensation Committee or the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spacing w:after="0" w:line="19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b w:val="1"/>
          <w:bCs w:val="1"/>
          <w:color w:val="auto"/>
        </w:rPr>
        <w:t xml:space="preserve">“Policy” </w:t>
      </w:r>
      <w:r>
        <w:rPr>
          <w:rFonts w:ascii="Arial" w:cs="Arial" w:eastAsia="Arial" w:hAnsi="Arial"/>
          <w:sz w:val="20"/>
          <w:szCs w:val="20"/>
          <w:color w:val="auto"/>
        </w:rPr>
        <w:t>means this Compensation Recoupment (Clawback) Policy (a compensation “clawback” policy), as it may be</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from time to time.</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Received</w:t>
      </w:r>
      <w:r>
        <w:rPr>
          <w:rFonts w:ascii="Arial" w:cs="Arial" w:eastAsia="Arial" w:hAnsi="Arial"/>
          <w:sz w:val="20"/>
          <w:szCs w:val="20"/>
          <w:color w:val="auto"/>
        </w:rPr>
        <w:t>” means that the Financial Reporting Measure specified for earning an Incentive-Based Compensation award is attained in the relevant Company fiscal period, even if the payment or grant of the Incentive-Based Compensation occurs after the end of that fiscal period. As described above in Compensation Covered by the Policy, Incentive-Based Compensation that is Received before the Effective Date is not subject to this amended and restated Policy, although such Incentive-Based Compensation may be subject to recoupment as provided in the Company’s Compensation Recoupment (Clawback) Policy adopted effective as of October 20, 2016 (that is, the Policy as in effect prior to this amendment and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Repayment of Excess Compensation</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color w:val="auto"/>
        </w:rPr>
        <w:t>The Company will seek recovery of any Excess Compensation reasonably promptly and any affected Executive Officer is required to repay such Excess Compensation. Subject to applicable law, the Company may recover such Excess Compensation by requiring the Executive Officer to repay such amount to the Company by direct payment to the Company or such other means or combination of means as the Compensation Committee determines to be appropriate (which determinations need not be identical as to each Executive Officer), including but not limited to (a) seeking recovery of any gain realized on the vesting, exercise, settlement, sale, transfer, or other disposition of any equity-based awards; (b) offsetting the amount to be recovered from any compensation otherwise owed by the Company to the Executive Officer, whether earned before or after the date of the foregoing determination and whether earned pursuant to employment or under a severance, consulting or other post-employment agreement or arrangement; (c) cancelling outstanding vested or unvested equity awards; (d) requiring reimbursement of previously-paid cash Incentive-Based Compensation; and/or (e) taking any other remedial and recovery action permitted by law, as determined by the Compensation Committee, in each case, notwithstanding any Executive Officer’s belief (whether legitimate or reasonably or not) that the Excess Compensation had been previously earned under applicable law and therefore not subject to recoupment. This Policy does not preclude the Company from taking any other action to enforce an Executive Officer’s obligations to the Company or to discipline an Executive Officer, including (without limitation) termination of employment, institution of civil proceedings, reporting of misconduct to appropriate governmental authorities, reduction of future compensation opportunities or change in role.</w:t>
      </w:r>
    </w:p>
    <w:p>
      <w:pPr>
        <w:spacing w:after="0" w:line="19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20"/>
          <w:szCs w:val="20"/>
          <w:color w:val="auto"/>
        </w:rPr>
        <w:t>This Policy is in addition to the requirements of Section 304 of the Sarbanes-Oxley Act of 2002 that are applicable to the Company’s Chief Executive Officer and Chief Financial Officer and any other applicable regulatory requirements.</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Notwithstanding the terms of any of the Company’s organizational documents (including, but not limited to, the Company’s Bylaws), any corporate policy or any contract (including, but not limited to, any indemnification agreement), the Company will not indemnify any Executive Officer or former Executive Officer against any loss of Excess Compensation. The Company will not pay for or reimburse insurance premiums for an insurance policy that covers potential recovery obligations. In the event the Company is required to recover Excess Compensation from a former Executive Officer pursuant to this Policy, the Company will be entitled to seek such recovery in order to comply with applicable law, regardless of the terms of any release of claims or separation agreement the former Executive Officer may have signed.</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This Policy is intended to comply with Section 10D of the Exchange Act, Rule 10D-1 under the Exchange Act, and with the listing standards of the New York Stock Exchange (the “</w:t>
      </w:r>
      <w:r>
        <w:rPr>
          <w:rFonts w:ascii="Arial" w:cs="Arial" w:eastAsia="Arial" w:hAnsi="Arial"/>
          <w:sz w:val="20"/>
          <w:szCs w:val="20"/>
          <w:b w:val="1"/>
          <w:bCs w:val="1"/>
          <w:color w:val="auto"/>
        </w:rPr>
        <w:t>Exchange</w:t>
      </w:r>
      <w:r>
        <w:rPr>
          <w:rFonts w:ascii="Arial" w:cs="Arial" w:eastAsia="Arial" w:hAnsi="Arial"/>
          <w:sz w:val="20"/>
          <w:szCs w:val="20"/>
          <w:color w:val="auto"/>
        </w:rPr>
        <w:t>”), the trading platform on which the securities of the Company primarily are listed. This Policy will be interpreted in a manner that is consistent with the requirements of Section 10D of the Exchange Act, Rule 10D-1 under the Exchange Act and with the listing standards of the Exchange, including (but not limited to) any interpretive guidance provided by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Important Information</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The Compensation Committee or Board may amend and/or terminate this Policy from time to time. Unless otherwise determined by the Compensation Committee, this Policy will terminate upon the Company ceasing to be a listed issuer within the meaning of Section 10D of the Exchange Act.</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color w:val="auto"/>
        </w:rPr>
        <w:t>If any provision of this Policy or the application of any such provision to any Executive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0"/>
          <w:szCs w:val="20"/>
          <w:b w:val="1"/>
          <w:bCs w:val="1"/>
          <w:color w:val="auto"/>
        </w:rPr>
        <w:t>ACKNOWLEDGEMENT</w:t>
      </w:r>
    </w:p>
    <w:p>
      <w:pPr>
        <w:spacing w:after="0" w:line="229" w:lineRule="exact"/>
        <w:rPr>
          <w:sz w:val="20"/>
          <w:szCs w:val="20"/>
          <w:color w:val="auto"/>
        </w:rPr>
      </w:pPr>
    </w:p>
    <w:p>
      <w:pPr>
        <w:ind w:left="660" w:hanging="652"/>
        <w:spacing w:after="0" w:line="288" w:lineRule="auto"/>
        <w:tabs>
          <w:tab w:leader="none" w:pos="648"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acknowledge that I have received, read and understand the Micron Technology, Inc. (the “</w:t>
      </w:r>
      <w:r>
        <w:rPr>
          <w:rFonts w:ascii="Arial" w:cs="Arial" w:eastAsia="Arial" w:hAnsi="Arial"/>
          <w:sz w:val="20"/>
          <w:szCs w:val="20"/>
          <w:b w:val="1"/>
          <w:bCs w:val="1"/>
          <w:color w:val="auto"/>
        </w:rPr>
        <w:t>Company</w:t>
      </w:r>
      <w:r>
        <w:rPr>
          <w:rFonts w:ascii="Arial" w:cs="Arial" w:eastAsia="Arial" w:hAnsi="Arial"/>
          <w:sz w:val="20"/>
          <w:szCs w:val="20"/>
          <w:color w:val="auto"/>
        </w:rPr>
        <w:t>”) Compensation Recoupment (Clawback) Policy, as amended and restated effective October 2, 2023 (the “</w:t>
      </w:r>
      <w:r>
        <w:rPr>
          <w:rFonts w:ascii="Arial" w:cs="Arial" w:eastAsia="Arial" w:hAnsi="Arial"/>
          <w:sz w:val="20"/>
          <w:szCs w:val="20"/>
          <w:b w:val="1"/>
          <w:bCs w:val="1"/>
          <w:color w:val="auto"/>
        </w:rPr>
        <w:t>Policy</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jc w:val="both"/>
        <w:ind w:left="660" w:hanging="652"/>
        <w:spacing w:after="0" w:line="257" w:lineRule="auto"/>
        <w:tabs>
          <w:tab w:leader="none" w:pos="648"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agree that the Policy applies to me, and is binding on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spacing w:after="0" w:line="192" w:lineRule="exact"/>
        <w:rPr>
          <w:rFonts w:ascii="Arial" w:cs="Arial" w:eastAsia="Arial" w:hAnsi="Arial"/>
          <w:sz w:val="20"/>
          <w:szCs w:val="20"/>
          <w:color w:val="auto"/>
        </w:rPr>
      </w:pPr>
    </w:p>
    <w:p>
      <w:pPr>
        <w:jc w:val="both"/>
        <w:ind w:left="660" w:hanging="652"/>
        <w:spacing w:after="0" w:line="257" w:lineRule="auto"/>
        <w:tabs>
          <w:tab w:leader="none" w:pos="648"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agree to be bound by and to comply with the Policy and understand that determinations of the Compensation Committee (as such term is used in the Policy) will be final and binding and will be given the maximum deference permitted by law.</w:t>
      </w:r>
    </w:p>
    <w:p>
      <w:pPr>
        <w:spacing w:after="0" w:line="179" w:lineRule="exact"/>
        <w:rPr>
          <w:rFonts w:ascii="Arial" w:cs="Arial" w:eastAsia="Arial" w:hAnsi="Arial"/>
          <w:sz w:val="20"/>
          <w:szCs w:val="20"/>
          <w:color w:val="auto"/>
        </w:rPr>
      </w:pPr>
    </w:p>
    <w:p>
      <w:pPr>
        <w:ind w:left="660" w:hanging="652"/>
        <w:spacing w:after="0" w:line="275" w:lineRule="auto"/>
        <w:tabs>
          <w:tab w:leader="none" w:pos="648"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agree that my current indemnification rights, whether in an individual agreement or the Company’s organizational documents, exclude the right to be indemnified for amounts required to be recovered under the Policy.</w:t>
      </w:r>
    </w:p>
    <w:p>
      <w:pPr>
        <w:spacing w:after="0" w:line="174" w:lineRule="exact"/>
        <w:rPr>
          <w:rFonts w:ascii="Arial" w:cs="Arial" w:eastAsia="Arial" w:hAnsi="Arial"/>
          <w:sz w:val="20"/>
          <w:szCs w:val="20"/>
          <w:color w:val="auto"/>
        </w:rPr>
      </w:pPr>
    </w:p>
    <w:p>
      <w:pPr>
        <w:ind w:left="660" w:hanging="652"/>
        <w:spacing w:after="0" w:line="261" w:lineRule="auto"/>
        <w:tabs>
          <w:tab w:leader="none" w:pos="648"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agree that my failure to comply in all respects with the Policy is a basis for termination of my employment with the Company and any affiliate of the Company as well as any other appropriate discipline.</w:t>
      </w:r>
    </w:p>
    <w:p>
      <w:pPr>
        <w:spacing w:after="0" w:line="188" w:lineRule="exact"/>
        <w:rPr>
          <w:rFonts w:ascii="Arial" w:cs="Arial" w:eastAsia="Arial" w:hAnsi="Arial"/>
          <w:sz w:val="20"/>
          <w:szCs w:val="20"/>
          <w:color w:val="auto"/>
        </w:rPr>
      </w:pPr>
    </w:p>
    <w:p>
      <w:pPr>
        <w:ind w:left="660" w:hanging="652"/>
        <w:spacing w:after="0" w:line="261" w:lineRule="auto"/>
        <w:tabs>
          <w:tab w:leader="none" w:pos="648"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understand that neither the Policy, nor the application of the Policy to me, provides a basis for resignation for good reason, constructive termination or any similar concept under any applicable employment agreement or arrangement.</w:t>
      </w:r>
    </w:p>
    <w:p>
      <w:pPr>
        <w:spacing w:after="0" w:line="188" w:lineRule="exact"/>
        <w:rPr>
          <w:rFonts w:ascii="Arial" w:cs="Arial" w:eastAsia="Arial" w:hAnsi="Arial"/>
          <w:sz w:val="20"/>
          <w:szCs w:val="20"/>
          <w:color w:val="auto"/>
        </w:rPr>
      </w:pPr>
    </w:p>
    <w:p>
      <w:pPr>
        <w:ind w:left="660" w:hanging="652"/>
        <w:spacing w:after="0" w:line="275" w:lineRule="auto"/>
        <w:tabs>
          <w:tab w:leader="none" w:pos="648"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understand that if I have questions concerning the meaning or application of the Policy, it is my responsibility to seek guidance from Human Resources or my own personal advisers.</w:t>
      </w:r>
    </w:p>
    <w:p>
      <w:pPr>
        <w:spacing w:after="0" w:line="161" w:lineRule="exact"/>
        <w:rPr>
          <w:rFonts w:ascii="Arial" w:cs="Arial" w:eastAsia="Arial" w:hAnsi="Arial"/>
          <w:sz w:val="20"/>
          <w:szCs w:val="20"/>
          <w:color w:val="auto"/>
        </w:rPr>
      </w:pPr>
    </w:p>
    <w:p>
      <w:pPr>
        <w:ind w:left="640" w:hanging="632"/>
        <w:spacing w:after="0"/>
        <w:tabs>
          <w:tab w:leader="none" w:pos="6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 agree that neither this Acknowledgement nor the Policy is meant to constitute an employment contract.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w:t>
      </w: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357"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print name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-139065</wp:posOffset>
            </wp:positionV>
            <wp:extent cx="139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-139065</wp:posOffset>
            </wp:positionV>
            <wp:extent cx="139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13970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80"/>
        <w:spacing w:after="0"/>
        <w:rPr>
          <w:sz w:val="20"/>
          <w:szCs w:val="20"/>
          <w:color w:val="auto"/>
        </w:rPr>
      </w:pPr>
      <w:r>
        <w:rPr>
          <w:rFonts w:ascii="Arial" w:cs="Arial" w:eastAsia="Arial" w:hAnsi="Arial"/>
          <w:sz w:val="20"/>
          <w:szCs w:val="20"/>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-139065</wp:posOffset>
            </wp:positionV>
            <wp:extent cx="139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endash "/>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3"/>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bullet"/>
      <w:start w:val="1"/>
    </w:lvl>
  </w:abstractNum>
  <w:abstractNum w:abstractNumId="32">
    <w:nsid w:val="4B588F54"/>
    <w:multiLevelType w:val="hybridMultilevel"/>
    <w:lvl w:ilvl="0">
      <w:lvlJc w:val="left"/>
      <w:lvlText w:val="2"/>
      <w:numFmt w:val="bullet"/>
      <w:start w:val="1"/>
    </w:lvl>
  </w:abstractNum>
  <w:abstractNum w:abstractNumId="33">
    <w:nsid w:val="542289EC"/>
    <w:multiLevelType w:val="hybridMultilevel"/>
    <w:lvl w:ilvl="0">
      <w:lvlJc w:val="left"/>
      <w:lvlText w:val="3"/>
      <w:numFmt w:val="bullet"/>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4"/>
    </w:lvl>
  </w:abstractNum>
  <w:abstractNum w:abstractNumId="36">
    <w:nsid w:val="7644A45C"/>
    <w:multiLevelType w:val="hybridMultilevel"/>
    <w:lvl w:ilvl="0">
      <w:lvlJc w:val="left"/>
      <w:lvlText w:val="(%1)"/>
      <w:numFmt w:val="lowerLetter"/>
      <w:start w:val="1"/>
    </w:lvl>
    <w:lvl w:ilvl="1">
      <w:lvlJc w:val="left"/>
      <w:lvlText w:val="(%2)"/>
      <w:numFmt w:val="lowerRoman"/>
      <w:start w:val="1"/>
    </w:lvl>
  </w:abstractNum>
  <w:abstractNum w:abstractNumId="37">
    <w:nsid w:val="32FFF902"/>
    <w:multiLevelType w:val="hybridMultilevel"/>
    <w:lvl w:ilvl="0">
      <w:lvlJc w:val="left"/>
      <w:lvlText w:val="(%1)"/>
      <w:numFmt w:val="lowerLetter"/>
      <w:start w:val="2"/>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lowerLetter"/>
      <w:start w:val="3"/>
    </w:lvl>
  </w:abstractNum>
  <w:abstractNum w:abstractNumId="41">
    <w:nsid w:val="3DC240FB"/>
    <w:multiLevelType w:val="hybridMultilevel"/>
    <w:lvl w:ilvl="0">
      <w:lvlJc w:val="left"/>
      <w:lvlText w:val="(%1)"/>
      <w:numFmt w:val="lowerLetter"/>
      <w:start w:val="4"/>
    </w:lvl>
  </w:abstractNum>
  <w:abstractNum w:abstractNumId="42">
    <w:nsid w:val="1BA026FA"/>
    <w:multiLevelType w:val="hybridMultilevel"/>
    <w:lvl w:ilvl="0">
      <w:lvlJc w:val="left"/>
      <w:lvlText w:val="(%1)"/>
      <w:numFmt w:val="lowerLetter"/>
      <w:start w:val="5"/>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3"/>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8"/>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2"/>
    </w:lvl>
    <w:lvl w:ilvl="1">
      <w:lvlJc w:val="left"/>
      <w:lvlText w:val="(%2)"/>
      <w:numFmt w:val="lowerLetter"/>
      <w:start w:val="9"/>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1"/>
    </w:lvl>
    <w:lvl w:ilvl="1">
      <w:lvlJc w:val="left"/>
      <w:lvlText w:val="%2."/>
      <w:numFmt w:val="lowerLetter"/>
      <w:start w:val="1"/>
    </w:lvl>
  </w:abstractNum>
  <w:abstractNum w:abstractNumId="53">
    <w:nsid w:val="39386575"/>
    <w:multiLevelType w:val="hybridMultilevel"/>
    <w:lvl w:ilvl="0">
      <w:lvlJc w:val="left"/>
      <w:lvlText w:val="%1."/>
      <w:numFmt w:val="decimal"/>
      <w:start w:val="1"/>
    </w:lvl>
    <w:lvl w:ilvl="1">
      <w:lvlJc w:val="left"/>
      <w:lvlText w:val="%2."/>
      <w:numFmt w:val="lowerLetter"/>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upperLetter"/>
      <w:start w:val="1"/>
    </w:lvl>
  </w:abstractNum>
  <w:abstractNum w:abstractNumId="56">
    <w:nsid w:val="235BA861"/>
    <w:multiLevelType w:val="hybridMultilevel"/>
    <w:lvl w:ilvl="0">
      <w:lvlJc w:val="left"/>
      <w:lvlText w:val="%1."/>
      <w:numFmt w:val="upperLetter"/>
      <w:start w:val="3"/>
    </w:lvl>
  </w:abstractNum>
  <w:abstractNum w:abstractNumId="57">
    <w:nsid w:val="47398C89"/>
    <w:multiLevelType w:val="hybridMultilevel"/>
    <w:lvl w:ilvl="0">
      <w:lvlJc w:val="left"/>
      <w:lvlText w:val="%1."/>
      <w:numFmt w:val="upperLetter"/>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98" Type="http://schemas.openxmlformats.org/officeDocument/2006/relationships/image" Target="media/image177.jpeg"/><Relationship Id="rId199"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jpe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184" Type="http://schemas.openxmlformats.org/officeDocument/2006/relationships/hyperlink" Target="https://www.sec.gov/Archives/edgar/data/723125/000110465915004447/a15-3005_2ex99d2.htm" TargetMode="External"/><Relationship Id="rId185" Type="http://schemas.openxmlformats.org/officeDocument/2006/relationships/hyperlink" Target="https://www.sec.gov/Archives/edgar/data/723125/000072312521000018/exhibit31-amendedandrestat.htm" TargetMode="External"/><Relationship Id="rId186" Type="http://schemas.openxmlformats.org/officeDocument/2006/relationships/hyperlink" Target="https://www.sec.gov/Archives/edgar/data/723125/000110465919006069/a18-36862_4ex4d1.htm" TargetMode="External"/><Relationship Id="rId187" Type="http://schemas.openxmlformats.org/officeDocument/2006/relationships/hyperlink" Target="https://www.sec.gov/Archives/edgar/data/723125/000110465919006069/a18-36862_4ex4d2.htm" TargetMode="External"/><Relationship Id="rId188" Type="http://schemas.openxmlformats.org/officeDocument/2006/relationships/hyperlink" Target="https://www.sec.gov/Archives/edgar/data/723125/000110465919040167/a19-12548_4ex4d2.htm" TargetMode="External"/><Relationship Id="rId189" Type="http://schemas.openxmlformats.org/officeDocument/2006/relationships/hyperlink" Target="https://www.sec.gov/Archives/edgar/data/723125/000110465921132377/tm2129643d4_ex4-2.htm" TargetMode="External"/><Relationship Id="rId190" Type="http://schemas.openxmlformats.org/officeDocument/2006/relationships/hyperlink" Target="https://www.sec.gov/Archives/edgar/data/723125/000072312522000048/a2022q4ex412-descriptionof.htm" TargetMode="External"/><Relationship Id="rId191" Type="http://schemas.openxmlformats.org/officeDocument/2006/relationships/hyperlink" Target="https://www.sec.gov/Archives/edgar/data/723125/000072312522000051/a2023q1ex42-supplementalin.htm" TargetMode="External"/><Relationship Id="rId192" Type="http://schemas.openxmlformats.org/officeDocument/2006/relationships/hyperlink" Target="https://www.sec.gov/Archives/edgar/data/723125/000072312523000014/a2023q2ex43-supplementalin.htm" TargetMode="External"/><Relationship Id="rId193" Type="http://schemas.openxmlformats.org/officeDocument/2006/relationships/hyperlink" Target="https://www.sec.gov/Archives/edgar/data/723125/000072312523000026/a2023q3ex42-supplementalin.htm" TargetMode="External"/><Relationship Id="rId194" Type="http://schemas.openxmlformats.org/officeDocument/2006/relationships/hyperlink" Target="https://www.sec.gov/Archives/edgar/data/723125/000072312517000155/a2017definitiveproxy.htm" TargetMode="External"/><Relationship Id="rId195" Type="http://schemas.openxmlformats.org/officeDocument/2006/relationships/hyperlink" Target="https://www.sec.gov/Archives/edgar/data/723125/000072312522000072/a2023q1ex101-ar2004eip.htm" TargetMode="External"/><Relationship Id="rId196" Type="http://schemas.openxmlformats.org/officeDocument/2006/relationships/hyperlink" Target="https://www.sec.gov/Archives/edgar/data/723125/000072312522000072/a2023q1ex102-2004planterms.htm" TargetMode="External"/><Relationship Id="rId197" Type="http://schemas.openxmlformats.org/officeDocument/2006/relationships/hyperlink" Target="https://www.sec.gov/Archives/edgar/data/723125/000072312520000091/a2020definitiveproxy.htm#i9efa54f8cda348dca7e1a84d2a2067d2_917" TargetMode="External"/><Relationship Id="rId200" Type="http://schemas.openxmlformats.org/officeDocument/2006/relationships/hyperlink" Target="https://www.sec.gov/Archives/edgar/data/723125/000072312522000072/a2023q1ex103-2007planterms.htm" TargetMode="External"/><Relationship Id="rId201" Type="http://schemas.openxmlformats.org/officeDocument/2006/relationships/hyperlink" Target="https://www.sec.gov/Archives/edgar/data/723125/000072312516000269/a2016q4ex1010nonstatutorys.htm" TargetMode="External"/><Relationship Id="rId202" Type="http://schemas.openxmlformats.org/officeDocument/2006/relationships/hyperlink" Target="https://www.sec.gov/Archives/edgar/data/723125/000072312516000269/a2016q4ex1011stockplanterm.htm" TargetMode="External"/><Relationship Id="rId203" Type="http://schemas.openxmlformats.org/officeDocument/2006/relationships/hyperlink" Target="https://www.sec.gov/Archives/edgar/data/723125/000072312514000068/a2014q2ex10-3.htm" TargetMode="External"/><Relationship Id="rId204" Type="http://schemas.openxmlformats.org/officeDocument/2006/relationships/hyperlink" Target="https://www.sec.gov/Archives/edgar/data/723125/000072312507000113/exhibit_99-2.htm" TargetMode="External"/><Relationship Id="rId205" Type="http://schemas.openxmlformats.org/officeDocument/2006/relationships/hyperlink" Target="https://www.sec.gov/Archives/edgar/data/723125/000072312522000048/a2022q4ex1011-arexecagtmeh.htm" TargetMode="External"/><Relationship Id="rId206" Type="http://schemas.openxmlformats.org/officeDocument/2006/relationships/hyperlink" Target="https://www.sec.gov/Archives/edgar/data/723125/000072312517000166/a2018q1ex10-70xssseverance.htm" TargetMode="External"/><Relationship Id="rId207" Type="http://schemas.openxmlformats.org/officeDocument/2006/relationships/hyperlink" Target="https://www.sec.gov/Archives/edgar/data/723125/000072312517000148/exhibit991formofamendmentt.htm" TargetMode="External"/><Relationship Id="rId208" Type="http://schemas.openxmlformats.org/officeDocument/2006/relationships/hyperlink" Target="https://www.sec.gov/Archives/edgar/data/723125/000072312517000166/a2018q1ex10-74xmbseverance.htm" TargetMode="External"/><Relationship Id="rId209" Type="http://schemas.openxmlformats.org/officeDocument/2006/relationships/hyperlink" Target="https://www.sec.gov/Archives/edgar/data/723125/000072312522000036/a2022q3ex101-employeestock.htm" TargetMode="External"/><Relationship Id="rId210" Type="http://schemas.openxmlformats.org/officeDocument/2006/relationships/hyperlink" Target="https://www.sec.gov/Archives/edgar/data/723125/000072312522000036/a2022q3ex103-benefitsforma.htm" TargetMode="External"/><Relationship Id="rId211" Type="http://schemas.openxmlformats.org/officeDocument/2006/relationships/hyperlink" Target="https://www.sec.gov/Archives/edgar/data/723125/000072312521000052/revolvingcreditagreementmi.htm" TargetMode="External"/><Relationship Id="rId212" Type="http://schemas.openxmlformats.org/officeDocument/2006/relationships/hyperlink" Target="https://www.sec.gov/Archives/edgar/data/723125/000072312521000052/termloancreditagreementmic.htm" TargetMode="External"/><Relationship Id="rId213" Type="http://schemas.openxmlformats.org/officeDocument/2006/relationships/hyperlink" Target="https://www.sec.gov/Archives/edgar/data/723125/000072312522000072/a2023q1ex104-creditagreeme.htm" TargetMode="External"/><Relationship Id="rId214" Type="http://schemas.openxmlformats.org/officeDocument/2006/relationships/hyperlink" Target="https://www.sec.gov/Archives/edgar/data/723125/000072312523000022/a2023q2ex101-creditagreeme.htm" TargetMode="External"/><Relationship Id="rId215" Type="http://schemas.openxmlformats.org/officeDocument/2006/relationships/hyperlink" Target="https://www.sec.gov/Archives/edgar/data/723125/000072312523000022/a2023q2ex103-amendmentno12.htm" TargetMode="External"/><Relationship Id="rId216" Type="http://schemas.openxmlformats.org/officeDocument/2006/relationships/hyperlink" Target="https://www.sec.gov/Archives/edgar/data/723125/000072312523000022/a2023q2ex102-amendmentno22.htm" TargetMode="External"/><Relationship Id="rId217" Type="http://schemas.openxmlformats.org/officeDocument/2006/relationships/hyperlink" Target="https://www.sec.gov/Archives/edgar/data/723125/000072312523000022/a2023q2ex104-amendmentno12.htm" TargetMode="External"/><Relationship Id="rId218" Type="http://schemas.openxmlformats.org/officeDocument/2006/relationships/hyperlink" Target="https://www.sec.gov/Archives/edgar/data/723125/000072312523000022/a2023q2ex105-formofconsent.htm" TargetMode="External"/><Relationship Id="rId219" Type="http://schemas.openxmlformats.org/officeDocument/2006/relationships/hyperlink" Target="https://www.sec.gov/Archives/edgar/data/723125/000072312523000041/a2023q3ex101-amendmentno22.htm" TargetMode="External"/><Relationship Id="rId220" Type="http://schemas.openxmlformats.org/officeDocument/2006/relationships/hyperlink" Target="https://www.sec.gov/Archives/edgar/data/723125/000072312523000041/a2023q3ex102-amendmentno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2023-10-06T15:20:47Z</dcterms:created>
  <dcterms:modified xsi:type="dcterms:W3CDTF">2023-10-06T15:20:47Z</dcterms:modified>
</cp:coreProperties>
</file>