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25, 2024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September 25, 2024, Micron Technology, Inc. (the "Company", "we" or "our") announced the financial results for our fourth quarter and full year of fiscal 2024 ended August 29, 2024. The full text of the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BD03F7"/>
              </w:rPr>
              <w:t>Press Release issued on September 25, 2024</w:t>
            </w:r>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shd w:val="clear" w:color="auto" w:fill="BD03F7"/>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20" w:type="dxa"/>
            <w:vAlign w:val="bottom"/>
          </w:tcPr>
          <w:p>
            <w:pPr>
              <w:spacing w:after="0"/>
              <w:rPr>
                <w:sz w:val="21"/>
                <w:szCs w:val="21"/>
                <w:color w:val="auto"/>
              </w:rPr>
            </w:pPr>
          </w:p>
        </w:tc>
        <w:tc>
          <w:tcPr>
            <w:tcW w:w="730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920" w:type="dxa"/>
            <w:vAlign w:val="bottom"/>
          </w:tcPr>
          <w:p>
            <w:pPr>
              <w:spacing w:after="0"/>
              <w:rPr>
                <w:sz w:val="20"/>
                <w:szCs w:val="20"/>
                <w:color w:val="auto"/>
              </w:rPr>
            </w:pPr>
            <w:r>
              <w:rPr>
                <w:rFonts w:ascii="Arial" w:cs="Arial" w:eastAsia="Arial" w:hAnsi="Arial"/>
                <w:sz w:val="18"/>
                <w:szCs w:val="18"/>
                <w:color w:val="auto"/>
              </w:rPr>
              <w:t>Date:   September 25, 2024</w:t>
            </w: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920" w:type="dxa"/>
            <w:vAlign w:val="bottom"/>
          </w:tcPr>
          <w:p>
            <w:pPr>
              <w:spacing w:after="0"/>
              <w:rPr>
                <w:sz w:val="18"/>
                <w:szCs w:val="18"/>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920" w:type="dxa"/>
            <w:vAlign w:val="bottom"/>
          </w:tcPr>
          <w:p>
            <w:pPr>
              <w:spacing w:after="0"/>
              <w:rPr>
                <w:sz w:val="20"/>
                <w:szCs w:val="20"/>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2000" w:type="dxa"/>
            <w:vAlign w:val="bottom"/>
            <w:gridSpan w:val="2"/>
          </w:tcPr>
          <w:p>
            <w:pPr>
              <w:spacing w:after="0" w:line="195" w:lineRule="exact"/>
              <w:rPr>
                <w:sz w:val="20"/>
                <w:szCs w:val="20"/>
                <w:color w:val="auto"/>
              </w:rPr>
            </w:pPr>
            <w:r>
              <w:rPr>
                <w:rFonts w:ascii="Arial" w:cs="Arial" w:eastAsia="Arial" w:hAnsi="Arial"/>
                <w:sz w:val="18"/>
                <w:szCs w:val="18"/>
                <w:color w:val="BD03F7"/>
              </w:rPr>
              <w:t>epompen@micron.com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86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AND FULL YEAR OF FISCAL 2024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Achieved record data center revenue and NAND revenue in fiscal Q4</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September 25, 2024 – Micron Technology, Inc. (Nasdaq: MU) today announced results for its fourth quarter and full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2024, which ended August 29, 2024.</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Q4 2024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$7.75 billion versus $6.81 billion for the prior quarter and $4.01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$887 million, or $0.79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$1.34 billion, or $1.18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$3.41 billion versus $2.48 billion for the prior quarter and $249 million for the same period last year</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Fiscal 2024 highlights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$25.11 billion versus $15.54 billion for the prior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$778 million, or $0.70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$1.47 billion, or $1.30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$8.51 billion versus $1.56 billion for the prior year</w:t>
      </w:r>
    </w:p>
    <w:p>
      <w:pPr>
        <w:spacing w:after="0" w:line="22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“Micron delivered 93% year-over-year revenue growth in fiscal Q4, as robust AI demand drove a strong ramp of our data center DRAM products and our industry-leading high bandwidth memory. Our NAND revenue record was led by data center SSD sales, which exceeded $1</w:t>
      </w:r>
    </w:p>
    <w:p>
      <w:pPr>
        <w:spacing w:after="0" w:line="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billion in quarterly revenue for the first time,” said Micron Technology President and CEO Sanjay Mehrotra. “We are entering fiscal 2025 with the best competitive positioning in Micron's history. We forecast record revenue in fiscal Q1 and a substantial revenue record with significantly improved profitability in fiscal 2025.”</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FQ4-24</w:t>
            </w:r>
          </w:p>
        </w:tc>
        <w:tc>
          <w:tcPr>
            <w:tcW w:w="20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FQ3-24</w:t>
            </w:r>
          </w:p>
        </w:tc>
        <w:tc>
          <w:tcPr>
            <w:tcW w:w="22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FQ4-23</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FQ4-24</w:t>
            </w:r>
          </w:p>
        </w:tc>
        <w:tc>
          <w:tcPr>
            <w:tcW w:w="20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FQ3-24</w:t>
            </w: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FQ4-23</w:t>
            </w:r>
          </w:p>
        </w:tc>
      </w:tr>
      <w:tr>
        <w:trPr>
          <w:trHeight w:val="34"/>
        </w:trPr>
        <w:tc>
          <w:tcPr>
            <w:tcW w:w="4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7,750</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6,811</w:t>
            </w: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7,750</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6,811</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4,010</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2,737</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1,832</w:t>
            </w:r>
          </w:p>
        </w:tc>
        <w:tc>
          <w:tcPr>
            <w:tcW w:w="22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2,826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(366)</w:t>
            </w:r>
          </w:p>
        </w:tc>
      </w:tr>
      <w:tr>
        <w:trPr>
          <w:trHeight w:val="229"/>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35.3 %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26.9 %</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(10.8 %)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36.5 %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28.1 %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(9.1 %)</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1,113</w:t>
            </w:r>
          </w:p>
        </w:tc>
        <w:tc>
          <w:tcPr>
            <w:tcW w:w="22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842</w:t>
            </w: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1,522</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1,745</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(1,208)</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19.6 %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10.6 %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(36.7 %)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22.5 %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13.8 %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(30.1 %)</w:t>
            </w: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(1,177)</w:t>
            </w:r>
          </w:p>
        </w:tc>
      </w:tr>
      <w:tr>
        <w:trPr>
          <w:trHeight w:val="239"/>
        </w:trPr>
        <w:tc>
          <w:tcPr>
            <w:tcW w:w="41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Annual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8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r>
      <w:tr>
        <w:trPr>
          <w:trHeight w:val="250"/>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4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FY-24</w:t>
            </w:r>
          </w:p>
        </w:tc>
        <w:tc>
          <w:tcPr>
            <w:tcW w:w="38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FY-23</w:t>
            </w:r>
          </w:p>
        </w:tc>
        <w:tc>
          <w:tcPr>
            <w:tcW w:w="24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FY-24</w:t>
            </w:r>
          </w:p>
        </w:tc>
        <w:tc>
          <w:tcPr>
            <w:tcW w:w="24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FY-23</w:t>
            </w:r>
          </w:p>
        </w:tc>
      </w:tr>
      <w:tr>
        <w:trPr>
          <w:trHeight w:val="34"/>
        </w:trPr>
        <w:tc>
          <w:tcPr>
            <w:tcW w:w="62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r>
      <w:tr>
        <w:trPr>
          <w:trHeight w:val="229"/>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25,111</w:t>
            </w:r>
          </w:p>
        </w:tc>
        <w:tc>
          <w:tcPr>
            <w:tcW w:w="3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15,540</w:t>
            </w: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25,111</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15,540</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5,613</w:t>
            </w: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5,943</w:t>
            </w:r>
          </w:p>
        </w:tc>
        <w:tc>
          <w:tcPr>
            <w:tcW w:w="24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(1,196)</w:t>
            </w:r>
          </w:p>
        </w:tc>
      </w:tr>
      <w:tr>
        <w:trPr>
          <w:trHeight w:val="229"/>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4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22.4 %</w:t>
            </w:r>
          </w:p>
        </w:tc>
        <w:tc>
          <w:tcPr>
            <w:tcW w:w="38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(9.1 %)</w:t>
            </w: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23.7 %</w:t>
            </w:r>
          </w:p>
        </w:tc>
        <w:tc>
          <w:tcPr>
            <w:tcW w:w="24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(7.7 %)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4,309</w:t>
            </w:r>
          </w:p>
        </w:tc>
        <w:tc>
          <w:tcPr>
            <w:tcW w:w="38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4,329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4,008</w:t>
            </w:r>
          </w:p>
        </w:tc>
        <w:tc>
          <w:tcPr>
            <w:tcW w:w="24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3,623</w:t>
            </w:r>
          </w:p>
        </w:tc>
      </w:tr>
      <w:tr>
        <w:trPr>
          <w:trHeight w:val="230"/>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1,304</w:t>
            </w:r>
          </w:p>
        </w:tc>
        <w:tc>
          <w:tcPr>
            <w:tcW w:w="380" w:type="dxa"/>
            <w:vAlign w:val="bottom"/>
            <w:shd w:val="clear" w:color="auto" w:fill="DDDDDD"/>
          </w:tcPr>
          <w:p>
            <w:pPr>
              <w:spacing w:after="0"/>
              <w:rPr>
                <w:sz w:val="19"/>
                <w:szCs w:val="19"/>
                <w:color w:val="auto"/>
              </w:rPr>
            </w:pPr>
          </w:p>
        </w:tc>
        <w:tc>
          <w:tcPr>
            <w:tcW w:w="8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(5,745)</w:t>
            </w: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1,935</w:t>
            </w:r>
          </w:p>
        </w:tc>
        <w:tc>
          <w:tcPr>
            <w:tcW w:w="24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(4,819)</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5.2 %</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7.7 %</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(31.0 %)</w:t>
            </w:r>
          </w:p>
        </w:tc>
      </w:tr>
      <w:tr>
        <w:trPr>
          <w:trHeight w:val="230"/>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778</w:t>
            </w:r>
          </w:p>
        </w:tc>
        <w:tc>
          <w:tcPr>
            <w:tcW w:w="380" w:type="dxa"/>
            <w:vAlign w:val="bottom"/>
            <w:shd w:val="clear" w:color="auto" w:fill="DDDDDD"/>
          </w:tcPr>
          <w:p>
            <w:pPr>
              <w:spacing w:after="0"/>
              <w:rPr>
                <w:sz w:val="19"/>
                <w:szCs w:val="19"/>
                <w:color w:val="auto"/>
              </w:rPr>
            </w:pPr>
          </w:p>
        </w:tc>
        <w:tc>
          <w:tcPr>
            <w:tcW w:w="8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(5,833)</w:t>
            </w: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1,472</w:t>
            </w:r>
          </w:p>
        </w:tc>
        <w:tc>
          <w:tcPr>
            <w:tcW w:w="24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(4,862)</w:t>
            </w: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0.70</w:t>
            </w:r>
          </w:p>
        </w:tc>
        <w:tc>
          <w:tcPr>
            <w:tcW w:w="3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(4.45)</w:t>
            </w:r>
          </w:p>
        </w:tc>
      </w:tr>
    </w:tbl>
    <w:p>
      <w:pPr>
        <w:spacing w:after="0" w:line="307"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$3.08 billion for the fourth quarter of 2024 and $8.12 billion for the full year of 2024,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$323 million for the fourth quarter of 2024 and $386 million for the full year of 2024. Micron ended the year with cash, marketable investments, and restricted cash of $9.16 billion. On September 25, 2024, Micron’s Board of Directors declared a quarterly dividend of $0.115 per share, payable in cash on October 23, 2024, to shareholders of record as of the close of business on October 7,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8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38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first quarter of 2025:</w:t>
            </w:r>
          </w:p>
        </w:tc>
        <w:tc>
          <w:tcPr>
            <w:tcW w:w="2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FQ1-25</w:t>
            </w:r>
          </w:p>
        </w:tc>
        <w:tc>
          <w:tcPr>
            <w:tcW w:w="2620" w:type="dxa"/>
            <w:vAlign w:val="bottom"/>
            <w:tcBorders>
              <w:bottom w:val="single" w:sz="8" w:color="auto"/>
            </w:tcBorders>
          </w:tcPr>
          <w:p>
            <w:pPr>
              <w:jc w:val="right"/>
              <w:ind w:right="43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auto"/>
            </w:tcBorders>
          </w:tcPr>
          <w:p>
            <w:pPr>
              <w:jc w:val="right"/>
              <w:ind w:right="170"/>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6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$8.70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$8.70 billion ± $200 million</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20" w:type="dxa"/>
            <w:vAlign w:val="bottom"/>
          </w:tcPr>
          <w:p>
            <w:pPr>
              <w:jc w:val="right"/>
              <w:spacing w:after="0"/>
              <w:rPr>
                <w:sz w:val="20"/>
                <w:szCs w:val="20"/>
                <w:color w:val="auto"/>
              </w:rPr>
            </w:pPr>
            <w:r>
              <w:rPr>
                <w:rFonts w:ascii="Arial" w:cs="Arial" w:eastAsia="Arial" w:hAnsi="Arial"/>
                <w:sz w:val="18"/>
                <w:szCs w:val="18"/>
                <w:color w:val="auto"/>
              </w:rPr>
              <w:t>38.5% ± 1.0%</w:t>
            </w:r>
          </w:p>
        </w:tc>
        <w:tc>
          <w:tcPr>
            <w:tcW w:w="2240" w:type="dxa"/>
            <w:vAlign w:val="bottom"/>
          </w:tcPr>
          <w:p>
            <w:pPr>
              <w:jc w:val="right"/>
              <w:spacing w:after="0"/>
              <w:rPr>
                <w:sz w:val="20"/>
                <w:szCs w:val="20"/>
                <w:color w:val="auto"/>
              </w:rPr>
            </w:pPr>
            <w:r>
              <w:rPr>
                <w:rFonts w:ascii="Arial" w:cs="Arial" w:eastAsia="Arial" w:hAnsi="Arial"/>
                <w:sz w:val="18"/>
                <w:szCs w:val="18"/>
                <w:color w:val="auto"/>
              </w:rPr>
              <w:t>39.5% ± 1.0%</w:t>
            </w:r>
          </w:p>
        </w:tc>
      </w:tr>
      <w:tr>
        <w:trPr>
          <w:trHeight w:val="230"/>
        </w:trPr>
        <w:tc>
          <w:tcPr>
            <w:tcW w:w="6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$1.211 billion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$1.085 billion ± $15 million</w:t>
            </w:r>
          </w:p>
        </w:tc>
      </w:tr>
      <w:tr>
        <w:trPr>
          <w:trHeight w:val="239"/>
        </w:trPr>
        <w:tc>
          <w:tcPr>
            <w:tcW w:w="63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20" w:type="dxa"/>
            <w:vAlign w:val="bottom"/>
          </w:tcPr>
          <w:p>
            <w:pPr>
              <w:jc w:val="right"/>
              <w:spacing w:after="0"/>
              <w:rPr>
                <w:sz w:val="20"/>
                <w:szCs w:val="20"/>
                <w:color w:val="auto"/>
              </w:rPr>
            </w:pPr>
            <w:r>
              <w:rPr>
                <w:rFonts w:ascii="Arial" w:cs="Arial" w:eastAsia="Arial" w:hAnsi="Arial"/>
                <w:sz w:val="18"/>
                <w:szCs w:val="18"/>
                <w:color w:val="auto"/>
              </w:rPr>
              <w:t>$1.54 ± $0.08</w:t>
            </w:r>
          </w:p>
        </w:tc>
        <w:tc>
          <w:tcPr>
            <w:tcW w:w="2240" w:type="dxa"/>
            <w:vAlign w:val="bottom"/>
          </w:tcPr>
          <w:p>
            <w:pPr>
              <w:jc w:val="right"/>
              <w:spacing w:after="0"/>
              <w:rPr>
                <w:sz w:val="20"/>
                <w:szCs w:val="20"/>
                <w:color w:val="auto"/>
              </w:rPr>
            </w:pPr>
            <w:r>
              <w:rPr>
                <w:rFonts w:ascii="Arial" w:cs="Arial" w:eastAsia="Arial" w:hAnsi="Arial"/>
                <w:sz w:val="18"/>
                <w:szCs w:val="18"/>
                <w:color w:val="auto"/>
              </w:rPr>
              <w:t>$1.74 ± $0.08</w:t>
            </w:r>
          </w:p>
        </w:tc>
      </w:tr>
    </w:tbl>
    <w:p>
      <w:pPr>
        <w:spacing w:after="0" w:line="296"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Micron will host a conference call on Wednesday, September 25, 2024 at 2:30 p.m. Mountain Time to discuss its fourth quarter financial results and provide forward-looking guidance for its first quarter. A live webcast of the call will be available online at </w:t>
      </w:r>
      <w:r>
        <w:rPr>
          <w:rFonts w:ascii="Arial" w:cs="Arial" w:eastAsia="Arial" w:hAnsi="Arial"/>
          <w:sz w:val="17"/>
          <w:szCs w:val="17"/>
          <w:u w:val="single" w:color="auto"/>
          <w:color w:val="BD03F7"/>
        </w:rPr>
        <w:t>investors.micron.com</w:t>
      </w:r>
      <w:r>
        <w:rPr>
          <w:rFonts w:ascii="Arial" w:cs="Arial" w:eastAsia="Arial" w:hAnsi="Arial"/>
          <w:sz w:val="17"/>
          <w:szCs w:val="17"/>
          <w:color w:val="auto"/>
        </w:rPr>
        <w:t>. A webcast replay will be available for one year after the call. For Investor Relations and other company updates, follow us on X @MicronTech.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04" w:lineRule="exact"/>
        <w:rPr>
          <w:sz w:val="20"/>
          <w:szCs w:val="20"/>
          <w:color w:val="auto"/>
        </w:rPr>
      </w:pPr>
    </w:p>
    <w:p>
      <w:pPr>
        <w:ind w:right="520" w:firstLine="8"/>
        <w:spacing w:after="0" w:line="285"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2024 Micron Technology, Inc. All rights reserved. Micron, the Micron logo, and all other Micron trademarks are the property of Micron Technology, Inc.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and our financial and operating results, including our guidance for the first quarter and full year fiscal 2025.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000000"/>
        </w:rPr>
        <w:t>. Although we believe that the expectations reflected in the forward-looking statements are reasonable, we</w:t>
      </w:r>
      <w:r>
        <w:rPr>
          <w:rFonts w:ascii="Arial" w:cs="Arial" w:eastAsia="Arial" w:hAnsi="Arial"/>
          <w:sz w:val="18"/>
          <w:szCs w:val="18"/>
          <w:color w:val="BD03F7"/>
        </w:rPr>
        <w:t xml:space="preserve"> </w:t>
      </w:r>
      <w:r>
        <w:rPr>
          <w:rFonts w:ascii="Arial" w:cs="Arial" w:eastAsia="Arial" w:hAnsi="Arial"/>
          <w:sz w:val="18"/>
          <w:szCs w:val="18"/>
          <w:color w:val="000000"/>
        </w:rPr>
        <w:t>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3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8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4th Qtr.</w:t>
            </w:r>
          </w:p>
        </w:tc>
        <w:tc>
          <w:tcPr>
            <w:tcW w:w="180" w:type="dxa"/>
            <w:vAlign w:val="bottom"/>
          </w:tcPr>
          <w:p>
            <w:pPr>
              <w:spacing w:after="0"/>
              <w:rPr>
                <w:sz w:val="19"/>
                <w:szCs w:val="19"/>
                <w:color w:val="auto"/>
              </w:rPr>
            </w:pPr>
          </w:p>
        </w:tc>
        <w:tc>
          <w:tcPr>
            <w:tcW w:w="25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Year Ended</w:t>
            </w: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August 29,</w:t>
            </w:r>
          </w:p>
        </w:tc>
        <w:tc>
          <w:tcPr>
            <w:tcW w:w="24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rPr>
              <w:t>May 30,</w:t>
            </w:r>
          </w:p>
        </w:tc>
        <w:tc>
          <w:tcPr>
            <w:tcW w:w="180" w:type="dxa"/>
            <w:vAlign w:val="bottom"/>
          </w:tcPr>
          <w:p>
            <w:pPr>
              <w:spacing w:after="0"/>
              <w:rPr>
                <w:sz w:val="15"/>
                <w:szCs w:val="15"/>
                <w:color w:val="auto"/>
              </w:rPr>
            </w:pPr>
          </w:p>
        </w:tc>
        <w:tc>
          <w:tcPr>
            <w:tcW w:w="11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August 31,</w:t>
            </w:r>
          </w:p>
        </w:tc>
        <w:tc>
          <w:tcPr>
            <w:tcW w:w="180" w:type="dxa"/>
            <w:vAlign w:val="bottom"/>
          </w:tcPr>
          <w:p>
            <w:pPr>
              <w:spacing w:after="0"/>
              <w:rPr>
                <w:sz w:val="15"/>
                <w:szCs w:val="15"/>
                <w:color w:val="auto"/>
              </w:rPr>
            </w:pPr>
          </w:p>
        </w:tc>
        <w:tc>
          <w:tcPr>
            <w:tcW w:w="116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29,</w:t>
            </w:r>
          </w:p>
        </w:tc>
        <w:tc>
          <w:tcPr>
            <w:tcW w:w="160" w:type="dxa"/>
            <w:vAlign w:val="bottom"/>
          </w:tcPr>
          <w:p>
            <w:pPr>
              <w:spacing w:after="0"/>
              <w:rPr>
                <w:sz w:val="15"/>
                <w:szCs w:val="15"/>
                <w:color w:val="auto"/>
              </w:rPr>
            </w:pPr>
          </w:p>
        </w:tc>
        <w:tc>
          <w:tcPr>
            <w:tcW w:w="118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31,</w:t>
            </w:r>
          </w:p>
        </w:tc>
      </w:tr>
      <w:tr>
        <w:trPr>
          <w:trHeight w:val="243"/>
        </w:trPr>
        <w:tc>
          <w:tcPr>
            <w:tcW w:w="4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3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25,111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15,540</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19,498</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16,956</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1,832</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r>
      <w:tr>
        <w:trPr>
          <w:trHeight w:val="257"/>
        </w:trPr>
        <w:tc>
          <w:tcPr>
            <w:tcW w:w="4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3,430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3,114</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(1,472)</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(5,745)</w:t>
            </w:r>
          </w:p>
        </w:tc>
      </w:tr>
      <w:tr>
        <w:trPr>
          <w:trHeight w:val="256"/>
        </w:trPr>
        <w:tc>
          <w:tcPr>
            <w:tcW w:w="4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(5,658)</w:t>
            </w:r>
          </w:p>
        </w:tc>
      </w:tr>
      <w:tr>
        <w:trPr>
          <w:trHeight w:val="257"/>
        </w:trPr>
        <w:tc>
          <w:tcPr>
            <w:tcW w:w="45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w:t>
            </w: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57"/>
        </w:trPr>
        <w:tc>
          <w:tcPr>
            <w:tcW w:w="45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1,093</w:t>
            </w:r>
          </w:p>
        </w:tc>
      </w:tr>
      <w:tr>
        <w:trPr>
          <w:trHeight w:val="239"/>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c>
          <w:tcPr>
            <w:tcW w:w="24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30,</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7,594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6,615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8,512</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23,319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66,255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7,299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5,145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6,840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12,860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11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40,169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66,255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Provision to write down inventories to net realizable value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Goodwill impairment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(3,581)</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1,915</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29"/>
        </w:trPr>
        <w:tc>
          <w:tcPr>
            <w:tcW w:w="836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(8,386)</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(1,999)</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1,794</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(1,897)</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(1,842)</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(1,604)</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7,052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2023, we recorded charges of $1.83 billion to cost of goods sold to write down the carrying value of work in process and finished goods inventories to their estimated net realizable values (“NRV”).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290"/>
              <w:spacing w:after="0"/>
              <w:rPr>
                <w:sz w:val="20"/>
                <w:szCs w:val="20"/>
                <w:color w:val="auto"/>
              </w:rPr>
            </w:pPr>
            <w:r>
              <w:rPr>
                <w:rFonts w:ascii="Arial" w:cs="Arial" w:eastAsia="Arial" w:hAnsi="Arial"/>
                <w:sz w:val="18"/>
                <w:szCs w:val="18"/>
                <w:b w:val="1"/>
                <w:bCs w:val="1"/>
                <w:color w:val="auto"/>
                <w:w w:val="96"/>
              </w:rPr>
              <w:t>4th Qtr.</w:t>
            </w:r>
          </w:p>
        </w:tc>
        <w:tc>
          <w:tcPr>
            <w:tcW w:w="12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3rd Qtr.</w:t>
            </w: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4th Qtr.</w:t>
            </w:r>
          </w:p>
        </w:tc>
        <w:tc>
          <w:tcPr>
            <w:tcW w:w="200" w:type="dxa"/>
            <w:vAlign w:val="bottom"/>
          </w:tcPr>
          <w:p>
            <w:pPr>
              <w:spacing w:after="0"/>
              <w:rPr>
                <w:sz w:val="19"/>
                <w:szCs w:val="19"/>
                <w:color w:val="auto"/>
              </w:rPr>
            </w:pPr>
          </w:p>
        </w:tc>
        <w:tc>
          <w:tcPr>
            <w:tcW w:w="25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310"/>
              <w:spacing w:after="0" w:line="181" w:lineRule="exact"/>
              <w:rPr>
                <w:sz w:val="20"/>
                <w:szCs w:val="20"/>
                <w:color w:val="auto"/>
              </w:rPr>
            </w:pPr>
            <w:r>
              <w:rPr>
                <w:rFonts w:ascii="Arial" w:cs="Arial" w:eastAsia="Arial" w:hAnsi="Arial"/>
                <w:sz w:val="18"/>
                <w:szCs w:val="18"/>
                <w:b w:val="1"/>
                <w:bCs w:val="1"/>
                <w:color w:val="auto"/>
                <w:w w:val="99"/>
              </w:rPr>
              <w:t>August 29,</w:t>
            </w:r>
          </w:p>
        </w:tc>
        <w:tc>
          <w:tcPr>
            <w:tcW w:w="1260" w:type="dxa"/>
            <w:vAlign w:val="bottom"/>
          </w:tcPr>
          <w:p>
            <w:pPr>
              <w:jc w:val="center"/>
              <w:ind w:right="310"/>
              <w:spacing w:after="0" w:line="181" w:lineRule="exact"/>
              <w:rPr>
                <w:sz w:val="20"/>
                <w:szCs w:val="20"/>
                <w:color w:val="auto"/>
              </w:rPr>
            </w:pPr>
            <w:r>
              <w:rPr>
                <w:rFonts w:ascii="Arial" w:cs="Arial" w:eastAsia="Arial" w:hAnsi="Arial"/>
                <w:sz w:val="18"/>
                <w:szCs w:val="18"/>
                <w:b w:val="1"/>
                <w:bCs w:val="1"/>
                <w:color w:val="auto"/>
              </w:rPr>
              <w:t>May 30,</w:t>
            </w: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31,</w:t>
            </w:r>
          </w:p>
        </w:tc>
        <w:tc>
          <w:tcPr>
            <w:tcW w:w="200" w:type="dxa"/>
            <w:vAlign w:val="bottom"/>
          </w:tcPr>
          <w:p>
            <w:pPr>
              <w:spacing w:after="0"/>
              <w:rPr>
                <w:sz w:val="15"/>
                <w:szCs w:val="15"/>
                <w:color w:val="auto"/>
              </w:rPr>
            </w:pPr>
          </w:p>
        </w:tc>
        <w:tc>
          <w:tcPr>
            <w:tcW w:w="1140" w:type="dxa"/>
            <w:vAlign w:val="bottom"/>
          </w:tcPr>
          <w:p>
            <w:pPr>
              <w:jc w:val="right"/>
              <w:ind w:right="90"/>
              <w:spacing w:after="0" w:line="181" w:lineRule="exact"/>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5"/>
                <w:szCs w:val="15"/>
                <w:color w:val="auto"/>
              </w:rPr>
            </w:pPr>
          </w:p>
        </w:tc>
        <w:tc>
          <w:tcPr>
            <w:tcW w:w="118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2024</w:t>
            </w:r>
          </w:p>
        </w:tc>
        <w:tc>
          <w:tcPr>
            <w:tcW w:w="12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9"/>
              </w:rPr>
              <w:t>2024</w:t>
            </w: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BDBDB"/>
          </w:tcPr>
          <w:p>
            <w:pPr>
              <w:ind w:left="92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DBDBDB"/>
          </w:tcPr>
          <w:p>
            <w:pPr>
              <w:ind w:left="840"/>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Lower costs from sale of inventory written down in prior</w:t>
            </w:r>
          </w:p>
        </w:tc>
        <w:tc>
          <w:tcPr>
            <w:tcW w:w="160" w:type="dxa"/>
            <w:vAlign w:val="bottom"/>
          </w:tcPr>
          <w:p>
            <w:pPr>
              <w:spacing w:after="0"/>
              <w:rPr>
                <w:sz w:val="15"/>
                <w:szCs w:val="15"/>
                <w:color w:val="auto"/>
              </w:rPr>
            </w:pPr>
          </w:p>
        </w:tc>
        <w:tc>
          <w:tcPr>
            <w:tcW w:w="1400" w:type="dxa"/>
            <w:vAlign w:val="bottom"/>
            <w:vMerge w:val="restart"/>
          </w:tcPr>
          <w:p>
            <w:pPr>
              <w:ind w:left="92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ind w:left="8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987</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periods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BDBDB"/>
          </w:tcPr>
          <w:p>
            <w:pPr>
              <w:ind w:left="92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shd w:val="clear" w:color="auto" w:fill="DBDBDB"/>
          </w:tcPr>
          <w:p>
            <w:pPr>
              <w:ind w:left="84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987</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sectPr>
      </w:pPr>
    </w:p>
    <w:bookmarkStart w:id="10" w:name="page11"/>
    <w:bookmarkEnd w:id="10"/>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22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c>
          <w:tcPr>
            <w:tcW w:w="16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160" w:type="dxa"/>
            <w:vAlign w:val="bottom"/>
          </w:tcPr>
          <w:p>
            <w:pPr>
              <w:spacing w:after="0"/>
              <w:rPr>
                <w:sz w:val="19"/>
                <w:szCs w:val="19"/>
                <w:color w:val="auto"/>
              </w:rPr>
            </w:pPr>
          </w:p>
        </w:tc>
        <w:tc>
          <w:tcPr>
            <w:tcW w:w="24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29,</w:t>
            </w:r>
          </w:p>
        </w:tc>
        <w:tc>
          <w:tcPr>
            <w:tcW w:w="220" w:type="dxa"/>
            <w:vAlign w:val="bottom"/>
          </w:tcPr>
          <w:p>
            <w:pPr>
              <w:spacing w:after="0"/>
              <w:rPr>
                <w:sz w:val="15"/>
                <w:szCs w:val="15"/>
                <w:color w:val="auto"/>
              </w:rPr>
            </w:pPr>
          </w:p>
        </w:tc>
        <w:tc>
          <w:tcPr>
            <w:tcW w:w="108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May 30,</w:t>
            </w:r>
          </w:p>
        </w:tc>
        <w:tc>
          <w:tcPr>
            <w:tcW w:w="160" w:type="dxa"/>
            <w:vAlign w:val="bottom"/>
          </w:tcPr>
          <w:p>
            <w:pPr>
              <w:spacing w:after="0"/>
              <w:rPr>
                <w:sz w:val="15"/>
                <w:szCs w:val="15"/>
                <w:color w:val="auto"/>
              </w:rPr>
            </w:pPr>
          </w:p>
        </w:tc>
        <w:tc>
          <w:tcPr>
            <w:tcW w:w="11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August 31,</w:t>
            </w:r>
          </w:p>
        </w:tc>
        <w:tc>
          <w:tcPr>
            <w:tcW w:w="160" w:type="dxa"/>
            <w:vAlign w:val="bottom"/>
          </w:tcPr>
          <w:p>
            <w:pPr>
              <w:spacing w:after="0"/>
              <w:rPr>
                <w:sz w:val="15"/>
                <w:szCs w:val="15"/>
                <w:color w:val="auto"/>
              </w:rPr>
            </w:pPr>
          </w:p>
        </w:tc>
        <w:tc>
          <w:tcPr>
            <w:tcW w:w="1140" w:type="dxa"/>
            <w:vAlign w:val="bottom"/>
          </w:tcPr>
          <w:p>
            <w:pPr>
              <w:jc w:val="right"/>
              <w:ind w:right="90"/>
              <w:spacing w:after="0" w:line="181" w:lineRule="exact"/>
              <w:rPr>
                <w:sz w:val="20"/>
                <w:szCs w:val="20"/>
                <w:color w:val="auto"/>
              </w:rPr>
            </w:pPr>
            <w:r>
              <w:rPr>
                <w:rFonts w:ascii="Arial" w:cs="Arial" w:eastAsia="Arial" w:hAnsi="Arial"/>
                <w:sz w:val="18"/>
                <w:szCs w:val="18"/>
                <w:b w:val="1"/>
                <w:bCs w:val="1"/>
                <w:color w:val="auto"/>
              </w:rPr>
              <w:t>August 29,</w:t>
            </w:r>
          </w:p>
        </w:tc>
        <w:tc>
          <w:tcPr>
            <w:tcW w:w="160" w:type="dxa"/>
            <w:vAlign w:val="bottom"/>
          </w:tcPr>
          <w:p>
            <w:pPr>
              <w:spacing w:after="0"/>
              <w:rPr>
                <w:sz w:val="15"/>
                <w:szCs w:val="15"/>
                <w:color w:val="auto"/>
              </w:rPr>
            </w:pPr>
          </w:p>
        </w:tc>
        <w:tc>
          <w:tcPr>
            <w:tcW w:w="116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2023</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2,737</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4,309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cross-license agreement gain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D1D2D4"/>
            </w:tcBorders>
            <w:shd w:val="clear" w:color="auto" w:fill="D1D2D4"/>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4,008</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0"/>
        </w:trPr>
        <w:tc>
          <w:tcPr>
            <w:tcW w:w="47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income (loss)</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(1,472)</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Patent cross-license agreement gain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cross-license agreement gain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GAAP weighted-average common shares outstanding</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1,123</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 Diluted</w:t>
            </w: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7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Non-GAAP weighted-average common shares</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outstanding - Diluted</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diluted earnings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Effects of the above adjustments</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diluted earnings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11" w:name="page12"/>
    <w:bookmarkEnd w:id="1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8720" w:type="dxa"/>
            <w:vAlign w:val="bottom"/>
            <w:gridSpan w:val="8"/>
          </w:tcPr>
          <w:p>
            <w:pPr>
              <w:ind w:left="286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82"/>
        </w:trPr>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22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60" w:type="dxa"/>
            <w:vAlign w:val="bottom"/>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4th Qtr.</w:t>
            </w:r>
          </w:p>
        </w:tc>
        <w:tc>
          <w:tcPr>
            <w:tcW w:w="180" w:type="dxa"/>
            <w:vAlign w:val="bottom"/>
          </w:tcPr>
          <w:p>
            <w:pPr>
              <w:spacing w:after="0"/>
              <w:rPr>
                <w:sz w:val="24"/>
                <w:szCs w:val="24"/>
                <w:color w:val="auto"/>
              </w:rPr>
            </w:pPr>
          </w:p>
        </w:tc>
        <w:tc>
          <w:tcPr>
            <w:tcW w:w="24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w:t>
            </w:r>
          </w:p>
        </w:tc>
      </w:tr>
      <w:tr>
        <w:trPr>
          <w:trHeight w:val="181"/>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August 29,</w:t>
            </w:r>
          </w:p>
        </w:tc>
        <w:tc>
          <w:tcPr>
            <w:tcW w:w="22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rPr>
              <w:t>May 30,</w:t>
            </w: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31,</w:t>
            </w:r>
          </w:p>
        </w:tc>
        <w:tc>
          <w:tcPr>
            <w:tcW w:w="180" w:type="dxa"/>
            <w:vAlign w:val="bottom"/>
          </w:tcPr>
          <w:p>
            <w:pPr>
              <w:spacing w:after="0"/>
              <w:rPr>
                <w:sz w:val="15"/>
                <w:szCs w:val="15"/>
                <w:color w:val="auto"/>
              </w:rPr>
            </w:pPr>
          </w:p>
        </w:tc>
        <w:tc>
          <w:tcPr>
            <w:tcW w:w="114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w w:val="99"/>
              </w:rPr>
              <w:t>August 29,</w:t>
            </w:r>
          </w:p>
        </w:tc>
        <w:tc>
          <w:tcPr>
            <w:tcW w:w="160" w:type="dxa"/>
            <w:vAlign w:val="bottom"/>
          </w:tcPr>
          <w:p>
            <w:pPr>
              <w:spacing w:after="0"/>
              <w:rPr>
                <w:sz w:val="15"/>
                <w:szCs w:val="15"/>
                <w:color w:val="auto"/>
              </w:rPr>
            </w:pPr>
          </w:p>
        </w:tc>
        <w:tc>
          <w:tcPr>
            <w:tcW w:w="116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31,</w:t>
            </w:r>
          </w:p>
        </w:tc>
      </w:tr>
      <w:tr>
        <w:trPr>
          <w:trHeight w:val="243"/>
        </w:trPr>
        <w:tc>
          <w:tcPr>
            <w:tcW w:w="46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34"/>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3,405</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2,482</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8,507</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1,559</w:t>
            </w:r>
          </w:p>
        </w:tc>
      </w:tr>
      <w:tr>
        <w:trPr>
          <w:trHeight w:val="256"/>
        </w:trPr>
        <w:tc>
          <w:tcPr>
            <w:tcW w:w="4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(3,120)</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(2,086)</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(8,386)</w:t>
            </w: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(7,676)</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4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Proceeds from government incentives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r>
      <w:tr>
        <w:trPr>
          <w:trHeight w:val="223"/>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1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(3,082)</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(2,057)</w:t>
            </w:r>
          </w:p>
        </w:tc>
        <w:tc>
          <w:tcPr>
            <w:tcW w:w="1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(8,121)</w:t>
            </w:r>
          </w:p>
        </w:tc>
        <w:tc>
          <w:tcPr>
            <w:tcW w:w="1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(7,012)</w:t>
            </w: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r>
      <w:tr>
        <w:trPr>
          <w:trHeight w:val="21"/>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shares, diluted earnings (loss)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impairment; and</w:t>
      </w:r>
    </w:p>
    <w:p>
      <w:pPr>
        <w:spacing w:after="0" w:line="9"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 The divergence between our GAAP and non-GAAP income tax provision relates to the difference in our GAAP and non-GAAP estimated annual effective tax rates, which are computed separately.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FQ1-25</w:t>
            </w:r>
          </w:p>
        </w:tc>
        <w:tc>
          <w:tcPr>
            <w:tcW w:w="3280" w:type="dxa"/>
            <w:vAlign w:val="bottom"/>
            <w:gridSpan w:val="2"/>
          </w:tcPr>
          <w:p>
            <w:pPr>
              <w:ind w:left="142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330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r>
      <w:tr>
        <w:trPr>
          <w:trHeight w:val="229"/>
        </w:trPr>
        <w:tc>
          <w:tcPr>
            <w:tcW w:w="3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3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$8.70 billion ± $200 million</w:t>
            </w:r>
          </w:p>
        </w:tc>
        <w:tc>
          <w:tcPr>
            <w:tcW w:w="2380" w:type="dxa"/>
            <w:vAlign w:val="bottom"/>
            <w:gridSpan w:val="2"/>
            <w:shd w:val="clear" w:color="auto" w:fill="D1D2D4"/>
          </w:tcPr>
          <w:p>
            <w:pPr>
              <w:jc w:val="center"/>
              <w:ind w:right="12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 billion ± $200 million</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160" w:type="dxa"/>
            <w:vAlign w:val="bottom"/>
          </w:tcPr>
          <w:p>
            <w:pPr>
              <w:jc w:val="right"/>
              <w:spacing w:after="0"/>
              <w:rPr>
                <w:sz w:val="20"/>
                <w:szCs w:val="20"/>
                <w:color w:val="auto"/>
              </w:rPr>
            </w:pPr>
            <w:r>
              <w:rPr>
                <w:rFonts w:ascii="Arial" w:cs="Arial" w:eastAsia="Arial" w:hAnsi="Arial"/>
                <w:sz w:val="18"/>
                <w:szCs w:val="18"/>
                <w:color w:val="auto"/>
              </w:rPr>
              <w:t>38.5% ± 1.0%</w:t>
            </w:r>
          </w:p>
        </w:tc>
        <w:tc>
          <w:tcPr>
            <w:tcW w:w="120" w:type="dxa"/>
            <w:vAlign w:val="bottom"/>
          </w:tcPr>
          <w:p>
            <w:pPr>
              <w:spacing w:after="0"/>
              <w:rPr>
                <w:sz w:val="19"/>
                <w:szCs w:val="19"/>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 A</w:t>
            </w:r>
          </w:p>
        </w:tc>
        <w:tc>
          <w:tcPr>
            <w:tcW w:w="2240" w:type="dxa"/>
            <w:vAlign w:val="bottom"/>
          </w:tcPr>
          <w:p>
            <w:pPr>
              <w:jc w:val="right"/>
              <w:spacing w:after="0"/>
              <w:rPr>
                <w:sz w:val="20"/>
                <w:szCs w:val="20"/>
                <w:color w:val="auto"/>
              </w:rPr>
            </w:pPr>
            <w:r>
              <w:rPr>
                <w:rFonts w:ascii="Arial" w:cs="Arial" w:eastAsia="Arial" w:hAnsi="Arial"/>
                <w:sz w:val="18"/>
                <w:szCs w:val="18"/>
                <w:color w:val="auto"/>
              </w:rPr>
              <w:t>39.5% ± 1.0%</w:t>
            </w:r>
          </w:p>
        </w:tc>
      </w:tr>
      <w:tr>
        <w:trPr>
          <w:trHeight w:val="230"/>
        </w:trPr>
        <w:tc>
          <w:tcPr>
            <w:tcW w:w="3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3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$1.211 billion ± $15 million</w:t>
            </w:r>
          </w:p>
        </w:tc>
        <w:tc>
          <w:tcPr>
            <w:tcW w:w="2380" w:type="dxa"/>
            <w:vAlign w:val="bottom"/>
            <w:gridSpan w:val="2"/>
            <w:shd w:val="clear" w:color="auto" w:fill="D1D2D4"/>
          </w:tcPr>
          <w:p>
            <w:pPr>
              <w:ind w:left="320"/>
              <w:spacing w:after="0"/>
              <w:rPr>
                <w:sz w:val="20"/>
                <w:szCs w:val="20"/>
                <w:color w:val="auto"/>
              </w:rPr>
            </w:pPr>
            <w:r>
              <w:rPr>
                <w:rFonts w:ascii="Arial" w:cs="Arial" w:eastAsia="Arial" w:hAnsi="Arial"/>
                <w:sz w:val="18"/>
                <w:szCs w:val="18"/>
                <w:color w:val="auto"/>
              </w:rPr>
              <w:t>$126 million B</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$1.085 billion ± $15 million</w:t>
            </w:r>
          </w:p>
        </w:tc>
      </w:tr>
      <w:tr>
        <w:trPr>
          <w:trHeight w:val="311"/>
        </w:trPr>
        <w:tc>
          <w:tcPr>
            <w:tcW w:w="330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160" w:type="dxa"/>
            <w:vAlign w:val="bottom"/>
          </w:tcPr>
          <w:p>
            <w:pPr>
              <w:jc w:val="right"/>
              <w:spacing w:after="0"/>
              <w:rPr>
                <w:sz w:val="20"/>
                <w:szCs w:val="20"/>
                <w:color w:val="auto"/>
              </w:rPr>
            </w:pPr>
            <w:r>
              <w:rPr>
                <w:rFonts w:ascii="Arial" w:cs="Arial" w:eastAsia="Arial" w:hAnsi="Arial"/>
                <w:sz w:val="18"/>
                <w:szCs w:val="18"/>
                <w:color w:val="auto"/>
              </w:rPr>
              <w:t>$1.54 ± $0.08</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$0.20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$1.74 ± $0.08</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Adjustments</w:t>
      </w:r>
    </w:p>
    <w:p>
      <w:pPr>
        <w:ind w:left="4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Stock-based compensation – cost of goods sold</w:t>
            </w:r>
          </w:p>
        </w:tc>
        <w:tc>
          <w:tcPr>
            <w:tcW w:w="100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240" w:type="dxa"/>
            <w:vAlign w:val="bottom"/>
          </w:tcPr>
          <w:p>
            <w:pPr>
              <w:ind w:left="20"/>
              <w:spacing w:after="0"/>
              <w:rPr>
                <w:sz w:val="20"/>
                <w:szCs w:val="20"/>
                <w:color w:val="auto"/>
              </w:rPr>
            </w:pPr>
            <w:r>
              <w:rPr>
                <w:rFonts w:ascii="Arial" w:cs="Arial" w:eastAsia="Arial" w:hAnsi="Arial"/>
                <w:sz w:val="18"/>
                <w:szCs w:val="18"/>
                <w:color w:val="auto"/>
              </w:rPr>
              <w:t>A</w:t>
            </w:r>
          </w:p>
        </w:tc>
        <w:tc>
          <w:tcPr>
            <w:tcW w:w="8700" w:type="dxa"/>
            <w:vAlign w:val="bottom"/>
          </w:tcPr>
          <w:p>
            <w:pPr>
              <w:ind w:left="100"/>
              <w:spacing w:after="0"/>
              <w:rPr>
                <w:sz w:val="20"/>
                <w:szCs w:val="20"/>
                <w:color w:val="auto"/>
              </w:rPr>
            </w:pPr>
            <w:r>
              <w:rPr>
                <w:rFonts w:ascii="Arial" w:cs="Arial" w:eastAsia="Arial" w:hAnsi="Arial"/>
                <w:sz w:val="18"/>
                <w:szCs w:val="18"/>
                <w:color w:val="auto"/>
              </w:rPr>
              <w:t>Other – cost of goods sold</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Stock-based compensation – research and development</w:t>
            </w:r>
          </w:p>
        </w:tc>
        <w:tc>
          <w:tcPr>
            <w:tcW w:w="10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240" w:type="dxa"/>
            <w:vAlign w:val="bottom"/>
          </w:tcPr>
          <w:p>
            <w:pPr>
              <w:ind w:left="20"/>
              <w:spacing w:after="0"/>
              <w:rPr>
                <w:sz w:val="20"/>
                <w:szCs w:val="20"/>
                <w:color w:val="auto"/>
              </w:rPr>
            </w:pPr>
            <w:r>
              <w:rPr>
                <w:rFonts w:ascii="Arial" w:cs="Arial" w:eastAsia="Arial" w:hAnsi="Arial"/>
                <w:sz w:val="18"/>
                <w:szCs w:val="18"/>
                <w:color w:val="auto"/>
              </w:rPr>
              <w:t>B</w:t>
            </w:r>
          </w:p>
        </w:tc>
        <w:tc>
          <w:tcPr>
            <w:tcW w:w="8700" w:type="dxa"/>
            <w:vAlign w:val="bottom"/>
          </w:tcPr>
          <w:p>
            <w:pPr>
              <w:ind w:left="100"/>
              <w:spacing w:after="0"/>
              <w:rPr>
                <w:sz w:val="20"/>
                <w:szCs w:val="20"/>
                <w:color w:val="auto"/>
              </w:rPr>
            </w:pPr>
            <w:r>
              <w:rPr>
                <w:rFonts w:ascii="Arial" w:cs="Arial" w:eastAsia="Arial" w:hAnsi="Arial"/>
                <w:sz w:val="18"/>
                <w:szCs w:val="18"/>
                <w:color w:val="auto"/>
              </w:rPr>
              <w:t>Stock-based compensation – sales, general, and administrative</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Tax effects of the above items and other tax adjustments</w:t>
            </w:r>
          </w:p>
        </w:tc>
        <w:tc>
          <w:tcPr>
            <w:tcW w:w="10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4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1"/>
        </w:trPr>
        <w:tc>
          <w:tcPr>
            <w:tcW w:w="2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1.12 billion diluted shares and non-GAAP earnings per share based on approximately 1.14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2024-09-25T15:11:25Z</dcterms:created>
  <dcterms:modified xsi:type="dcterms:W3CDTF">2024-09-25T15:11:25Z</dcterms:modified>
</cp:coreProperties>
</file>