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filed with the Securities and Exchange Commission on December 15, 2003</w:t>
      </w:r>
    </w:p>
    <w:p>
      <w:pPr>
        <w:spacing w:after="0" w:line="225" w:lineRule="exact"/>
        <w:rPr>
          <w:sz w:val="24"/>
          <w:szCs w:val="24"/>
          <w:color w:val="auto"/>
        </w:rPr>
      </w:pPr>
    </w:p>
    <w:p>
      <w:pPr>
        <w:ind w:left="9400"/>
        <w:spacing w:after="0"/>
        <w:rPr>
          <w:sz w:val="20"/>
          <w:szCs w:val="20"/>
          <w:color w:val="auto"/>
        </w:rPr>
      </w:pPr>
      <w:r>
        <w:rPr>
          <w:rFonts w:ascii="Arial" w:cs="Arial" w:eastAsia="Arial" w:hAnsi="Arial"/>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0" w:gutter="0" w:footer="0" w:header="0"/>
        </w:sectPr>
      </w:pPr>
    </w:p>
    <w:p>
      <w:pPr>
        <w:spacing w:after="0" w:line="20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75-1618004</w:t>
      </w:r>
    </w:p>
    <w:p>
      <w:pPr>
        <w:spacing w:after="0" w:line="21"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469" w:right="239" w:bottom="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469" w:right="239" w:bottom="0" w:gutter="0" w:footer="0" w:header="0"/>
          <w:type w:val="continuous"/>
        </w:sect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Micron Technology, Inc. 2001 Stock Option Plan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Micron Technology, Inc. 1989 Employee Stock Purchase Plan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plans)</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 G. Stover, Jr.</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208-368-4000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jc w:val="center"/>
        <w:ind w:left="420"/>
        <w:spacing w:after="0"/>
        <w:rPr>
          <w:sz w:val="20"/>
          <w:szCs w:val="20"/>
          <w:color w:val="auto"/>
        </w:rPr>
      </w:pPr>
      <w:r>
        <w:rPr>
          <w:rFonts w:ascii="Arial" w:cs="Arial" w:eastAsia="Arial" w:hAnsi="Arial"/>
          <w:sz w:val="12"/>
          <w:szCs w:val="12"/>
          <w:b w:val="1"/>
          <w:bCs w:val="1"/>
          <w:color w:val="auto"/>
        </w:rPr>
        <w:t>Title of securities</w:t>
      </w:r>
    </w:p>
    <w:p>
      <w:pPr>
        <w:spacing w:after="0" w:line="25" w:lineRule="exact"/>
        <w:rPr>
          <w:sz w:val="24"/>
          <w:szCs w:val="24"/>
          <w:color w:val="auto"/>
        </w:rPr>
      </w:pPr>
    </w:p>
    <w:p>
      <w:pPr>
        <w:jc w:val="center"/>
        <w:ind w:left="420"/>
        <w:spacing w:after="0"/>
        <w:rPr>
          <w:sz w:val="20"/>
          <w:szCs w:val="20"/>
          <w:color w:val="auto"/>
        </w:rPr>
      </w:pPr>
      <w:r>
        <w:rPr>
          <w:rFonts w:ascii="Arial" w:cs="Arial" w:eastAsia="Arial" w:hAnsi="Arial"/>
          <w:sz w:val="12"/>
          <w:szCs w:val="12"/>
          <w:b w:val="1"/>
          <w:bCs w:val="1"/>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Amount to be 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Proposed maximum offering</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price per share(2)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-3564890</wp:posOffset>
            </wp:positionH>
            <wp:positionV relativeFrom="paragraph">
              <wp:posOffset>212725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Proposed maximum aggregate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price(2)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Amount of fee(2)</w:t>
      </w:r>
    </w:p>
    <w:p>
      <w:pPr>
        <w:spacing w:after="0" w:line="236" w:lineRule="exact"/>
        <w:rPr>
          <w:sz w:val="24"/>
          <w:szCs w:val="24"/>
          <w:color w:val="auto"/>
        </w:rPr>
      </w:pPr>
    </w:p>
    <w:p>
      <w:pPr>
        <w:sectPr>
          <w:pgSz w:w="11900" w:h="16838" w:orient="portrait"/>
          <w:cols w:equalWidth="0" w:num="5">
            <w:col w:w="2980" w:space="720"/>
            <w:col w:w="1560" w:space="360"/>
            <w:col w:w="1660" w:space="320"/>
            <w:col w:w="1760" w:space="680"/>
            <w:col w:w="1380"/>
          </w:cols>
          <w:pgMar w:left="240" w:top="469" w:right="239" w:bottom="0" w:gutter="0" w:footer="0" w:header="0"/>
          <w:type w:val="continuous"/>
        </w:sectPr>
      </w:pP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$.10 par value per share, to be</w:t>
            </w:r>
          </w:p>
        </w:tc>
        <w:tc>
          <w:tcPr>
            <w:tcW w:w="18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8"/>
              </w:rPr>
              <w:t>issued pursuant to the Micron Technology, Inc.</w:t>
            </w:r>
          </w:p>
        </w:tc>
        <w:tc>
          <w:tcPr>
            <w:tcW w:w="18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2001 Stock Option Plan</w:t>
            </w:r>
          </w:p>
        </w:tc>
        <w:tc>
          <w:tcPr>
            <w:tcW w:w="184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6"/>
              </w:rPr>
              <w:t>17,000,000</w:t>
            </w:r>
          </w:p>
        </w:tc>
        <w:tc>
          <w:tcPr>
            <w:tcW w:w="18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$11.79</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$200,430,000</w:t>
            </w:r>
          </w:p>
        </w:tc>
        <w:tc>
          <w:tcPr>
            <w:tcW w:w="18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$16,214.79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00" w:type="dxa"/>
            <w:vAlign w:val="bottom"/>
            <w:gridSpan w:val="2"/>
          </w:tcPr>
          <w:p>
            <w:pPr>
              <w:spacing w:after="0"/>
              <w:rPr>
                <w:sz w:val="20"/>
                <w:szCs w:val="20"/>
                <w:color w:val="auto"/>
              </w:rPr>
            </w:pPr>
            <w:r>
              <w:rPr>
                <w:rFonts w:ascii="Arial" w:cs="Arial" w:eastAsia="Arial" w:hAnsi="Arial"/>
                <w:sz w:val="18"/>
                <w:szCs w:val="18"/>
                <w:color w:val="auto"/>
                <w:w w:val="98"/>
              </w:rPr>
              <w:t>Common Stock $.10 par value per share, to be</w:t>
            </w: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w w:val="98"/>
              </w:rPr>
              <w:t>issued pursuant to the Micron Technology, Inc.</w:t>
            </w:r>
          </w:p>
        </w:tc>
        <w:tc>
          <w:tcPr>
            <w:tcW w:w="1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1989 Employee Stock Purchase Plan</w:t>
            </w:r>
          </w:p>
        </w:tc>
        <w:tc>
          <w:tcPr>
            <w:tcW w:w="1840" w:type="dxa"/>
            <w:vAlign w:val="bottom"/>
          </w:tcPr>
          <w:p>
            <w:pPr>
              <w:jc w:val="center"/>
              <w:ind w:right="172"/>
              <w:spacing w:after="0"/>
              <w:rPr>
                <w:sz w:val="20"/>
                <w:szCs w:val="20"/>
                <w:color w:val="auto"/>
              </w:rPr>
            </w:pPr>
            <w:r>
              <w:rPr>
                <w:rFonts w:ascii="Arial" w:cs="Arial" w:eastAsia="Arial" w:hAnsi="Arial"/>
                <w:sz w:val="18"/>
                <w:szCs w:val="18"/>
                <w:color w:val="auto"/>
                <w:w w:val="87"/>
              </w:rPr>
              <w:t>5,000,000</w:t>
            </w:r>
          </w:p>
        </w:tc>
        <w:tc>
          <w:tcPr>
            <w:tcW w:w="1800" w:type="dxa"/>
            <w:vAlign w:val="bottom"/>
          </w:tcPr>
          <w:p>
            <w:pPr>
              <w:jc w:val="right"/>
              <w:ind w:right="572"/>
              <w:spacing w:after="0"/>
              <w:rPr>
                <w:sz w:val="20"/>
                <w:szCs w:val="20"/>
                <w:color w:val="auto"/>
              </w:rPr>
            </w:pPr>
            <w:r>
              <w:rPr>
                <w:rFonts w:ascii="Arial" w:cs="Arial" w:eastAsia="Arial" w:hAnsi="Arial"/>
                <w:sz w:val="18"/>
                <w:szCs w:val="18"/>
                <w:color w:val="auto"/>
              </w:rPr>
              <w:t>$11.79</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58,950,000</w:t>
            </w:r>
          </w:p>
        </w:tc>
        <w:tc>
          <w:tcPr>
            <w:tcW w:w="1880" w:type="dxa"/>
            <w:vAlign w:val="bottom"/>
          </w:tcPr>
          <w:p>
            <w:pPr>
              <w:jc w:val="center"/>
              <w:ind w:left="12"/>
              <w:spacing w:after="0"/>
              <w:rPr>
                <w:sz w:val="20"/>
                <w:szCs w:val="20"/>
                <w:color w:val="auto"/>
              </w:rPr>
            </w:pPr>
            <w:r>
              <w:rPr>
                <w:rFonts w:ascii="Arial" w:cs="Arial" w:eastAsia="Arial" w:hAnsi="Arial"/>
                <w:sz w:val="18"/>
                <w:szCs w:val="18"/>
                <w:color w:val="auto"/>
                <w:w w:val="88"/>
              </w:rPr>
              <w:t>4,769.06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6"/>
              </w:rPr>
              <w:t>22,000,000</w:t>
            </w:r>
          </w:p>
        </w:tc>
        <w:tc>
          <w:tcPr>
            <w:tcW w:w="18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$259,380,000</w:t>
            </w:r>
          </w:p>
        </w:tc>
        <w:tc>
          <w:tcPr>
            <w:tcW w:w="18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$20,983.85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left="540" w:right="80" w:hanging="532"/>
        <w:spacing w:after="0" w:line="30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to the extent additional shares of the Company's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87" w:lineRule="exact"/>
        <w:rPr>
          <w:rFonts w:ascii="Arial" w:cs="Arial" w:eastAsia="Arial" w:hAnsi="Arial"/>
          <w:sz w:val="16"/>
          <w:szCs w:val="16"/>
          <w:color w:val="auto"/>
        </w:rPr>
      </w:pPr>
    </w:p>
    <w:p>
      <w:pPr>
        <w:jc w:val="both"/>
        <w:ind w:left="540" w:right="10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of 1933, as amended, solely for the purpose of calculating the registration fee on the basis of $11.79 per share, which is the average of the high and low price of the Company's Common Stock as reported on the New York Stock Exchange on December 10, 2003.</w:t>
      </w:r>
    </w:p>
    <w:p>
      <w:pPr>
        <w:sectPr>
          <w:pgSz w:w="11900" w:h="16838" w:orient="portrait"/>
          <w:cols w:equalWidth="0" w:num="1">
            <w:col w:w="11420"/>
          </w:cols>
          <w:pgMar w:left="240" w:top="469" w:right="23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395605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i w:val="1"/>
          <w:iCs w:val="1"/>
          <w:color w:val="auto"/>
        </w:rPr>
        <w:t>Incorporation of Documents by Reference.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documents filed by the Company with the Securities and Exchange Commission are incorporated by reference in this Registration Statement:</w:t>
      </w:r>
    </w:p>
    <w:p>
      <w:pPr>
        <w:spacing w:after="0" w:line="248" w:lineRule="exact"/>
        <w:rPr>
          <w:sz w:val="20"/>
          <w:szCs w:val="20"/>
          <w:color w:val="auto"/>
        </w:rPr>
      </w:pPr>
    </w:p>
    <w:p>
      <w:pPr>
        <w:ind w:left="540" w:right="540" w:firstLine="359"/>
        <w:spacing w:after="0" w:line="268" w:lineRule="auto"/>
        <w:tabs>
          <w:tab w:leader="none" w:pos="1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28, 2003, filed pursuant to Section 13(a) of the Securities Exchange Act of 1934, as amended (the "Exchange Act") (File No. 1-10658).</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pursuant to Section 13(a) of the Exchange Act on September 24, 2003, and September 29, 2003, respectively (File No. 1-10658).</w:t>
      </w:r>
    </w:p>
    <w:p>
      <w:pPr>
        <w:spacing w:after="0" w:line="185" w:lineRule="exact"/>
        <w:rPr>
          <w:rFonts w:ascii="Arial" w:cs="Arial" w:eastAsia="Arial" w:hAnsi="Arial"/>
          <w:sz w:val="18"/>
          <w:szCs w:val="18"/>
          <w:color w:val="auto"/>
        </w:rPr>
      </w:pPr>
    </w:p>
    <w:p>
      <w:pPr>
        <w:ind w:left="540" w:right="200" w:firstLine="359"/>
        <w:spacing w:after="0" w:line="259" w:lineRule="auto"/>
        <w:tabs>
          <w:tab w:leader="none" w:pos="1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94"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i w:val="1"/>
          <w:i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i w:val="1"/>
          <w:iCs w:val="1"/>
          <w:color w:val="auto"/>
        </w:rPr>
        <w:t>Interests of Named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i w:val="1"/>
          <w:iCs w:val="1"/>
          <w:color w:val="auto"/>
        </w:rPr>
        <w:t>Indemnification of Directors and Officers.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3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i w:val="1"/>
          <w:iCs w:val="1"/>
          <w:color w:val="auto"/>
        </w:rPr>
        <w:t>Exemption from Registration Claimed.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i w:val="1"/>
          <w:iCs w:val="1"/>
          <w:color w:val="auto"/>
        </w:rPr>
        <w:t>Exhibits.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327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790" cy="21590"/>
                    </a:xfrm>
                    <a:prstGeom prst="rect">
                      <a:avLst/>
                    </a:prstGeom>
                    <a:noFill/>
                  </pic:spPr>
                </pic:pic>
              </a:graphicData>
            </a:graphic>
          </wp:anchor>
        </w:drawing>
      </w:r>
    </w:p>
    <w:p>
      <w:pPr>
        <w:spacing w:after="0" w:line="202"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Micron Technology, Inc. 1989 Employee Stock Purchase Plan.</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Micron Technology, Inc. 2001 Stock Option Plan.</w:t>
      </w:r>
    </w:p>
    <w:p>
      <w:pPr>
        <w:spacing w:after="0" w:line="22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Accountants.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Counsel (contained in Exhibit 5.1).</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ectPr>
          <w:pgSz w:w="11900" w:h="16838" w:orient="portrait"/>
          <w:cols w:equalWidth="0" w:num="1">
            <w:col w:w="11340"/>
          </w:cols>
          <w:pgMar w:left="240" w:top="1206" w:right="319" w:bottom="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i w:val="1"/>
          <w:iCs w:val="1"/>
          <w:color w:val="auto"/>
        </w:rPr>
        <w:t>Undertakings.</w:t>
      </w:r>
    </w:p>
    <w:p>
      <w:pPr>
        <w:sectPr>
          <w:pgSz w:w="11900" w:h="16838" w:orient="portrait"/>
          <w:cols w:equalWidth="0" w:num="1">
            <w:col w:w="11340"/>
          </w:cols>
          <w:pgMar w:left="240" w:top="1206" w:right="319" w:bottom="0" w:gutter="0" w:footer="0" w:header="0"/>
          <w:type w:val="continuous"/>
        </w:sectPr>
      </w:pPr>
    </w:p>
    <w:bookmarkStart w:id="2" w:name="page3"/>
    <w:bookmarkEnd w:id="2"/>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340" w:firstLine="403"/>
        <w:spacing w:after="0" w:line="259" w:lineRule="auto"/>
        <w:tabs>
          <w:tab w:leader="none" w:pos="177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94" w:lineRule="exact"/>
        <w:rPr>
          <w:rFonts w:ascii="Arial" w:cs="Arial" w:eastAsia="Arial" w:hAnsi="Arial"/>
          <w:sz w:val="18"/>
          <w:szCs w:val="18"/>
          <w:color w:val="auto"/>
        </w:rPr>
      </w:pPr>
    </w:p>
    <w:p>
      <w:pPr>
        <w:ind w:left="1080" w:right="20" w:firstLine="360"/>
        <w:spacing w:after="0" w:line="255" w:lineRule="auto"/>
        <w:tabs>
          <w:tab w:leader="none" w:pos="178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periodic reports filed with or furnished to the Securities and Exchange Commission by the Company pursuant to Section 13 or Section 15(d) of the Exchange Act that are incorporated by reference in the Registration Statement.</w:t>
      </w:r>
    </w:p>
    <w:p>
      <w:pPr>
        <w:spacing w:after="0" w:line="196" w:lineRule="exact"/>
        <w:rPr>
          <w:rFonts w:ascii="Arial" w:cs="Arial" w:eastAsia="Arial" w:hAnsi="Arial"/>
          <w:sz w:val="18"/>
          <w:szCs w:val="18"/>
          <w:color w:val="auto"/>
        </w:rPr>
      </w:pPr>
    </w:p>
    <w:p>
      <w:pPr>
        <w:ind w:left="540" w:right="180" w:firstLine="359"/>
        <w:spacing w:after="0" w:line="259" w:lineRule="auto"/>
        <w:tabs>
          <w:tab w:leader="none" w:pos="12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660" w:firstLine="359"/>
        <w:spacing w:after="0" w:line="268" w:lineRule="auto"/>
        <w:tabs>
          <w:tab w:leader="none" w:pos="12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20" w:firstLine="359"/>
        <w:spacing w:after="0" w:line="298" w:lineRule="auto"/>
        <w:tabs>
          <w:tab w:leader="none" w:pos="6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ind w:firstLine="359"/>
        <w:spacing w:after="0" w:line="259" w:lineRule="auto"/>
        <w:tabs>
          <w:tab w:leader="none" w:pos="67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270"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2003.</w:t>
      </w:r>
    </w:p>
    <w:p>
      <w:pPr>
        <w:spacing w:after="0" w:line="6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 G. Stover, Jr.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Vice President of Finance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p>
      <w:pPr>
        <w:spacing w:after="0"/>
        <w:tabs>
          <w:tab w:leader="none" w:pos="5960" w:val="left"/>
          <w:tab w:leader="none" w:pos="99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387"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w w:val="89"/>
              </w:rPr>
              <w:t>/s/ Steven R. Appleton</w:t>
            </w:r>
          </w:p>
        </w:tc>
        <w:tc>
          <w:tcPr>
            <w:tcW w:w="5020" w:type="dxa"/>
            <w:vAlign w:val="bottom"/>
          </w:tcPr>
          <w:p>
            <w:pPr>
              <w:ind w:left="220"/>
              <w:spacing w:after="0"/>
              <w:rPr>
                <w:sz w:val="20"/>
                <w:szCs w:val="20"/>
                <w:color w:val="auto"/>
              </w:rPr>
            </w:pPr>
            <w:r>
              <w:rPr>
                <w:rFonts w:ascii="Arial" w:cs="Arial" w:eastAsia="Arial" w:hAnsi="Arial"/>
                <w:sz w:val="18"/>
                <w:szCs w:val="18"/>
                <w:color w:val="auto"/>
                <w:w w:val="97"/>
              </w:rPr>
              <w:t>Chairman of the Board, Chief Executive Officer and President</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7"/>
        </w:trPr>
        <w:tc>
          <w:tcPr>
            <w:tcW w:w="3460" w:type="dxa"/>
            <w:vAlign w:val="bottom"/>
            <w:tcBorders>
              <w:bottom w:val="single" w:sz="8" w:color="808080"/>
            </w:tcBorders>
          </w:tcPr>
          <w:p>
            <w:pPr>
              <w:spacing w:after="0"/>
              <w:rPr>
                <w:sz w:val="11"/>
                <w:szCs w:val="11"/>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88"/>
              </w:rPr>
              <w:t>Steven R. Appleton</w:t>
            </w:r>
          </w:p>
        </w:tc>
        <w:tc>
          <w:tcPr>
            <w:tcW w:w="502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60" w:type="dxa"/>
            <w:vAlign w:val="bottom"/>
          </w:tcPr>
          <w:p>
            <w:pPr>
              <w:jc w:val="center"/>
              <w:spacing w:after="0"/>
              <w:rPr>
                <w:sz w:val="20"/>
                <w:szCs w:val="20"/>
                <w:color w:val="auto"/>
              </w:rPr>
            </w:pPr>
            <w:r>
              <w:rPr>
                <w:rFonts w:ascii="Arial" w:cs="Arial" w:eastAsia="Arial" w:hAnsi="Arial"/>
                <w:sz w:val="18"/>
                <w:szCs w:val="18"/>
                <w:color w:val="auto"/>
                <w:w w:val="86"/>
              </w:rPr>
              <w:t>/s/ W. G. Stover, Jr.</w:t>
            </w:r>
          </w:p>
        </w:tc>
        <w:tc>
          <w:tcPr>
            <w:tcW w:w="5020" w:type="dxa"/>
            <w:vAlign w:val="bottom"/>
          </w:tcPr>
          <w:p>
            <w:pPr>
              <w:ind w:left="220"/>
              <w:spacing w:after="0"/>
              <w:rPr>
                <w:sz w:val="20"/>
                <w:szCs w:val="20"/>
                <w:color w:val="auto"/>
              </w:rPr>
            </w:pPr>
            <w:r>
              <w:rPr>
                <w:rFonts w:ascii="Arial" w:cs="Arial" w:eastAsia="Arial" w:hAnsi="Arial"/>
                <w:sz w:val="18"/>
                <w:szCs w:val="18"/>
                <w:color w:val="auto"/>
                <w:w w:val="95"/>
              </w:rPr>
              <w:t>Vice President of Finance and Chief Financial Officer (Principal</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7"/>
        </w:trPr>
        <w:tc>
          <w:tcPr>
            <w:tcW w:w="3460" w:type="dxa"/>
            <w:vAlign w:val="bottom"/>
            <w:tcBorders>
              <w:bottom w:val="single" w:sz="8" w:color="808080"/>
            </w:tcBorders>
          </w:tcPr>
          <w:p>
            <w:pPr>
              <w:spacing w:after="0"/>
              <w:rPr>
                <w:sz w:val="11"/>
                <w:szCs w:val="11"/>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Financial and Accounting Officer)</w:t>
            </w: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87"/>
              </w:rPr>
              <w:t>W. G. Stover, Jr.</w:t>
            </w:r>
          </w:p>
        </w:tc>
        <w:tc>
          <w:tcPr>
            <w:tcW w:w="502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spacing w:after="0"/>
              <w:rPr>
                <w:sz w:val="20"/>
                <w:szCs w:val="20"/>
                <w:color w:val="auto"/>
              </w:rPr>
            </w:pPr>
            <w:r>
              <w:rPr>
                <w:rFonts w:ascii="Arial" w:cs="Arial" w:eastAsia="Arial" w:hAnsi="Arial"/>
                <w:sz w:val="18"/>
                <w:szCs w:val="18"/>
                <w:color w:val="auto"/>
                <w:w w:val="86"/>
              </w:rPr>
              <w:t>/s/ James W. Bagley</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5"/>
              </w:rPr>
              <w:t>James W. Bagley</w:t>
            </w:r>
          </w:p>
        </w:tc>
        <w:tc>
          <w:tcPr>
            <w:tcW w:w="5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spacing w:after="0"/>
              <w:rPr>
                <w:sz w:val="20"/>
                <w:szCs w:val="20"/>
                <w:color w:val="auto"/>
              </w:rPr>
            </w:pPr>
            <w:r>
              <w:rPr>
                <w:rFonts w:ascii="Arial" w:cs="Arial" w:eastAsia="Arial" w:hAnsi="Arial"/>
                <w:sz w:val="18"/>
                <w:szCs w:val="18"/>
                <w:color w:val="auto"/>
                <w:w w:val="91"/>
              </w:rPr>
              <w:t>/s/ Robert A. Lothrop</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91"/>
              </w:rPr>
              <w:t>Robert A. Lothrop</w:t>
            </w:r>
          </w:p>
        </w:tc>
        <w:tc>
          <w:tcPr>
            <w:tcW w:w="5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spacing w:after="0"/>
              <w:rPr>
                <w:sz w:val="20"/>
                <w:szCs w:val="20"/>
                <w:color w:val="auto"/>
              </w:rPr>
            </w:pPr>
            <w:r>
              <w:rPr>
                <w:rFonts w:ascii="Arial" w:cs="Arial" w:eastAsia="Arial" w:hAnsi="Arial"/>
                <w:sz w:val="18"/>
                <w:szCs w:val="18"/>
                <w:color w:val="auto"/>
                <w:w w:val="88"/>
              </w:rPr>
              <w:t>/s/ Thomas T. Nicholson</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9"/>
              </w:rPr>
              <w:t>Thomas T. Nicholson</w:t>
            </w:r>
          </w:p>
        </w:tc>
        <w:tc>
          <w:tcPr>
            <w:tcW w:w="5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spacing w:after="0"/>
              <w:rPr>
                <w:sz w:val="20"/>
                <w:szCs w:val="20"/>
                <w:color w:val="auto"/>
              </w:rPr>
            </w:pPr>
            <w:r>
              <w:rPr>
                <w:rFonts w:ascii="Arial" w:cs="Arial" w:eastAsia="Arial" w:hAnsi="Arial"/>
                <w:sz w:val="18"/>
                <w:szCs w:val="18"/>
                <w:color w:val="auto"/>
                <w:w w:val="89"/>
              </w:rPr>
              <w:t>/s/ Gordon C. Smith</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9"/>
              </w:rPr>
              <w:t>Gordon C. Smith</w:t>
            </w:r>
          </w:p>
        </w:tc>
        <w:tc>
          <w:tcPr>
            <w:tcW w:w="5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spacing w:after="0"/>
              <w:rPr>
                <w:sz w:val="20"/>
                <w:szCs w:val="20"/>
                <w:color w:val="auto"/>
              </w:rPr>
            </w:pPr>
            <w:r>
              <w:rPr>
                <w:rFonts w:ascii="Arial" w:cs="Arial" w:eastAsia="Arial" w:hAnsi="Arial"/>
                <w:sz w:val="18"/>
                <w:szCs w:val="18"/>
                <w:color w:val="auto"/>
                <w:w w:val="88"/>
              </w:rPr>
              <w:t>/s/ William P. Weber</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260"/>
              <w:spacing w:after="0"/>
              <w:rPr>
                <w:sz w:val="20"/>
                <w:szCs w:val="20"/>
                <w:color w:val="auto"/>
              </w:rPr>
            </w:pPr>
            <w:r>
              <w:rPr>
                <w:rFonts w:ascii="Arial" w:cs="Arial" w:eastAsia="Arial" w:hAnsi="Arial"/>
                <w:sz w:val="18"/>
                <w:szCs w:val="18"/>
                <w:color w:val="auto"/>
              </w:rPr>
              <w:t>December 12, 2003</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9"/>
              </w:rPr>
              <w:t>William P. Weber</w:t>
            </w:r>
          </w:p>
        </w:tc>
        <w:tc>
          <w:tcPr>
            <w:tcW w:w="5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spacing w:after="0"/>
              <w:rPr>
                <w:sz w:val="24"/>
                <w:szCs w:val="24"/>
                <w:color w:val="auto"/>
              </w:rPr>
            </w:pPr>
          </w:p>
        </w:tc>
        <w:tc>
          <w:tcPr>
            <w:tcW w:w="5020" w:type="dxa"/>
            <w:vAlign w:val="bottom"/>
          </w:tcPr>
          <w:p>
            <w:pPr>
              <w:ind w:left="2220"/>
              <w:spacing w:after="0"/>
              <w:rPr>
                <w:sz w:val="20"/>
                <w:szCs w:val="20"/>
                <w:color w:val="auto"/>
              </w:rPr>
            </w:pPr>
            <w:r>
              <w:rPr>
                <w:rFonts w:ascii="Arial" w:cs="Arial" w:eastAsia="Arial" w:hAnsi="Arial"/>
                <w:sz w:val="18"/>
                <w:szCs w:val="18"/>
                <w:color w:val="auto"/>
              </w:rPr>
              <w:t>5</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-4044950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-3479165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-2912745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-2346960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-1781175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-1214755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-648970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31" w:right="239" w:bottom="1440" w:gutter="0" w:footer="0" w:header="0"/>
        </w:sect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57848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81280</wp:posOffset>
            </wp:positionV>
            <wp:extent cx="497840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040" w:space="720"/>
            <w:col w:w="6660"/>
          </w:cols>
          <w:pgMar w:left="240" w:top="131" w:right="239" w:bottom="1440" w:gutter="0" w:footer="0" w:header="0"/>
          <w:type w:val="continuous"/>
        </w:sectPr>
      </w:pPr>
    </w:p>
    <w:p>
      <w:pPr>
        <w:spacing w:after="0" w:line="44"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Micron Technology, Inc. 1989 Employee Stock Purchase Plan.</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Micron Technology, Inc. 2001 Stock Option Plan.</w:t>
      </w:r>
    </w:p>
    <w:p>
      <w:pPr>
        <w:spacing w:after="0" w:line="22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Accountants.</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Counsel (contained in Exhibit 5.1).</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PART II INFORMATION REQUIRED IN THE REGISTRATION STATEMENT</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Incorporation of Documents by Reference.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4. Description of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5. Interests of Named Experts and Counsel.</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6.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7. Exemption from Registration Claimed.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8.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9.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line="54" w:lineRule="exact"/>
        <w:rPr>
          <w:sz w:val="20"/>
          <w:szCs w:val="20"/>
          <w:color w:val="auto"/>
        </w:rPr>
      </w:pPr>
    </w:p>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4.7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1989 EMPLOYEE STOCK PURCHASE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5" w:lineRule="exact"/>
        <w:rPr>
          <w:sz w:val="20"/>
          <w:szCs w:val="20"/>
          <w:color w:val="auto"/>
        </w:rPr>
      </w:pPr>
    </w:p>
    <w:p>
      <w:pPr>
        <w:ind w:right="20" w:firstLine="359"/>
        <w:spacing w:after="0" w:line="256" w:lineRule="auto"/>
        <w:tabs>
          <w:tab w:leader="none" w:pos="65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purpose of the Plan is to provide employees of the Company and its Designated Subsidiaries with an opportunity to purchase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shall mean the committee of the Board appointed by the Board to administer the Plan, if any is appointed.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shall mean the Common Stock, $.10 par value,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mean Micron Technology, Inc., a Delaware corporation.</w:t>
      </w:r>
    </w:p>
    <w:p>
      <w:pPr>
        <w:spacing w:after="0" w:line="225" w:lineRule="exact"/>
        <w:rPr>
          <w:rFonts w:ascii="Arial" w:cs="Arial" w:eastAsia="Arial" w:hAnsi="Arial"/>
          <w:sz w:val="18"/>
          <w:szCs w:val="18"/>
          <w:color w:val="auto"/>
        </w:rPr>
      </w:pPr>
    </w:p>
    <w:p>
      <w:pPr>
        <w:jc w:val="both"/>
        <w:ind w:left="540" w:right="580" w:firstLine="359"/>
        <w:spacing w:after="0" w:line="256" w:lineRule="auto"/>
        <w:tabs>
          <w:tab w:leader="none" w:pos="1242"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w:t>
      </w:r>
      <w:r>
        <w:rPr>
          <w:rFonts w:ascii="Arial" w:cs="Arial" w:eastAsia="Arial" w:hAnsi="Arial"/>
          <w:sz w:val="18"/>
          <w:szCs w:val="18"/>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97" w:lineRule="exact"/>
        <w:rPr>
          <w:sz w:val="20"/>
          <w:szCs w:val="20"/>
          <w:color w:val="auto"/>
        </w:rPr>
      </w:pPr>
    </w:p>
    <w:p>
      <w:pPr>
        <w:jc w:val="both"/>
        <w:ind w:left="540" w:right="20" w:firstLine="351"/>
        <w:spacing w:after="0" w:line="284" w:lineRule="auto"/>
        <w:rPr>
          <w:sz w:val="20"/>
          <w:szCs w:val="20"/>
          <w:color w:val="auto"/>
        </w:rPr>
      </w:pPr>
      <w:r>
        <w:rPr>
          <w:rFonts w:ascii="Arial" w:cs="Arial" w:eastAsia="Arial" w:hAnsi="Arial"/>
          <w:sz w:val="16"/>
          <w:szCs w:val="16"/>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w:t>
      </w:r>
    </w:p>
    <w:p>
      <w:pPr>
        <w:spacing w:after="0" w:line="1" w:lineRule="exact"/>
        <w:rPr>
          <w:sz w:val="20"/>
          <w:szCs w:val="20"/>
          <w:color w:val="auto"/>
        </w:rPr>
      </w:pPr>
    </w:p>
    <w:p>
      <w:pPr>
        <w:ind w:left="540" w:right="20" w:firstLine="8"/>
        <w:spacing w:after="0" w:line="288" w:lineRule="auto"/>
        <w:tabs>
          <w:tab w:leader="none" w:pos="78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6" w:lineRule="exact"/>
        <w:rPr>
          <w:rFonts w:ascii="Arial" w:cs="Arial" w:eastAsia="Arial" w:hAnsi="Arial"/>
          <w:sz w:val="16"/>
          <w:szCs w:val="16"/>
          <w:color w:val="auto"/>
        </w:rPr>
      </w:pPr>
    </w:p>
    <w:p>
      <w:pPr>
        <w:ind w:left="540" w:right="100" w:firstLine="359"/>
        <w:spacing w:after="0" w:line="306" w:lineRule="auto"/>
        <w:tabs>
          <w:tab w:leader="none" w:pos="1228"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60" w:lineRule="exact"/>
        <w:rPr>
          <w:rFonts w:ascii="Arial" w:cs="Arial" w:eastAsia="Arial" w:hAnsi="Arial"/>
          <w:sz w:val="16"/>
          <w:szCs w:val="16"/>
          <w:color w:val="auto"/>
        </w:rPr>
      </w:pPr>
    </w:p>
    <w:p>
      <w:pPr>
        <w:ind w:left="540" w:right="480" w:firstLine="359"/>
        <w:spacing w:after="0" w:line="268" w:lineRule="auto"/>
        <w:tabs>
          <w:tab w:leader="none" w:pos="1228"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40" w:right="220" w:firstLine="359"/>
        <w:spacing w:after="0" w:line="268" w:lineRule="auto"/>
        <w:tabs>
          <w:tab w:leader="none" w:pos="1232"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shall mean any person, including an officer, who is continuously employed for at least twenty (20) hours per week and more than five (5) months in a calendar year by the Company or one of its Designated Subsidiaries.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Enrollment Date</w:t>
      </w:r>
      <w:r>
        <w:rPr>
          <w:rFonts w:ascii="Arial" w:cs="Arial" w:eastAsia="Arial" w:hAnsi="Arial"/>
          <w:sz w:val="18"/>
          <w:szCs w:val="18"/>
          <w:color w:val="auto"/>
        </w:rPr>
        <w:t>" shall mean the first day of each Offering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Exercise Date</w:t>
      </w:r>
      <w:r>
        <w:rPr>
          <w:rFonts w:ascii="Arial" w:cs="Arial" w:eastAsia="Arial" w:hAnsi="Arial"/>
          <w:sz w:val="18"/>
          <w:szCs w:val="18"/>
          <w:color w:val="auto"/>
        </w:rPr>
        <w:t>" shall mean the last Trading Day of each Offering Period of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left="1080" w:firstLine="447"/>
        <w:spacing w:after="0" w:line="255" w:lineRule="auto"/>
        <w:tabs>
          <w:tab w:leader="none" w:pos="1772"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8"/>
          <w:szCs w:val="18"/>
          <w:i w:val="1"/>
          <w:iCs w:val="1"/>
          <w:color w:val="auto"/>
        </w:rPr>
        <w:t>Bloomberg L.P.</w:t>
      </w:r>
      <w:r>
        <w:rPr>
          <w:rFonts w:ascii="Arial" w:cs="Arial" w:eastAsia="Arial" w:hAnsi="Arial"/>
          <w:sz w:val="18"/>
          <w:szCs w:val="18"/>
          <w:color w:val="auto"/>
        </w:rPr>
        <w:t xml:space="preserve"> or such other source as the Administrator deems reliable;</w:t>
      </w:r>
    </w:p>
    <w:p>
      <w:pPr>
        <w:spacing w:after="0" w:line="196" w:lineRule="exact"/>
        <w:rPr>
          <w:rFonts w:ascii="Arial" w:cs="Arial" w:eastAsia="Arial" w:hAnsi="Arial"/>
          <w:sz w:val="18"/>
          <w:szCs w:val="18"/>
          <w:color w:val="auto"/>
        </w:rPr>
      </w:pPr>
    </w:p>
    <w:p>
      <w:pPr>
        <w:jc w:val="both"/>
        <w:ind w:left="1080" w:right="20" w:firstLine="403"/>
        <w:spacing w:after="0" w:line="256" w:lineRule="auto"/>
        <w:tabs>
          <w:tab w:leader="none" w:pos="1777"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L.P.</w:t>
      </w:r>
      <w:r>
        <w:rPr>
          <w:rFonts w:ascii="Arial" w:cs="Arial" w:eastAsia="Arial" w:hAnsi="Arial"/>
          <w:sz w:val="18"/>
          <w:szCs w:val="18"/>
          <w:color w:val="auto"/>
        </w:rPr>
        <w:t xml:space="preserve"> or such other source as the Administrator deems reliable;</w:t>
      </w:r>
    </w:p>
    <w:p>
      <w:pPr>
        <w:spacing w:after="0" w:line="197" w:lineRule="exact"/>
        <w:rPr>
          <w:rFonts w:ascii="Arial" w:cs="Arial" w:eastAsia="Arial" w:hAnsi="Arial"/>
          <w:sz w:val="18"/>
          <w:szCs w:val="18"/>
          <w:color w:val="auto"/>
        </w:rPr>
      </w:pPr>
    </w:p>
    <w:p>
      <w:pPr>
        <w:ind w:left="1080" w:right="760" w:firstLine="360"/>
        <w:spacing w:after="0" w:line="268" w:lineRule="auto"/>
        <w:tabs>
          <w:tab w:leader="none" w:pos="1782"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in good faith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92" w:orient="portrait"/>
          <w:cols w:equalWidth="0" w:num="1">
            <w:col w:w="11420"/>
          </w:cols>
          <w:pgMar w:left="240" w:top="361" w:right="239" w:bottom="0" w:gutter="0" w:footer="0" w:header="0"/>
        </w:sectPr>
      </w:pPr>
    </w:p>
    <w:bookmarkStart w:id="5" w:name="page6"/>
    <w:bookmarkEnd w:id="5"/>
    <w:p>
      <w:pPr>
        <w:spacing w:after="0" w:line="52" w:lineRule="exact"/>
        <w:rPr>
          <w:sz w:val="20"/>
          <w:szCs w:val="20"/>
          <w:color w:val="auto"/>
        </w:rPr>
      </w:pPr>
    </w:p>
    <w:p>
      <w:pPr>
        <w:ind w:left="881" w:hanging="341"/>
        <w:spacing w:after="0"/>
        <w:tabs>
          <w:tab w:leader="none" w:pos="881"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shall mean a period of three (3) months during which an option granted pursuant to the Plan may be exercised.</w:t>
      </w:r>
    </w:p>
    <w:p>
      <w:pPr>
        <w:spacing w:after="0" w:line="248" w:lineRule="exact"/>
        <w:rPr>
          <w:rFonts w:ascii="Arial" w:cs="Arial" w:eastAsia="Arial" w:hAnsi="Arial"/>
          <w:sz w:val="16"/>
          <w:szCs w:val="16"/>
          <w:color w:val="auto"/>
        </w:rPr>
      </w:pPr>
    </w:p>
    <w:p>
      <w:pPr>
        <w:ind w:left="881" w:hanging="341"/>
        <w:spacing w:after="0"/>
        <w:tabs>
          <w:tab w:leader="none" w:pos="88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this Employee Stock Purchase Plan.</w:t>
      </w:r>
    </w:p>
    <w:p>
      <w:pPr>
        <w:spacing w:after="0" w:line="225" w:lineRule="exact"/>
        <w:rPr>
          <w:rFonts w:ascii="Arial" w:cs="Arial" w:eastAsia="Arial" w:hAnsi="Arial"/>
          <w:sz w:val="18"/>
          <w:szCs w:val="18"/>
          <w:color w:val="auto"/>
        </w:rPr>
      </w:pPr>
    </w:p>
    <w:p>
      <w:pPr>
        <w:ind w:left="181" w:right="500" w:firstLine="359"/>
        <w:spacing w:after="0" w:line="332" w:lineRule="auto"/>
        <w:tabs>
          <w:tab w:leader="none" w:pos="868"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39" w:lineRule="exact"/>
        <w:rPr>
          <w:rFonts w:ascii="Arial" w:cs="Arial" w:eastAsia="Arial" w:hAnsi="Arial"/>
          <w:sz w:val="16"/>
          <w:szCs w:val="16"/>
          <w:color w:val="auto"/>
        </w:rPr>
      </w:pPr>
    </w:p>
    <w:p>
      <w:pPr>
        <w:ind w:left="881" w:hanging="341"/>
        <w:spacing w:after="0"/>
        <w:tabs>
          <w:tab w:leader="none" w:pos="88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shall mean a day on which the national stock exchanges and Nasdaq system are open for trading.</w:t>
      </w:r>
    </w:p>
    <w:p>
      <w:pPr>
        <w:spacing w:after="0" w:line="225" w:lineRule="exact"/>
        <w:rPr>
          <w:rFonts w:ascii="Arial" w:cs="Arial" w:eastAsia="Arial" w:hAnsi="Arial"/>
          <w:sz w:val="18"/>
          <w:szCs w:val="18"/>
          <w:color w:val="auto"/>
        </w:rPr>
      </w:pPr>
    </w:p>
    <w:p>
      <w:pPr>
        <w:ind w:left="301" w:hanging="301"/>
        <w:spacing w:after="0"/>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rFonts w:ascii="Arial" w:cs="Arial" w:eastAsia="Arial" w:hAnsi="Arial"/>
          <w:sz w:val="18"/>
          <w:szCs w:val="18"/>
          <w:color w:val="auto"/>
        </w:rPr>
      </w:pPr>
    </w:p>
    <w:p>
      <w:pPr>
        <w:ind w:left="181" w:right="40" w:firstLine="359"/>
        <w:spacing w:after="0" w:line="268" w:lineRule="auto"/>
        <w:tabs>
          <w:tab w:leader="none" w:pos="84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Employee as defined in paragraph 2 who is employed by the Company or any Subsidiary of the Company on a given Enrollment Date shall be eligible to participate in the Plan.</w:t>
      </w:r>
    </w:p>
    <w:p>
      <w:pPr>
        <w:spacing w:after="0" w:line="185" w:lineRule="exact"/>
        <w:rPr>
          <w:rFonts w:ascii="Arial" w:cs="Arial" w:eastAsia="Arial" w:hAnsi="Arial"/>
          <w:sz w:val="18"/>
          <w:szCs w:val="18"/>
          <w:color w:val="auto"/>
        </w:rPr>
      </w:pPr>
    </w:p>
    <w:p>
      <w:pPr>
        <w:ind w:left="181" w:right="20" w:firstLine="359"/>
        <w:spacing w:after="0" w:line="291" w:lineRule="auto"/>
        <w:tabs>
          <w:tab w:leader="none" w:pos="859"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74" w:lineRule="exact"/>
        <w:rPr>
          <w:rFonts w:ascii="Arial" w:cs="Arial" w:eastAsia="Arial" w:hAnsi="Arial"/>
          <w:sz w:val="16"/>
          <w:szCs w:val="16"/>
          <w:color w:val="auto"/>
        </w:rPr>
      </w:pPr>
    </w:p>
    <w:p>
      <w:pPr>
        <w:ind w:left="181" w:right="220" w:firstLine="359"/>
        <w:spacing w:after="0" w:line="332" w:lineRule="auto"/>
        <w:tabs>
          <w:tab w:leader="none" w:pos="849"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91440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1" w:right="60"/>
        <w:spacing w:after="0" w:line="268" w:lineRule="auto"/>
        <w:rPr>
          <w:sz w:val="20"/>
          <w:szCs w:val="20"/>
          <w:color w:val="auto"/>
        </w:rPr>
      </w:pPr>
      <w:r>
        <w:rPr>
          <w:rFonts w:ascii="Arial" w:cs="Arial" w:eastAsia="Arial" w:hAnsi="Arial"/>
          <w:sz w:val="18"/>
          <w:szCs w:val="18"/>
          <w:color w:val="auto"/>
        </w:rPr>
        <w:t>Section 14(c) that is not designed to qualify under Section 423 of the Code need not have the same rights and privileges as Employees participating in the Code Section 423 plan.</w:t>
      </w:r>
    </w:p>
    <w:p>
      <w:pPr>
        <w:spacing w:after="0" w:line="186" w:lineRule="exact"/>
        <w:rPr>
          <w:sz w:val="20"/>
          <w:szCs w:val="20"/>
          <w:color w:val="auto"/>
        </w:rPr>
      </w:pPr>
    </w:p>
    <w:p>
      <w:pPr>
        <w:ind w:left="-359" w:right="20" w:firstLine="359"/>
        <w:spacing w:after="0" w:line="255" w:lineRule="auto"/>
        <w:tabs>
          <w:tab w:leader="none" w:pos="29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The Plan shall be implemented by consecutive Offering Periods with a new Offering Period commencing on or about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96" w:lineRule="exact"/>
        <w:rPr>
          <w:rFonts w:ascii="Arial" w:cs="Arial" w:eastAsia="Arial" w:hAnsi="Arial"/>
          <w:sz w:val="18"/>
          <w:szCs w:val="18"/>
          <w:color w:val="auto"/>
        </w:rPr>
      </w:pPr>
    </w:p>
    <w:p>
      <w:pPr>
        <w:ind w:left="301" w:hanging="301"/>
        <w:spacing w:after="0"/>
        <w:tabs>
          <w:tab w:leader="none" w:pos="30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Participation.</w:t>
      </w:r>
    </w:p>
    <w:p>
      <w:pPr>
        <w:spacing w:after="0" w:line="225" w:lineRule="exact"/>
        <w:rPr>
          <w:rFonts w:ascii="Arial" w:cs="Arial" w:eastAsia="Arial" w:hAnsi="Arial"/>
          <w:sz w:val="18"/>
          <w:szCs w:val="18"/>
          <w:color w:val="auto"/>
        </w:rPr>
      </w:pPr>
    </w:p>
    <w:p>
      <w:pPr>
        <w:ind w:left="181" w:right="20" w:firstLine="359"/>
        <w:spacing w:after="0" w:line="306" w:lineRule="auto"/>
        <w:tabs>
          <w:tab w:leader="none" w:pos="849" w:val="left"/>
        </w:tabs>
        <w:numPr>
          <w:ilvl w:val="2"/>
          <w:numId w:val="8"/>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160" w:lineRule="exact"/>
        <w:rPr>
          <w:rFonts w:ascii="Arial" w:cs="Arial" w:eastAsia="Arial" w:hAnsi="Arial"/>
          <w:sz w:val="16"/>
          <w:szCs w:val="16"/>
          <w:color w:val="auto"/>
        </w:rPr>
      </w:pPr>
    </w:p>
    <w:p>
      <w:pPr>
        <w:ind w:left="181" w:right="260" w:firstLine="359"/>
        <w:spacing w:after="0" w:line="332" w:lineRule="auto"/>
        <w:tabs>
          <w:tab w:leader="none" w:pos="868" w:val="left"/>
        </w:tabs>
        <w:numPr>
          <w:ilvl w:val="2"/>
          <w:numId w:val="8"/>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39"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Payroll Deductions.</w:t>
      </w:r>
    </w:p>
    <w:p>
      <w:pPr>
        <w:spacing w:after="0" w:line="225" w:lineRule="exact"/>
        <w:rPr>
          <w:rFonts w:ascii="Arial" w:cs="Arial" w:eastAsia="Arial" w:hAnsi="Arial"/>
          <w:sz w:val="18"/>
          <w:szCs w:val="18"/>
          <w:color w:val="auto"/>
        </w:rPr>
      </w:pPr>
    </w:p>
    <w:p>
      <w:pPr>
        <w:ind w:left="181" w:right="80" w:firstLine="359"/>
        <w:spacing w:after="0" w:line="298" w:lineRule="auto"/>
        <w:tabs>
          <w:tab w:leader="none" w:pos="849" w:val="left"/>
        </w:tabs>
        <w:numPr>
          <w:ilvl w:val="2"/>
          <w:numId w:val="8"/>
        </w:numPr>
        <w:rPr>
          <w:rFonts w:ascii="Arial" w:cs="Arial" w:eastAsia="Arial" w:hAnsi="Arial"/>
          <w:sz w:val="16"/>
          <w:szCs w:val="16"/>
          <w:color w:val="auto"/>
        </w:rPr>
      </w:pPr>
      <w:r>
        <w:rPr>
          <w:rFonts w:ascii="Arial" w:cs="Arial" w:eastAsia="Arial" w:hAnsi="Arial"/>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66" w:lineRule="exact"/>
        <w:rPr>
          <w:rFonts w:ascii="Arial" w:cs="Arial" w:eastAsia="Arial" w:hAnsi="Arial"/>
          <w:sz w:val="16"/>
          <w:szCs w:val="16"/>
          <w:color w:val="auto"/>
        </w:rPr>
      </w:pPr>
    </w:p>
    <w:p>
      <w:pPr>
        <w:ind w:left="181" w:right="220" w:firstLine="359"/>
        <w:spacing w:after="0" w:line="268" w:lineRule="auto"/>
        <w:tabs>
          <w:tab w:leader="none" w:pos="859"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85" w:lineRule="exact"/>
        <w:rPr>
          <w:rFonts w:ascii="Arial" w:cs="Arial" w:eastAsia="Arial" w:hAnsi="Arial"/>
          <w:sz w:val="18"/>
          <w:szCs w:val="18"/>
          <w:color w:val="auto"/>
        </w:rPr>
      </w:pPr>
    </w:p>
    <w:p>
      <w:pPr>
        <w:ind w:left="181" w:firstLine="359"/>
        <w:spacing w:after="0" w:line="259" w:lineRule="auto"/>
        <w:tabs>
          <w:tab w:leader="none" w:pos="849" w:val="left"/>
        </w:tabs>
        <w:numPr>
          <w:ilvl w:val="2"/>
          <w:numId w:val="8"/>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94" w:lineRule="exact"/>
        <w:rPr>
          <w:rFonts w:ascii="Arial" w:cs="Arial" w:eastAsia="Arial" w:hAnsi="Arial"/>
          <w:sz w:val="18"/>
          <w:szCs w:val="18"/>
          <w:color w:val="auto"/>
        </w:rPr>
      </w:pPr>
    </w:p>
    <w:p>
      <w:pPr>
        <w:ind w:left="181" w:right="80" w:firstLine="359"/>
        <w:spacing w:after="0" w:line="294" w:lineRule="auto"/>
        <w:tabs>
          <w:tab w:leader="none" w:pos="868" w:val="left"/>
        </w:tabs>
        <w:numPr>
          <w:ilvl w:val="2"/>
          <w:numId w:val="8"/>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69"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Grant of Option.</w:t>
      </w:r>
    </w:p>
    <w:p>
      <w:pPr>
        <w:spacing w:after="0" w:line="225" w:lineRule="exact"/>
        <w:rPr>
          <w:rFonts w:ascii="Arial" w:cs="Arial" w:eastAsia="Arial" w:hAnsi="Arial"/>
          <w:sz w:val="18"/>
          <w:szCs w:val="18"/>
          <w:color w:val="auto"/>
        </w:rPr>
      </w:pPr>
    </w:p>
    <w:p>
      <w:pPr>
        <w:jc w:val="both"/>
        <w:ind w:left="181" w:right="200" w:firstLine="359"/>
        <w:spacing w:after="0" w:line="303" w:lineRule="auto"/>
        <w:tabs>
          <w:tab w:leader="none" w:pos="859" w:val="left"/>
        </w:tabs>
        <w:numPr>
          <w:ilvl w:val="2"/>
          <w:numId w:val="8"/>
        </w:numPr>
        <w:rPr>
          <w:rFonts w:ascii="Arial" w:cs="Arial" w:eastAsia="Arial" w:hAnsi="Arial"/>
          <w:sz w:val="15"/>
          <w:szCs w:val="15"/>
          <w:color w:val="auto"/>
        </w:rPr>
      </w:pPr>
      <w:r>
        <w:rPr>
          <w:rFonts w:ascii="Arial" w:cs="Arial" w:eastAsia="Arial" w:hAnsi="Arial"/>
          <w:sz w:val="15"/>
          <w:szCs w:val="15"/>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w:t>
      </w:r>
    </w:p>
    <w:p>
      <w:pPr>
        <w:spacing w:after="0" w:line="1" w:lineRule="exact"/>
        <w:rPr>
          <w:rFonts w:ascii="Arial" w:cs="Arial" w:eastAsia="Arial" w:hAnsi="Arial"/>
          <w:sz w:val="15"/>
          <w:szCs w:val="15"/>
          <w:color w:val="auto"/>
        </w:rPr>
      </w:pPr>
    </w:p>
    <w:p>
      <w:pPr>
        <w:ind w:left="401" w:hanging="212"/>
        <w:spacing w:after="0"/>
        <w:tabs>
          <w:tab w:leader="none" w:pos="401" w:val="left"/>
        </w:tabs>
        <w:numPr>
          <w:ilvl w:val="1"/>
          <w:numId w:val="8"/>
        </w:numPr>
        <w:rPr>
          <w:rFonts w:ascii="Arial" w:cs="Arial" w:eastAsia="Arial" w:hAnsi="Arial"/>
          <w:sz w:val="18"/>
          <w:szCs w:val="18"/>
          <w:color w:val="auto"/>
        </w:rPr>
      </w:pPr>
      <w:r>
        <w:rPr>
          <w:rFonts w:ascii="Arial" w:cs="Arial" w:eastAsia="Arial" w:hAnsi="Arial"/>
          <w:sz w:val="18"/>
          <w:szCs w:val="18"/>
          <w:color w:val="auto"/>
        </w:rPr>
        <w:t>eighty-five percent (85%) of the Fair Market Value of a share of the Company's Common Stock on the Enrollment Date or</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81" w:right="40" w:firstLine="8"/>
        <w:spacing w:after="0" w:line="306" w:lineRule="auto"/>
        <w:tabs>
          <w:tab w:leader="none" w:pos="439" w:val="left"/>
        </w:tabs>
        <w:numPr>
          <w:ilvl w:val="1"/>
          <w:numId w:val="8"/>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-597535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91" w:orient="portrait"/>
          <w:cols w:equalWidth="0" w:num="1">
            <w:col w:w="11041"/>
          </w:cols>
          <w:pgMar w:left="599" w:top="131" w:right="259" w:bottom="0" w:gutter="0" w:footer="0" w:header="0"/>
        </w:sectPr>
      </w:pPr>
    </w:p>
    <w:bookmarkStart w:id="6" w:name="page7"/>
    <w:bookmarkEnd w:id="6"/>
    <w:p>
      <w:pPr>
        <w:ind w:left="181" w:right="360"/>
        <w:spacing w:after="0" w:line="268" w:lineRule="auto"/>
        <w:rPr>
          <w:sz w:val="20"/>
          <w:szCs w:val="20"/>
          <w:color w:val="auto"/>
        </w:rPr>
      </w:pPr>
      <w:r>
        <w:rPr>
          <w:rFonts w:ascii="Arial" w:cs="Arial" w:eastAsia="Arial" w:hAnsi="Arial"/>
          <w:sz w:val="18"/>
          <w:szCs w:val="18"/>
          <w:color w:val="auto"/>
        </w:rPr>
        <w:t>pursuant to Section 11, and shall expire on the last day of the Offering Period. Fair Market Value or a share of the Company's Common Stock shall be determined as provided in Section 7(b) herein.</w:t>
      </w:r>
    </w:p>
    <w:p>
      <w:pPr>
        <w:spacing w:after="0" w:line="186" w:lineRule="exact"/>
        <w:rPr>
          <w:sz w:val="20"/>
          <w:szCs w:val="20"/>
          <w:color w:val="auto"/>
        </w:rPr>
      </w:pPr>
    </w:p>
    <w:p>
      <w:pPr>
        <w:ind w:left="181" w:right="60" w:firstLine="359"/>
        <w:spacing w:after="0" w:line="259"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w:t>
      </w:r>
    </w:p>
    <w:p>
      <w:pPr>
        <w:spacing w:after="0" w:line="194" w:lineRule="exact"/>
        <w:rPr>
          <w:rFonts w:ascii="Arial" w:cs="Arial" w:eastAsia="Arial" w:hAnsi="Arial"/>
          <w:sz w:val="18"/>
          <w:szCs w:val="18"/>
          <w:color w:val="auto"/>
        </w:rPr>
      </w:pPr>
    </w:p>
    <w:p>
      <w:pPr>
        <w:ind w:left="-359" w:right="20" w:firstLine="359"/>
        <w:spacing w:after="0" w:line="255" w:lineRule="auto"/>
        <w:tabs>
          <w:tab w:leader="none" w:pos="29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Exercise of Option. </w:t>
      </w:r>
      <w:r>
        <w:rPr>
          <w:rFonts w:ascii="Arial" w:cs="Arial" w:eastAsia="Arial" w:hAnsi="Arial"/>
          <w:sz w:val="18"/>
          <w:szCs w:val="18"/>
          <w:color w:val="auto"/>
        </w:rPr>
        <w:t>Unless a participant withdraws from the Plan as provided in paragraph 11, his or her option for the purchase of shares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96" w:lineRule="exact"/>
        <w:rPr>
          <w:rFonts w:ascii="Arial" w:cs="Arial" w:eastAsia="Arial" w:hAnsi="Arial"/>
          <w:sz w:val="18"/>
          <w:szCs w:val="18"/>
          <w:color w:val="auto"/>
        </w:rPr>
      </w:pPr>
    </w:p>
    <w:p>
      <w:pPr>
        <w:ind w:left="-359" w:firstLine="359"/>
        <w:spacing w:after="0" w:line="291" w:lineRule="auto"/>
        <w:tabs>
          <w:tab w:leader="none" w:pos="299"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Maximum Number of Shares per Offering Period. </w:t>
      </w:r>
      <w:r>
        <w:rPr>
          <w:rFonts w:ascii="Arial" w:cs="Arial" w:eastAsia="Arial" w:hAnsi="Arial"/>
          <w:sz w:val="16"/>
          <w:szCs w:val="16"/>
          <w:color w:val="auto"/>
        </w:rPr>
        <w:t>The maximum number of shares of the Company's Common Stock which shall be made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sale under the Plan in each Offering Period shall be 1,250,000, subject to adjustment upon changes in capitalization of the Company as provided in paragraph 19. If the total number of shares which would otherwise be subject to options granted pursuant to Section 7(a) hereof on the Enrollment Date of an Offering Period exceeds 1,250,000 shares, the Company shall make a pro rata allocation of the shares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4" w:lineRule="exact"/>
        <w:rPr>
          <w:rFonts w:ascii="Arial" w:cs="Arial" w:eastAsia="Arial" w:hAnsi="Arial"/>
          <w:sz w:val="16"/>
          <w:szCs w:val="16"/>
          <w:color w:val="auto"/>
        </w:rPr>
      </w:pPr>
    </w:p>
    <w:p>
      <w:pPr>
        <w:ind w:left="-359" w:right="40" w:firstLine="359"/>
        <w:spacing w:after="0" w:line="254" w:lineRule="auto"/>
        <w:tabs>
          <w:tab w:leader="none" w:pos="38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Delivery. </w:t>
      </w:r>
      <w:r>
        <w:rPr>
          <w:rFonts w:ascii="Arial" w:cs="Arial" w:eastAsia="Arial" w:hAnsi="Arial"/>
          <w:sz w:val="18"/>
          <w:szCs w:val="18"/>
          <w:color w:val="auto"/>
        </w:rPr>
        <w:t>Following the Exercise Date of each Offering Period, unless a participant requests the issuance of a certificate representing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98" w:lineRule="exact"/>
        <w:rPr>
          <w:rFonts w:ascii="Arial" w:cs="Arial" w:eastAsia="Arial" w:hAnsi="Arial"/>
          <w:sz w:val="18"/>
          <w:szCs w:val="18"/>
          <w:color w:val="auto"/>
        </w:rPr>
      </w:pPr>
    </w:p>
    <w:p>
      <w:pPr>
        <w:ind w:left="381" w:hanging="381"/>
        <w:spacing w:after="0"/>
        <w:tabs>
          <w:tab w:leader="none" w:pos="38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Withdrawal; Termination of Employment.</w:t>
      </w:r>
    </w:p>
    <w:p>
      <w:pPr>
        <w:spacing w:after="0" w:line="225" w:lineRule="exact"/>
        <w:rPr>
          <w:rFonts w:ascii="Arial" w:cs="Arial" w:eastAsia="Arial" w:hAnsi="Arial"/>
          <w:sz w:val="18"/>
          <w:szCs w:val="18"/>
          <w:color w:val="auto"/>
        </w:rPr>
      </w:pPr>
    </w:p>
    <w:p>
      <w:pPr>
        <w:ind w:left="181" w:right="100" w:firstLine="359"/>
        <w:spacing w:after="0" w:line="291" w:lineRule="auto"/>
        <w:tabs>
          <w:tab w:leader="none" w:pos="84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74" w:lineRule="exact"/>
        <w:rPr>
          <w:rFonts w:ascii="Arial" w:cs="Arial" w:eastAsia="Arial" w:hAnsi="Arial"/>
          <w:sz w:val="16"/>
          <w:szCs w:val="16"/>
          <w:color w:val="auto"/>
        </w:rPr>
      </w:pPr>
    </w:p>
    <w:p>
      <w:pPr>
        <w:ind w:left="181" w:right="580" w:firstLine="359"/>
        <w:spacing w:after="0" w:line="332" w:lineRule="auto"/>
        <w:tabs>
          <w:tab w:leader="none" w:pos="8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91440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1"/>
        <w:spacing w:after="0"/>
        <w:rPr>
          <w:sz w:val="20"/>
          <w:szCs w:val="20"/>
          <w:color w:val="auto"/>
        </w:rPr>
      </w:pPr>
      <w:r>
        <w:rPr>
          <w:rFonts w:ascii="Arial" w:cs="Arial" w:eastAsia="Arial" w:hAnsi="Arial"/>
          <w:sz w:val="16"/>
          <w:szCs w:val="16"/>
          <w:color w:val="auto"/>
        </w:rPr>
        <w:t>his or her death, to the person or persons entitled thereto under paragraph 15, and such participant's option will be automatically terminated.</w:t>
      </w:r>
    </w:p>
    <w:p>
      <w:pPr>
        <w:spacing w:after="0" w:line="248" w:lineRule="exact"/>
        <w:rPr>
          <w:sz w:val="20"/>
          <w:szCs w:val="20"/>
          <w:color w:val="auto"/>
        </w:rPr>
      </w:pPr>
    </w:p>
    <w:p>
      <w:pPr>
        <w:ind w:left="181" w:right="40" w:firstLine="359"/>
        <w:spacing w:after="0" w:line="259" w:lineRule="auto"/>
        <w:tabs>
          <w:tab w:leader="none" w:pos="8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94" w:lineRule="exact"/>
        <w:rPr>
          <w:rFonts w:ascii="Arial" w:cs="Arial" w:eastAsia="Arial" w:hAnsi="Arial"/>
          <w:sz w:val="18"/>
          <w:szCs w:val="18"/>
          <w:color w:val="auto"/>
        </w:rPr>
      </w:pPr>
    </w:p>
    <w:p>
      <w:pPr>
        <w:ind w:left="181" w:right="340" w:firstLine="359"/>
        <w:spacing w:after="0" w:line="268" w:lineRule="auto"/>
        <w:tabs>
          <w:tab w:leader="none" w:pos="8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85" w:lineRule="exact"/>
        <w:rPr>
          <w:rFonts w:ascii="Arial" w:cs="Arial" w:eastAsia="Arial" w:hAnsi="Arial"/>
          <w:sz w:val="18"/>
          <w:szCs w:val="18"/>
          <w:color w:val="auto"/>
        </w:rPr>
      </w:pPr>
    </w:p>
    <w:p>
      <w:pPr>
        <w:ind w:left="401" w:hanging="401"/>
        <w:spacing w:after="0"/>
        <w:tabs>
          <w:tab w:leader="none" w:pos="40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No interest shall accrue on the payroll deductions of a participant in the Plan.</w:t>
      </w:r>
    </w:p>
    <w:p>
      <w:pPr>
        <w:spacing w:after="0" w:line="225" w:lineRule="exact"/>
        <w:rPr>
          <w:rFonts w:ascii="Arial" w:cs="Arial" w:eastAsia="Arial" w:hAnsi="Arial"/>
          <w:sz w:val="18"/>
          <w:szCs w:val="18"/>
          <w:color w:val="auto"/>
        </w:rPr>
      </w:pPr>
    </w:p>
    <w:p>
      <w:pPr>
        <w:ind w:left="401" w:hanging="401"/>
        <w:spacing w:after="0"/>
        <w:tabs>
          <w:tab w:leader="none" w:pos="401"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Stock.</w:t>
      </w:r>
    </w:p>
    <w:p>
      <w:pPr>
        <w:spacing w:after="0" w:line="225" w:lineRule="exact"/>
        <w:rPr>
          <w:rFonts w:ascii="Arial" w:cs="Arial" w:eastAsia="Arial" w:hAnsi="Arial"/>
          <w:sz w:val="18"/>
          <w:szCs w:val="18"/>
          <w:color w:val="auto"/>
        </w:rPr>
      </w:pPr>
    </w:p>
    <w:p>
      <w:pPr>
        <w:ind w:left="181" w:right="40" w:firstLine="359"/>
        <w:spacing w:after="0" w:line="290" w:lineRule="auto"/>
        <w:tabs>
          <w:tab w:leader="none" w:pos="855"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maximum number of shares of the Company's Common Stock which shall be made available for sale under the Plan shall be 25,500,000,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2" w:lineRule="exact"/>
        <w:rPr>
          <w:rFonts w:ascii="Arial" w:cs="Arial" w:eastAsia="Arial" w:hAnsi="Arial"/>
          <w:sz w:val="16"/>
          <w:szCs w:val="16"/>
          <w:color w:val="auto"/>
        </w:rPr>
      </w:pPr>
    </w:p>
    <w:p>
      <w:pPr>
        <w:ind w:left="881" w:hanging="341"/>
        <w:spacing w:after="0"/>
        <w:tabs>
          <w:tab w:leader="none" w:pos="88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participant will have no interest or voting right in shares covered by his or her option until such option has been exercised.</w:t>
      </w:r>
    </w:p>
    <w:p>
      <w:pPr>
        <w:spacing w:after="0" w:line="225" w:lineRule="exact"/>
        <w:rPr>
          <w:rFonts w:ascii="Arial" w:cs="Arial" w:eastAsia="Arial" w:hAnsi="Arial"/>
          <w:sz w:val="18"/>
          <w:szCs w:val="18"/>
          <w:color w:val="auto"/>
        </w:rPr>
      </w:pPr>
    </w:p>
    <w:p>
      <w:pPr>
        <w:ind w:left="861" w:hanging="321"/>
        <w:spacing w:after="0"/>
        <w:tabs>
          <w:tab w:leader="none" w:pos="8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w:t>
      </w:r>
    </w:p>
    <w:p>
      <w:pPr>
        <w:spacing w:after="0" w:line="225" w:lineRule="exact"/>
        <w:rPr>
          <w:rFonts w:ascii="Arial" w:cs="Arial" w:eastAsia="Arial" w:hAnsi="Arial"/>
          <w:sz w:val="18"/>
          <w:szCs w:val="18"/>
          <w:color w:val="auto"/>
        </w:rPr>
      </w:pPr>
    </w:p>
    <w:p>
      <w:pPr>
        <w:ind w:left="-359" w:right="60" w:firstLine="359"/>
        <w:spacing w:after="0" w:line="259" w:lineRule="auto"/>
        <w:tabs>
          <w:tab w:leader="none" w:pos="38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shall be administered by the Board of the Company or a committee of members of the Board appointed by the Board.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94" w:lineRule="exact"/>
        <w:rPr>
          <w:rFonts w:ascii="Arial" w:cs="Arial" w:eastAsia="Arial" w:hAnsi="Arial"/>
          <w:sz w:val="18"/>
          <w:szCs w:val="18"/>
          <w:color w:val="auto"/>
        </w:rPr>
      </w:pPr>
    </w:p>
    <w:p>
      <w:pPr>
        <w:ind w:left="181" w:right="60" w:firstLine="359"/>
        <w:spacing w:after="0" w:line="268" w:lineRule="auto"/>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85" w:lineRule="exact"/>
        <w:rPr>
          <w:rFonts w:ascii="Arial" w:cs="Arial" w:eastAsia="Arial" w:hAnsi="Arial"/>
          <w:sz w:val="18"/>
          <w:szCs w:val="18"/>
          <w:color w:val="auto"/>
        </w:rPr>
      </w:pPr>
    </w:p>
    <w:p>
      <w:pPr>
        <w:ind w:left="181" w:right="160" w:firstLine="359"/>
        <w:spacing w:after="0" w:line="268"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 Committee is established to administer the Plan, no member of the Board who is eligible to participate in the Plan may be a member of the Committee.</w:t>
      </w:r>
    </w:p>
    <w:p>
      <w:pPr>
        <w:sectPr>
          <w:pgSz w:w="11900" w:h="16838" w:orient="portrait"/>
          <w:cols w:equalWidth="0" w:num="1">
            <w:col w:w="11061"/>
          </w:cols>
          <w:pgMar w:left="599" w:top="131" w:right="239" w:bottom="0" w:gutter="0" w:footer="0" w:header="0"/>
        </w:sectPr>
      </w:pPr>
    </w:p>
    <w:bookmarkStart w:id="7" w:name="page8"/>
    <w:bookmarkEnd w:id="7"/>
    <w:p>
      <w:pPr>
        <w:ind w:left="540" w:firstLine="359"/>
        <w:spacing w:after="0" w:line="289" w:lineRule="auto"/>
        <w:tabs>
          <w:tab w:leader="none" w:pos="1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right="240"/>
        <w:spacing w:after="0" w:line="332" w:lineRule="auto"/>
        <w:rPr>
          <w:sz w:val="20"/>
          <w:szCs w:val="20"/>
          <w:color w:val="auto"/>
        </w:rPr>
      </w:pPr>
      <w:r>
        <w:rPr>
          <w:rFonts w:ascii="Arial" w:cs="Arial" w:eastAsia="Arial" w:hAnsi="Arial"/>
          <w:sz w:val="16"/>
          <w:szCs w:val="16"/>
          <w:color w:val="auto"/>
        </w:rPr>
        <w:t>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39" w:lineRule="exact"/>
        <w:rPr>
          <w:sz w:val="20"/>
          <w:szCs w:val="20"/>
          <w:color w:val="auto"/>
        </w:rPr>
      </w:pPr>
    </w:p>
    <w:p>
      <w:pPr>
        <w:ind w:left="760" w:hanging="401"/>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Designation of Beneficiary.</w:t>
      </w:r>
    </w:p>
    <w:p>
      <w:pPr>
        <w:spacing w:after="0" w:line="225" w:lineRule="exact"/>
        <w:rPr>
          <w:rFonts w:ascii="Arial" w:cs="Arial" w:eastAsia="Arial" w:hAnsi="Arial"/>
          <w:sz w:val="18"/>
          <w:szCs w:val="18"/>
          <w:color w:val="auto"/>
        </w:rPr>
      </w:pPr>
    </w:p>
    <w:p>
      <w:pPr>
        <w:ind w:left="540" w:right="100" w:firstLine="359"/>
        <w:spacing w:after="0" w:line="256" w:lineRule="auto"/>
        <w:tabs>
          <w:tab w:leader="none" w:pos="12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97" w:lineRule="exact"/>
        <w:rPr>
          <w:rFonts w:ascii="Arial" w:cs="Arial" w:eastAsia="Arial" w:hAnsi="Arial"/>
          <w:sz w:val="18"/>
          <w:szCs w:val="18"/>
          <w:color w:val="auto"/>
        </w:rPr>
      </w:pPr>
    </w:p>
    <w:p>
      <w:pPr>
        <w:jc w:val="both"/>
        <w:ind w:left="540" w:right="60" w:firstLine="359"/>
        <w:spacing w:after="0" w:line="294" w:lineRule="auto"/>
        <w:tabs>
          <w:tab w:leader="none" w:pos="1228" w:val="left"/>
        </w:tabs>
        <w:numPr>
          <w:ilvl w:val="1"/>
          <w:numId w:val="14"/>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69" w:lineRule="exact"/>
        <w:rPr>
          <w:rFonts w:ascii="Arial" w:cs="Arial" w:eastAsia="Arial" w:hAnsi="Arial"/>
          <w:sz w:val="16"/>
          <w:szCs w:val="16"/>
          <w:color w:val="auto"/>
        </w:rPr>
      </w:pPr>
    </w:p>
    <w:p>
      <w:pPr>
        <w:ind w:right="60" w:firstLine="359"/>
        <w:spacing w:after="0" w:line="298" w:lineRule="auto"/>
        <w:tabs>
          <w:tab w:leader="none" w:pos="74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of Rights. </w:t>
      </w:r>
      <w:r>
        <w:rPr>
          <w:rFonts w:ascii="Arial" w:cs="Arial" w:eastAsia="Arial" w:hAnsi="Arial"/>
          <w:sz w:val="16"/>
          <w:szCs w:val="16"/>
          <w:color w:val="auto"/>
        </w:rPr>
        <w:t>Neither payroll deductions credited to a participant's account nor any rights with regard to the exercise of an option or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66" w:lineRule="exact"/>
        <w:rPr>
          <w:rFonts w:ascii="Arial" w:cs="Arial" w:eastAsia="Arial" w:hAnsi="Arial"/>
          <w:sz w:val="16"/>
          <w:szCs w:val="16"/>
          <w:color w:val="auto"/>
        </w:rPr>
      </w:pPr>
    </w:p>
    <w:p>
      <w:pPr>
        <w:ind w:right="200" w:firstLine="359"/>
        <w:spacing w:after="0" w:line="268" w:lineRule="auto"/>
        <w:tabs>
          <w:tab w:leader="none" w:pos="74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Use of Funds. </w:t>
      </w:r>
      <w:r>
        <w:rPr>
          <w:rFonts w:ascii="Arial" w:cs="Arial" w:eastAsia="Arial" w:hAnsi="Arial"/>
          <w:sz w:val="18"/>
          <w:szCs w:val="18"/>
          <w:color w:val="auto"/>
        </w:rPr>
        <w:t>All payroll deductions received or held by the Company under the Plan may be used by the Company for any corporate purpose,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not be obligated to segregate such payroll deductions.</w:t>
      </w:r>
    </w:p>
    <w:p>
      <w:pPr>
        <w:spacing w:after="0" w:line="185" w:lineRule="exact"/>
        <w:rPr>
          <w:rFonts w:ascii="Arial" w:cs="Arial" w:eastAsia="Arial" w:hAnsi="Arial"/>
          <w:sz w:val="18"/>
          <w:szCs w:val="18"/>
          <w:color w:val="auto"/>
        </w:rPr>
      </w:pPr>
    </w:p>
    <w:p>
      <w:pPr>
        <w:ind w:right="160" w:firstLine="359"/>
        <w:spacing w:after="0" w:line="259" w:lineRule="auto"/>
        <w:tabs>
          <w:tab w:leader="none" w:pos="74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Individual accounts will be maintained for each participant in the Plan. Statements of account will be given to participating Employees; on</w:t>
      </w:r>
      <w:r>
        <w:rPr>
          <w:rFonts w:ascii="Arial" w:cs="Arial" w:eastAsia="Arial" w:hAnsi="Arial"/>
          <w:sz w:val="18"/>
          <w:szCs w:val="18"/>
          <w:i w:val="1"/>
          <w:iCs w:val="1"/>
          <w:color w:val="auto"/>
        </w:rPr>
        <w:t xml:space="preserve"> </w:t>
      </w:r>
      <w:r>
        <w:rPr>
          <w:rFonts w:ascii="Arial" w:cs="Arial" w:eastAsia="Arial" w:hAnsi="Arial"/>
          <w:sz w:val="18"/>
          <w:szCs w:val="18"/>
          <w:color w:val="auto"/>
        </w:rPr>
        <w:t>no less than an annual basis, promptly following the Exercise Date, which statements will set forth the amounts of payroll deductions, the per share purchase price, the number of shares purchased and the remaining cash balance, if any.</w:t>
      </w:r>
    </w:p>
    <w:p>
      <w:pPr>
        <w:spacing w:after="0" w:line="194" w:lineRule="exact"/>
        <w:rPr>
          <w:rFonts w:ascii="Arial" w:cs="Arial" w:eastAsia="Arial" w:hAnsi="Arial"/>
          <w:sz w:val="18"/>
          <w:szCs w:val="18"/>
          <w:color w:val="auto"/>
        </w:rPr>
      </w:pPr>
    </w:p>
    <w:p>
      <w:pPr>
        <w:ind w:right="60" w:firstLine="359"/>
        <w:spacing w:after="0" w:line="287" w:lineRule="auto"/>
        <w:tabs>
          <w:tab w:leader="none" w:pos="74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Adjustments Upon Changes in Capitalization. </w:t>
      </w:r>
      <w:r>
        <w:rPr>
          <w:rFonts w:ascii="Arial" w:cs="Arial" w:eastAsia="Arial" w:hAnsi="Arial"/>
          <w:sz w:val="16"/>
          <w:szCs w:val="16"/>
          <w:color w:val="auto"/>
        </w:rPr>
        <w:t>Subject to any required action by the shareholders of the Company, the number of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7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97" w:lineRule="exact"/>
        <w:rPr>
          <w:sz w:val="20"/>
          <w:szCs w:val="20"/>
          <w:color w:val="auto"/>
        </w:rPr>
      </w:pPr>
    </w:p>
    <w:p>
      <w:pPr>
        <w:ind w:right="540" w:firstLine="359"/>
        <w:spacing w:after="0" w:line="256"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Board of Directors of the Company may at any time terminate or amend the Plan. Except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ectPr>
          <w:pgSz w:w="11900" w:h="16838" w:orient="portrait"/>
          <w:cols w:equalWidth="0" w:num="1">
            <w:col w:w="11420"/>
          </w:cols>
          <w:pgMar w:left="240" w:top="131" w:right="239" w:bottom="0" w:gutter="0" w:footer="0" w:header="0"/>
        </w:sectPr>
      </w:pPr>
    </w:p>
    <w:bookmarkStart w:id="8" w:name="page9"/>
    <w:bookmarkEnd w:id="8"/>
    <w:p>
      <w:pPr>
        <w:ind w:left="1220" w:hanging="321"/>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94" w:lineRule="exact"/>
        <w:rPr>
          <w:rFonts w:ascii="Arial" w:cs="Arial" w:eastAsia="Arial" w:hAnsi="Arial"/>
          <w:sz w:val="18"/>
          <w:szCs w:val="18"/>
          <w:color w:val="auto"/>
        </w:rPr>
      </w:pPr>
    </w:p>
    <w:p>
      <w:pPr>
        <w:ind w:left="1080" w:right="100" w:firstLine="447"/>
        <w:spacing w:after="0" w:line="306" w:lineRule="auto"/>
        <w:tabs>
          <w:tab w:leader="none" w:pos="17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60" w:lineRule="exact"/>
        <w:rPr>
          <w:rFonts w:ascii="Arial" w:cs="Arial" w:eastAsia="Arial" w:hAnsi="Arial"/>
          <w:sz w:val="16"/>
          <w:szCs w:val="16"/>
          <w:color w:val="auto"/>
        </w:rPr>
      </w:pPr>
    </w:p>
    <w:p>
      <w:pPr>
        <w:ind w:left="1080" w:right="100" w:firstLine="403"/>
        <w:spacing w:after="0" w:line="268" w:lineRule="auto"/>
        <w:tabs>
          <w:tab w:leader="none" w:pos="17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5" w:lineRule="exact"/>
        <w:rPr>
          <w:sz w:val="20"/>
          <w:szCs w:val="20"/>
          <w:color w:val="auto"/>
        </w:rPr>
      </w:pPr>
    </w:p>
    <w:p>
      <w:pPr>
        <w:ind w:firstLine="359"/>
        <w:spacing w:after="0" w:line="332" w:lineRule="auto"/>
        <w:tabs>
          <w:tab w:leader="none" w:pos="74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or other communications by a participant to the Company under or in connection with the Plan shall be deemed to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given when received in the form specified by the Company at the location, or by the person, designated by the Company for the receipt thereof.</w:t>
      </w:r>
    </w:p>
    <w:p>
      <w:pPr>
        <w:spacing w:after="0" w:line="139" w:lineRule="exact"/>
        <w:rPr>
          <w:rFonts w:ascii="Arial" w:cs="Arial" w:eastAsia="Arial" w:hAnsi="Arial"/>
          <w:sz w:val="16"/>
          <w:szCs w:val="16"/>
          <w:color w:val="auto"/>
        </w:rPr>
      </w:pPr>
    </w:p>
    <w:p>
      <w:pPr>
        <w:ind w:right="40" w:firstLine="359"/>
        <w:spacing w:after="0" w:line="306" w:lineRule="auto"/>
        <w:tabs>
          <w:tab w:leader="none" w:pos="74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Continuance of the Plan shall be subject to approval by the shareholders of the Company within twelve months before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60" w:lineRule="exact"/>
        <w:rPr>
          <w:rFonts w:ascii="Arial" w:cs="Arial" w:eastAsia="Arial" w:hAnsi="Arial"/>
          <w:sz w:val="16"/>
          <w:szCs w:val="16"/>
          <w:color w:val="auto"/>
        </w:rPr>
      </w:pPr>
    </w:p>
    <w:p>
      <w:pPr>
        <w:ind w:left="540" w:right="300" w:firstLine="359"/>
        <w:spacing w:after="0" w:line="268" w:lineRule="auto"/>
        <w:tabs>
          <w:tab w:leader="none" w:pos="1218" w:val="left"/>
        </w:tabs>
        <w:numPr>
          <w:ilvl w:val="2"/>
          <w:numId w:val="17"/>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Exchange Act of 1934, as amended (the "Act") and the rules and regulations promulgated thereunder, or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right="460" w:firstLine="8"/>
        <w:spacing w:after="0" w:line="332" w:lineRule="auto"/>
        <w:tabs>
          <w:tab w:leader="none" w:pos="789" w:val="left"/>
        </w:tabs>
        <w:numPr>
          <w:ilvl w:val="1"/>
          <w:numId w:val="17"/>
        </w:numPr>
        <w:rPr>
          <w:rFonts w:ascii="Arial" w:cs="Arial" w:eastAsia="Arial" w:hAnsi="Arial"/>
          <w:sz w:val="16"/>
          <w:szCs w:val="16"/>
          <w:color w:val="auto"/>
        </w:rPr>
      </w:pPr>
      <w:r>
        <w:rPr>
          <w:rFonts w:ascii="Arial" w:cs="Arial" w:eastAsia="Arial" w:hAnsi="Arial"/>
          <w:sz w:val="16"/>
          <w:szCs w:val="16"/>
          <w:color w:val="auto"/>
        </w:rPr>
        <w:t>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2"/>
          <w:numId w:val="18"/>
        </w:numPr>
        <w:rPr>
          <w:rFonts w:ascii="Arial" w:cs="Arial" w:eastAsia="Arial" w:hAnsi="Arial"/>
          <w:sz w:val="15"/>
          <w:szCs w:val="15"/>
          <w:color w:val="auto"/>
        </w:rPr>
      </w:pPr>
      <w:r>
        <w:rPr>
          <w:rFonts w:ascii="Arial" w:cs="Arial" w:eastAsia="Arial" w:hAnsi="Arial"/>
          <w:sz w:val="15"/>
          <w:szCs w:val="15"/>
          <w:color w:val="auto"/>
        </w:rPr>
        <w:t>obtained at or prior to the first annual meeting of shareholders held subsequent to the first registration of Common Stock under Section 12 of the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-835025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42" w:lineRule="exact"/>
        <w:rPr>
          <w:sz w:val="20"/>
          <w:szCs w:val="20"/>
          <w:color w:val="auto"/>
        </w:rPr>
      </w:pPr>
    </w:p>
    <w:p>
      <w:pPr>
        <w:ind w:right="160" w:firstLine="359"/>
        <w:spacing w:after="0" w:line="298" w:lineRule="auto"/>
        <w:tabs>
          <w:tab w:leader="none" w:pos="74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Conditions Upon Issuance of Shares. </w:t>
      </w:r>
      <w:r>
        <w:rPr>
          <w:rFonts w:ascii="Arial" w:cs="Arial" w:eastAsia="Arial" w:hAnsi="Arial"/>
          <w:sz w:val="16"/>
          <w:szCs w:val="16"/>
          <w:color w:val="auto"/>
        </w:rPr>
        <w:t>Shares shall not be issued with respect to an option unless the exercise of such option and the issuance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67"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1" w:lineRule="exact"/>
        <w:rPr>
          <w:sz w:val="20"/>
          <w:szCs w:val="20"/>
          <w:color w:val="auto"/>
        </w:rPr>
      </w:pPr>
    </w:p>
    <w:p>
      <w:pPr>
        <w:ind w:right="160" w:firstLine="359"/>
        <w:spacing w:after="0" w:line="332" w:lineRule="auto"/>
        <w:tabs>
          <w:tab w:leader="none" w:pos="74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Term of Plan. </w:t>
      </w:r>
      <w:r>
        <w:rPr>
          <w:rFonts w:ascii="Arial" w:cs="Arial" w:eastAsia="Arial" w:hAnsi="Arial"/>
          <w:sz w:val="16"/>
          <w:szCs w:val="16"/>
          <w:color w:val="auto"/>
        </w:rPr>
        <w:t>The Plan shall become effective upon the earlier to occur of its adoption by the Board of Directors or its approval by the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as described in paragraph 22. It shall continue in effect for a term of twenty (20) years unless sooner terminated under paragraph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4.7</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MICRON TECHNOLOGY, INC. 1989 EMPLOYEE STOCK PURCHASE PLAN</w:t>
        </w:r>
      </w:hyperlink>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22"/>
          <w:szCs w:val="22"/>
          <w:color w:val="0000EE"/>
        </w:rPr>
      </w:pPr>
      <w:hyperlink w:anchor="page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4.10</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2001 STOCK OPTION PLAN</w:t>
      </w:r>
    </w:p>
    <w:p>
      <w:pPr>
        <w:spacing w:after="0" w:line="219" w:lineRule="exact"/>
        <w:rPr>
          <w:sz w:val="20"/>
          <w:szCs w:val="20"/>
          <w:color w:val="auto"/>
        </w:rPr>
      </w:pPr>
    </w:p>
    <w:p>
      <w:pPr>
        <w:ind w:left="660" w:hanging="30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Purposes of the Plan.  </w:t>
      </w:r>
      <w:r>
        <w:rPr>
          <w:rFonts w:ascii="Arial" w:cs="Arial" w:eastAsia="Arial" w:hAnsi="Arial"/>
          <w:sz w:val="18"/>
          <w:szCs w:val="18"/>
          <w:color w:val="auto"/>
        </w:rPr>
        <w:t>The purposes of this Stock Option Plan 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48" w:lineRule="exact"/>
        <w:rPr>
          <w:sz w:val="20"/>
          <w:szCs w:val="20"/>
          <w:color w:val="auto"/>
        </w:rPr>
      </w:pPr>
    </w:p>
    <w:p>
      <w:pPr>
        <w:ind w:left="660" w:hanging="301"/>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following definitions shall apply: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8" w:lineRule="exact"/>
        <w:rPr>
          <w:rFonts w:ascii="Arial" w:cs="Arial" w:eastAsia="Arial" w:hAnsi="Arial"/>
          <w:sz w:val="16"/>
          <w:szCs w:val="16"/>
          <w:color w:val="auto"/>
        </w:rPr>
      </w:pPr>
    </w:p>
    <w:p>
      <w:pPr>
        <w:ind w:left="540" w:right="300" w:firstLine="359"/>
        <w:spacing w:after="0" w:line="268" w:lineRule="auto"/>
        <w:tabs>
          <w:tab w:leader="none" w:pos="12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w:t>
      </w:r>
    </w:p>
    <w:p>
      <w:pPr>
        <w:spacing w:after="0" w:line="225" w:lineRule="exact"/>
        <w:rPr>
          <w:rFonts w:ascii="Arial" w:cs="Arial" w:eastAsia="Arial" w:hAnsi="Arial"/>
          <w:sz w:val="18"/>
          <w:szCs w:val="18"/>
          <w:color w:val="auto"/>
        </w:rPr>
      </w:pPr>
    </w:p>
    <w:p>
      <w:pPr>
        <w:ind w:left="540" w:right="700" w:firstLine="359"/>
        <w:spacing w:after="0" w:line="268" w:lineRule="auto"/>
        <w:tabs>
          <w:tab w:leader="none" w:pos="12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w:t>
      </w:r>
    </w:p>
    <w:p>
      <w:pPr>
        <w:spacing w:after="0" w:line="185" w:lineRule="exact"/>
        <w:rPr>
          <w:rFonts w:ascii="Arial" w:cs="Arial" w:eastAsia="Arial" w:hAnsi="Arial"/>
          <w:sz w:val="18"/>
          <w:szCs w:val="18"/>
          <w:color w:val="auto"/>
        </w:rPr>
      </w:pPr>
    </w:p>
    <w:p>
      <w:pPr>
        <w:ind w:left="540" w:right="60" w:firstLine="359"/>
        <w:spacing w:after="0" w:line="289" w:lineRule="auto"/>
        <w:tabs>
          <w:tab w:leader="none" w:pos="1232"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540" w:right="520" w:firstLine="359"/>
        <w:spacing w:after="0" w:line="370" w:lineRule="auto"/>
        <w:tabs>
          <w:tab w:leader="none" w:pos="1232" w:val="left"/>
        </w:tabs>
        <w:numPr>
          <w:ilvl w:val="1"/>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8" w:lineRule="exact"/>
        <w:rPr>
          <w:rFonts w:ascii="Arial" w:cs="Arial" w:eastAsia="Arial" w:hAnsi="Arial"/>
          <w:sz w:val="15"/>
          <w:szCs w:val="15"/>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left="1080" w:firstLine="447"/>
        <w:spacing w:after="0" w:line="255" w:lineRule="auto"/>
        <w:tabs>
          <w:tab w:leader="none" w:pos="1772"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8"/>
          <w:szCs w:val="18"/>
          <w:i w:val="1"/>
          <w:iCs w:val="1"/>
          <w:color w:val="auto"/>
        </w:rPr>
        <w:t>Bloomberg L.P.</w:t>
      </w:r>
      <w:r>
        <w:rPr>
          <w:rFonts w:ascii="Arial" w:cs="Arial" w:eastAsia="Arial" w:hAnsi="Arial"/>
          <w:sz w:val="18"/>
          <w:szCs w:val="18"/>
          <w:color w:val="auto"/>
        </w:rPr>
        <w:t xml:space="preserve"> or such other source as the Administrator deems reliable;</w:t>
      </w:r>
    </w:p>
    <w:p>
      <w:pPr>
        <w:spacing w:after="0" w:line="196" w:lineRule="exact"/>
        <w:rPr>
          <w:rFonts w:ascii="Arial" w:cs="Arial" w:eastAsia="Arial" w:hAnsi="Arial"/>
          <w:sz w:val="18"/>
          <w:szCs w:val="18"/>
          <w:color w:val="auto"/>
        </w:rPr>
      </w:pPr>
    </w:p>
    <w:p>
      <w:pPr>
        <w:jc w:val="both"/>
        <w:ind w:left="1080" w:right="20" w:firstLine="403"/>
        <w:spacing w:after="0" w:line="256" w:lineRule="auto"/>
        <w:tabs>
          <w:tab w:leader="none" w:pos="1777"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L.P.</w:t>
      </w:r>
      <w:r>
        <w:rPr>
          <w:rFonts w:ascii="Arial" w:cs="Arial" w:eastAsia="Arial" w:hAnsi="Arial"/>
          <w:sz w:val="18"/>
          <w:szCs w:val="18"/>
          <w:color w:val="auto"/>
        </w:rPr>
        <w:t xml:space="preserve">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0" w:name="page11"/>
    <w:bookmarkEnd w:id="10"/>
    <w:p>
      <w:pPr>
        <w:spacing w:after="0" w:line="19" w:lineRule="exact"/>
        <w:rPr>
          <w:sz w:val="20"/>
          <w:szCs w:val="20"/>
          <w:color w:val="auto"/>
        </w:rPr>
      </w:pPr>
    </w:p>
    <w:p>
      <w:pPr>
        <w:ind w:left="1080" w:right="740" w:firstLine="360"/>
        <w:spacing w:after="0" w:line="268" w:lineRule="auto"/>
        <w:tabs>
          <w:tab w:leader="none" w:pos="178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in good faith by the Administrator.</w:t>
      </w:r>
    </w:p>
    <w:p>
      <w:pPr>
        <w:spacing w:after="0" w:line="185" w:lineRule="exact"/>
        <w:rPr>
          <w:rFonts w:ascii="Arial" w:cs="Arial" w:eastAsia="Arial" w:hAnsi="Arial"/>
          <w:sz w:val="18"/>
          <w:szCs w:val="18"/>
          <w:color w:val="auto"/>
        </w:rPr>
      </w:pPr>
    </w:p>
    <w:p>
      <w:pPr>
        <w:ind w:left="540" w:right="36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5" w:lineRule="exact"/>
        <w:rPr>
          <w:rFonts w:ascii="Arial" w:cs="Arial" w:eastAsia="Arial" w:hAnsi="Arial"/>
          <w:sz w:val="18"/>
          <w:szCs w:val="18"/>
          <w:color w:val="auto"/>
        </w:rPr>
      </w:pPr>
    </w:p>
    <w:p>
      <w:pPr>
        <w:ind w:left="540" w:firstLine="359"/>
        <w:spacing w:after="0" w:line="268" w:lineRule="auto"/>
        <w:tabs>
          <w:tab w:leader="none" w:pos="11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540" w:right="26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Optioned Stock</w:t>
      </w:r>
      <w:r>
        <w:rPr>
          <w:rFonts w:ascii="Arial" w:cs="Arial" w:eastAsia="Arial" w:hAnsi="Arial"/>
          <w:sz w:val="18"/>
          <w:szCs w:val="18"/>
          <w:color w:val="auto"/>
        </w:rPr>
        <w:t>" means the Common Stock subject to an Option.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Optionee</w:t>
      </w:r>
      <w:r>
        <w:rPr>
          <w:rFonts w:ascii="Arial" w:cs="Arial" w:eastAsia="Arial" w:hAnsi="Arial"/>
          <w:sz w:val="18"/>
          <w:szCs w:val="18"/>
          <w:color w:val="auto"/>
        </w:rPr>
        <w:t>" means an Employee or Consultant who holds an outstanding Option.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2001 Option Plan.</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86" w:lineRule="exact"/>
        <w:rPr>
          <w:sz w:val="20"/>
          <w:szCs w:val="20"/>
          <w:color w:val="auto"/>
        </w:rPr>
      </w:pPr>
    </w:p>
    <w:p>
      <w:pPr>
        <w:ind w:left="1220" w:hanging="321"/>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the Common Stock, as adjusted in accordance with Section 12 of the Plan.</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359"/>
        <w:spacing w:after="0" w:line="268"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Subject to the provisions of Section 12 of the Plan, the maximum aggregate number of Shares which may be optioned and</w:t>
      </w:r>
      <w:r>
        <w:rPr>
          <w:rFonts w:ascii="Arial" w:cs="Arial" w:eastAsia="Arial" w:hAnsi="Arial"/>
          <w:sz w:val="18"/>
          <w:szCs w:val="18"/>
          <w:i w:val="1"/>
          <w:iCs w:val="1"/>
          <w:color w:val="auto"/>
        </w:rPr>
        <w:t xml:space="preserve"> </w:t>
      </w:r>
      <w:r>
        <w:rPr>
          <w:rFonts w:ascii="Arial" w:cs="Arial" w:eastAsia="Arial" w:hAnsi="Arial"/>
          <w:sz w:val="18"/>
          <w:szCs w:val="18"/>
          <w:color w:val="auto"/>
        </w:rPr>
        <w:t>sold under the Plan is 47,000,000 Shares. The Shares may be authorized, but unissued, or reacquired Common Stock.</w:t>
      </w:r>
    </w:p>
    <w:p>
      <w:pPr>
        <w:spacing w:after="0" w:line="18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61" w:lineRule="exact"/>
        <w:rPr>
          <w:sz w:val="20"/>
          <w:szCs w:val="20"/>
          <w:color w:val="auto"/>
        </w:rPr>
      </w:pPr>
    </w:p>
    <w:p>
      <w:pPr>
        <w:ind w:left="660" w:hanging="301"/>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rFonts w:ascii="Arial" w:cs="Arial" w:eastAsia="Arial" w:hAnsi="Arial"/>
          <w:sz w:val="18"/>
          <w:szCs w:val="18"/>
          <w:color w:val="auto"/>
        </w:rPr>
      </w:pPr>
    </w:p>
    <w:p>
      <w:pPr>
        <w:ind w:left="540" w:right="20" w:firstLine="359"/>
        <w:spacing w:after="0" w:line="287" w:lineRule="auto"/>
        <w:tabs>
          <w:tab w:leader="none" w:pos="1258"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The Plan shall be administered by a Committee appointed by the Board (which Committee shall consist of two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76" w:lineRule="exact"/>
        <w:rPr>
          <w:rFonts w:ascii="Arial" w:cs="Arial" w:eastAsia="Arial" w:hAnsi="Arial"/>
          <w:sz w:val="16"/>
          <w:szCs w:val="16"/>
          <w:color w:val="auto"/>
        </w:rPr>
      </w:pPr>
    </w:p>
    <w:p>
      <w:pPr>
        <w:ind w:left="540" w:right="100" w:firstLine="359"/>
        <w:spacing w:after="0" w:line="268" w:lineRule="auto"/>
        <w:tabs>
          <w:tab w:leader="none" w:pos="127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Powers of the Administrator. </w:t>
      </w:r>
      <w:r>
        <w:rPr>
          <w:rFonts w:ascii="Arial" w:cs="Arial" w:eastAsia="Arial" w:hAnsi="Arial"/>
          <w:sz w:val="18"/>
          <w:szCs w:val="18"/>
          <w:color w:val="auto"/>
        </w:rPr>
        <w:t>Subject to the provisions of the Plan, and in the case of a Committee, subject to the specific duties delegated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to such Committee, the Administrator shall have the authority, in its discretion:</w:t>
      </w:r>
    </w:p>
    <w:p>
      <w:pPr>
        <w:spacing w:after="0" w:line="185" w:lineRule="exact"/>
        <w:rPr>
          <w:rFonts w:ascii="Arial" w:cs="Arial" w:eastAsia="Arial" w:hAnsi="Arial"/>
          <w:sz w:val="18"/>
          <w:szCs w:val="18"/>
          <w:color w:val="auto"/>
        </w:rPr>
      </w:pPr>
    </w:p>
    <w:p>
      <w:pPr>
        <w:ind w:left="1780" w:hanging="253"/>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Options may be granted hereunder;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ind w:left="1080" w:right="300" w:firstLine="360"/>
        <w:spacing w:after="0" w:line="298" w:lineRule="auto"/>
        <w:tabs>
          <w:tab w:leader="none" w:pos="1772" w:val="left"/>
        </w:tabs>
        <w:numPr>
          <w:ilvl w:val="2"/>
          <w:numId w:val="27"/>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ectPr>
          <w:pgSz w:w="11900" w:h="16857" w:orient="portrait"/>
          <w:cols w:equalWidth="0" w:num="1">
            <w:col w:w="11400"/>
          </w:cols>
          <w:pgMar w:left="240" w:top="131" w:right="259" w:bottom="0" w:gutter="0" w:footer="0" w:header="0"/>
        </w:sectPr>
      </w:pPr>
    </w:p>
    <w:bookmarkStart w:id="11" w:name="page12"/>
    <w:bookmarkEnd w:id="11"/>
    <w:p>
      <w:pPr>
        <w:ind w:left="1421" w:hanging="384"/>
        <w:spacing w:after="0"/>
        <w:tabs>
          <w:tab w:leader="none" w:pos="1421"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721" w:right="720" w:firstLine="272"/>
        <w:spacing w:after="0" w:line="268" w:lineRule="auto"/>
        <w:tabs>
          <w:tab w:leader="none" w:pos="1423"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721" w:right="40" w:firstLine="360"/>
        <w:spacing w:after="0" w:line="268" w:lineRule="auto"/>
        <w:tabs>
          <w:tab w:leader="none" w:pos="1413"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185" w:lineRule="exact"/>
        <w:rPr>
          <w:rFonts w:ascii="Arial" w:cs="Arial" w:eastAsia="Arial" w:hAnsi="Arial"/>
          <w:sz w:val="18"/>
          <w:szCs w:val="18"/>
          <w:color w:val="auto"/>
        </w:rPr>
      </w:pPr>
    </w:p>
    <w:p>
      <w:pPr>
        <w:ind w:left="1421" w:hanging="297"/>
        <w:spacing w:after="0"/>
        <w:tabs>
          <w:tab w:leader="none" w:pos="1421"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5" w:lineRule="exact"/>
        <w:rPr>
          <w:rFonts w:ascii="Arial" w:cs="Arial" w:eastAsia="Arial" w:hAnsi="Arial"/>
          <w:sz w:val="18"/>
          <w:szCs w:val="18"/>
          <w:color w:val="auto"/>
        </w:rPr>
      </w:pPr>
    </w:p>
    <w:p>
      <w:pPr>
        <w:ind w:left="721" w:firstLine="360"/>
        <w:spacing w:after="0" w:line="255" w:lineRule="auto"/>
        <w:tabs>
          <w:tab w:leader="none" w:pos="1413"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96" w:lineRule="exact"/>
        <w:rPr>
          <w:rFonts w:ascii="Arial" w:cs="Arial" w:eastAsia="Arial" w:hAnsi="Arial"/>
          <w:sz w:val="18"/>
          <w:szCs w:val="18"/>
          <w:color w:val="auto"/>
        </w:rPr>
      </w:pPr>
    </w:p>
    <w:p>
      <w:pPr>
        <w:ind w:left="181" w:right="620" w:firstLine="359"/>
        <w:spacing w:after="0" w:line="268" w:lineRule="auto"/>
        <w:tabs>
          <w:tab w:leader="none" w:pos="902"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Effect of Administrator's Decision. </w:t>
      </w:r>
      <w:r>
        <w:rPr>
          <w:rFonts w:ascii="Arial" w:cs="Arial" w:eastAsia="Arial" w:hAnsi="Arial"/>
          <w:sz w:val="18"/>
          <w:szCs w:val="18"/>
          <w:color w:val="auto"/>
        </w:rPr>
        <w:t>The Administrator's decisions, determinations, and interpretations shall be final and binding on 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Optionees and any other holders of Options.</w:t>
      </w:r>
    </w:p>
    <w:p>
      <w:pPr>
        <w:spacing w:after="0" w:line="185" w:lineRule="exact"/>
        <w:rPr>
          <w:rFonts w:ascii="Arial" w:cs="Arial" w:eastAsia="Arial" w:hAnsi="Arial"/>
          <w:sz w:val="18"/>
          <w:szCs w:val="18"/>
          <w:color w:val="auto"/>
        </w:rPr>
      </w:pPr>
    </w:p>
    <w:p>
      <w:pPr>
        <w:ind w:left="-359" w:right="320" w:firstLine="359"/>
        <w:spacing w:after="0" w:line="332" w:lineRule="auto"/>
        <w:tabs>
          <w:tab w:leader="none" w:pos="29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Nonstatutory Stock Options may be granted to Employees, Directors, and Consultants. Incentive Stock Options may be granted only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If otherwise eligible, an Employee or Consultant who has been granted an Option may be granted additional Options.</w:t>
      </w:r>
    </w:p>
    <w:p>
      <w:pPr>
        <w:spacing w:after="0" w:line="139" w:lineRule="exact"/>
        <w:rPr>
          <w:rFonts w:ascii="Arial" w:cs="Arial" w:eastAsia="Arial" w:hAnsi="Arial"/>
          <w:sz w:val="16"/>
          <w:szCs w:val="16"/>
          <w:color w:val="auto"/>
        </w:rPr>
      </w:pPr>
    </w:p>
    <w:p>
      <w:pPr>
        <w:ind w:left="301" w:hanging="301"/>
        <w:spacing w:after="0"/>
        <w:tabs>
          <w:tab w:leader="none" w:pos="30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Limitations.</w:t>
      </w:r>
    </w:p>
    <w:p>
      <w:pPr>
        <w:spacing w:after="0" w:line="225" w:lineRule="exact"/>
        <w:rPr>
          <w:rFonts w:ascii="Arial" w:cs="Arial" w:eastAsia="Arial" w:hAnsi="Arial"/>
          <w:sz w:val="18"/>
          <w:szCs w:val="18"/>
          <w:color w:val="auto"/>
        </w:rPr>
      </w:pPr>
    </w:p>
    <w:p>
      <w:pPr>
        <w:ind w:left="861" w:hanging="321"/>
        <w:spacing w:after="0"/>
        <w:tabs>
          <w:tab w:leader="none" w:pos="86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Option shall be designated in the Notice of Grant as either an Incentive Stock Option or a Nonstatutory Stock Option. However,</w:t>
      </w:r>
    </w:p>
    <w:p>
      <w:pPr>
        <w:spacing w:after="0" w:line="38" w:lineRule="exact"/>
        <w:rPr>
          <w:rFonts w:ascii="Arial" w:cs="Arial" w:eastAsia="Arial" w:hAnsi="Arial"/>
          <w:sz w:val="16"/>
          <w:szCs w:val="16"/>
          <w:color w:val="auto"/>
        </w:rPr>
      </w:pPr>
    </w:p>
    <w:p>
      <w:pPr>
        <w:ind w:left="181" w:right="20"/>
        <w:spacing w:after="0" w:line="253" w:lineRule="auto"/>
        <w:rPr>
          <w:rFonts w:ascii="Arial" w:cs="Arial" w:eastAsia="Arial" w:hAnsi="Arial"/>
          <w:sz w:val="16"/>
          <w:szCs w:val="16"/>
          <w:color w:val="auto"/>
        </w:rPr>
      </w:pPr>
      <w:r>
        <w:rPr>
          <w:rFonts w:ascii="Arial" w:cs="Arial" w:eastAsia="Arial" w:hAnsi="Arial"/>
          <w:sz w:val="18"/>
          <w:szCs w:val="18"/>
          <w:color w:val="auto"/>
        </w:rPr>
        <w:t>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9" w:lineRule="exact"/>
        <w:rPr>
          <w:rFonts w:ascii="Arial" w:cs="Arial" w:eastAsia="Arial" w:hAnsi="Arial"/>
          <w:sz w:val="16"/>
          <w:szCs w:val="16"/>
          <w:color w:val="auto"/>
        </w:rPr>
      </w:pPr>
    </w:p>
    <w:p>
      <w:pPr>
        <w:ind w:left="181" w:right="280" w:firstLine="359"/>
        <w:spacing w:after="0" w:line="259" w:lineRule="auto"/>
        <w:tabs>
          <w:tab w:leader="none" w:pos="8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4" w:lineRule="exact"/>
        <w:rPr>
          <w:rFonts w:ascii="Arial" w:cs="Arial" w:eastAsia="Arial" w:hAnsi="Arial"/>
          <w:sz w:val="18"/>
          <w:szCs w:val="18"/>
          <w:color w:val="auto"/>
        </w:rPr>
      </w:pPr>
    </w:p>
    <w:p>
      <w:pPr>
        <w:ind w:left="861" w:hanging="321"/>
        <w:spacing w:after="0"/>
        <w:tabs>
          <w:tab w:leader="none" w:pos="8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25" w:lineRule="exact"/>
        <w:rPr>
          <w:rFonts w:ascii="Arial" w:cs="Arial" w:eastAsia="Arial" w:hAnsi="Arial"/>
          <w:sz w:val="18"/>
          <w:szCs w:val="18"/>
          <w:color w:val="auto"/>
        </w:rPr>
      </w:pPr>
    </w:p>
    <w:p>
      <w:pPr>
        <w:ind w:left="1421" w:hanging="253"/>
        <w:spacing w:after="0"/>
        <w:tabs>
          <w:tab w:leader="none" w:pos="1421"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 Employee shall be granted, in any fiscal year of the Company, Options to purchase more than 2,000,000 Shares.</w:t>
      </w:r>
    </w:p>
    <w:p>
      <w:pPr>
        <w:spacing w:after="0" w:line="225" w:lineRule="exact"/>
        <w:rPr>
          <w:rFonts w:ascii="Arial" w:cs="Arial" w:eastAsia="Arial" w:hAnsi="Arial"/>
          <w:sz w:val="18"/>
          <w:szCs w:val="18"/>
          <w:color w:val="auto"/>
        </w:rPr>
      </w:pPr>
    </w:p>
    <w:p>
      <w:pPr>
        <w:ind w:left="721" w:right="140" w:firstLine="403"/>
        <w:spacing w:after="0" w:line="268" w:lineRule="auto"/>
        <w:tabs>
          <w:tab w:leader="none" w:pos="141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foregoing limitations shall be adjusted proportionately in connection with any change in the Company's capitalization as described in Section 12.</w:t>
      </w:r>
    </w:p>
    <w:p>
      <w:pPr>
        <w:spacing w:after="0" w:line="185" w:lineRule="exact"/>
        <w:rPr>
          <w:rFonts w:ascii="Arial" w:cs="Arial" w:eastAsia="Arial" w:hAnsi="Arial"/>
          <w:sz w:val="18"/>
          <w:szCs w:val="18"/>
          <w:color w:val="auto"/>
        </w:rPr>
      </w:pPr>
    </w:p>
    <w:p>
      <w:pPr>
        <w:jc w:val="both"/>
        <w:ind w:left="-359" w:right="180" w:firstLine="359"/>
        <w:spacing w:after="0" w:line="259" w:lineRule="auto"/>
        <w:tabs>
          <w:tab w:leader="none" w:pos="29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Subject to Section 18 of the Plan, the Plan shall become effective upon the earlier to occur of its adoption by the Board or its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shareholders of the Company as described in Section 18 of the Plan. It shall continue in effect for a term of ten (10) years unless terminated earlier under Section 14 of the Plan.</w:t>
      </w:r>
    </w:p>
    <w:p>
      <w:pPr>
        <w:spacing w:after="0" w:line="194" w:lineRule="exact"/>
        <w:rPr>
          <w:rFonts w:ascii="Arial" w:cs="Arial" w:eastAsia="Arial" w:hAnsi="Arial"/>
          <w:sz w:val="18"/>
          <w:szCs w:val="18"/>
          <w:color w:val="auto"/>
        </w:rPr>
      </w:pPr>
    </w:p>
    <w:p>
      <w:pPr>
        <w:jc w:val="both"/>
        <w:ind w:left="-359" w:right="60" w:firstLine="359"/>
        <w:spacing w:after="0" w:line="256" w:lineRule="auto"/>
        <w:tabs>
          <w:tab w:leader="none" w:pos="29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 of Option. </w:t>
      </w:r>
      <w:r>
        <w:rPr>
          <w:rFonts w:ascii="Arial" w:cs="Arial" w:eastAsia="Arial" w:hAnsi="Arial"/>
          <w:sz w:val="18"/>
          <w:szCs w:val="18"/>
          <w:color w:val="auto"/>
        </w:rPr>
        <w:t>The term of each Option shall be stated in the Notice of Grant, but shall not exceed ten (10) years; provided, however, that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97" w:lineRule="exact"/>
        <w:rPr>
          <w:rFonts w:ascii="Arial" w:cs="Arial" w:eastAsia="Arial" w:hAnsi="Arial"/>
          <w:sz w:val="18"/>
          <w:szCs w:val="18"/>
          <w:color w:val="auto"/>
        </w:rPr>
      </w:pPr>
    </w:p>
    <w:p>
      <w:pPr>
        <w:ind w:left="301" w:hanging="301"/>
        <w:spacing w:after="0"/>
        <w:tabs>
          <w:tab w:leader="none" w:pos="30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p>
    <w:p>
      <w:pPr>
        <w:spacing w:after="0" w:line="225" w:lineRule="exact"/>
        <w:rPr>
          <w:rFonts w:ascii="Arial" w:cs="Arial" w:eastAsia="Arial" w:hAnsi="Arial"/>
          <w:sz w:val="18"/>
          <w:szCs w:val="18"/>
          <w:color w:val="auto"/>
        </w:rPr>
      </w:pPr>
    </w:p>
    <w:p>
      <w:pPr>
        <w:ind w:left="181" w:right="760" w:firstLine="359"/>
        <w:spacing w:after="0" w:line="370" w:lineRule="auto"/>
        <w:tabs>
          <w:tab w:leader="none" w:pos="902" w:val="left"/>
        </w:tabs>
        <w:numPr>
          <w:ilvl w:val="1"/>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per share exercise price for the Shares to be issued pursuant to exercise of an Option shall be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Administrator, but shall not be less than the Fair Market Value per share on the date of grant of the Option. In the case of an Incentive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-7366000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77470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jc w:val="both"/>
        <w:ind w:left="181" w:right="40"/>
        <w:spacing w:after="0" w:line="259" w:lineRule="auto"/>
        <w:rPr>
          <w:sz w:val="20"/>
          <w:szCs w:val="20"/>
          <w:color w:val="auto"/>
        </w:rPr>
      </w:pPr>
      <w:r>
        <w:rPr>
          <w:rFonts w:ascii="Arial" w:cs="Arial" w:eastAsia="Arial" w:hAnsi="Arial"/>
          <w:sz w:val="18"/>
          <w:szCs w:val="18"/>
          <w:color w:val="auto"/>
        </w:rPr>
        <w:t>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4" w:lineRule="exact"/>
        <w:rPr>
          <w:sz w:val="20"/>
          <w:szCs w:val="20"/>
          <w:color w:val="auto"/>
        </w:rPr>
      </w:pPr>
    </w:p>
    <w:p>
      <w:pPr>
        <w:ind w:left="181" w:right="40" w:firstLine="359"/>
        <w:spacing w:after="0" w:line="259" w:lineRule="auto"/>
        <w:tabs>
          <w:tab w:leader="none" w:pos="91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Waiting Period and Exercise Dates. </w:t>
      </w:r>
      <w:r>
        <w:rPr>
          <w:rFonts w:ascii="Arial" w:cs="Arial" w:eastAsia="Arial" w:hAnsi="Arial"/>
          <w:sz w:val="18"/>
          <w:szCs w:val="18"/>
          <w:color w:val="auto"/>
        </w:rPr>
        <w:t>At the time an Option is granted, the Administrator shall fix the period within which the Option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and shall determine any conditions which must be satisfied before the Option may be exercised. In doing so, the Administrator may specify that an Option may not be exercised until the completion of a service period.</w:t>
      </w:r>
    </w:p>
    <w:p>
      <w:pPr>
        <w:spacing w:after="0" w:line="194" w:lineRule="exact"/>
        <w:rPr>
          <w:rFonts w:ascii="Arial" w:cs="Arial" w:eastAsia="Arial" w:hAnsi="Arial"/>
          <w:sz w:val="18"/>
          <w:szCs w:val="18"/>
          <w:color w:val="auto"/>
        </w:rPr>
      </w:pPr>
    </w:p>
    <w:p>
      <w:pPr>
        <w:ind w:left="181" w:right="100" w:firstLine="359"/>
        <w:spacing w:after="0" w:line="259" w:lineRule="auto"/>
        <w:tabs>
          <w:tab w:leader="none" w:pos="90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Form of Consideration. </w:t>
      </w:r>
      <w:r>
        <w:rPr>
          <w:rFonts w:ascii="Arial" w:cs="Arial" w:eastAsia="Arial" w:hAnsi="Arial"/>
          <w:sz w:val="18"/>
          <w:szCs w:val="18"/>
          <w:color w:val="auto"/>
        </w:rPr>
        <w:t>The Administrator shall determine the acceptable form of consideration for exercising an Option,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payment. The Administrator shall determine the acceptable form of consideration at the time of grant. Such consideration may consist entirely of:</w:t>
      </w:r>
    </w:p>
    <w:p>
      <w:pPr>
        <w:spacing w:after="0" w:line="194" w:lineRule="exact"/>
        <w:rPr>
          <w:rFonts w:ascii="Arial" w:cs="Arial" w:eastAsia="Arial" w:hAnsi="Arial"/>
          <w:sz w:val="18"/>
          <w:szCs w:val="18"/>
          <w:color w:val="auto"/>
        </w:rPr>
      </w:pPr>
    </w:p>
    <w:p>
      <w:pPr>
        <w:ind w:left="1421" w:hanging="253"/>
        <w:spacing w:after="0"/>
        <w:tabs>
          <w:tab w:leader="none" w:pos="14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421" w:hanging="297"/>
        <w:spacing w:after="0"/>
        <w:tabs>
          <w:tab w:leader="none" w:pos="1421"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w:t>
      </w:r>
    </w:p>
    <w:p>
      <w:pPr>
        <w:sectPr>
          <w:pgSz w:w="11900" w:h="16838" w:orient="portrait"/>
          <w:cols w:equalWidth="0" w:num="1">
            <w:col w:w="11041"/>
          </w:cols>
          <w:pgMar w:left="599" w:top="131" w:right="259" w:bottom="0" w:gutter="0" w:footer="0" w:header="0"/>
        </w:sectPr>
      </w:pPr>
    </w:p>
    <w:bookmarkStart w:id="12" w:name="page13"/>
    <w:bookmarkEnd w:id="12"/>
    <w:p>
      <w:pPr>
        <w:ind w:left="1441" w:hanging="360"/>
        <w:spacing w:after="0"/>
        <w:tabs>
          <w:tab w:leader="none" w:pos="14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left="721" w:right="20" w:firstLine="360"/>
        <w:spacing w:after="0" w:line="332" w:lineRule="auto"/>
        <w:tabs>
          <w:tab w:leader="none" w:pos="14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39" w:lineRule="exact"/>
        <w:rPr>
          <w:sz w:val="20"/>
          <w:szCs w:val="20"/>
          <w:color w:val="auto"/>
        </w:rPr>
      </w:pPr>
    </w:p>
    <w:p>
      <w:pPr>
        <w:ind w:left="721" w:firstLine="403"/>
        <w:spacing w:after="0" w:line="254" w:lineRule="auto"/>
        <w:tabs>
          <w:tab w:leader="none" w:pos="1408"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98" w:lineRule="exact"/>
        <w:rPr>
          <w:rFonts w:ascii="Arial" w:cs="Arial" w:eastAsia="Arial" w:hAnsi="Arial"/>
          <w:sz w:val="18"/>
          <w:szCs w:val="18"/>
          <w:color w:val="auto"/>
        </w:rPr>
      </w:pPr>
    </w:p>
    <w:p>
      <w:pPr>
        <w:ind w:left="721" w:right="100" w:firstLine="360"/>
        <w:spacing w:after="0" w:line="268" w:lineRule="auto"/>
        <w:tabs>
          <w:tab w:leader="none" w:pos="1413" w:val="left"/>
        </w:tabs>
        <w:numPr>
          <w:ilvl w:val="2"/>
          <w:numId w:val="33"/>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85" w:lineRule="exact"/>
        <w:rPr>
          <w:rFonts w:ascii="Arial" w:cs="Arial" w:eastAsia="Arial" w:hAnsi="Arial"/>
          <w:sz w:val="18"/>
          <w:szCs w:val="18"/>
          <w:color w:val="auto"/>
        </w:rPr>
      </w:pPr>
    </w:p>
    <w:p>
      <w:pPr>
        <w:ind w:left="1421" w:hanging="384"/>
        <w:spacing w:after="0"/>
        <w:tabs>
          <w:tab w:leader="none" w:pos="1421"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721" w:firstLine="272"/>
        <w:spacing w:after="0" w:line="268" w:lineRule="auto"/>
        <w:tabs>
          <w:tab w:leader="none" w:pos="1423" w:val="left"/>
        </w:tabs>
        <w:numPr>
          <w:ilvl w:val="3"/>
          <w:numId w:val="33"/>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approved by the Administrator and permitted by Applicable Laws.</w:t>
      </w:r>
    </w:p>
    <w:p>
      <w:pPr>
        <w:spacing w:after="0" w:line="185" w:lineRule="exact"/>
        <w:rPr>
          <w:rFonts w:ascii="Arial" w:cs="Arial" w:eastAsia="Arial" w:hAnsi="Arial"/>
          <w:sz w:val="18"/>
          <w:szCs w:val="18"/>
          <w:color w:val="auto"/>
        </w:rPr>
      </w:pPr>
    </w:p>
    <w:p>
      <w:pPr>
        <w:ind w:left="401" w:hanging="401"/>
        <w:spacing w:after="0"/>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rFonts w:ascii="Arial" w:cs="Arial" w:eastAsia="Arial" w:hAnsi="Arial"/>
          <w:sz w:val="18"/>
          <w:szCs w:val="18"/>
          <w:color w:val="auto"/>
        </w:rPr>
      </w:pPr>
    </w:p>
    <w:p>
      <w:pPr>
        <w:ind w:left="181" w:right="60" w:firstLine="359"/>
        <w:spacing w:after="0" w:line="268" w:lineRule="auto"/>
        <w:tabs>
          <w:tab w:leader="none" w:pos="90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Procedure for Exercise; Rights as a Shareholder. </w:t>
      </w:r>
      <w:r>
        <w:rPr>
          <w:rFonts w:ascii="Arial" w:cs="Arial" w:eastAsia="Arial" w:hAnsi="Arial"/>
          <w:sz w:val="18"/>
          <w:szCs w:val="18"/>
          <w:color w:val="auto"/>
        </w:rPr>
        <w:t>Any Option granted thereunder shall be exercisable according to the terms of the Plan and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times and under such conditions as determined by the Administrator and set forth in the Option Agreement.</w:t>
      </w:r>
    </w:p>
    <w:p>
      <w:pPr>
        <w:spacing w:after="0" w:line="186" w:lineRule="exact"/>
        <w:rPr>
          <w:sz w:val="20"/>
          <w:szCs w:val="20"/>
          <w:color w:val="auto"/>
        </w:rPr>
      </w:pPr>
    </w:p>
    <w:p>
      <w:pPr>
        <w:ind w:left="521"/>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ind w:left="181" w:right="80" w:firstLine="341"/>
        <w:spacing w:after="0" w:line="291" w:lineRule="auto"/>
        <w:rPr>
          <w:sz w:val="20"/>
          <w:szCs w:val="20"/>
          <w:color w:val="auto"/>
        </w:rPr>
      </w:pPr>
      <w:r>
        <w:rPr>
          <w:rFonts w:ascii="Arial" w:cs="Arial" w:eastAsia="Arial" w:hAnsi="Arial"/>
          <w:sz w:val="16"/>
          <w:szCs w:val="16"/>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113665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1" w:right="420"/>
        <w:spacing w:after="0" w:line="268" w:lineRule="auto"/>
        <w:rPr>
          <w:sz w:val="20"/>
          <w:szCs w:val="20"/>
          <w:color w:val="auto"/>
        </w:rPr>
      </w:pPr>
      <w:r>
        <w:rPr>
          <w:rFonts w:ascii="Arial" w:cs="Arial" w:eastAsia="Arial" w:hAnsi="Arial"/>
          <w:sz w:val="18"/>
          <w:szCs w:val="18"/>
          <w:color w:val="auto"/>
        </w:rPr>
        <w:t>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86" w:lineRule="exact"/>
        <w:rPr>
          <w:sz w:val="20"/>
          <w:szCs w:val="20"/>
          <w:color w:val="auto"/>
        </w:rPr>
      </w:pPr>
    </w:p>
    <w:p>
      <w:pPr>
        <w:ind w:left="181" w:right="340" w:firstLine="351"/>
        <w:spacing w:after="0" w:line="268"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ind w:left="181" w:firstLine="359"/>
        <w:spacing w:after="0" w:line="289" w:lineRule="auto"/>
        <w:tabs>
          <w:tab w:leader="none" w:pos="91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w:t>
      </w:r>
      <w:r>
        <w:rPr>
          <w:rFonts w:ascii="Arial" w:cs="Arial" w:eastAsia="Arial" w:hAnsi="Arial"/>
          <w:sz w:val="16"/>
          <w:szCs w:val="16"/>
          <w:color w:val="auto"/>
        </w:rPr>
        <w:t>Upon termination of an Optionee's Continuous Status as an Employee or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2" w:lineRule="exact"/>
        <w:rPr>
          <w:rFonts w:ascii="Arial" w:cs="Arial" w:eastAsia="Arial" w:hAnsi="Arial"/>
          <w:sz w:val="16"/>
          <w:szCs w:val="16"/>
          <w:color w:val="auto"/>
        </w:rPr>
      </w:pPr>
    </w:p>
    <w:p>
      <w:pPr>
        <w:ind w:left="181" w:firstLine="359"/>
        <w:spacing w:after="0" w:line="291" w:lineRule="auto"/>
        <w:tabs>
          <w:tab w:leader="none" w:pos="90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In the event that an Optionee's Continuous Status as an Employee or Consultant terminates as a result of the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181" w:firstLine="359"/>
        <w:spacing w:after="0" w:line="253" w:lineRule="auto"/>
        <w:tabs>
          <w:tab w:leader="none" w:pos="91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Death of Optionee. </w:t>
      </w:r>
      <w:r>
        <w:rPr>
          <w:rFonts w:ascii="Arial" w:cs="Arial" w:eastAsia="Arial" w:hAnsi="Arial"/>
          <w:sz w:val="18"/>
          <w:szCs w:val="18"/>
          <w:color w:val="auto"/>
        </w:rPr>
        <w:t>In the event of the death of an Optionee, the Option may be exercised at any time within twelve (12) months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1" w:lineRule="exact"/>
        <w:rPr>
          <w:rFonts w:ascii="Arial" w:cs="Arial" w:eastAsia="Arial" w:hAnsi="Arial"/>
          <w:sz w:val="18"/>
          <w:szCs w:val="18"/>
          <w:color w:val="auto"/>
        </w:rPr>
      </w:pPr>
    </w:p>
    <w:p>
      <w:pPr>
        <w:ind w:left="181" w:right="100" w:firstLine="359"/>
        <w:spacing w:after="0" w:line="256" w:lineRule="auto"/>
        <w:tabs>
          <w:tab w:leader="none" w:pos="90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Optionee who is also a participant in the Retirement at Micron ("RAM") Section 401(k) Plan and who requests and receives</w:t>
      </w:r>
      <w:r>
        <w:rPr>
          <w:rFonts w:ascii="Arial" w:cs="Arial" w:eastAsia="Arial" w:hAnsi="Arial"/>
          <w:sz w:val="18"/>
          <w:szCs w:val="18"/>
          <w:i w:val="1"/>
          <w:iCs w:val="1"/>
          <w:color w:val="auto"/>
        </w:rPr>
        <w:t xml:space="preserve"> </w:t>
      </w:r>
      <w:r>
        <w:rPr>
          <w:rFonts w:ascii="Arial" w:cs="Arial" w:eastAsia="Arial" w:hAnsi="Arial"/>
          <w:sz w:val="18"/>
          <w:szCs w:val="18"/>
          <w:color w:val="auto"/>
        </w:rPr>
        <w:t>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7" w:lineRule="exact"/>
        <w:rPr>
          <w:rFonts w:ascii="Arial" w:cs="Arial" w:eastAsia="Arial" w:hAnsi="Arial"/>
          <w:sz w:val="18"/>
          <w:szCs w:val="18"/>
          <w:color w:val="auto"/>
        </w:rPr>
      </w:pPr>
    </w:p>
    <w:p>
      <w:pPr>
        <w:ind w:left="-359" w:right="260" w:firstLine="359"/>
        <w:spacing w:after="0" w:line="256"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Non-Transferability of Options. </w:t>
      </w:r>
      <w:r>
        <w:rPr>
          <w:rFonts w:ascii="Arial" w:cs="Arial" w:eastAsia="Arial" w:hAnsi="Arial"/>
          <w:sz w:val="18"/>
          <w:szCs w:val="18"/>
          <w:color w:val="auto"/>
        </w:rPr>
        <w:t>Unless determined otherwise by the Administrator, an Option may not be sold, pledged, assigned, hypothecated,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ectPr>
          <w:pgSz w:w="11900" w:h="16838" w:orient="portrait"/>
          <w:cols w:equalWidth="0" w:num="1">
            <w:col w:w="11061"/>
          </w:cols>
          <w:pgMar w:left="599" w:top="131" w:right="239" w:bottom="0" w:gutter="0" w:footer="0" w:header="0"/>
        </w:sectPr>
      </w:pPr>
    </w:p>
    <w:bookmarkStart w:id="13" w:name="page14"/>
    <w:bookmarkEnd w:id="1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760" w:hanging="401"/>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Corporate Transaction, or Change in Control.</w:t>
      </w:r>
    </w:p>
    <w:p>
      <w:pPr>
        <w:spacing w:after="0" w:line="225" w:lineRule="exact"/>
        <w:rPr>
          <w:rFonts w:ascii="Arial" w:cs="Arial" w:eastAsia="Arial" w:hAnsi="Arial"/>
          <w:sz w:val="18"/>
          <w:szCs w:val="18"/>
          <w:color w:val="auto"/>
        </w:rPr>
      </w:pPr>
    </w:p>
    <w:p>
      <w:pPr>
        <w:ind w:left="540" w:firstLine="359"/>
        <w:spacing w:after="0" w:line="286" w:lineRule="auto"/>
        <w:tabs>
          <w:tab w:leader="none" w:pos="1262"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In the event of a corporate transaction involving the Company (including, without limitation, any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81" w:lineRule="exact"/>
        <w:rPr>
          <w:rFonts w:ascii="Arial" w:cs="Arial" w:eastAsia="Arial" w:hAnsi="Arial"/>
          <w:sz w:val="16"/>
          <w:szCs w:val="16"/>
          <w:color w:val="auto"/>
        </w:rPr>
      </w:pPr>
    </w:p>
    <w:p>
      <w:pPr>
        <w:ind w:left="540" w:firstLine="359"/>
        <w:spacing w:after="0" w:line="294" w:lineRule="auto"/>
        <w:tabs>
          <w:tab w:leader="none" w:pos="1271"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To the extent not previously exercised, Options will terminate immediately prior to the consummation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69" w:lineRule="exact"/>
        <w:rPr>
          <w:rFonts w:ascii="Arial" w:cs="Arial" w:eastAsia="Arial" w:hAnsi="Arial"/>
          <w:sz w:val="16"/>
          <w:szCs w:val="16"/>
          <w:color w:val="auto"/>
        </w:rPr>
      </w:pPr>
    </w:p>
    <w:p>
      <w:pPr>
        <w:ind w:left="540" w:right="20" w:firstLine="359"/>
        <w:spacing w:after="0" w:line="286" w:lineRule="auto"/>
        <w:tabs>
          <w:tab w:leader="none" w:pos="1262"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In the event of a reorganization, merger, consolidation, statutory share exchange or similar form of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81" w:lineRule="exact"/>
        <w:rPr>
          <w:rFonts w:ascii="Arial" w:cs="Arial" w:eastAsia="Arial" w:hAnsi="Arial"/>
          <w:sz w:val="16"/>
          <w:szCs w:val="16"/>
          <w:color w:val="auto"/>
        </w:rPr>
      </w:pPr>
    </w:p>
    <w:p>
      <w:pPr>
        <w:jc w:val="both"/>
        <w:ind w:left="540" w:right="80" w:firstLine="359"/>
        <w:spacing w:after="0" w:line="259" w:lineRule="auto"/>
        <w:tabs>
          <w:tab w:leader="none" w:pos="1271"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unexercised portion of each Option then outstanding shall become wholly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and immediately exercisable. To the extent that this provision causes Incentive Stock Options to exceed the dollar limitation set forth in Section 6(a), the excess Options shall be deemed to be Nonstatutory Stock Options.</w:t>
      </w:r>
    </w:p>
    <w:p>
      <w:pPr>
        <w:spacing w:after="0" w:line="194" w:lineRule="exact"/>
        <w:rPr>
          <w:rFonts w:ascii="Arial" w:cs="Arial" w:eastAsia="Arial" w:hAnsi="Arial"/>
          <w:sz w:val="18"/>
          <w:szCs w:val="18"/>
          <w:color w:val="auto"/>
        </w:rPr>
      </w:pPr>
    </w:p>
    <w:p>
      <w:pPr>
        <w:ind w:right="180" w:firstLine="359"/>
        <w:spacing w:after="0" w:line="268" w:lineRule="auto"/>
        <w:tabs>
          <w:tab w:leader="none" w:pos="74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w:t>
      </w:r>
      <w:r>
        <w:rPr>
          <w:rFonts w:ascii="Arial" w:cs="Arial" w:eastAsia="Arial" w:hAnsi="Arial"/>
          <w:sz w:val="18"/>
          <w:szCs w:val="18"/>
          <w:color w:val="auto"/>
        </w:rPr>
        <w:t>The date of grant of an Option shall be, for all purposes, the date on which the Administrator makes the determination granting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such other later date as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determined by the Administrator. Notice of the determination shall be provided to each Optionee within a reasonable time after the date of such grant.</w:t>
      </w:r>
    </w:p>
    <w:p>
      <w:pPr>
        <w:spacing w:after="0" w:line="248" w:lineRule="exact"/>
        <w:rPr>
          <w:sz w:val="20"/>
          <w:szCs w:val="20"/>
          <w:color w:val="auto"/>
        </w:rPr>
      </w:pPr>
    </w:p>
    <w:p>
      <w:pPr>
        <w:ind w:left="760" w:hanging="401"/>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p>
    <w:p>
      <w:pPr>
        <w:spacing w:after="0" w:line="225" w:lineRule="exact"/>
        <w:rPr>
          <w:rFonts w:ascii="Arial" w:cs="Arial" w:eastAsia="Arial" w:hAnsi="Arial"/>
          <w:sz w:val="18"/>
          <w:szCs w:val="18"/>
          <w:color w:val="auto"/>
        </w:rPr>
      </w:pPr>
    </w:p>
    <w:p>
      <w:pPr>
        <w:ind w:left="540" w:firstLine="359"/>
        <w:spacing w:after="0" w:line="294" w:lineRule="auto"/>
        <w:tabs>
          <w:tab w:leader="none" w:pos="1258"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Except as provided herein, the Board may at any time amend, alter, suspend, or terminate the Plan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69" w:lineRule="exact"/>
        <w:rPr>
          <w:rFonts w:ascii="Arial" w:cs="Arial" w:eastAsia="Arial" w:hAnsi="Arial"/>
          <w:sz w:val="16"/>
          <w:szCs w:val="16"/>
          <w:color w:val="auto"/>
        </w:rPr>
      </w:pPr>
    </w:p>
    <w:p>
      <w:pPr>
        <w:ind w:left="1780" w:hanging="253"/>
        <w:spacing w:after="0"/>
        <w:tabs>
          <w:tab w:leader="none" w:pos="17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271"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Effect of Amendment or Termination. </w:t>
      </w:r>
      <w:r>
        <w:rPr>
          <w:rFonts w:ascii="Arial" w:cs="Arial" w:eastAsia="Arial" w:hAnsi="Arial"/>
          <w:sz w:val="18"/>
          <w:szCs w:val="18"/>
          <w:color w:val="auto"/>
        </w:rPr>
        <w:t>No amendment, alteration, suspension, or termination of the Plan shall impair the rights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unless mutually agreed otherwise between the Optionee and the Administrator, which agreement must be in writing and signed by the Optionee and the Company.</w:t>
      </w:r>
    </w:p>
    <w:p>
      <w:pPr>
        <w:spacing w:after="0" w:line="194" w:lineRule="exact"/>
        <w:rPr>
          <w:rFonts w:ascii="Arial" w:cs="Arial" w:eastAsia="Arial" w:hAnsi="Arial"/>
          <w:sz w:val="18"/>
          <w:szCs w:val="18"/>
          <w:color w:val="auto"/>
        </w:rPr>
      </w:pPr>
    </w:p>
    <w:p>
      <w:pPr>
        <w:ind w:left="760" w:hanging="401"/>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p>
    <w:p>
      <w:pPr>
        <w:spacing w:after="0" w:line="225" w:lineRule="exact"/>
        <w:rPr>
          <w:rFonts w:ascii="Arial" w:cs="Arial" w:eastAsia="Arial" w:hAnsi="Arial"/>
          <w:sz w:val="18"/>
          <w:szCs w:val="18"/>
          <w:color w:val="auto"/>
        </w:rPr>
      </w:pPr>
    </w:p>
    <w:p>
      <w:pPr>
        <w:ind w:left="540" w:right="60" w:firstLine="359"/>
        <w:spacing w:after="0" w:line="323" w:lineRule="auto"/>
        <w:tabs>
          <w:tab w:leader="none" w:pos="1262" w:val="left"/>
        </w:tabs>
        <w:numPr>
          <w:ilvl w:val="1"/>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Legal Compliance. </w:t>
      </w:r>
      <w:r>
        <w:rPr>
          <w:rFonts w:ascii="Arial" w:cs="Arial" w:eastAsia="Arial" w:hAnsi="Arial"/>
          <w:sz w:val="15"/>
          <w:szCs w:val="15"/>
          <w:color w:val="auto"/>
        </w:rPr>
        <w:t>Shares shall not be issued pursuant to the exercise of an Option unless the exercise of such Option and the issuance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1" w:lineRule="exact"/>
        <w:rPr>
          <w:rFonts w:ascii="Arial" w:cs="Arial" w:eastAsia="Arial" w:hAnsi="Arial"/>
          <w:sz w:val="15"/>
          <w:szCs w:val="15"/>
          <w:color w:val="auto"/>
        </w:rPr>
      </w:pPr>
    </w:p>
    <w:p>
      <w:pPr>
        <w:ind w:left="540" w:right="80" w:firstLine="359"/>
        <w:spacing w:after="0" w:line="306" w:lineRule="auto"/>
        <w:tabs>
          <w:tab w:leader="none" w:pos="1271"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Investment Representations. </w:t>
      </w:r>
      <w:r>
        <w:rPr>
          <w:rFonts w:ascii="Arial" w:cs="Arial" w:eastAsia="Arial" w:hAnsi="Arial"/>
          <w:sz w:val="16"/>
          <w:szCs w:val="16"/>
          <w:color w:val="auto"/>
        </w:rPr>
        <w:t>As a condition to the exercise of an Option, the Company may require the person exercising such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0" w:lineRule="exact"/>
        <w:rPr>
          <w:rFonts w:ascii="Arial" w:cs="Arial" w:eastAsia="Arial" w:hAnsi="Arial"/>
          <w:sz w:val="16"/>
          <w:szCs w:val="16"/>
          <w:color w:val="auto"/>
        </w:rPr>
      </w:pPr>
    </w:p>
    <w:p>
      <w:pPr>
        <w:ind w:left="760" w:hanging="401"/>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Liability of Company.</w:t>
      </w:r>
    </w:p>
    <w:p>
      <w:pPr>
        <w:spacing w:after="0" w:line="225" w:lineRule="exact"/>
        <w:rPr>
          <w:rFonts w:ascii="Arial" w:cs="Arial" w:eastAsia="Arial" w:hAnsi="Arial"/>
          <w:sz w:val="18"/>
          <w:szCs w:val="18"/>
          <w:color w:val="auto"/>
        </w:rPr>
      </w:pPr>
    </w:p>
    <w:p>
      <w:pPr>
        <w:jc w:val="both"/>
        <w:ind w:left="540" w:right="40" w:firstLine="359"/>
        <w:spacing w:after="0" w:line="332" w:lineRule="auto"/>
        <w:tabs>
          <w:tab w:leader="none" w:pos="1262"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Obtain Authority. </w:t>
      </w:r>
      <w:r>
        <w:rPr>
          <w:rFonts w:ascii="Arial" w:cs="Arial" w:eastAsia="Arial" w:hAnsi="Arial"/>
          <w:sz w:val="16"/>
          <w:szCs w:val="16"/>
          <w:color w:val="auto"/>
        </w:rPr>
        <w:t>The inability of the Company to obtain authority from any regulatory body having jurisdiction, which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is deemed by the Company's counsel to be necessary to the lawful issuance and sale of any Shares hereunder, shall relieve the Company of any liability in</w:t>
      </w:r>
    </w:p>
    <w:p>
      <w:pPr>
        <w:sectPr>
          <w:pgSz w:w="11900" w:h="16885" w:orient="portrait"/>
          <w:cols w:equalWidth="0" w:num="1">
            <w:col w:w="11400"/>
          </w:cols>
          <w:pgMar w:left="240" w:top="374" w:right="259" w:bottom="0" w:gutter="0" w:footer="0" w:header="0"/>
        </w:sectPr>
      </w:pPr>
    </w:p>
    <w:bookmarkStart w:id="14" w:name="page15"/>
    <w:bookmarkEnd w:id="14"/>
    <w:p>
      <w:pPr>
        <w:ind w:left="540"/>
        <w:spacing w:after="0"/>
        <w:rPr>
          <w:sz w:val="20"/>
          <w:szCs w:val="20"/>
          <w:color w:val="auto"/>
        </w:rPr>
      </w:pPr>
      <w:r>
        <w:rPr>
          <w:rFonts w:ascii="Arial" w:cs="Arial" w:eastAsia="Arial" w:hAnsi="Arial"/>
          <w:sz w:val="18"/>
          <w:szCs w:val="18"/>
          <w:color w:val="auto"/>
        </w:rPr>
        <w:t>respect of the failure to issue or sell such Shares as to which such requisite authority shall not have been obtained.</w:t>
      </w:r>
    </w:p>
    <w:p>
      <w:pPr>
        <w:spacing w:after="0" w:line="225" w:lineRule="exact"/>
        <w:rPr>
          <w:sz w:val="20"/>
          <w:szCs w:val="20"/>
          <w:color w:val="auto"/>
        </w:rPr>
      </w:pPr>
    </w:p>
    <w:p>
      <w:pPr>
        <w:ind w:left="540" w:firstLine="359"/>
        <w:spacing w:after="0" w:line="256" w:lineRule="auto"/>
        <w:tabs>
          <w:tab w:leader="none" w:pos="1271"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Grants Exceeding Allotted Shares. </w:t>
      </w:r>
      <w:r>
        <w:rPr>
          <w:rFonts w:ascii="Arial" w:cs="Arial" w:eastAsia="Arial" w:hAnsi="Arial"/>
          <w:sz w:val="18"/>
          <w:szCs w:val="18"/>
          <w:color w:val="auto"/>
        </w:rPr>
        <w:t>If the Optioned Stock covered by an Option exceeds, as of the date of grant, the number of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97" w:lineRule="exact"/>
        <w:rPr>
          <w:rFonts w:ascii="Arial" w:cs="Arial" w:eastAsia="Arial" w:hAnsi="Arial"/>
          <w:sz w:val="18"/>
          <w:szCs w:val="18"/>
          <w:color w:val="auto"/>
        </w:rPr>
      </w:pPr>
    </w:p>
    <w:p>
      <w:pPr>
        <w:ind w:right="400" w:firstLine="359"/>
        <w:spacing w:after="0" w:line="268" w:lineRule="auto"/>
        <w:tabs>
          <w:tab w:leader="none" w:pos="74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during the term of this Plan, will at all times reserve and keep available such number of Shares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to satisfy the requirements of the Plan.</w:t>
      </w:r>
    </w:p>
    <w:p>
      <w:pPr>
        <w:spacing w:after="0" w:line="185" w:lineRule="exact"/>
        <w:rPr>
          <w:rFonts w:ascii="Arial" w:cs="Arial" w:eastAsia="Arial" w:hAnsi="Arial"/>
          <w:sz w:val="18"/>
          <w:szCs w:val="18"/>
          <w:color w:val="auto"/>
        </w:rPr>
      </w:pPr>
    </w:p>
    <w:p>
      <w:pPr>
        <w:ind w:right="40" w:firstLine="359"/>
        <w:spacing w:after="0" w:line="259" w:lineRule="auto"/>
        <w:tabs>
          <w:tab w:leader="none" w:pos="74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Approval. </w:t>
      </w:r>
      <w:r>
        <w:rPr>
          <w:rFonts w:ascii="Arial" w:cs="Arial" w:eastAsia="Arial" w:hAnsi="Arial"/>
          <w:sz w:val="18"/>
          <w:szCs w:val="18"/>
          <w:color w:val="auto"/>
        </w:rPr>
        <w:t>Continuance of the Plan shall be subject to approval by the shareholders of the Company within twelve (12) months before or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the Plan is adopted. Such shareholder approval shall be obtained in the manner and to the degree required under applicable federal and Delaware law.</w:t>
      </w:r>
    </w:p>
    <w:p>
      <w:pPr>
        <w:spacing w:after="0" w:line="194" w:lineRule="exact"/>
        <w:rPr>
          <w:rFonts w:ascii="Arial" w:cs="Arial" w:eastAsia="Arial" w:hAnsi="Arial"/>
          <w:sz w:val="18"/>
          <w:szCs w:val="18"/>
          <w:color w:val="auto"/>
        </w:rPr>
      </w:pPr>
    </w:p>
    <w:p>
      <w:pPr>
        <w:ind w:right="400" w:firstLine="359"/>
        <w:spacing w:after="0" w:line="268" w:lineRule="auto"/>
        <w:tabs>
          <w:tab w:leader="none" w:pos="74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Restriction on Repricing. </w:t>
      </w:r>
      <w:r>
        <w:rPr>
          <w:rFonts w:ascii="Arial" w:cs="Arial" w:eastAsia="Arial" w:hAnsi="Arial"/>
          <w:sz w:val="18"/>
          <w:szCs w:val="18"/>
          <w:color w:val="auto"/>
        </w:rPr>
        <w:t>Without the prior approval of the shareholders of the Company, the Administrator shall not reprice any Options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through cancellation and regrant, by lowering the exercise price, or by any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4.10</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MICRON TECHNOLOGY, INC. 2001 STOCK OPTION PLAN</w:t>
        </w:r>
      </w:hyperlink>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12,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December 12, 2003 (the "Registration Statement") in connection with the registration under the Securities Act of 1933, as amended, of an aggregate of 22,000,000 shares of your Common Stock, $.10 par value (the "Shares") reserved for issuance under the Micron Technology, Inc. 2001 Stock Option Plan and the Micron Technology, Inc. 1989 Employee Stock Purchase Plan (collectively, the "Plans"). As your legal counsel, we have examined the proceedings taken and are familiar with the proceedings proposed to be taken by you in connection with the sale and issuance of the Shares under the Plans.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Plans, and upon completion of the proceedings being taken in order to permit such transactions to be carried out in accordance with the securities laws of the various states where required, the Shares, when issued and sold in the manner referred to in the Plans and the agreements which accompany the Plans, and in accordance with the Company's Certificate of Incorporation, will be legally and validly issued, fully paid and nonassessable.</w:t>
      </w:r>
    </w:p>
    <w:p>
      <w:pPr>
        <w:spacing w:after="0" w:line="19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WILSON SONSINI GOODRICH &amp; ROSATI, Professional Corporation</w:t>
      </w:r>
    </w:p>
    <w:p>
      <w:pPr>
        <w:spacing w:after="0" w:line="24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 5.1</w:t>
        </w:r>
      </w:hyperlink>
    </w:p>
    <w:p>
      <w:pPr>
        <w:sectPr>
          <w:pgSz w:w="11900" w:h="16838" w:orient="portrait"/>
          <w:cols w:equalWidth="0" w:num="1">
            <w:col w:w="11400"/>
          </w:cols>
          <w:pgMar w:left="240" w:top="361" w:right="259" w:bottom="1440" w:gutter="0" w:footer="0" w:header="0"/>
        </w:sectPr>
      </w:pPr>
    </w:p>
    <w:bookmarkStart w:id="16" w:name="page17"/>
    <w:bookmarkEnd w:id="16"/>
    <w:p>
      <w:pPr>
        <w:spacing w:after="0"/>
        <w:rPr>
          <w:rFonts w:ascii="Arial" w:cs="Arial" w:eastAsia="Arial" w:hAnsi="Arial"/>
          <w:sz w:val="22"/>
          <w:szCs w:val="22"/>
          <w:color w:val="0000EE"/>
        </w:rPr>
      </w:pPr>
      <w:hyperlink w:anchor="page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24, 2003, relating to the financial statements and financial statement schedule of Micron Technology Inc., which appears in Micron Technology, Inc.'s Annual Report on Form 10-K for the year ended August 28,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CONSENT OF INDEPENDENT ACCOUNTANTS</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5">
    <w:nsid w:val="2D1D5AE9"/>
    <w:multiLevelType w:val="hybridMultilevel"/>
    <w:lvl w:ilvl="0">
      <w:lvlJc w:val="left"/>
      <w:lvlText w:val="%1"/>
      <w:numFmt w:val="decimal"/>
      <w:start w:val="1"/>
    </w:lvl>
    <w:lvl w:ilvl="1">
      <w:lvlJc w:val="left"/>
      <w:lvlText w:val="(%2)"/>
      <w:numFmt w:val="lowerLetter"/>
      <w:start w:val="13"/>
    </w:lvl>
  </w:abstractNum>
  <w:abstractNum w:abstractNumId="6">
    <w:nsid w:val="6763845E"/>
    <w:multiLevelType w:val="hybridMultilevel"/>
    <w:lvl w:ilvl="0">
      <w:lvlJc w:val="left"/>
      <w:lvlText w:val="%1."/>
      <w:numFmt w:val="decimal"/>
      <w:start w:val="3"/>
    </w:lvl>
    <w:lvl w:ilvl="1">
      <w:lvlJc w:val="left"/>
      <w:lvlText w:val="(%2)"/>
      <w:numFmt w:val="lowerLetter"/>
      <w:start w:val="1"/>
    </w:lvl>
  </w:abstractNum>
  <w:abstractNum w:abstractNumId="7">
    <w:nsid w:val="75A2A8D4"/>
    <w:multiLevelType w:val="hybridMultilevel"/>
    <w:lvl w:ilvl="0">
      <w:lvlJc w:val="left"/>
      <w:lvlText w:val="%1."/>
      <w:numFmt w:val="decimal"/>
      <w:start w:val="4"/>
    </w:lvl>
    <w:lvl w:ilvl="1">
      <w:lvlJc w:val="left"/>
      <w:lvlText w:val="(%2)"/>
      <w:numFmt w:val="lowerRoman"/>
    </w:lvl>
    <w:lvl w:ilvl="2">
      <w:lvlJc w:val="left"/>
      <w:lvlText w:val="(%3)"/>
      <w:numFmt w:val="lowerLetter"/>
      <w:start w:val="1"/>
    </w:lvl>
  </w:abstractNum>
  <w:abstractNum w:abstractNumId="8">
    <w:nsid w:val="8EDBDAB"/>
    <w:multiLevelType w:val="hybridMultilevel"/>
    <w:lvl w:ilvl="0">
      <w:lvlJc w:val="left"/>
      <w:lvlText w:val="%1"/>
      <w:numFmt w:val="decimal"/>
      <w:start w:val="1"/>
    </w:lvl>
    <w:lvl w:ilvl="1">
      <w:lvlJc w:val="left"/>
      <w:lvlText w:val="(%2)"/>
      <w:numFmt w:val="lowerLetter"/>
      <w:start w:val="2"/>
    </w:lvl>
  </w:abstractNum>
  <w:abstractNum w:abstractNumId="9">
    <w:nsid w:val="79838CB2"/>
    <w:multiLevelType w:val="hybridMultilevel"/>
    <w:lvl w:ilvl="0">
      <w:lvlJc w:val="left"/>
      <w:lvlText w:val="%1."/>
      <w:numFmt w:val="decimal"/>
      <w:start w:val="8"/>
    </w:lvl>
    <w:lvl w:ilvl="1">
      <w:lvlJc w:val="left"/>
      <w:lvlText w:val="(%2)"/>
      <w:numFmt w:val="lowerLetter"/>
      <w:start w:val="1"/>
    </w:lvl>
  </w:abstractNum>
  <w:abstractNum w:abstractNumId="10">
    <w:nsid w:val="4353D0CD"/>
    <w:multiLevelType w:val="hybridMultilevel"/>
    <w:lvl w:ilvl="0">
      <w:lvlJc w:val="left"/>
      <w:lvlText w:val="%1"/>
      <w:numFmt w:val="decimal"/>
      <w:start w:val="1"/>
    </w:lvl>
    <w:lvl w:ilvl="1">
      <w:lvlJc w:val="left"/>
      <w:lvlText w:val="(%2)"/>
      <w:numFmt w:val="lowerLetter"/>
      <w:start w:val="3"/>
    </w:lvl>
  </w:abstractNum>
  <w:abstractNum w:abstractNumId="11">
    <w:nsid w:val="B03E0C6"/>
    <w:multiLevelType w:val="hybridMultilevel"/>
    <w:lvl w:ilvl="0">
      <w:lvlJc w:val="left"/>
      <w:lvlText w:val="%1."/>
      <w:numFmt w:val="decimal"/>
      <w:start w:val="12"/>
    </w:lvl>
    <w:lvl w:ilvl="1">
      <w:lvlJc w:val="left"/>
      <w:lvlText w:val="(%2)"/>
      <w:numFmt w:val="lowerLetter"/>
      <w:start w:val="1"/>
    </w:lvl>
  </w:abstractNum>
  <w:abstractNum w:abstractNumId="12">
    <w:nsid w:val="189A769B"/>
    <w:multiLevelType w:val="hybridMultilevel"/>
    <w:lvl w:ilvl="0">
      <w:lvlJc w:val="left"/>
      <w:lvlText w:val="(%1)"/>
      <w:numFmt w:val="lowerLetter"/>
      <w:start w:val="3"/>
    </w:lvl>
  </w:abstractNum>
  <w:abstractNum w:abstractNumId="13">
    <w:nsid w:val="54E49EB4"/>
    <w:multiLevelType w:val="hybridMultilevel"/>
    <w:lvl w:ilvl="0">
      <w:lvlJc w:val="left"/>
      <w:lvlText w:val="%1."/>
      <w:numFmt w:val="decimal"/>
      <w:start w:val="15"/>
    </w:lvl>
    <w:lvl w:ilvl="1">
      <w:lvlJc w:val="left"/>
      <w:lvlText w:val="(%2)"/>
      <w:numFmt w:val="lowerLetter"/>
      <w:start w:val="1"/>
    </w:lvl>
  </w:abstractNum>
  <w:abstractNum w:abstractNumId="14">
    <w:nsid w:val="71F32454"/>
    <w:multiLevelType w:val="hybridMultilevel"/>
    <w:lvl w:ilvl="0">
      <w:lvlJc w:val="left"/>
      <w:lvlText w:val="%1."/>
      <w:numFmt w:val="decimal"/>
      <w:start w:val="20"/>
    </w:lvl>
  </w:abstractNum>
  <w:abstractNum w:abstractNumId="15">
    <w:nsid w:val="2CA88611"/>
    <w:multiLevelType w:val="hybridMultilevel"/>
    <w:lvl w:ilvl="0">
      <w:lvlJc w:val="left"/>
      <w:lvlText w:val="(%1)"/>
      <w:numFmt w:val="lowerLetter"/>
      <w:start w:val="1"/>
    </w:lvl>
    <w:lvl w:ilvl="1">
      <w:lvlJc w:val="left"/>
      <w:lvlText w:val="(%2)"/>
      <w:numFmt w:val="lowerRoman"/>
      <w:start w:val="1"/>
    </w:lvl>
  </w:abstractNum>
  <w:abstractNum w:abstractNumId="16">
    <w:nsid w:val="836C40E"/>
    <w:multiLevelType w:val="hybridMultilevel"/>
    <w:lvl w:ilvl="0">
      <w:lvlJc w:val="left"/>
      <w:lvlText w:val="%1."/>
      <w:numFmt w:val="decimal"/>
      <w:start w:val="21"/>
    </w:lvl>
    <w:lvl w:ilvl="1">
      <w:lvlJc w:val="left"/>
      <w:lvlText w:val="(%2)"/>
      <w:numFmt w:val="decimal"/>
      <w:start w:val="1"/>
    </w:lvl>
    <w:lvl w:ilvl="2">
      <w:lvlJc w:val="left"/>
      <w:lvlText w:val="(%3)"/>
      <w:numFmt w:val="lowerLetter"/>
      <w:start w:val="1"/>
    </w:lvl>
  </w:abstractNum>
  <w:abstractNum w:abstractNumId="17">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8">
    <w:nsid w:val="3A95F874"/>
    <w:multiLevelType w:val="hybridMultilevel"/>
    <w:lvl w:ilvl="0">
      <w:lvlJc w:val="left"/>
      <w:lvlText w:val="%1."/>
      <w:numFmt w:val="decimal"/>
      <w:start w:val="23"/>
    </w:lvl>
  </w:abstractNum>
  <w:abstractNum w:abstractNumId="19">
    <w:nsid w:val="8138641"/>
    <w:multiLevelType w:val="hybridMultilevel"/>
    <w:lvl w:ilvl="0">
      <w:lvlJc w:val="left"/>
      <w:lvlText w:val="%1."/>
      <w:numFmt w:val="decimal"/>
      <w:start w:val="24"/>
    </w:lvl>
  </w:abstractNum>
  <w:abstractNum w:abstractNumId="20">
    <w:nsid w:val="1E7FF521"/>
    <w:multiLevelType w:val="hybridMultilevel"/>
    <w:lvl w:ilvl="0">
      <w:lvlJc w:val="left"/>
      <w:lvlText w:val="%1."/>
      <w:numFmt w:val="decimal"/>
      <w:start w:val="1"/>
    </w:lvl>
    <w:lvl w:ilvl="1">
      <w:lvlJc w:val="left"/>
      <w:lvlText w:val="•"/>
      <w:numFmt w:val="bullet"/>
      <w:start w:val="1"/>
    </w:lvl>
  </w:abstractNum>
  <w:abstractNum w:abstractNumId="21">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737B8DDC"/>
    <w:multiLevelType w:val="hybridMultilevel"/>
    <w:lvl w:ilvl="0">
      <w:lvlJc w:val="left"/>
      <w:lvlText w:val="%1"/>
      <w:numFmt w:val="lowerLetter"/>
      <w:start w:val="1"/>
    </w:lvl>
    <w:lvl w:ilvl="1">
      <w:lvlJc w:val="left"/>
      <w:lvlText w:val="(%2)"/>
      <w:numFmt w:val="lowerLetter"/>
      <w:start w:val="61"/>
    </w:lvl>
  </w:abstractNum>
  <w:abstractNum w:abstractNumId="23">
    <w:nsid w:val="6CEAF087"/>
    <w:multiLevelType w:val="hybridMultilevel"/>
    <w:lvl w:ilvl="0">
      <w:lvlJc w:val="left"/>
      <w:lvlText w:val="(%1)"/>
      <w:numFmt w:val="lowerLetter"/>
      <w:start w:val="16"/>
    </w:lvl>
    <w:lvl w:ilvl="1">
      <w:lvlJc w:val="left"/>
      <w:lvlText w:val="%2"/>
      <w:numFmt w:val="lowerLetter"/>
      <w:start w:val="1"/>
    </w:lvl>
  </w:abstractNum>
  <w:abstractNum w:abstractNumId="24">
    <w:nsid w:val="22221A70"/>
    <w:multiLevelType w:val="hybridMultilevel"/>
    <w:lvl w:ilvl="0">
      <w:lvlJc w:val="left"/>
      <w:lvlText w:val="(%1)"/>
      <w:numFmt w:val="lowerLetter"/>
      <w:start w:val="27"/>
    </w:lvl>
  </w:abstractNum>
  <w:abstractNum w:abstractNumId="25">
    <w:nsid w:val="4516DDE9"/>
    <w:multiLevelType w:val="hybridMultilevel"/>
    <w:lvl w:ilvl="0">
      <w:lvlJc w:val="left"/>
      <w:lvlText w:val="%1."/>
      <w:numFmt w:val="decimal"/>
      <w:start w:val="3"/>
    </w:lvl>
  </w:abstractNum>
  <w:abstractNum w:abstractNumId="26">
    <w:nsid w:val="3006C83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8">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440BADFC"/>
    <w:multiLevelType w:val="hybridMultilevel"/>
    <w:lvl w:ilvl="0">
      <w:lvlJc w:val="left"/>
      <w:lvlText w:val="(%1)"/>
      <w:numFmt w:val="lowerLetter"/>
      <w:start w:val="2"/>
    </w:lvl>
    <w:lvl w:ilvl="1">
      <w:lvlJc w:val="left"/>
      <w:lvlText w:val="(%2)"/>
      <w:numFmt w:val="lowerRoman"/>
      <w:start w:val="1"/>
    </w:lvl>
  </w:abstractNum>
  <w:abstractNum w:abstractNumId="31">
    <w:nsid w:val="5072367"/>
    <w:multiLevelType w:val="hybridMultilevel"/>
    <w:lvl w:ilvl="0">
      <w:lvlJc w:val="left"/>
      <w:lvlText w:val="(%1)"/>
      <w:numFmt w:val="lowerRoman"/>
      <w:start w:val="3"/>
    </w:lvl>
  </w:abstractNum>
  <w:abstractNum w:abstractNumId="32">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8"/>
    </w:lvl>
  </w:abstractNum>
  <w:abstractNum w:abstractNumId="33">
    <w:nsid w:val="77465F0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4">
    <w:nsid w:val="7724C67E"/>
    <w:multiLevelType w:val="hybridMultilevel"/>
    <w:lvl w:ilvl="0">
      <w:lvlJc w:val="left"/>
      <w:lvlText w:val="%1"/>
      <w:numFmt w:val="decimal"/>
      <w:start w:val="1"/>
    </w:lvl>
    <w:lvl w:ilvl="1">
      <w:lvlJc w:val="left"/>
      <w:lvlText w:val="(%2)"/>
      <w:numFmt w:val="lowerLetter"/>
      <w:start w:val="2"/>
    </w:lvl>
  </w:abstractNum>
  <w:abstractNum w:abstractNumId="35">
    <w:nsid w:val="5C482A97"/>
    <w:multiLevelType w:val="hybridMultilevel"/>
    <w:lvl w:ilvl="0">
      <w:lvlJc w:val="left"/>
      <w:lvlText w:val="%1."/>
      <w:numFmt w:val="decimal"/>
      <w:start w:val="11"/>
    </w:lvl>
    <w:lvl w:ilvl="1">
      <w:lvlJc w:val="left"/>
      <w:lvlText w:val="%2"/>
      <w:numFmt w:val="lowerLetter"/>
      <w:start w:val="1"/>
    </w:lvl>
  </w:abstractNum>
  <w:abstractNum w:abstractNumId="36">
    <w:nsid w:val="2463B9EA"/>
    <w:multiLevelType w:val="hybridMultilevel"/>
    <w:lvl w:ilvl="0">
      <w:lvlJc w:val="left"/>
      <w:lvlText w:val="%1."/>
      <w:numFmt w:val="decimal"/>
      <w:start w:val="12"/>
    </w:lvl>
    <w:lvl w:ilvl="1">
      <w:lvlJc w:val="left"/>
      <w:lvlText w:val="(%2)"/>
      <w:numFmt w:val="lowerLetter"/>
      <w:start w:val="1"/>
    </w:lvl>
  </w:abstractNum>
  <w:abstractNum w:abstractNumId="37">
    <w:nsid w:val="5E884AD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8">
    <w:nsid w:val="51EAD36B"/>
    <w:multiLevelType w:val="hybridMultilevel"/>
    <w:lvl w:ilvl="0">
      <w:lvlJc w:val="left"/>
      <w:lvlText w:val="%1"/>
      <w:numFmt w:val="decimal"/>
      <w:start w:val="1"/>
    </w:lvl>
    <w:lvl w:ilvl="1">
      <w:lvlJc w:val="left"/>
      <w:lvlText w:val="(%2)"/>
      <w:numFmt w:val="lowerLetter"/>
      <w:start w:val="2"/>
    </w:lvl>
  </w:abstractNum>
  <w:abstractNum w:abstractNumId="39">
    <w:nsid w:val="2D517796"/>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2019-12-13T12:59:53Z</dcterms:created>
  <dcterms:modified xsi:type="dcterms:W3CDTF">2019-12-13T12:59:53Z</dcterms:modified>
</cp:coreProperties>
</file>