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12,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142875</wp:posOffset>
            </wp:positionV>
            <wp:extent cx="145732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8"/>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3100" w:type="dxa"/>
            <w:vAlign w:val="bottom"/>
            <w:tcBorders>
              <w:bottom w:val="single" w:sz="8" w:color="auto"/>
            </w:tcBorders>
          </w:tcPr>
          <w:p>
            <w:pPr>
              <w:spacing w:after="0"/>
              <w:rPr>
                <w:sz w:val="24"/>
                <w:szCs w:val="24"/>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0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January 12, 2024, Micron Technology, Inc. ("Micron," "we," "us," or "our") settled its offering of $1,000,000,000 aggregate principal amount of 5.30% senior notes due 2031 (the "Notes"). The Notes were issued and sold in a public offering pursuant to a registration statement on Form S-3 (File No. 333-275276), including the prospectus contained therein (the "Base Prospectus"), filed with the Securities and Exchange Commission under the Securities Act of 1933, as amended, a preliminary prospectus supplement dated January 10, 2024, a related final prospectus supplement dated January 10, 2024 (together with the Base Prospectus, the "Prospectus"), and a free writing prospectus dated January 10, 2024.</w:t>
      </w:r>
    </w:p>
    <w:p>
      <w:pPr>
        <w:spacing w:after="0" w:line="183"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Notes were issued pursuant to an indenture, dated as of February 6, 2019 (the "Base Indenture"), between Micron and U.S. Bank Trust Company, National Association (as successor in interest to U.S. Bank National Association), as trustee, as supplemented by an eighth supplemental indenture, dated as of January 12, 2024 (the "Supplemental Indenture" and, together with the Base Indenture, the "Indenture"). The Indenture contains certain covenants, events of default and other customary provisions.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5.30% per year and will mature on January 15, 2031. Interest on the Notes is payable on January 15 and July 15 of each year, beginning on July 15, 2024.</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Prior to the Par Call Date (as defined below), we may redeem the Notes at our option, in whole or in part, at any time and from time to time, at a redemption price equal to the greater of (i)(a) the sum of the present values of the remaining scheduled payments of principal and interest thereon discounted to the redemption date (assuming the Notes matured on the Par Call Date) on a semi-annual basis (assuming a 360-day year consisting of twelve 30-day months) at the then current treasury rate plus 20 basis points, less (b) interest accrued to the date of redemption, and (ii) 100% of the principal amount of the Notes to be redeemed, and plus, in each case, accrued and unpaid interest, if any, on the amount being redeemed to, but excluding, the date of redemption. In addition, we may redeem the Notes on or after the Par Call Date at a redemption price equal to 100% of the principal amount of the Notes to be redeemed, plus accrued and unpaid interest, if any, to, but excluding, the date of redemption. "Par Call Date" means November 15, 2030 (two months prior to the maturity date).</w:t>
      </w:r>
    </w:p>
    <w:p>
      <w:pPr>
        <w:spacing w:after="0" w:line="19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If we experience specified change of control triggering events, we must offer to repurchase the Notes at a price equal to 101% of the principal amount of the Notes repurchased, plus accrued and unpaid interest, if any.</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contains limited affirmative and negative covenants of Micron, each of which is subject to a number of limitations and exceptions in the Indenture. The negative covenants restrict our ability and certain of our subsidiaries to incur liens on Principal Property (as defined in the Indenture); to engage in sale and lease-back transactions with respect to any Principal Property; and our ability to consolidate, merge or convey, transfer or lease all or substantially all of our properties and assets.</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Events of default under the Indenture include a failure to make payments, non-performance of affirmative and negative covenants, and the occurrence of bankruptcy and insolvency-related events. Our obligations may be accelerated upon an event of default, in which case the entire principal amount of the Notes would become immediately due and payable.</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intend to use net proceeds from the sale of the Notes to repay borrowings under our senior term loan due October 2024 and the remainder of the net proceeds for general corporate purposes, which may include the repayment of other indebtedness.</w:t>
      </w:r>
    </w:p>
    <w:p>
      <w:pPr>
        <w:spacing w:after="0" w:line="162"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The foregoing description of certain terms of the Indenture does not purport to be complete and is qualified in its entirety by reference to the full text of the Base Indenture, the Supplemental Indenture, and the form of the Notes, which are filed with this report as Exhibits 4.1, 4.2, and 4.3,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counsel to Micron, has issued an opinion to Micron dated January 12, 2024 regarding the legality of the Notes. A copy of the opinion is filed as Exhibit 5.1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 w:type="dxa"/>
            <w:vAlign w:val="bottom"/>
          </w:tcPr>
          <w:p>
            <w:pPr>
              <w:spacing w:after="0"/>
              <w:rPr>
                <w:sz w:val="20"/>
                <w:szCs w:val="20"/>
                <w:color w:val="auto"/>
              </w:rPr>
            </w:pPr>
          </w:p>
        </w:tc>
        <w:tc>
          <w:tcPr>
            <w:tcW w:w="1008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7760" w:type="dxa"/>
            <w:vAlign w:val="bottom"/>
            <w:gridSpan w:val="7"/>
          </w:tcPr>
          <w:p>
            <w:pPr>
              <w:ind w:left="2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40" w:type="dxa"/>
            <w:vAlign w:val="bottom"/>
            <w:tcBorders>
              <w:top w:val="single" w:sz="8" w:color="auto"/>
            </w:tcBorders>
            <w:gridSpan w:val="2"/>
          </w:tcPr>
          <w:p>
            <w:pPr>
              <w:ind w:left="20"/>
              <w:spacing w:after="0" w:line="176" w:lineRule="exact"/>
              <w:rPr>
                <w:rFonts w:ascii="Times New Roman" w:cs="Times New Roman" w:eastAsia="Times New Roman" w:hAnsi="Times New Roman"/>
                <w:sz w:val="18"/>
                <w:szCs w:val="18"/>
                <w:color w:val="0000EE"/>
                <w:w w:val="79"/>
              </w:rPr>
            </w:pPr>
            <w:hyperlink r:id="rId16">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hyperlink>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8"/>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Indenture, dated February 6, 2019, by and between Micron Technology, Inc. and U.S. Bank Trust Company, National Association (as</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8"/>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successor in interest to U.S. Bank National Association), as Trustee, filed as Exhibit 4.1 to Micron’s Form 8-K filed on February 6, 2019</w:t>
              </w:r>
            </w:hyperlink>
          </w:p>
        </w:tc>
      </w:tr>
      <w:tr>
        <w:trPr>
          <w:trHeight w:val="196"/>
        </w:trPr>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Eighth Supplemental Indenture, dated as of January 12, 2024, by and between Micron Technology, Inc. and U.S. Bank Trust Company,</w:t>
            </w:r>
          </w:p>
        </w:tc>
        <w:tc>
          <w:tcPr>
            <w:tcW w:w="2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National Association, as Trustee</w:t>
            </w:r>
          </w:p>
        </w:tc>
        <w:tc>
          <w:tcPr>
            <w:tcW w:w="360" w:type="dxa"/>
            <w:vAlign w:val="bottom"/>
            <w:gridSpan w:val="2"/>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Form of Note for Micron Technology, Inc.’s 5.30% Senior Notes due 2031 (incorporated by reference from Exhibit 4.2 hereto)</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196"/>
        </w:trPr>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r>
      <w:tr>
        <w:trPr>
          <w:trHeight w:val="196"/>
        </w:trPr>
        <w:tc>
          <w:tcPr>
            <w:tcW w:w="92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Consent of Wilson Sonsini Goodrich &amp; Rosati, Professional Corporation (included in Exhibit 5.1)</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40" w:type="dxa"/>
            <w:vAlign w:val="bottom"/>
            <w:gridSpan w:val="3"/>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r>
      <w:tr>
        <w:trPr>
          <w:trHeight w:val="237"/>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12, 2024</w:t>
      </w:r>
      <w:r>
        <w:rPr>
          <w:sz w:val="20"/>
          <w:szCs w:val="20"/>
          <w:color w:val="auto"/>
        </w:rPr>
        <w:tab/>
      </w:r>
      <w:r>
        <w:rPr>
          <w:rFonts w:ascii="Times New Roman" w:cs="Times New Roman" w:eastAsia="Times New Roman" w:hAnsi="Times New Roman"/>
          <w:sz w:val="17"/>
          <w:szCs w:val="17"/>
          <w:b w:val="1"/>
          <w:bCs w:val="1"/>
          <w:color w:val="auto"/>
        </w:rPr>
        <w:t>MICRON TECHNOLOGY,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Murphy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$1,000,000,000 5.30% SENIOR NOTES DUE 2031</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EIGHTH SUPPLEMENTAL INDENTURE</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Dated as of January 12, 2024</w:t>
      </w:r>
    </w:p>
    <w:p>
      <w:pPr>
        <w:spacing w:after="0" w:line="20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Dated as of February 6, 2019</w:t>
      </w:r>
    </w:p>
    <w:p>
      <w:pPr>
        <w:spacing w:after="0" w:line="20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333"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654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980" w:type="dxa"/>
            <w:vAlign w:val="bottom"/>
          </w:tcPr>
          <w:p>
            <w:pPr>
              <w:spacing w:after="0"/>
              <w:rPr>
                <w:sz w:val="20"/>
                <w:szCs w:val="20"/>
                <w:color w:val="auto"/>
              </w:rPr>
            </w:pP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Relationship with Base Indenture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Form and Dating</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Transfer and Exchange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Issuance of Additional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Execution and Authentication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AND PREPAYMENT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3.1.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Optional Redemption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PARTICULAR 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 to Purchase Upon Change of Control Triggering Event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Liens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Sale and Lease Back Transactions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8"/>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SATISFACTION AND DISCHARGE; DEFEASANCE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5.1.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Satisfaction and Discharge of Indenture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5.2.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Legal Defeasance of Securities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8"/>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5.3.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MISCELLANEOUS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Trust Indenture Act Controls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Successors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Counterpart Originals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6.6.</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Table of Contents, Headings,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6.8.</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Interpretation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6.9.</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Instruction by Electronic Transmissions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6.10.</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6.11.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540" w:type="dxa"/>
            <w:vAlign w:val="bottom"/>
          </w:tcPr>
          <w:p>
            <w:pPr>
              <w:spacing w:after="0"/>
              <w:rPr>
                <w:sz w:val="20"/>
                <w:szCs w:val="20"/>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OF NOTE</w:t>
            </w:r>
          </w:p>
        </w:tc>
      </w:tr>
      <w:tr>
        <w:trPr>
          <w:trHeight w:val="675"/>
        </w:trPr>
        <w:tc>
          <w:tcPr>
            <w:tcW w:w="17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EIGHTH SUPPLEMENTAL INDENTURE dated as January 12, 2024 by and between Micron Technology,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20" w:firstLine="648"/>
        <w:spacing w:after="0" w:line="312" w:lineRule="auto"/>
        <w:rPr>
          <w:sz w:val="20"/>
          <w:szCs w:val="20"/>
          <w:color w:val="auto"/>
        </w:rPr>
      </w:pPr>
      <w:r>
        <w:rPr>
          <w:rFonts w:ascii="Times New Roman" w:cs="Times New Roman" w:eastAsia="Times New Roman" w:hAnsi="Times New Roman"/>
          <w:sz w:val="17"/>
          <w:szCs w:val="17"/>
          <w:color w:val="auto"/>
        </w:rPr>
        <w:t>The Company has heretofore executed and delivered to the Trustee (as successor in interest to U.S. Bank National Association) an indenture, dated as of February 6, 2019 (the “</w:t>
      </w:r>
      <w:r>
        <w:rPr>
          <w:rFonts w:ascii="Times New Roman" w:cs="Times New Roman" w:eastAsia="Times New Roman" w:hAnsi="Times New Roman"/>
          <w:sz w:val="17"/>
          <w:szCs w:val="17"/>
          <w:b w:val="1"/>
          <w:bCs w:val="1"/>
          <w:i w:val="1"/>
          <w:iCs w:val="1"/>
          <w:color w:val="auto"/>
        </w:rPr>
        <w:t>Base Indenture</w:t>
      </w:r>
      <w:r>
        <w:rPr>
          <w:rFonts w:ascii="Times New Roman" w:cs="Times New Roman" w:eastAsia="Times New Roman" w:hAnsi="Times New Roman"/>
          <w:sz w:val="17"/>
          <w:szCs w:val="17"/>
          <w:color w:val="auto"/>
        </w:rPr>
        <w:t>”), providing for the issuance from time to time of one or more Series of the Company’s securities.</w:t>
      </w:r>
    </w:p>
    <w:p>
      <w:pPr>
        <w:spacing w:after="0" w:line="1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desires and has requested the Trustee pursuant to Section 9.1 of the Base Indenture to join with it in the execution and delivery of this Supplemental Indenture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in order to supplement the Base Indenture as, and to the extent set forth herein, to provide for the issuance of and establish the forms and terms and conditions of the Notes (as defined below).</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execution and delivery of this Supplemental Indenture has been duly authorized by votes of the Board of Directors or a duly authorized committee thereof.</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Trustee agree as follows for the benefit of each other and for the equal and ratable benefit of the Holders (as defined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5.30% Senior Notes due 2031: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REFERENCE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i w:val="1"/>
          <w:iCs w:val="1"/>
          <w:color w:val="auto"/>
        </w:rPr>
        <w:t>Relationship with Base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herein without definition shall have the respective meanings set forth in the Base Indenture. The following terms have the meanings given to them in this Section 1.2:</w:t>
      </w:r>
    </w:p>
    <w:p>
      <w:pPr>
        <w:spacing w:after="0" w:line="158"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Notes</w:t>
      </w:r>
      <w:r>
        <w:rPr>
          <w:rFonts w:ascii="Times New Roman" w:cs="Times New Roman" w:eastAsia="Times New Roman" w:hAnsi="Times New Roman"/>
          <w:sz w:val="18"/>
          <w:szCs w:val="18"/>
          <w:color w:val="auto"/>
        </w:rPr>
        <w:t>” means any Notes (other than the Initial Notes) issued under this Supplemental Indenture in accordance with Section 2.3 hereof, as part of the same Series as the Initial Notes.</w:t>
      </w:r>
    </w:p>
    <w:p>
      <w:pPr>
        <w:spacing w:after="0" w:line="15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Debt</w:t>
      </w:r>
      <w:r>
        <w:rPr>
          <w:rFonts w:ascii="Times New Roman" w:cs="Times New Roman" w:eastAsia="Times New Roman" w:hAnsi="Times New Roman"/>
          <w:sz w:val="18"/>
          <w:szCs w:val="18"/>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Attributable Debt</w:t>
      </w:r>
      <w:r>
        <w:rPr>
          <w:rFonts w:ascii="Times New Roman" w:cs="Times New Roman" w:eastAsia="Times New Roman" w:hAnsi="Times New Roman"/>
          <w:sz w:val="18"/>
          <w:szCs w:val="18"/>
          <w:color w:val="auto"/>
        </w:rPr>
        <w:t>” means in connection with a Sale and Lease 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76"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has the meaning set forth in the preamble to this Supplemental Indenture, as it may be amended, supplemented or otherwise modified from time to time in accordance with the terms thereof.</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Below Investment Grade Rating Event</w:t>
      </w:r>
      <w:r>
        <w:rPr>
          <w:rFonts w:ascii="Times New Roman" w:cs="Times New Roman" w:eastAsia="Times New Roman" w:hAnsi="Times New Roman"/>
          <w:sz w:val="18"/>
          <w:szCs w:val="18"/>
          <w:color w:val="auto"/>
        </w:rPr>
        <w: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right="80" w:firstLine="648"/>
        <w:spacing w:after="0" w:line="270" w:lineRule="auto"/>
        <w:rPr>
          <w:sz w:val="20"/>
          <w:szCs w:val="20"/>
          <w:color w:val="auto"/>
        </w:rPr>
      </w:pPr>
      <w:r>
        <w:rPr>
          <w:rFonts w:ascii="Times New Roman" w:cs="Times New Roman" w:eastAsia="Times New Roman" w:hAnsi="Times New Roman"/>
          <w:sz w:val="17"/>
          <w:szCs w:val="17"/>
          <w:color w:val="auto"/>
        </w:rPr>
        <w:t>(i)            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w:t>
      </w:r>
    </w:p>
    <w:p>
      <w:pPr>
        <w:spacing w:after="0" w:line="3" w:lineRule="exact"/>
        <w:rPr>
          <w:sz w:val="20"/>
          <w:szCs w:val="20"/>
          <w:color w:val="auto"/>
        </w:rPr>
      </w:pPr>
    </w:p>
    <w:p>
      <w:pPr>
        <w:ind w:left="660" w:right="40" w:hanging="4"/>
        <w:spacing w:after="0" w:line="251" w:lineRule="auto"/>
        <w:tabs>
          <w:tab w:leader="none" w:pos="9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(ii)            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adoption of a plan relating to the Company’s liquidation or dissolution.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Below Investment Grade Rating Event.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Tangible Assets</w:t>
      </w:r>
      <w:r>
        <w:rPr>
          <w:rFonts w:ascii="Times New Roman" w:cs="Times New Roman" w:eastAsia="Times New Roman" w:hAnsi="Times New Roman"/>
          <w:sz w:val="18"/>
          <w:szCs w:val="18"/>
          <w:color w:val="auto"/>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8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Subsidiaries</w:t>
      </w:r>
      <w:r>
        <w:rPr>
          <w:rFonts w:ascii="Times New Roman" w:cs="Times New Roman" w:eastAsia="Times New Roman" w:hAnsi="Times New Roman"/>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5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2.2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will not bear the Global Note Legend.</w:t>
      </w:r>
    </w:p>
    <w:p>
      <w:pPr>
        <w:spacing w:after="0" w:line="15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2.1 hereof as the Depositary with respect to such Notes, and any and all successors thereto appointed as depositary hereunder.</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all Capital Stock and all warrants or options with respect to, or other rights to purchase, Capital Stock, but excluding Indebtedness convertible into or exchangeable for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means Fitch Ratings Inc. and any successor to its rating agency business.</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Subsidiary</w:t>
      </w:r>
      <w:r>
        <w:rPr>
          <w:rFonts w:ascii="Times New Roman" w:cs="Times New Roman" w:eastAsia="Times New Roman" w:hAnsi="Times New Roman"/>
          <w:sz w:val="18"/>
          <w:szCs w:val="18"/>
          <w:color w:val="auto"/>
        </w:rPr>
        <w:t>” means, with respect to any person, any Subsidiary of such person other than one that is organized or existing under the laws of the United States, any state thereof or the District of Columbia.</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 Legend</w:t>
      </w:r>
      <w:r>
        <w:rPr>
          <w:rFonts w:ascii="Times New Roman" w:cs="Times New Roman" w:eastAsia="Times New Roman" w:hAnsi="Times New Roman"/>
          <w:sz w:val="18"/>
          <w:szCs w:val="18"/>
          <w:color w:val="auto"/>
        </w:rPr>
        <w:t>” means the legend set forth in Section 2.2(e) hereof, which is required to be placed on all Global Notes issued under this Supplemental Indenture.</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Notes</w:t>
      </w:r>
      <w:r>
        <w:rPr>
          <w:rFonts w:ascii="Times New Roman" w:cs="Times New Roman" w:eastAsia="Times New Roman" w:hAnsi="Times New Roman"/>
          <w:sz w:val="18"/>
          <w:szCs w:val="18"/>
          <w:color w:val="auto"/>
        </w:rPr>
        <w:t xml:space="preserve">” means, individually and collectively, each of the Global Notes,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issued in accordance with Section 2.1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accreted value of the Indebtedness, in the case of any Indebtedness that does not require the current payment of interest;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principal amount of the Indebtedness, in the case of any other Indebtedness; and</w:t>
      </w:r>
    </w:p>
    <w:p>
      <w:pPr>
        <w:spacing w:after="0" w:line="225" w:lineRule="exact"/>
        <w:rPr>
          <w:sz w:val="20"/>
          <w:szCs w:val="20"/>
          <w:color w:val="auto"/>
        </w:rPr>
      </w:pPr>
    </w:p>
    <w:p>
      <w:pPr>
        <w:ind w:left="660" w:right="80" w:firstLine="648"/>
        <w:spacing w:after="0" w:line="266" w:lineRule="auto"/>
        <w:rPr>
          <w:sz w:val="20"/>
          <w:szCs w:val="20"/>
          <w:color w:val="auto"/>
        </w:rPr>
      </w:pPr>
      <w:r>
        <w:rPr>
          <w:rFonts w:ascii="Times New Roman" w:cs="Times New Roman" w:eastAsia="Times New Roman" w:hAnsi="Times New Roman"/>
          <w:sz w:val="18"/>
          <w:szCs w:val="18"/>
          <w:color w:val="auto"/>
        </w:rPr>
        <w:t>(3)            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accrual of interest and accretion or amortization of original issue discount will not be deemed to be an incurrence of Indebtedness for any purpose under this Indenture.</w:t>
      </w:r>
    </w:p>
    <w:p>
      <w:pPr>
        <w:spacing w:after="0" w:line="158"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the Base Indenture, as supplemented by this Supplemental Indenture, governing the Notes, in each case, as amended, supplemented 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Notes</w:t>
      </w:r>
      <w:r>
        <w:rPr>
          <w:rFonts w:ascii="Times New Roman" w:cs="Times New Roman" w:eastAsia="Times New Roman" w:hAnsi="Times New Roman"/>
          <w:sz w:val="18"/>
          <w:szCs w:val="18"/>
          <w:color w:val="auto"/>
        </w:rPr>
        <w:t>” means the $1,000,000,000 aggregate principal amount of Notes issued under this Supplemental Indenture on the date hereof.</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Investment Grade</w:t>
      </w:r>
      <w:r>
        <w:rPr>
          <w:rFonts w:ascii="Times New Roman" w:cs="Times New Roman" w:eastAsia="Times New Roman" w:hAnsi="Times New Roman"/>
          <w:sz w:val="17"/>
          <w:szCs w:val="17"/>
          <w:color w:val="auto"/>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means the date hereof.</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right="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Lien</w:t>
      </w:r>
      <w:r>
        <w:rPr>
          <w:rFonts w:ascii="Times New Roman" w:cs="Times New Roman" w:eastAsia="Times New Roman" w:hAnsi="Times New Roman"/>
          <w:sz w:val="17"/>
          <w:szCs w:val="17"/>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Obligation</w:t>
      </w:r>
      <w:r>
        <w:rPr>
          <w:rFonts w:ascii="Times New Roman" w:cs="Times New Roman" w:eastAsia="Times New Roman" w:hAnsi="Times New Roman"/>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79"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means the Company’s 5.30% Senior Notes due 2031; provided that the Initial Notes and the Additional Notes, if any, will be treated as a single Series for all purposes under this Supplemental Indenture, and unless the context otherwise requires, all references to the Notes will include the Initial Notes and any Additional Notes.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November 15, 2030.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Issue Date or arising thereafter pursuant to related agreements existing as of the Issue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Issue Date created in favor of the Holders of the Notes;</w:t>
      </w:r>
    </w:p>
    <w:p>
      <w:pPr>
        <w:spacing w:after="0" w:line="225"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87" w:lineRule="exact"/>
        <w:rPr>
          <w:rFonts w:ascii="Times New Roman" w:cs="Times New Roman" w:eastAsia="Times New Roman" w:hAnsi="Times New Roman"/>
          <w:sz w:val="18"/>
          <w:szCs w:val="18"/>
          <w:color w:val="auto"/>
        </w:rPr>
      </w:pPr>
    </w:p>
    <w:p>
      <w:pPr>
        <w:ind w:left="980" w:right="18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324" w:right="140" w:hanging="324"/>
        <w:spacing w:after="0" w:line="254"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91" w:lineRule="exact"/>
        <w:rPr>
          <w:rFonts w:ascii="Times New Roman" w:cs="Times New Roman" w:eastAsia="Times New Roman" w:hAnsi="Times New Roman"/>
          <w:sz w:val="18"/>
          <w:szCs w:val="18"/>
          <w:color w:val="auto"/>
        </w:rPr>
      </w:pPr>
    </w:p>
    <w:p>
      <w:pPr>
        <w:ind w:left="324" w:right="60"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 Restricted Subsidiary of the Company;</w:t>
      </w:r>
    </w:p>
    <w:p>
      <w:pPr>
        <w:spacing w:after="0" w:line="225" w:lineRule="exact"/>
        <w:rPr>
          <w:rFonts w:ascii="Times New Roman" w:cs="Times New Roman" w:eastAsia="Times New Roman" w:hAnsi="Times New Roman"/>
          <w:sz w:val="18"/>
          <w:szCs w:val="18"/>
          <w:color w:val="auto"/>
        </w:rPr>
      </w:pPr>
    </w:p>
    <w:p>
      <w:pPr>
        <w:ind w:left="324" w:right="160"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75" w:lineRule="exact"/>
        <w:rPr>
          <w:rFonts w:ascii="Times New Roman" w:cs="Times New Roman" w:eastAsia="Times New Roman" w:hAnsi="Times New Roman"/>
          <w:sz w:val="18"/>
          <w:szCs w:val="18"/>
          <w:color w:val="auto"/>
        </w:rPr>
      </w:pPr>
    </w:p>
    <w:p>
      <w:pPr>
        <w:ind w:left="324" w:right="10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61" w:lineRule="exact"/>
        <w:rPr>
          <w:rFonts w:ascii="Times New Roman" w:cs="Times New Roman" w:eastAsia="Times New Roman" w:hAnsi="Times New Roman"/>
          <w:sz w:val="18"/>
          <w:szCs w:val="18"/>
          <w:color w:val="auto"/>
        </w:rPr>
      </w:pPr>
    </w:p>
    <w:p>
      <w:pPr>
        <w:ind w:left="324" w:right="60" w:hanging="324"/>
        <w:spacing w:after="0" w:line="25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87" w:lineRule="exact"/>
        <w:rPr>
          <w:rFonts w:ascii="Times New Roman" w:cs="Times New Roman" w:eastAsia="Times New Roman" w:hAnsi="Times New Roman"/>
          <w:sz w:val="18"/>
          <w:szCs w:val="18"/>
          <w:color w:val="auto"/>
        </w:rPr>
      </w:pPr>
    </w:p>
    <w:p>
      <w:pPr>
        <w:ind w:left="324" w:hanging="324"/>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79" w:lineRule="exact"/>
        <w:rPr>
          <w:rFonts w:ascii="Times New Roman" w:cs="Times New Roman" w:eastAsia="Times New Roman" w:hAnsi="Times New Roman"/>
          <w:sz w:val="18"/>
          <w:szCs w:val="18"/>
          <w:color w:val="auto"/>
        </w:rPr>
      </w:pPr>
    </w:p>
    <w:p>
      <w:pPr>
        <w:ind w:left="324" w:right="60" w:hanging="324"/>
        <w:spacing w:after="0" w:line="312" w:lineRule="auto"/>
        <w:tabs>
          <w:tab w:leader="none" w:pos="3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139"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connection with the acquisition of assets or a project financed with, and created to secure a Nonrecourse Obligation; and</w:t>
      </w:r>
    </w:p>
    <w:p>
      <w:pPr>
        <w:spacing w:after="0" w:line="200" w:lineRule="exact"/>
        <w:rPr>
          <w:sz w:val="20"/>
          <w:szCs w:val="20"/>
          <w:color w:val="auto"/>
        </w:rPr>
      </w:pPr>
    </w:p>
    <w:p>
      <w:pPr>
        <w:spacing w:after="0" w:line="241"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13" w:name="page14"/>
    <w:bookmarkEnd w:id="13"/>
    <w:p>
      <w:pPr>
        <w:ind w:left="980" w:right="100" w:hanging="324"/>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 (1) through (13).</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5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Property</w:t>
      </w:r>
      <w:r>
        <w:rPr>
          <w:rFonts w:ascii="Times New Roman" w:cs="Times New Roman" w:eastAsia="Times New Roman" w:hAnsi="Times New Roman"/>
          <w:sz w:val="18"/>
          <w:szCs w:val="18"/>
          <w:color w:val="auto"/>
        </w:rPr>
        <w:t>”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8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 Agency</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7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Scheduled Payments</w:t>
      </w:r>
      <w:r>
        <w:rPr>
          <w:rFonts w:ascii="Times New Roman" w:cs="Times New Roman" w:eastAsia="Times New Roman" w:hAnsi="Times New Roman"/>
          <w:sz w:val="18"/>
          <w:szCs w:val="18"/>
          <w:color w:val="auto"/>
        </w:rPr>
        <w:t>” means, with respect to any Notes being redeemed, the sum of the present values of the remaining scheduled payments of the principal and interest thereon discounted to the redemption date (assuming the Notes matured on the Par Call Date) on a semi-annual basis (assuming a 360-day year consisting of twelve 30-day months) at the Treasury Rate plus 20 basis points.</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Subsidiary</w:t>
      </w:r>
      <w:r>
        <w:rPr>
          <w:rFonts w:ascii="Times New Roman" w:cs="Times New Roman" w:eastAsia="Times New Roman" w:hAnsi="Times New Roman"/>
          <w:sz w:val="18"/>
          <w:szCs w:val="18"/>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S&amp;P Global Ratings, and any successor to its rating agency business.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and Lease 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Officer</w:t>
      </w:r>
      <w:r>
        <w:rPr>
          <w:rFonts w:ascii="Times New Roman" w:cs="Times New Roman" w:eastAsia="Times New Roman" w:hAnsi="Times New Roman"/>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5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71"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means this Eighth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the following manner:</w:t>
      </w:r>
    </w:p>
    <w:p>
      <w:pPr>
        <w:spacing w:after="0" w:line="229" w:lineRule="exact"/>
        <w:rPr>
          <w:sz w:val="20"/>
          <w:szCs w:val="20"/>
          <w:color w:val="auto"/>
        </w:rPr>
      </w:pPr>
    </w:p>
    <w:p>
      <w:pPr>
        <w:ind w:left="660" w:right="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i w:val="1"/>
          <w:iCs w:val="1"/>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b w:val="1"/>
          <w:bCs w:val="1"/>
          <w:i w:val="1"/>
          <w:iCs w:val="1"/>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right="30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Voting Stock</w:t>
      </w:r>
      <w:r>
        <w:rPr>
          <w:rFonts w:ascii="Times New Roman" w:cs="Times New Roman" w:eastAsia="Times New Roman" w:hAnsi="Times New Roman"/>
          <w:sz w:val="17"/>
          <w:szCs w:val="17"/>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6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238"/>
        </w:trPr>
        <w:tc>
          <w:tcPr>
            <w:tcW w:w="766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Section</w:t>
            </w:r>
          </w:p>
        </w:tc>
      </w:tr>
      <w:tr>
        <w:trPr>
          <w:trHeight w:val="210"/>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of Control Purchase Date”</w:t>
            </w:r>
          </w:p>
        </w:tc>
        <w:tc>
          <w:tcPr>
            <w:tcW w:w="1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of Control Purchase Price”</w:t>
            </w:r>
          </w:p>
        </w:tc>
        <w:tc>
          <w:tcPr>
            <w:tcW w:w="3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“DTC”</w:t>
            </w:r>
          </w:p>
        </w:tc>
        <w:tc>
          <w:tcPr>
            <w:tcW w:w="3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“Expiration Date”</w:t>
            </w:r>
          </w:p>
        </w:tc>
        <w:tc>
          <w:tcPr>
            <w:tcW w:w="3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“Interest Payment Date”</w:t>
            </w:r>
          </w:p>
        </w:tc>
        <w:tc>
          <w:tcPr>
            <w:tcW w:w="3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Paragraph 1 of Exhibit A</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“Offer to Purchase”</w:t>
            </w:r>
          </w:p>
        </w:tc>
        <w:tc>
          <w:tcPr>
            <w:tcW w:w="3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“Second Change of Control Purchase Date”</w:t>
            </w:r>
          </w:p>
        </w:tc>
        <w:tc>
          <w:tcPr>
            <w:tcW w:w="3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Notes and the Trustee’s certificate of authentication with respect thereto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Global Notes.</w:t>
      </w:r>
    </w:p>
    <w:p>
      <w:pPr>
        <w:spacing w:after="0" w:line="227" w:lineRule="exact"/>
        <w:rPr>
          <w:sz w:val="20"/>
          <w:szCs w:val="20"/>
          <w:color w:val="auto"/>
        </w:rPr>
      </w:pPr>
    </w:p>
    <w:p>
      <w:pPr>
        <w:ind w:right="42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(1)            Notes issued in global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the Global Note Legend thereon). Notes issued in definitive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Note Legend thereon).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20" w:firstLine="1944"/>
        <w:spacing w:after="0" w:line="256" w:lineRule="auto"/>
        <w:rPr>
          <w:sz w:val="20"/>
          <w:szCs w:val="20"/>
          <w:color w:val="auto"/>
        </w:rPr>
      </w:pPr>
      <w:r>
        <w:rPr>
          <w:rFonts w:ascii="Times New Roman" w:cs="Times New Roman" w:eastAsia="Times New Roman" w:hAnsi="Times New Roman"/>
          <w:sz w:val="18"/>
          <w:szCs w:val="18"/>
          <w:color w:val="auto"/>
        </w:rPr>
        <w:t>(2)            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90"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Transfer and Exchange of Global Notes</w:t>
      </w:r>
      <w:r>
        <w:rPr>
          <w:rFonts w:ascii="Times New Roman" w:cs="Times New Roman" w:eastAsia="Times New Roman" w:hAnsi="Times New Roman"/>
          <w:sz w:val="17"/>
          <w:szCs w:val="17"/>
          <w:color w:val="auto"/>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57"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76"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(2)            an Event of Default has occurred and the Trustee has received a written request from DTC that the Global Notes (in whole but not in part) should be exchanged for Definitive Notes; or</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(3)            the Company in its sole discretion and subject to the procedures of the Depositary determines that the Global Notes (in whole but not in part) should be exchanged for Definitive Notes and delivers a written notice to such effect to the Trustee.</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either of the preceding events in (1), (2) or (3) above, Definitive Notes will be issued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185"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180" w:lineRule="exact"/>
        <w:rPr>
          <w:sz w:val="20"/>
          <w:szCs w:val="20"/>
          <w:color w:val="auto"/>
        </w:rPr>
      </w:pPr>
    </w:p>
    <w:p>
      <w:pPr>
        <w:ind w:right="100" w:firstLine="1944"/>
        <w:spacing w:after="0" w:line="267"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Global Note may be transferred to persons who take delivery thereof in the form of a beneficial interest in a Global Note. No written orders or instructions will be required to be delivered to the Registrar to effect the transfers described in this Section 2.2(b)(1).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ind w:right="20" w:firstLine="1944"/>
        <w:spacing w:after="0" w:line="28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 interests that are not subject to Section 2.2(b)(1) above, the transferor of such beneficial interest must deliver to the Registrar:</w:t>
      </w:r>
    </w:p>
    <w:p>
      <w:pPr>
        <w:spacing w:after="0" w:line="160" w:lineRule="exact"/>
        <w:rPr>
          <w:sz w:val="20"/>
          <w:szCs w:val="20"/>
          <w:color w:val="auto"/>
        </w:rPr>
      </w:pPr>
    </w:p>
    <w:p>
      <w:pPr>
        <w:jc w:val="both"/>
        <w:ind w:right="460" w:firstLine="2592"/>
        <w:spacing w:after="0" w:line="266" w:lineRule="auto"/>
        <w:rPr>
          <w:sz w:val="20"/>
          <w:szCs w:val="20"/>
          <w:color w:val="auto"/>
        </w:rPr>
      </w:pPr>
      <w:r>
        <w:rPr>
          <w:rFonts w:ascii="Times New Roman" w:cs="Times New Roman" w:eastAsia="Times New Roman" w:hAnsi="Times New Roman"/>
          <w:sz w:val="18"/>
          <w:szCs w:val="18"/>
          <w:color w:val="auto"/>
        </w:rPr>
        <w:t>(i)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6" w:lineRule="exact"/>
        <w:rPr>
          <w:sz w:val="20"/>
          <w:szCs w:val="20"/>
          <w:color w:val="auto"/>
        </w:rPr>
      </w:pPr>
    </w:p>
    <w:p>
      <w:pPr>
        <w:ind w:right="800" w:firstLine="2592"/>
        <w:spacing w:after="0" w:line="282" w:lineRule="auto"/>
        <w:rPr>
          <w:sz w:val="20"/>
          <w:szCs w:val="20"/>
          <w:color w:val="auto"/>
        </w:rPr>
      </w:pPr>
      <w:r>
        <w:rPr>
          <w:rFonts w:ascii="Times New Roman" w:cs="Times New Roman" w:eastAsia="Times New Roman" w:hAnsi="Times New Roman"/>
          <w:sz w:val="18"/>
          <w:szCs w:val="18"/>
          <w:color w:val="auto"/>
        </w:rPr>
        <w:t>(ii)            instructions given in accordance with the Applicable Procedures containing information regarding the Participant account to be credited with such increase.</w:t>
      </w:r>
    </w:p>
    <w:p>
      <w:pPr>
        <w:spacing w:after="0" w:line="162"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Upon satisfaction of all of the requirements for transfer or exchange of beneficial interests in Global Notes contained in this Supplemental Indenture and the Notes, as evidenced by an Officer’s Certificate delivered to the Trustee, the Trustee will adjust the principal amount of the relevant Global Note(s) pursuant to Section 2.2(f) hereof.</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applicable Global Notes.</w:t>
      </w:r>
    </w:p>
    <w:p>
      <w:pPr>
        <w:spacing w:after="0" w:line="18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If any such exchange or transfer from a Definitive Note to a beneficial interest is effected pursuant to the previous paragraph at a time when a Global Note has not yet been issued, the Company will issue and, upon receipt of a Company Order, the Trustee will authenticate one or more Global Notes in an aggregate principal amount equal to the principal amount of Definitive Notes so transferred.</w:t>
      </w:r>
    </w:p>
    <w:p>
      <w:pPr>
        <w:spacing w:after="0" w:line="174"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A Holder of Definitive Notes may transfer such Notes to a person who takes delivery thereof in the form of a Definitive Note.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82" w:lineRule="exact"/>
        <w:rPr>
          <w:sz w:val="20"/>
          <w:szCs w:val="20"/>
          <w:color w:val="auto"/>
        </w:rPr>
      </w:pPr>
    </w:p>
    <w:p>
      <w:pPr>
        <w:ind w:right="520" w:firstLine="1296"/>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following legends will appear on the face of all Global Notes issued under this Supplemental Indenture unless specifically stated otherwise in the applicable provisions of this Supplemental Indenture.</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8" w:name="page19"/>
    <w:bookmarkEnd w:id="1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General Provisions Relating to Transfers and Exchanges.</w:t>
      </w:r>
    </w:p>
    <w:p>
      <w:pPr>
        <w:spacing w:after="0" w:line="227" w:lineRule="exact"/>
        <w:rPr>
          <w:sz w:val="20"/>
          <w:szCs w:val="20"/>
          <w:color w:val="auto"/>
        </w:rPr>
      </w:pPr>
    </w:p>
    <w:p>
      <w:pPr>
        <w:ind w:right="300" w:firstLine="1944"/>
        <w:spacing w:after="0" w:line="282" w:lineRule="auto"/>
        <w:rPr>
          <w:sz w:val="20"/>
          <w:szCs w:val="20"/>
          <w:color w:val="auto"/>
        </w:rPr>
      </w:pPr>
      <w:r>
        <w:rPr>
          <w:rFonts w:ascii="Times New Roman" w:cs="Times New Roman" w:eastAsia="Times New Roman" w:hAnsi="Times New Roman"/>
          <w:sz w:val="18"/>
          <w:szCs w:val="18"/>
          <w:color w:val="auto"/>
        </w:rPr>
        <w:t>(1)            To permit registrations of transfers and exchanges, the Company will execute and the Trustee will authenticate Global Notes and Definitive Notes upon the receipt of a Company Order.</w:t>
      </w:r>
    </w:p>
    <w:p>
      <w:pPr>
        <w:spacing w:after="0" w:line="162" w:lineRule="exact"/>
        <w:rPr>
          <w:sz w:val="20"/>
          <w:szCs w:val="20"/>
          <w:color w:val="auto"/>
        </w:rPr>
      </w:pPr>
    </w:p>
    <w:p>
      <w:pPr>
        <w:ind w:firstLine="1944"/>
        <w:spacing w:after="0" w:line="261" w:lineRule="auto"/>
        <w:rPr>
          <w:sz w:val="20"/>
          <w:szCs w:val="20"/>
          <w:color w:val="auto"/>
        </w:rPr>
      </w:pPr>
      <w:r>
        <w:rPr>
          <w:rFonts w:ascii="Times New Roman" w:cs="Times New Roman" w:eastAsia="Times New Roman" w:hAnsi="Times New Roman"/>
          <w:sz w:val="18"/>
          <w:szCs w:val="18"/>
          <w:color w:val="auto"/>
        </w:rPr>
        <w:t>(2)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140" w:firstLine="1944"/>
        <w:spacing w:after="0" w:line="282" w:lineRule="auto"/>
        <w:rPr>
          <w:sz w:val="20"/>
          <w:szCs w:val="20"/>
          <w:color w:val="auto"/>
        </w:rPr>
      </w:pPr>
      <w:r>
        <w:rPr>
          <w:rFonts w:ascii="Times New Roman" w:cs="Times New Roman" w:eastAsia="Times New Roman" w:hAnsi="Times New Roman"/>
          <w:sz w:val="18"/>
          <w:szCs w:val="18"/>
          <w:color w:val="auto"/>
        </w:rPr>
        <w:t>(3)            The Registrar will not be required to register the transfer of or exchange any Note selected for redemption in whole or in part, except the unredeemed portion of any Note being redeemed in part.</w:t>
      </w:r>
    </w:p>
    <w:p>
      <w:pPr>
        <w:spacing w:after="0" w:line="162" w:lineRule="exact"/>
        <w:rPr>
          <w:sz w:val="20"/>
          <w:szCs w:val="20"/>
          <w:color w:val="auto"/>
        </w:rPr>
      </w:pPr>
    </w:p>
    <w:p>
      <w:pPr>
        <w:ind w:right="100" w:firstLine="1944"/>
        <w:spacing w:after="0" w:line="266" w:lineRule="auto"/>
        <w:rPr>
          <w:sz w:val="20"/>
          <w:szCs w:val="20"/>
          <w:color w:val="auto"/>
        </w:rPr>
      </w:pPr>
      <w:r>
        <w:rPr>
          <w:rFonts w:ascii="Times New Roman" w:cs="Times New Roman" w:eastAsia="Times New Roman" w:hAnsi="Times New Roman"/>
          <w:sz w:val="18"/>
          <w:szCs w:val="18"/>
          <w:color w:val="auto"/>
        </w:rPr>
        <w:t>(4)            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(5)            If the Company elects to redeem or make an Offer to Purchase, neither the Company nor the Trustee will be required to:</w:t>
      </w:r>
    </w:p>
    <w:p>
      <w:pPr>
        <w:spacing w:after="0" w:line="237" w:lineRule="exact"/>
        <w:rPr>
          <w:sz w:val="20"/>
          <w:szCs w:val="20"/>
          <w:color w:val="auto"/>
        </w:rPr>
      </w:pPr>
    </w:p>
    <w:p>
      <w:pPr>
        <w:ind w:right="40" w:firstLine="2592"/>
        <w:spacing w:after="0" w:line="266" w:lineRule="auto"/>
        <w:rPr>
          <w:sz w:val="20"/>
          <w:szCs w:val="20"/>
          <w:color w:val="auto"/>
        </w:rPr>
      </w:pPr>
      <w:r>
        <w:rPr>
          <w:rFonts w:ascii="Times New Roman" w:cs="Times New Roman" w:eastAsia="Times New Roman" w:hAnsi="Times New Roman"/>
          <w:sz w:val="18"/>
          <w:szCs w:val="18"/>
          <w:color w:val="auto"/>
        </w:rPr>
        <w:t>(i)            issue, register the transfer of or exchange any Notes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176" w:lineRule="exact"/>
        <w:rPr>
          <w:sz w:val="20"/>
          <w:szCs w:val="20"/>
          <w:color w:val="auto"/>
        </w:rPr>
      </w:pPr>
    </w:p>
    <w:p>
      <w:pPr>
        <w:ind w:firstLine="2592"/>
        <w:spacing w:after="0" w:line="282" w:lineRule="auto"/>
        <w:rPr>
          <w:sz w:val="20"/>
          <w:szCs w:val="20"/>
          <w:color w:val="auto"/>
        </w:rPr>
      </w:pPr>
      <w:r>
        <w:rPr>
          <w:rFonts w:ascii="Times New Roman" w:cs="Times New Roman" w:eastAsia="Times New Roman" w:hAnsi="Times New Roman"/>
          <w:sz w:val="18"/>
          <w:szCs w:val="18"/>
          <w:color w:val="auto"/>
        </w:rPr>
        <w:t>(ii)            register the transfer of or to exchange any Note so selected for redemption or subject to purchase in such Offer to Purchase in whole or in part, except the unredeemed portion of any Note being redeemed or purchased in part; or</w:t>
      </w:r>
    </w:p>
    <w:p>
      <w:pPr>
        <w:spacing w:after="0" w:line="162" w:lineRule="exact"/>
        <w:rPr>
          <w:sz w:val="20"/>
          <w:szCs w:val="20"/>
          <w:color w:val="auto"/>
        </w:rPr>
      </w:pPr>
    </w:p>
    <w:p>
      <w:pPr>
        <w:jc w:val="both"/>
        <w:ind w:right="100" w:firstLine="2592"/>
        <w:spacing w:after="0" w:line="266" w:lineRule="auto"/>
        <w:rPr>
          <w:sz w:val="20"/>
          <w:szCs w:val="20"/>
          <w:color w:val="auto"/>
        </w:rPr>
      </w:pPr>
      <w:r>
        <w:rPr>
          <w:rFonts w:ascii="Times New Roman" w:cs="Times New Roman" w:eastAsia="Times New Roman" w:hAnsi="Times New Roman"/>
          <w:sz w:val="18"/>
          <w:szCs w:val="18"/>
          <w:color w:val="auto"/>
        </w:rPr>
        <w:t>(iii)            in the case of a redemption or a purchase date pursuant to an Offer to Purchase occurring after a regular record date but on or before the corresponding Interest Payment Date, register the transfer of or exchange a Note on or after the regular record date and before the date of redemption or purchase.</w:t>
      </w:r>
    </w:p>
    <w:p>
      <w:pPr>
        <w:spacing w:after="0" w:line="176" w:lineRule="exact"/>
        <w:rPr>
          <w:sz w:val="20"/>
          <w:szCs w:val="20"/>
          <w:color w:val="auto"/>
        </w:rPr>
      </w:pPr>
    </w:p>
    <w:p>
      <w:pPr>
        <w:ind w:right="20" w:firstLine="1944"/>
        <w:spacing w:after="0" w:line="261" w:lineRule="auto"/>
        <w:rPr>
          <w:sz w:val="20"/>
          <w:szCs w:val="20"/>
          <w:color w:val="auto"/>
        </w:rPr>
      </w:pPr>
      <w:r>
        <w:rPr>
          <w:rFonts w:ascii="Times New Roman" w:cs="Times New Roman" w:eastAsia="Times New Roman" w:hAnsi="Times New Roman"/>
          <w:sz w:val="18"/>
          <w:szCs w:val="18"/>
          <w:color w:val="auto"/>
        </w:rPr>
        <w:t>(6)            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            The Trustee will authenticate Global Notes and Definitive Notes in accordance with the provisions of Section 2.3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Indenture.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            [Reserved].</w:t>
      </w:r>
    </w:p>
    <w:p>
      <w:pPr>
        <w:spacing w:after="0" w:line="225" w:lineRule="exact"/>
        <w:rPr>
          <w:sz w:val="20"/>
          <w:szCs w:val="20"/>
          <w:color w:val="auto"/>
        </w:rPr>
      </w:pPr>
    </w:p>
    <w:p>
      <w:pPr>
        <w:ind w:right="200" w:firstLine="1944"/>
        <w:spacing w:after="0" w:line="282" w:lineRule="auto"/>
        <w:rPr>
          <w:sz w:val="20"/>
          <w:szCs w:val="20"/>
          <w:color w:val="auto"/>
        </w:rPr>
      </w:pPr>
      <w:r>
        <w:rPr>
          <w:rFonts w:ascii="Times New Roman" w:cs="Times New Roman" w:eastAsia="Times New Roman" w:hAnsi="Times New Roman"/>
          <w:sz w:val="18"/>
          <w:szCs w:val="18"/>
          <w:color w:val="auto"/>
        </w:rPr>
        <w:t>(9)            Any Officer’s Certificate or Opinion of Counsel required to be submitted to the Registrar pursuant to this Section 2.2 to effect a registration of transfer or exchange may be submitted by facsimile.</w:t>
      </w:r>
    </w:p>
    <w:p>
      <w:pPr>
        <w:spacing w:after="0" w:line="162" w:lineRule="exact"/>
        <w:rPr>
          <w:sz w:val="20"/>
          <w:szCs w:val="20"/>
          <w:color w:val="auto"/>
        </w:rPr>
      </w:pPr>
    </w:p>
    <w:p>
      <w:pPr>
        <w:ind w:right="80" w:firstLine="1944"/>
        <w:spacing w:after="0" w:line="261" w:lineRule="auto"/>
        <w:rPr>
          <w:sz w:val="20"/>
          <w:szCs w:val="20"/>
          <w:color w:val="auto"/>
        </w:rPr>
      </w:pPr>
      <w:r>
        <w:rPr>
          <w:rFonts w:ascii="Times New Roman" w:cs="Times New Roman" w:eastAsia="Times New Roman" w:hAnsi="Times New Roman"/>
          <w:sz w:val="18"/>
          <w:szCs w:val="18"/>
          <w:color w:val="auto"/>
        </w:rPr>
        <w:t>(10)            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            Neither the Trustee nor any Agent shall have any responsibility for any actions taken or not taken by the Depositary.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i w:val="1"/>
          <w:iCs w:val="1"/>
          <w:color w:val="auto"/>
        </w:rPr>
        <w:t>Issuance of Additional Notes.</w:t>
      </w:r>
    </w:p>
    <w:p>
      <w:pPr>
        <w:spacing w:after="0" w:line="22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The Company will be entitled, upon delivery of a Company Order, Officer’s Certificate and an Opinion of Counsel, to issue Additional Notes under this Supplemental Indenture which will have identical terms as the Initial Notes issued on the date hereof, other than with respect to the date of issuance and issue price and, if applicable, the first Interest Payment Date and the initial interest accrual date. The Initial Notes issued on the date hereof and any Additional Notes issued will be treated as a single Series for all purposes under this Supplemental Indenture.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With respect to any Additional Notes, the Company will set forth in the Company Order, the following information:</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the aggregate principal amount of such Additional Notes to be authenticated and delivered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and</w:t>
      </w:r>
    </w:p>
    <w:p>
      <w:pPr>
        <w:spacing w:after="0" w:line="207" w:lineRule="exact"/>
        <w:rPr>
          <w:sz w:val="20"/>
          <w:szCs w:val="20"/>
          <w:color w:val="auto"/>
        </w:rPr>
      </w:pPr>
    </w:p>
    <w:p>
      <w:pPr>
        <w:ind w:right="500" w:firstLine="2592"/>
        <w:spacing w:after="0" w:line="282" w:lineRule="auto"/>
        <w:rPr>
          <w:sz w:val="20"/>
          <w:szCs w:val="20"/>
          <w:color w:val="auto"/>
        </w:rPr>
      </w:pPr>
      <w:r>
        <w:rPr>
          <w:rFonts w:ascii="Times New Roman" w:cs="Times New Roman" w:eastAsia="Times New Roman" w:hAnsi="Times New Roman"/>
          <w:sz w:val="18"/>
          <w:szCs w:val="18"/>
          <w:color w:val="auto"/>
        </w:rPr>
        <w:t>(ii)            the issue price, the issue date, the CUSIP number(s), the first Interest Payment Date and the initial interest accrual date of such Additional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For the avoidance of doubt, the issuance of Additional Notes pursuant to this Section 2.3 is subject to Section 2.3 of the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(d)            Any Additional Notes issued pursuant to this Section 2.3 shall only bear the same CUSIP number as any existing Notes if they would be fungible for United States tax purposes with such existing Notes.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i w:val="1"/>
          <w:iCs w:val="1"/>
          <w:color w:val="auto"/>
        </w:rPr>
        <w:t>Execution and 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least one Officer shall execute the Notes on behalf of the Company by manual, electronic or facsimile signature.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(a)            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the Remaining Scheduled Payments of such Notes to be redeemed, less interest accrued to the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and</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            100% of the principal amount of the Notes to be redeemed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each case, accrued and unpaid interest, if any, on the amount being redeemed to, but excluding, the date of redemption.</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1" w:name="page22"/>
    <w:bookmarkEnd w:id="21"/>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at its option, redeem any Notes, in whole or in part, at any time and from time to time, at a redemption price equal to 100% of the principal amount of the Notes redeemed, plus accrued and unpaid interest thereon, if any, to, but excluding, the date of redemption.</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redemption of the Notes, calculation of the redemption price therefor shall be made by the Company or on the Company’s behalf by such person as the Company shall designate;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calculation shall not be a duty or obligation of the Trustee or any Agent. Notwithstanding Section 3.3 of the Base Indenture, the notice of any redemption of the Notes pursuant to that Section in respect of a redemption date occurring prior to the maturity date of the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prior to the redemption date to each Holder of the Notes to be redeemed (with a copy to the Trustee). Any redemption or notice of redemption may, at the Company’s discretion, be subject to one or more conditions precedent.</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case of a partial redemption of the Notes, selection of the Notes for redemption will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by lot or by such other method as the Trustee deems fair and appropriate (provided that if the Notes are represented by one or more Global Notes, the Notes shall be selected for redemption by the Depositary in accordance with its standard procedures therefor) and may provide for the selection for redemption of a portion of the principal amount of the Notes equal to an authorized denomination.</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 Notes of a principal amount of $2,000 or less will be redeemed in part. Notes in denominations larger than $2,000 may be redeemed in part but only in whole multiples of $1,000, unless all of the Notes held by a Holder are to be redeemed.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w:t>
      </w:r>
      <w:r>
        <w:rPr>
          <w:rFonts w:ascii="Times New Roman" w:cs="Times New Roman" w:eastAsia="Times New Roman" w:hAnsi="Times New Roman"/>
          <w:sz w:val="18"/>
          <w:szCs w:val="18"/>
          <w:i w:val="1"/>
          <w:iCs w:val="1"/>
          <w:color w:val="auto"/>
        </w:rPr>
        <w:t>            Mandatory 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required to make any mandatory redemption or sinking fund payments with respect to the Notes.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PARTICULAR COVENANTS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i w:val="1"/>
          <w:iCs w:val="1"/>
          <w:color w:val="auto"/>
        </w:rPr>
        <w:t>Offer to Purchase Upon Change of Control Triggering Event.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If a Change of Control Triggering Event occurs, unless the Company has exercised its option to redeem all Notes in full pursuant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3.1 or has defeased the Notes or satisfied and discharged the Notes, the Company shall be required to make an offer (an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the Notes to purchase all or any part (equal to $2,000 and in integral multiples of $1,000 in excess thereof) of that Holder’s Notes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offer set forth below. In an Offer to Purchase, the Company shall be required to offer payment in cash equal to 101% of the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Notes, plus accrued and unpaid interest, if any, to, but excluding, the date of purchase of such Notes (a “</w:t>
      </w:r>
      <w:r>
        <w:rPr>
          <w:rFonts w:ascii="Times New Roman" w:cs="Times New Roman" w:eastAsia="Times New Roman" w:hAnsi="Times New Roman"/>
          <w:sz w:val="18"/>
          <w:szCs w:val="18"/>
          <w:b w:val="1"/>
          <w:bCs w:val="1"/>
          <w:i w:val="1"/>
          <w:iCs w:val="1"/>
          <w:color w:val="auto"/>
        </w:rPr>
        <w:t>Change of Control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Not later than 60 days following any Change of Control Triggering Event, the Company shall deliver or cause to be delivered (or if the Notes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one or more Global Notes, transmitted in accordance with the Depositary’s standard procedures therefor) a notice to Holders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describing the transaction that constitutes or may constitute the Change of Control Triggering Event and offering to purchase such Notes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the notice, which date shall be no earlier than 30 days and no later than 60 days after the date such notice is delivered or transmitted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and a settlement date for purchase (a “</w:t>
      </w:r>
      <w:r>
        <w:rPr>
          <w:rFonts w:ascii="Times New Roman" w:cs="Times New Roman" w:eastAsia="Times New Roman" w:hAnsi="Times New Roman"/>
          <w:sz w:val="18"/>
          <w:szCs w:val="18"/>
          <w:b w:val="1"/>
          <w:bCs w:val="1"/>
          <w:i w:val="1"/>
          <w:iCs w:val="1"/>
          <w:color w:val="auto"/>
        </w:rPr>
        <w:t>Change of Control Purchase Date</w:t>
      </w:r>
      <w:r>
        <w:rPr>
          <w:rFonts w:ascii="Times New Roman" w:cs="Times New Roman" w:eastAsia="Times New Roman" w:hAnsi="Times New Roman"/>
          <w:sz w:val="18"/>
          <w:szCs w:val="18"/>
          <w:color w:val="auto"/>
        </w:rPr>
        <w:t>”) for such Offer to Purchase of not more than five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after the Expiration Date. The notice shall also contain instructions and materials necessary to enable Holders to tender Notes pursuant to the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shall, if delivered or transmitted prior to the date of consummation of the Change of Control, state that the offer to purchase is conditioned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of Control Triggering Event occurring on or prior to the Change of Control Purchase Date.</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(b)            Such notice shall also state:</w:t>
      </w:r>
    </w:p>
    <w:p>
      <w:pPr>
        <w:spacing w:after="0" w:line="225" w:lineRule="exact"/>
        <w:rPr>
          <w:sz w:val="20"/>
          <w:szCs w:val="20"/>
          <w:color w:val="auto"/>
        </w:rPr>
      </w:pPr>
    </w:p>
    <w:p>
      <w:pPr>
        <w:ind w:right="200" w:firstLine="1944"/>
        <w:spacing w:after="0" w:line="282" w:lineRule="auto"/>
        <w:rPr>
          <w:sz w:val="20"/>
          <w:szCs w:val="20"/>
          <w:color w:val="auto"/>
        </w:rPr>
      </w:pPr>
      <w:r>
        <w:rPr>
          <w:rFonts w:ascii="Times New Roman" w:cs="Times New Roman" w:eastAsia="Times New Roman" w:hAnsi="Times New Roman"/>
          <w:sz w:val="18"/>
          <w:szCs w:val="18"/>
          <w:color w:val="auto"/>
        </w:rPr>
        <w:t>(1)            that the Offer to Purchase is being made pursuant to this Section 4.1 and that all Notes or portion of such Notes validly tendered and not withdrawn will be accepted for payment;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the Change of Control Purchase Price and the Change of Control Purchase Date;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that any Note not tendered will continue to accrue interest;</w:t>
      </w:r>
    </w:p>
    <w:p>
      <w:pPr>
        <w:spacing w:after="0" w:line="225" w:lineRule="exact"/>
        <w:rPr>
          <w:sz w:val="20"/>
          <w:szCs w:val="20"/>
          <w:color w:val="auto"/>
        </w:rPr>
      </w:pPr>
    </w:p>
    <w:p>
      <w:pPr>
        <w:ind w:right="20" w:firstLine="1944"/>
        <w:spacing w:after="0" w:line="266" w:lineRule="auto"/>
        <w:rPr>
          <w:sz w:val="20"/>
          <w:szCs w:val="20"/>
          <w:color w:val="auto"/>
        </w:rPr>
      </w:pPr>
      <w:r>
        <w:rPr>
          <w:rFonts w:ascii="Times New Roman" w:cs="Times New Roman" w:eastAsia="Times New Roman" w:hAnsi="Times New Roman"/>
          <w:sz w:val="18"/>
          <w:szCs w:val="18"/>
          <w:color w:val="auto"/>
        </w:rPr>
        <w:t>(4)            that any Note accepted for payment pursuant to the Offer to Purchase shall cease to accrue interest after the Change of Control Purchase Date unless the Company shall default in the payment of the Change of Control Purchase Price of the Notes and the only remaining right of the Holder is to receive payment of the Change of Control Purchase Price upon surrender of the Notes to the Paying Agent;</w:t>
      </w:r>
    </w:p>
    <w:p>
      <w:pPr>
        <w:spacing w:after="0" w:line="176" w:lineRule="exact"/>
        <w:rPr>
          <w:sz w:val="20"/>
          <w:szCs w:val="20"/>
          <w:color w:val="auto"/>
        </w:rPr>
      </w:pPr>
    </w:p>
    <w:p>
      <w:pPr>
        <w:jc w:val="both"/>
        <w:ind w:right="8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(5)            that Holders electing to have a portion of a Note purchased pursuant to an Offer to Purchase may only elect to have such Note purchased in a minimum principal amount of $2,000 and integral multiples of $1,000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unrepurchased portion of a Note must be in a minimum principal amount of $2,000;</w:t>
      </w:r>
    </w:p>
    <w:p>
      <w:pPr>
        <w:spacing w:after="0" w:line="176" w:lineRule="exact"/>
        <w:rPr>
          <w:sz w:val="20"/>
          <w:szCs w:val="20"/>
          <w:color w:val="auto"/>
        </w:rPr>
      </w:pPr>
    </w:p>
    <w:p>
      <w:pPr>
        <w:ind w:firstLine="1944"/>
        <w:spacing w:after="0" w:line="261" w:lineRule="auto"/>
        <w:rPr>
          <w:sz w:val="20"/>
          <w:szCs w:val="20"/>
          <w:color w:val="auto"/>
        </w:rPr>
      </w:pPr>
      <w:r>
        <w:rPr>
          <w:rFonts w:ascii="Times New Roman" w:cs="Times New Roman" w:eastAsia="Times New Roman" w:hAnsi="Times New Roman"/>
          <w:sz w:val="18"/>
          <w:szCs w:val="18"/>
          <w:color w:val="auto"/>
        </w:rPr>
        <w:t>(6)            that if a Holder elects to have a Note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(7)            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76" w:lineRule="exact"/>
        <w:rPr>
          <w:sz w:val="20"/>
          <w:szCs w:val="20"/>
          <w:color w:val="auto"/>
        </w:rPr>
      </w:pPr>
    </w:p>
    <w:p>
      <w:pPr>
        <w:ind w:right="100" w:firstLine="1944"/>
        <w:spacing w:after="0" w:line="282" w:lineRule="auto"/>
        <w:rPr>
          <w:sz w:val="20"/>
          <w:szCs w:val="20"/>
          <w:color w:val="auto"/>
        </w:rPr>
      </w:pPr>
      <w:r>
        <w:rPr>
          <w:rFonts w:ascii="Times New Roman" w:cs="Times New Roman" w:eastAsia="Times New Roman" w:hAnsi="Times New Roman"/>
          <w:sz w:val="18"/>
          <w:szCs w:val="18"/>
          <w:color w:val="auto"/>
        </w:rPr>
        <w:t>(8)            that if Notes are purchased only in part by the Company, a new Note of the same type will be issued in principal amount equal to the unpurchased portion of the Notes surrendered.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On the Change of Control Purchase Date, the Company shall, to the extent lawful: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accept for payment all Notes or portions of such Notes properly tendered pursuant to the Offer to Purchase;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ind w:right="640" w:firstLine="1944"/>
        <w:spacing w:after="0" w:line="282" w:lineRule="auto"/>
        <w:rPr>
          <w:sz w:val="20"/>
          <w:szCs w:val="20"/>
          <w:color w:val="auto"/>
        </w:rPr>
      </w:pPr>
      <w:r>
        <w:rPr>
          <w:rFonts w:ascii="Times New Roman" w:cs="Times New Roman" w:eastAsia="Times New Roman" w:hAnsi="Times New Roman"/>
          <w:sz w:val="18"/>
          <w:szCs w:val="18"/>
          <w:color w:val="auto"/>
        </w:rPr>
        <w:t>(2)            deposit with the Paying Agent an amount equal to the Change of Control Purchase Price in respect of all Notes or portions of such Notes properly tendered; and</w:t>
      </w:r>
    </w:p>
    <w:p>
      <w:pPr>
        <w:spacing w:after="0" w:line="162" w:lineRule="exact"/>
        <w:rPr>
          <w:sz w:val="20"/>
          <w:szCs w:val="20"/>
          <w:color w:val="auto"/>
        </w:rPr>
      </w:pPr>
    </w:p>
    <w:p>
      <w:pPr>
        <w:ind w:right="240" w:firstLine="1944"/>
        <w:spacing w:after="0" w:line="282" w:lineRule="auto"/>
        <w:rPr>
          <w:sz w:val="20"/>
          <w:szCs w:val="20"/>
          <w:color w:val="auto"/>
        </w:rPr>
      </w:pPr>
      <w:r>
        <w:rPr>
          <w:rFonts w:ascii="Times New Roman" w:cs="Times New Roman" w:eastAsia="Times New Roman" w:hAnsi="Times New Roman"/>
          <w:sz w:val="18"/>
          <w:szCs w:val="18"/>
          <w:color w:val="auto"/>
        </w:rPr>
        <w:t>(3)            deliver or cause to be delivered to the Trustee the Notes properly accepted together with an Officer’s Certificate stating the aggregate principal amount of such Notes or portions of such Notes being repurchased.</w:t>
      </w:r>
    </w:p>
    <w:p>
      <w:pPr>
        <w:spacing w:after="0" w:line="162"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(d)            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176"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(e)            The Company shall not be required to make an Offer to Purchase upon the occurrence of a Change of Control Triggering Event with respect to Notes if (i) a third party makes such an offer in the manner, at the times and otherwise in compliance with the requirements for an offer made by the Company and the third party purchases all Notes validly tendered and not withdrawn under its offer or (ii) the Company has sent a notice of redemption pursuant to Section 3.1 of this Supplemental Indenture.</w:t>
      </w:r>
    </w:p>
    <w:p>
      <w:pPr>
        <w:spacing w:after="0" w:line="180" w:lineRule="exact"/>
        <w:rPr>
          <w:sz w:val="20"/>
          <w:szCs w:val="20"/>
          <w:color w:val="auto"/>
        </w:rPr>
      </w:pPr>
    </w:p>
    <w:p>
      <w:pPr>
        <w:ind w:right="420" w:firstLine="1296"/>
        <w:spacing w:after="0" w:line="258" w:lineRule="auto"/>
        <w:rPr>
          <w:sz w:val="20"/>
          <w:szCs w:val="20"/>
          <w:color w:val="auto"/>
        </w:rPr>
      </w:pPr>
      <w:r>
        <w:rPr>
          <w:rFonts w:ascii="Times New Roman" w:cs="Times New Roman" w:eastAsia="Times New Roman" w:hAnsi="Times New Roman"/>
          <w:sz w:val="18"/>
          <w:szCs w:val="18"/>
          <w:color w:val="auto"/>
        </w:rPr>
        <w:t>(f)            The Company shall comply with the requirements of Rule 14e-1 under the Exchange Act and all other applicable laws and regulations thereunder to the extent such securities laws and regulations are applicable in connection with the repurchase of the Notes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83"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(g)            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76"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(h)            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162" w:lineRule="exact"/>
        <w:rPr>
          <w:sz w:val="20"/>
          <w:szCs w:val="20"/>
          <w:color w:val="auto"/>
        </w:rPr>
      </w:pPr>
    </w:p>
    <w:p>
      <w:pPr>
        <w:ind w:right="180" w:firstLine="1296"/>
        <w:spacing w:after="0" w:line="255" w:lineRule="auto"/>
        <w:rPr>
          <w:sz w:val="20"/>
          <w:szCs w:val="20"/>
          <w:color w:val="auto"/>
        </w:rPr>
      </w:pPr>
      <w:r>
        <w:rPr>
          <w:rFonts w:ascii="Times New Roman" w:cs="Times New Roman" w:eastAsia="Times New Roman" w:hAnsi="Times New Roman"/>
          <w:sz w:val="18"/>
          <w:szCs w:val="18"/>
          <w:color w:val="auto"/>
        </w:rPr>
        <w:t>(i)            If Holders of not less than 90% in aggregate principal amount of the outstanding Notes validly tender and do not withdraw such Notes in an Offer to Purchase and the Company, or any third party approved in writing by the Company making an Offer to Purchase in lieu of the Company pursuant to Section 4.1(e)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w:t>
      </w:r>
      <w:r>
        <w:rPr>
          <w:rFonts w:ascii="Times New Roman" w:cs="Times New Roman" w:eastAsia="Times New Roman" w:hAnsi="Times New Roman"/>
          <w:sz w:val="18"/>
          <w:szCs w:val="18"/>
          <w:b w:val="1"/>
          <w:bCs w:val="1"/>
          <w:i w:val="1"/>
          <w:iCs w:val="1"/>
          <w:color w:val="auto"/>
        </w:rPr>
        <w:t>Second Change of Control Purchase Date</w:t>
      </w:r>
      <w:r>
        <w:rPr>
          <w:rFonts w:ascii="Times New Roman" w:cs="Times New Roman" w:eastAsia="Times New Roman" w:hAnsi="Times New Roman"/>
          <w:sz w:val="18"/>
          <w:szCs w:val="18"/>
          <w:color w:val="auto"/>
        </w:rPr>
        <w:t>”) at a purchase price equal to 101% of the principal amount thereof plus accrued and unpaid interest, if any, to, but excluding, the Second Change of Control Purchase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            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(b)            Notwithstanding Section 4.2(a) above,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spacing w:after="0" w:line="19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94"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(d)            Any Lien created for the benefit of the Holders of the Notes pursuant to Section 4.2(a) above may provide by its terms that such Lien shall be automatically and unconditionally released and discharged upon the release and discharge of the Lien that gave rise to the obligation to secure the Notes.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i w:val="1"/>
          <w:iCs w:val="1"/>
          <w:color w:val="auto"/>
        </w:rPr>
        <w:t>Sale and Lease Back Transactions.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such transaction was entered into prior to the Issue Date;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1296"/>
        <w:spacing w:after="0" w:line="282" w:lineRule="auto"/>
        <w:rPr>
          <w:sz w:val="20"/>
          <w:szCs w:val="20"/>
          <w:color w:val="auto"/>
        </w:rPr>
      </w:pPr>
      <w:r>
        <w:rPr>
          <w:rFonts w:ascii="Times New Roman" w:cs="Times New Roman" w:eastAsia="Times New Roman" w:hAnsi="Times New Roman"/>
          <w:sz w:val="18"/>
          <w:szCs w:val="18"/>
          <w:color w:val="auto"/>
        </w:rPr>
        <w:t>(b)            such transaction was for the sale and leasing back to the Company or a Restricted Subsidiary by the Company or any Subsidiary of any Principal Property;</w:t>
      </w:r>
    </w:p>
    <w:p>
      <w:pPr>
        <w:spacing w:after="0" w:line="162" w:lineRule="exact"/>
        <w:rPr>
          <w:sz w:val="20"/>
          <w:szCs w:val="20"/>
          <w:color w:val="auto"/>
        </w:rPr>
      </w:pPr>
    </w:p>
    <w:p>
      <w:pPr>
        <w:ind w:right="100" w:firstLine="1296"/>
        <w:spacing w:after="0" w:line="276" w:lineRule="auto"/>
        <w:rPr>
          <w:sz w:val="20"/>
          <w:szCs w:val="20"/>
          <w:color w:val="auto"/>
        </w:rPr>
      </w:pPr>
      <w:r>
        <w:rPr>
          <w:rFonts w:ascii="Times New Roman" w:cs="Times New Roman" w:eastAsia="Times New Roman" w:hAnsi="Times New Roman"/>
          <w:sz w:val="17"/>
          <w:szCs w:val="17"/>
          <w:color w:val="auto"/>
        </w:rPr>
        <w:t>(c)            such transaction involves a lease of a Principal Property executed by the time of or within 24 months after the later of (i) the acquisition or the completion of any such development, operation, construction, alteration, repair or improvement of such property, assets or equipment or</w:t>
      </w:r>
    </w:p>
    <w:p>
      <w:pPr>
        <w:spacing w:after="0" w:line="1" w:lineRule="exact"/>
        <w:rPr>
          <w:sz w:val="20"/>
          <w:szCs w:val="20"/>
          <w:color w:val="auto"/>
        </w:rPr>
      </w:pPr>
    </w:p>
    <w:p>
      <w:pPr>
        <w:ind w:right="100" w:firstLine="8"/>
        <w:spacing w:after="0" w:line="260"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placing into commercial operation of such Principal Property after the acquisition or completion of any such development, operation, construction, alteration, repair or improvement;</w:t>
      </w:r>
    </w:p>
    <w:p>
      <w:pPr>
        <w:spacing w:after="0" w:line="181"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(d)            such transaction involves a lease for not more than three years (or which may be terminated by the Company or the applicable Restricted Subsidiary within a period of not more than three years);</w:t>
      </w:r>
    </w:p>
    <w:p>
      <w:pPr>
        <w:spacing w:after="0" w:line="162"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(e)            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76"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(f)            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covenants set forth in Sections 4.2 and 4.3 above are and are intended solely for the benefit of the Notes.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i w:val="1"/>
          <w:iCs w:val="1"/>
          <w:color w:val="auto"/>
        </w:rPr>
        <w:t>Satisfaction and Discharge of Indenture.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satisfy and discharge the Notes in accordance with and subject to the terms of Section 8.1 of the Base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i w:val="1"/>
          <w:iCs w:val="1"/>
          <w:color w:val="auto"/>
        </w:rPr>
        <w:t>Legal Defeasance of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8.3 of the Base Indenture shall be applicable to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covenants specified in Section 8.4 of the Base Indenture, the Company may omit to comply with any term, provision or condition set forth in Section 4.1, Section 4.2 and Section 4.3 of this Supplemental Indenture by complying with the requirements of Section 8.4 of the Base Indenture.</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i w:val="1"/>
          <w:iCs w:val="1"/>
          <w:color w:val="auto"/>
        </w:rPr>
        <w:t>Trust Indenture Act Controls.</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SUPPLEMENTAL INDENTURE AND THE NOTES SHALL BE GOVERNED BY THE LAW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Supplemental Indenture and the Notes shall bind its successors. All agreements of the Trustee in this Supplemental Indenture shall bind its successors.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i w:val="1"/>
          <w:iCs w:val="1"/>
          <w:color w:val="auto"/>
        </w:rPr>
        <w:t>Counterpart Originals.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All notices, approvals, consents, requests and any communications hereunder must be in writing (provided that any such communication sent to the Trustee hereunder must be in the form of a document that is signed manually or by way of a digital signature provided by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i w:val="1"/>
          <w:iCs w:val="1"/>
          <w:color w:val="auto"/>
        </w:rPr>
        <w:t>Waiver of Jury Trial.</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Times New Roman" w:cs="Times New Roman" w:eastAsia="Times New Roman" w:hAnsi="Times New Roman"/>
          <w:sz w:val="18"/>
          <w:szCs w:val="18"/>
          <w:i w:val="1"/>
          <w:iCs w:val="1"/>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i w:val="1"/>
          <w:iCs w:val="1"/>
          <w:color w:val="auto"/>
        </w:rPr>
        <w:t>Interpretation.</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i w:val="1"/>
          <w:iCs w:val="1"/>
          <w:color w:val="auto"/>
        </w:rPr>
        <w:t>Instruction by Electronic Transmissions.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i w:val="1"/>
          <w:iCs w:val="1"/>
          <w:color w:val="auto"/>
        </w:rPr>
        <w:t>Notices.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Trustee set forth in Section 10.2 of the Base Indenture is amended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555 SW Oak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PD-OR-P7TD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Portland, OR 97204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 Nelson (Micron Technology, Inc. Notes).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i w:val="1"/>
          <w:iCs w:val="1"/>
          <w:color w:val="auto"/>
        </w:rPr>
        <w:t>Miscellaneous.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2" w:right="539" w:bottom="1440" w:gutter="0" w:footer="0" w:header="0"/>
        </w:sectPr>
      </w:pPr>
    </w:p>
    <w:bookmarkStart w:id="29" w:name="page30"/>
    <w:bookmarkEnd w:id="2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January 12,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 Routin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 as Trustee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Cheryl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Cheryl Nelson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right="440" w:firstLine="8"/>
        <w:spacing w:after="0" w:line="255" w:lineRule="auto"/>
        <w:tabs>
          <w:tab w:leader="none" w:pos="3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CUSIP:[_______]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5.30% Senior Note due 2031</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[_____]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 $__________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revised by the Schedule of Increases and</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Decreases in Global Note attached hereto)</w:t>
      </w:r>
    </w:p>
    <w:p>
      <w:pPr>
        <w:spacing w:after="0" w:line="200" w:lineRule="exact"/>
        <w:rPr>
          <w:sz w:val="20"/>
          <w:szCs w:val="20"/>
          <w:color w:val="auto"/>
        </w:rPr>
      </w:pPr>
    </w:p>
    <w:p>
      <w:pPr>
        <w:sectPr>
          <w:pgSz w:w="11900" w:h="16838" w:orient="portrait"/>
          <w:cols w:equalWidth="0" w:num="2">
            <w:col w:w="7340" w:space="720"/>
            <w:col w:w="3180"/>
          </w:cols>
          <w:pgMar w:left="320" w:top="900" w:right="339" w:bottom="1440" w:gutter="0" w:footer="0" w:header="0"/>
          <w:type w:val="continuous"/>
        </w:sectPr>
      </w:pPr>
    </w:p>
    <w:p>
      <w:pPr>
        <w:spacing w:after="0" w:line="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Micron Technology, Inc., a Delaware corporation, promises to pay to CEDE &amp; CO. or registered assigns, the principal sum of $[            ] (as revised by the Schedule of Increases and Decreases in Global Note attached hereto) on January 15, 2031.</w:t>
      </w:r>
    </w:p>
    <w:p>
      <w:pPr>
        <w:sectPr>
          <w:pgSz w:w="11900" w:h="16838" w:orient="portrait"/>
          <w:cols w:equalWidth="0" w:num="1">
            <w:col w:w="11240"/>
          </w:cols>
          <w:pgMar w:left="320" w:top="900"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January 15 and July 15</w:t>
      </w:r>
    </w:p>
    <w:p>
      <w:pPr>
        <w:spacing w:after="0" w:line="211"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and July 1</w:t>
      </w:r>
    </w:p>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MICRON TECHNOLOGY,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32" w:name="page33"/>
    <w:bookmarkEnd w:id="32"/>
    <w:p>
      <w:pPr>
        <w:ind w:left="3620"/>
        <w:spacing w:after="0"/>
        <w:rPr>
          <w:sz w:val="20"/>
          <w:szCs w:val="20"/>
          <w:color w:val="auto"/>
        </w:rPr>
      </w:pPr>
      <w:r>
        <w:rPr>
          <w:rFonts w:ascii="Times New Roman" w:cs="Times New Roman" w:eastAsia="Times New Roman" w:hAnsi="Times New Roman"/>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t>(Back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5.30% Senior Note due 2031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Micron Technology,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interest on the principal amount of this Note at 5.30% per annum. The Company will pay interest semi-annually on January 15 and July 15 of each year, commencing July 15, 2024, or if any such day is not a Business Day, on the next succeeding Business Day as if made on the date such payment was due, and no additional interest will accrue on the amount so payable for that period (each an “</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xml:space="preserve">”). Interest on the Notes will accrue from the most recent date to which interest has been paid or provided for or, if no interest has been paid or provided for, from January 12, 2024;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xml:space="preserve">. The Company will pay interest on the Notes (except defaulted interest) to the persons who are registered Holders of Notes at the close of business on the January 1 or July 1 (whether or not a Business Day) next preceding the Interest Payment Date, even if such Notes are canceled after such record date and on or before such Interest Payment Date, except as provided in Section 2.13 of the Base Indenture with respect to defaulted interest. Principal and interest on the Notes will be made by (a) check mailed to the Holders of the Notes at their respective addresses set forth in the register of Holders of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on all Global Securities and all other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85"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U.S. Bank Trust Company, National Association, the Trustee under the Indenture, will act as Paying Agent and Registrar. The Company may change any Paying Agent or Registrar without notice to any Holder. The Company or any of its Subsidiaries may act in any such capacity.</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right="180" w:firstLine="648"/>
        <w:spacing w:after="0" w:line="273"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This Note is one of a duly authenticated Series of securities of the Company issued and to be issued in one or more Series under an indenture (the “</w:t>
      </w:r>
      <w:r>
        <w:rPr>
          <w:rFonts w:ascii="Times New Roman" w:cs="Times New Roman" w:eastAsia="Times New Roman" w:hAnsi="Times New Roman"/>
          <w:sz w:val="17"/>
          <w:szCs w:val="17"/>
          <w:b w:val="1"/>
          <w:bCs w:val="1"/>
          <w:i w:val="1"/>
          <w:iCs w:val="1"/>
          <w:color w:val="auto"/>
        </w:rPr>
        <w:t>Base Indenture</w:t>
      </w:r>
      <w:r>
        <w:rPr>
          <w:rFonts w:ascii="Times New Roman" w:cs="Times New Roman" w:eastAsia="Times New Roman" w:hAnsi="Times New Roman"/>
          <w:sz w:val="17"/>
          <w:szCs w:val="17"/>
          <w:color w:val="auto"/>
        </w:rPr>
        <w:t>”), dated as of February 6, 2019, between the Company and the Trustee (as successor in interest to U.S. Bank National Association), as amended by the Eighth Supplemental Indenture, dated as of January 12, 2024, between the Company and the Trustee (the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The terms of the Notes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Notes pursuant to Section 2.3 of the Supplemental Indenture.</w:t>
      </w:r>
    </w:p>
    <w:p>
      <w:pPr>
        <w:spacing w:after="0" w:line="188"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The Notes are redeemable prior to the maturity date as provided in the Indenture. In the event of redemption of this Note in part only, a new Note or Notes in an authorized denomination for the unredeemed portion hereof will be issued in the name of the Holder hereof upon the cancellation hereof.</w:t>
      </w:r>
    </w:p>
    <w:p>
      <w:pPr>
        <w:spacing w:after="0" w:line="173"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xml:space="preserve"> The Company is not required to make any mandatory redemption or sinking fund payments with respect to the Notes.</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OFFER TO PURCHASE UPON CHANGE OF CONTROL TRIGGERING EVENT</w:t>
      </w:r>
      <w:r>
        <w:rPr>
          <w:rFonts w:ascii="Times New Roman" w:cs="Times New Roman" w:eastAsia="Times New Roman" w:hAnsi="Times New Roman"/>
          <w:sz w:val="18"/>
          <w:szCs w:val="18"/>
          <w:color w:val="auto"/>
        </w:rPr>
        <w:t>. If a Change of Control Triggering Event with respect to the Notes occurs, the Company may be required to make an offer to purchase the Notes in the manner and with the effect provided in the Indenture.</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in excess thereof.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Note or portion of a Note selected for redemption, except for the unredeemed portion of any Note being redeemed in part. Also, neither the Trustee nor the Company need exchange or register the transfer of any Notes for a period of 15 days before the day of any selection of Notes to be redeemed or during the period between a record date and the corresponding Interest Payment Date.</w:t>
      </w:r>
    </w:p>
    <w:p>
      <w:pPr>
        <w:spacing w:after="0" w:line="18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Subject to the record date provisions hereof, the registered Holder of a Note shall be treated as its owner for all purposes.</w:t>
      </w:r>
    </w:p>
    <w:p>
      <w:pPr>
        <w:spacing w:after="0" w:line="15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at least a majority in principal amount of the Notes then outstanding, including, without limitation, consents obtained in connection with a tender offer or exchange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tender offer or exchange offer for the Notes. The Indenture or the Notes may be amended or supplemented without the consent of any Holder of a Note as described in the Indenture.</w:t>
      </w:r>
    </w:p>
    <w:p>
      <w:pPr>
        <w:spacing w:after="0" w:line="182" w:lineRule="exact"/>
        <w:rPr>
          <w:sz w:val="20"/>
          <w:szCs w:val="20"/>
          <w:color w:val="auto"/>
        </w:rPr>
      </w:pPr>
    </w:p>
    <w:p>
      <w:pPr>
        <w:ind w:right="400" w:firstLine="648"/>
        <w:spacing w:after="0" w:line="315"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i w:val="1"/>
          <w:iCs w:val="1"/>
          <w:color w:val="auto"/>
        </w:rPr>
        <w:t>DEFAULTS AND REMEDIES</w:t>
      </w:r>
      <w:r>
        <w:rPr>
          <w:rFonts w:ascii="Times New Roman" w:cs="Times New Roman" w:eastAsia="Times New Roman" w:hAnsi="Times New Roman"/>
          <w:sz w:val="17"/>
          <w:szCs w:val="17"/>
          <w:color w:val="auto"/>
        </w:rPr>
        <w:t>. If an Event of Default with respect to the Notes shall occur and be continuing, the principal of, and any accrued and unpaid interest on, the outstanding Notes may be declared due and payable in the manner and with the effect provided in the Indenture.</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5" w:name="page36"/>
    <w:bookmarkEnd w:id="35"/>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TRUSTEE DEALINGS WITH COMPANY</w:t>
      </w:r>
      <w:r>
        <w:rPr>
          <w:rFonts w:ascii="Times New Roman" w:cs="Times New Roman" w:eastAsia="Times New Roman" w:hAnsi="Times New Roman"/>
          <w:sz w:val="18"/>
          <w:szCs w:val="18"/>
          <w:color w:val="auto"/>
        </w:rPr>
        <w:t>. The Trustee, in its individual or any other capacity, may become the owner or pledgee of the Notes and may otherwise deal with the Company or an Affiliate of the Company with the same rights it would have if it were not Trustee.</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225"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The Company has caused CUSIP numbers to be printed on the Notes and the Trustee shall use CUSIP numbers in notices of redemption as a convenience to Holders. No representation is made as to the correctness of such numbers either as printed on the Notes or as contained in any notice of redemption and reliance may be placed only on the other elements of identification printed on the Notes, and any such redemption shall not be affected by any defect in or omission of such numbers. The Company will furnish to any Holder upon written request and without charge a copy of the Base Indenture and the Supplemental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8"/>
                <w:szCs w:val="18"/>
                <w:b w:val="1"/>
                <w:bCs w:val="1"/>
                <w:color w:val="auto"/>
                <w:w w:val="99"/>
              </w:rPr>
              <w:t>CHEDULE OF INCREASES AND DECREASES IN GLOBAL NOTE</w:t>
            </w:r>
          </w:p>
        </w:tc>
        <w:tc>
          <w:tcPr>
            <w:tcW w:w="2020" w:type="dxa"/>
            <w:vAlign w:val="bottom"/>
          </w:tcPr>
          <w:p>
            <w:pPr>
              <w:spacing w:after="0"/>
              <w:rPr>
                <w:sz w:val="20"/>
                <w:szCs w:val="20"/>
                <w:color w:val="auto"/>
              </w:rPr>
            </w:pPr>
          </w:p>
        </w:tc>
      </w:tr>
      <w:tr>
        <w:trPr>
          <w:trHeight w:val="432"/>
        </w:trPr>
        <w:tc>
          <w:tcPr>
            <w:tcW w:w="7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increases or decreases in this Note have been made:</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decrease in</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 increase in</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Principal amount of this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 authorized</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decrease or</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 amount of this</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Note following such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 or</w:t>
            </w:r>
          </w:p>
        </w:tc>
      </w:tr>
      <w:tr>
        <w:trPr>
          <w:trHeight w:val="238"/>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Note</w:t>
            </w:r>
          </w:p>
        </w:tc>
        <w:tc>
          <w:tcPr>
            <w:tcW w:w="2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decrease or increase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642"/>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A-7</w:t>
            </w:r>
          </w:p>
        </w:tc>
        <w:tc>
          <w:tcPr>
            <w:tcW w:w="2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right="9080" w:firstLine="8"/>
        <w:spacing w:after="0" w:line="532"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(we) assign and transfer this Note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irrevocably appoint ____________________________________________________ to transfer this Note on the books of the Company. The agent may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026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19"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4.1 of the Supplemental Indenture, check the box below:</w:t>
      </w:r>
    </w:p>
    <w:p>
      <w:pPr>
        <w:spacing w:after="0" w:line="184"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Section 4.1</w:t>
      </w:r>
    </w:p>
    <w:p>
      <w:pPr>
        <w:spacing w:after="0" w:line="26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4.1 of the Supplemental Indenture, state the amount you elect to have purchased ($2,000 or integral multiples of $1,000 in excess thereof; provided that the unrepurchased portion of a Note must be in a minimum principal amount of $2,000): $________________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002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1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9" w:name="page40"/>
    <w:bookmarkEnd w:id="39"/>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37310"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337310" cy="514350"/>
                    </a:xfrm>
                    <a:prstGeom prst="rect">
                      <a:avLst/>
                    </a:prstGeom>
                    <a:noFill/>
                  </pic:spPr>
                </pic:pic>
              </a:graphicData>
            </a:graphic>
          </wp:anchor>
        </w:drawing>
      </w:r>
    </w:p>
    <w:p>
      <w:pPr>
        <w:spacing w:after="0" w:line="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20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O: 650.493.9300</w:t>
      </w:r>
    </w:p>
    <w:p>
      <w:pPr>
        <w:spacing w:after="0" w:line="2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F: 650.493.6811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Micron Technology, Inc., a Delaware corporation (the “Company”), in connection with the filing by the Company with the Securities and Exchange Commission (the “Commission”) on November 2, 2023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with an indeterminate amount as may at various times be issued at indeterminate prices, in reliance on Rule 456(b) and Rule 457(r) under the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Registration Statement, the Company issued $1,000,000,000 aggregate principal amount of 5.30% Senior Notes due 2031 (the “Notes”), which have been sold pursuant to that certain Underwriting Agreement (the “Underwriting Agreement”), dated as of January 10, 2024, among the Company, Morgan Stanley &amp; Co. LLC, Credit Agricole Securities (USA) Inc. and Scotia Capital (USA) Inc. as representatives of the other several underwriters named in Schedule I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have been issued in the form set forth in the Indenture, dated as of February 6, 2019 (the “Base Indenture”), between the Company and U.S. Bank Trust Company, National Association (as successor in interest to U.S. Bank National Association), as trustee (the “Trustee”) and, as supplemented by that certain Eighth Supplemental Indenture, dated as of January 12, 2024 (together with the Base Indenture, the “Indenture”), between the Company and the Trustee.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examined the Registration Statement, together with the exhibits thereto and the documents incorporated by reference therein; the prospectus, dated November 2, 2023, together with the documents incorporated by reference therein, filed with the Registration Statement (the “Prospectus”); the preliminary prospectus supplement, dated January 10, 2024, in the form filed with the Commission pursuant to Rule 424(b) of the Securities Act relating to the offering of the Notes; the free writing prospectus, dated January 10, 2024, in the form filed with the Commission pursuant to Rule 433 of the Securities Act; the final prospectus supplement, dated January 10, 2024,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AUSTIN   BEIJING   BOSTON   BOULDER   BRUSSELS</w:t>
            </w: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HONG KONG</w:t>
            </w:r>
          </w:p>
        </w:tc>
        <w:tc>
          <w:tcPr>
            <w:tcW w:w="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LONDON</w:t>
            </w:r>
          </w:p>
        </w:tc>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 ANGELES   NEW YORK   PALO ALTO</w:t>
            </w:r>
          </w:p>
        </w:tc>
      </w:tr>
      <w:tr>
        <w:trPr>
          <w:trHeight w:val="188"/>
        </w:trPr>
        <w:tc>
          <w:tcPr>
            <w:tcW w:w="508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SALT LAKE CITY   SAN DIEGO   SAN FRANCISCO</w:t>
            </w: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SEATTLE</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SHANGHAI</w:t>
            </w:r>
          </w:p>
        </w:tc>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WASHINGTON, DC   WILMINGTON, DE</w:t>
            </w:r>
          </w:p>
        </w:tc>
      </w:tr>
      <w:tr>
        <w:trPr>
          <w:trHeight w:val="847"/>
        </w:trPr>
        <w:tc>
          <w:tcPr>
            <w:tcW w:w="50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0" w:name="page41"/>
    <w:bookmarkEnd w:id="40"/>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54380" cy="334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54380" cy="33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7978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79780" cy="308610"/>
                    </a:xfrm>
                    <a:prstGeom prst="rect">
                      <a:avLst/>
                    </a:prstGeom>
                    <a:noFill/>
                  </pic:spPr>
                </pic:pic>
              </a:graphicData>
            </a:graphic>
          </wp:anchor>
        </w:drawing>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4"/>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upperLetter"/>
      <w:start w:val="61"/>
    </w:lvl>
  </w:abstractNum>
  <w:abstractNum w:abstractNumId="7">
    <w:nsid w:val="7545E146"/>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16" Type="http://schemas.openxmlformats.org/officeDocument/2006/relationships/hyperlink" Target="https://www.sec.gov/Archives/edgar/data/723125/000110465919006069/a18-36862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2024-01-12T15:09:35Z</dcterms:created>
  <dcterms:modified xsi:type="dcterms:W3CDTF">2024-01-12T15:09:35Z</dcterms:modified>
</cp:coreProperties>
</file>