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ind w:left="360"/>
        <w:spacing w:after="0" w:line="24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-225425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22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5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5219700</wp:posOffset>
            </wp:positionH>
            <wp:positionV relativeFrom="paragraph">
              <wp:posOffset>-607695</wp:posOffset>
            </wp:positionV>
            <wp:extent cx="57150" cy="6210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3933190</wp:posOffset>
            </wp:positionH>
            <wp:positionV relativeFrom="paragraph">
              <wp:posOffset>-607695</wp:posOffset>
            </wp:positionV>
            <wp:extent cx="57150" cy="6210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-1688465</wp:posOffset>
            </wp:positionH>
            <wp:positionV relativeFrom="paragraph">
              <wp:posOffset>12065</wp:posOffset>
            </wp:positionV>
            <wp:extent cx="6997700" cy="6465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6465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sectPr>
          <w:pgSz w:w="11900" w:h="16871" w:orient="portrait"/>
          <w:cols w:equalWidth="0" w:num="2">
            <w:col w:w="2180" w:space="460"/>
            <w:col w:w="8440"/>
          </w:cols>
          <w:pgMar w:left="460" w:top="218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ARNZEN APRIL S</w:t>
        </w:r>
      </w:hyperlink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(Middle)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MU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10/13/2021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720" w:firstLine="9"/>
        <w:spacing w:after="0" w:line="230" w:lineRule="auto"/>
        <w:tabs>
          <w:tab w:leader="none" w:pos="13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SVP, Chief People Officer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71" w:orient="portrait"/>
          <w:cols w:equalWidth="0" w:num="3">
            <w:col w:w="3180" w:space="720"/>
            <w:col w:w="3160" w:space="669"/>
            <w:col w:w="3351"/>
          </w:cols>
          <w:pgMar w:left="460" w:top="218" w:right="359" w:bottom="0" w:gutter="0" w:footer="0" w:header="0"/>
          <w:type w:val="continuous"/>
        </w:sectPr>
      </w:pP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</w:tcPr>
          <w:p>
            <w:pPr>
              <w:jc w:val="right"/>
              <w:ind w:righ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9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BOISE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83716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631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10/13/2021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5"/>
              </w:rPr>
              <w:t>16,240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0.00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80,727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10/13/2021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3"/>
              </w:rPr>
              <w:t>429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0.00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81,156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10/13/2021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5"/>
              </w:rPr>
              <w:t>29,976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0.00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6"/>
              </w:rPr>
              <w:t>111,132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10/13/2021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3"/>
              </w:rPr>
              <w:t>189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83"/>
                <w:vertAlign w:val="superscript"/>
              </w:rPr>
              <w:t>(3)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66.72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110,943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10/13/2021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5"/>
              </w:rPr>
              <w:t>4,886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85"/>
                <w:vertAlign w:val="superscript"/>
              </w:rPr>
              <w:t>(3)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66.72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106,057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80" w:type="dxa"/>
            <w:vAlign w:val="bottom"/>
            <w:gridSpan w:val="1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78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6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6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17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Performance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(4)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5"/>
              </w:rPr>
              <w:t>12,587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85"/>
                <w:vertAlign w:val="superscript"/>
              </w:rPr>
              <w:t>(4)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10/13/2021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12,587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58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12,587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131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Performance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(5)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5"/>
              </w:rPr>
              <w:t>7,494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85"/>
                <w:vertAlign w:val="superscript"/>
              </w:rPr>
              <w:t>(5)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10/13/2021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7,494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58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7,494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131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Performance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(6)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(6)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5"/>
              </w:rPr>
              <w:t>7,494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85"/>
                <w:vertAlign w:val="superscript"/>
              </w:rPr>
              <w:t>(6)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10/13/2021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7,494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58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7,494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131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Performance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(7)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(8)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 w:line="2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FF"/>
                <w:w w:val="75"/>
                <w:vertAlign w:val="subscript"/>
              </w:rPr>
              <w:t>429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  <w:w w:val="75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10/13/2021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3,693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58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3,693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131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Performance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(8)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(8)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5"/>
              </w:rPr>
              <w:t>16,240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10/13/2021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4,640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58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4,640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131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-2997835</wp:posOffset>
            </wp:positionV>
            <wp:extent cx="28575" cy="30035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3003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140" w:hanging="2"/>
        <w:spacing w:after="0" w:line="231" w:lineRule="auto"/>
        <w:tabs>
          <w:tab w:leader="none" w:pos="165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Compensation Committee certified achievement of the pre-established performance goals at a level resulting in a vest of 100% of the total target shares under the performance-based restricted stock units previously awarded on October 16, 2019. As reported at grant, the performance-based restricted stock unit could result in a payout that varies based on actual achievement of the goals, subject to a 200% aggregate limit on the payout of target shares.</w:t>
      </w:r>
    </w:p>
    <w:p>
      <w:pPr>
        <w:spacing w:after="0" w:line="3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Awards vest in 33 1/3% increments annually on the anniversary of the grant.</w:t>
      </w:r>
    </w:p>
    <w:p>
      <w:pPr>
        <w:spacing w:after="0" w:line="3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Withholding of shares of common stock to satisfy tax withholding obligations in connection with the vesting of performance restricted stock units awarded under the Issuer's 2004 Equity Incentive Plan.</w:t>
      </w:r>
    </w:p>
    <w:p>
      <w:pPr>
        <w:spacing w:after="0" w:line="61" w:lineRule="exact"/>
        <w:rPr>
          <w:rFonts w:ascii="Arial" w:cs="Arial" w:eastAsia="Arial" w:hAnsi="Arial"/>
          <w:sz w:val="11"/>
          <w:szCs w:val="11"/>
          <w:color w:val="008000"/>
        </w:rPr>
      </w:pPr>
    </w:p>
    <w:p>
      <w:pPr>
        <w:ind w:left="40" w:right="140" w:hanging="2"/>
        <w:spacing w:after="0" w:line="290" w:lineRule="auto"/>
        <w:tabs>
          <w:tab w:leader="none" w:pos="165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Each performance-based restricted stock unit represents the right to receive, following vesting, a percentage of one share of common stock which percentage varies based upon the achievement of pre-established performance metrics related to relative total shareholder return over a 3-year period beginning September 3, 2021 and ending on August 29, 2024 (subject to a 200% aggregate limit on the total target shares that may be received under the performance-based restricted stock units awarded on October 13, 2021), and certification of such performance by the Compensation Committee.</w:t>
      </w:r>
    </w:p>
    <w:p>
      <w:pPr>
        <w:spacing w:after="0" w:line="4" w:lineRule="exact"/>
        <w:rPr>
          <w:rFonts w:ascii="Arial" w:cs="Arial" w:eastAsia="Arial" w:hAnsi="Arial"/>
          <w:sz w:val="11"/>
          <w:szCs w:val="11"/>
          <w:color w:val="008000"/>
        </w:rPr>
      </w:pPr>
    </w:p>
    <w:p>
      <w:pPr>
        <w:ind w:left="40" w:right="200" w:hanging="2"/>
        <w:spacing w:after="0" w:line="290" w:lineRule="auto"/>
        <w:tabs>
          <w:tab w:leader="none" w:pos="165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Each performance-based restricted stock unit represents the right to receive, following vesting, a percentage of one share of common stock which percentage varies based upon the achievement of pre-established performance metrics related to Data Center NAND delivery and solutions over a 3-year period beginning September 3, 2021 and ending on August 29, 2024 (subject to a 200% aggregate limit on the total target shares that may be received under the performance-based restricted stock units awarded on October 13, 2021), and certification of such performance by the Compensation Committee.</w:t>
      </w:r>
    </w:p>
    <w:p>
      <w:pPr>
        <w:spacing w:after="0" w:line="4" w:lineRule="exact"/>
        <w:rPr>
          <w:rFonts w:ascii="Arial" w:cs="Arial" w:eastAsia="Arial" w:hAnsi="Arial"/>
          <w:sz w:val="11"/>
          <w:szCs w:val="11"/>
          <w:color w:val="008000"/>
        </w:rPr>
      </w:pPr>
    </w:p>
    <w:p>
      <w:pPr>
        <w:ind w:left="40" w:right="240" w:hanging="2"/>
        <w:spacing w:after="0" w:line="290" w:lineRule="auto"/>
        <w:tabs>
          <w:tab w:leader="none" w:pos="165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Each performance-based restricted stock unit represents the right to receive, following vesting, a percentage of one share of common stock which percentage varies based upon the achievement of pre-established performance metrics related to High Value NAND delivery and solutions over a 3-year period beginning September 3, 2021 and ending on August 29, 2024 (subject to a 200% aggregate limit on the total target shares that may be received under the performance-based restricted stock units awarded on October 13, 2021), and certification of such performance by the Compensation Committee.</w:t>
      </w:r>
    </w:p>
    <w:p>
      <w:pPr>
        <w:spacing w:after="0" w:line="4" w:lineRule="exact"/>
        <w:rPr>
          <w:rFonts w:ascii="Arial" w:cs="Arial" w:eastAsia="Arial" w:hAnsi="Arial"/>
          <w:sz w:val="11"/>
          <w:szCs w:val="11"/>
          <w:color w:val="008000"/>
        </w:rPr>
      </w:pPr>
    </w:p>
    <w:p>
      <w:pPr>
        <w:jc w:val="both"/>
        <w:ind w:left="40" w:right="140" w:hanging="2"/>
        <w:spacing w:after="0" w:line="290" w:lineRule="auto"/>
        <w:tabs>
          <w:tab w:leader="none" w:pos="165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Each performance-based restricted stock unit represents the right to receive, following vesting, a percentage of one share of common stock based upon the achievement of pre-established performance metrics related to relative total shareholder return over a 3-year performance period beginning August 30, 2019 and ending on September 1, 2022 (subject to a 200% aggregate limit on the total target shares that may be received under the performance-based restricted stock units awarded on October 16, 2019), and certification of such performance by the Compensation Committee.</w:t>
      </w:r>
    </w:p>
    <w:p>
      <w:pPr>
        <w:spacing w:after="0" w:line="4" w:lineRule="exact"/>
        <w:rPr>
          <w:rFonts w:ascii="Arial" w:cs="Arial" w:eastAsia="Arial" w:hAnsi="Arial"/>
          <w:sz w:val="11"/>
          <w:szCs w:val="11"/>
          <w:color w:val="008000"/>
        </w:rPr>
      </w:pPr>
    </w:p>
    <w:p>
      <w:pPr>
        <w:jc w:val="both"/>
        <w:ind w:left="40" w:right="180" w:hanging="2"/>
        <w:spacing w:after="0" w:line="287" w:lineRule="auto"/>
        <w:tabs>
          <w:tab w:leader="none" w:pos="165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Each performance-based restricted stock unit represents the right to receive, following vesting, a percentage of one share of common stock based upon the achievement of pre-established performance metrics related to NAND over a 3-year performance period beginning August 30, 2019 and ending on September 1, 2022 (subject to a 200% aggregate limit on the total target shares that may be received under the performance-based restricted stock units awarded on October 16, 2019), and certification of such performance by the Compensation Committee.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Rob Beard, Attorney-in-fact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10/15/2021</w:t>
            </w:r>
          </w:p>
        </w:tc>
      </w:tr>
      <w:tr>
        <w:trPr>
          <w:trHeight w:val="20"/>
        </w:trPr>
        <w:tc>
          <w:tcPr>
            <w:tcW w:w="6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** Signature of Reporting Person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188"/>
        </w:trPr>
        <w:tc>
          <w:tcPr>
            <w:tcW w:w="8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88"/>
        </w:trPr>
        <w:tc>
          <w:tcPr>
            <w:tcW w:w="8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88"/>
        </w:trPr>
        <w:tc>
          <w:tcPr>
            <w:tcW w:w="8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18 U.S.C. 1001 and 15 U.S.C. 78ff(a).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</w:tbl>
    <w:p>
      <w:pPr>
        <w:sectPr>
          <w:pgSz w:w="11900" w:h="16871" w:orient="portrait"/>
          <w:cols w:equalWidth="0" w:num="1">
            <w:col w:w="11080"/>
          </w:cols>
          <w:pgMar w:left="460" w:top="218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25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3206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2021-10-18T05:12:22Z</dcterms:created>
  <dcterms:modified xsi:type="dcterms:W3CDTF">2021-10-18T05:12:22Z</dcterms:modified>
</cp:coreProperties>
</file>