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-617220</wp:posOffset>
            </wp:positionV>
            <wp:extent cx="57785" cy="630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19050</wp:posOffset>
            </wp:positionV>
            <wp:extent cx="699579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959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ARNZEN APRIL S</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tcPr>
          <w:p>
            <w:pPr>
              <w:ind w:left="40"/>
              <w:spacing w:after="0"/>
              <w:rPr>
                <w:sz w:val="20"/>
                <w:szCs w:val="20"/>
                <w:color w:val="auto"/>
              </w:rPr>
            </w:pPr>
            <w:r>
              <w:rPr>
                <w:rFonts w:ascii="Arial" w:cs="Arial" w:eastAsia="Arial" w:hAnsi="Arial"/>
                <w:sz w:val="13"/>
                <w:szCs w:val="13"/>
                <w:color w:val="auto"/>
              </w:rPr>
              <w:t>(Last)</w:t>
            </w:r>
          </w:p>
        </w:tc>
        <w:tc>
          <w:tcPr>
            <w:tcW w:w="1220" w:type="dxa"/>
            <w:vAlign w:val="bottom"/>
          </w:tcPr>
          <w:p>
            <w:pPr>
              <w:ind w:left="380"/>
              <w:spacing w:after="0"/>
              <w:rPr>
                <w:sz w:val="20"/>
                <w:szCs w:val="20"/>
                <w:color w:val="auto"/>
              </w:rPr>
            </w:pPr>
            <w:r>
              <w:rPr>
                <w:rFonts w:ascii="Arial" w:cs="Arial" w:eastAsia="Arial" w:hAnsi="Arial"/>
                <w:sz w:val="13"/>
                <w:szCs w:val="13"/>
                <w:color w:val="auto"/>
              </w:rPr>
              <w:t>(First)</w:t>
            </w:r>
          </w:p>
        </w:tc>
        <w:tc>
          <w:tcPr>
            <w:tcW w:w="840" w:type="dxa"/>
            <w:vAlign w:val="bottom"/>
          </w:tcPr>
          <w:p>
            <w:pPr>
              <w:ind w:left="380"/>
              <w:spacing w:after="0"/>
              <w:rPr>
                <w:sz w:val="20"/>
                <w:szCs w:val="20"/>
                <w:color w:val="auto"/>
              </w:rPr>
            </w:pPr>
            <w:r>
              <w:rPr>
                <w:rFonts w:ascii="Arial" w:cs="Arial" w:eastAsia="Arial" w:hAnsi="Arial"/>
                <w:sz w:val="13"/>
                <w:szCs w:val="13"/>
                <w:color w:val="auto"/>
                <w:w w:val="93"/>
              </w:rPr>
              <w:t>(Middle)</w:t>
            </w:r>
          </w:p>
        </w:tc>
      </w:tr>
      <w:tr>
        <w:trPr>
          <w:trHeight w:val="264"/>
        </w:trPr>
        <w:tc>
          <w:tcPr>
            <w:tcW w:w="2100" w:type="dxa"/>
            <w:vAlign w:val="bottom"/>
            <w:gridSpan w:val="2"/>
          </w:tcPr>
          <w:p>
            <w:pPr>
              <w:ind w:left="40"/>
              <w:spacing w:after="0"/>
              <w:rPr>
                <w:sz w:val="20"/>
                <w:szCs w:val="20"/>
                <w:color w:val="auto"/>
              </w:rPr>
            </w:pPr>
            <w:r>
              <w:rPr>
                <w:rFonts w:ascii="Arial" w:cs="Arial" w:eastAsia="Arial" w:hAnsi="Arial"/>
                <w:sz w:val="17"/>
                <w:szCs w:val="17"/>
                <w:color w:val="0000FF"/>
              </w:rPr>
              <w:t>8000 S. FEDERAL WAY</w:t>
            </w:r>
          </w:p>
        </w:tc>
        <w:tc>
          <w:tcPr>
            <w:tcW w:w="840" w:type="dxa"/>
            <w:vAlign w:val="bottom"/>
          </w:tcPr>
          <w:p>
            <w:pPr>
              <w:spacing w:after="0"/>
              <w:rPr>
                <w:sz w:val="22"/>
                <w:szCs w:val="22"/>
                <w:color w:val="auto"/>
              </w:rPr>
            </w:pPr>
          </w:p>
        </w:tc>
      </w:tr>
      <w:tr>
        <w:trPr>
          <w:trHeight w:val="473"/>
        </w:trPr>
        <w:tc>
          <w:tcPr>
            <w:tcW w:w="880" w:type="dxa"/>
            <w:vAlign w:val="bottom"/>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6"/>
        </w:trPr>
        <w:tc>
          <w:tcPr>
            <w:tcW w:w="880" w:type="dxa"/>
            <w:vAlign w:val="bottom"/>
          </w:tcPr>
          <w:p>
            <w:pPr>
              <w:ind w:left="4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80"/>
              <w:spacing w:after="0"/>
              <w:rPr>
                <w:sz w:val="20"/>
                <w:szCs w:val="20"/>
                <w:color w:val="auto"/>
              </w:rPr>
            </w:pPr>
            <w:r>
              <w:rPr>
                <w:rFonts w:ascii="Arial" w:cs="Arial" w:eastAsia="Arial" w:hAnsi="Arial"/>
                <w:sz w:val="17"/>
                <w:szCs w:val="17"/>
                <w:color w:val="0000FF"/>
              </w:rPr>
              <w:t>ID</w:t>
            </w:r>
          </w:p>
        </w:tc>
        <w:tc>
          <w:tcPr>
            <w:tcW w:w="840" w:type="dxa"/>
            <w:vAlign w:val="bottom"/>
          </w:tcPr>
          <w:p>
            <w:pPr>
              <w:ind w:left="380"/>
              <w:spacing w:after="0"/>
              <w:rPr>
                <w:sz w:val="20"/>
                <w:szCs w:val="20"/>
                <w:color w:val="auto"/>
              </w:rPr>
            </w:pPr>
            <w:r>
              <w:rPr>
                <w:rFonts w:ascii="Arial" w:cs="Arial" w:eastAsia="Arial" w:hAnsi="Arial"/>
                <w:sz w:val="17"/>
                <w:szCs w:val="17"/>
                <w:color w:val="0000FF"/>
                <w:w w:val="92"/>
              </w:rPr>
              <w:t>83716</w:t>
            </w:r>
          </w:p>
        </w:tc>
      </w:tr>
      <w:tr>
        <w:trPr>
          <w:trHeight w:val="460"/>
        </w:trPr>
        <w:tc>
          <w:tcPr>
            <w:tcW w:w="880" w:type="dxa"/>
            <w:vAlign w:val="bottom"/>
          </w:tcPr>
          <w:p>
            <w:pPr>
              <w:ind w:left="40"/>
              <w:spacing w:after="0"/>
              <w:rPr>
                <w:sz w:val="20"/>
                <w:szCs w:val="20"/>
                <w:color w:val="auto"/>
              </w:rPr>
            </w:pPr>
            <w:r>
              <w:rPr>
                <w:rFonts w:ascii="Arial" w:cs="Arial" w:eastAsia="Arial" w:hAnsi="Arial"/>
                <w:sz w:val="13"/>
                <w:szCs w:val="13"/>
                <w:color w:val="auto"/>
              </w:rPr>
              <w:t>(City)</w:t>
            </w:r>
          </w:p>
        </w:tc>
        <w:tc>
          <w:tcPr>
            <w:tcW w:w="1220" w:type="dxa"/>
            <w:vAlign w:val="bottom"/>
          </w:tcPr>
          <w:p>
            <w:pPr>
              <w:ind w:left="380"/>
              <w:spacing w:after="0"/>
              <w:rPr>
                <w:sz w:val="20"/>
                <w:szCs w:val="20"/>
                <w:color w:val="auto"/>
              </w:rPr>
            </w:pPr>
            <w:r>
              <w:rPr>
                <w:rFonts w:ascii="Arial" w:cs="Arial" w:eastAsia="Arial" w:hAnsi="Arial"/>
                <w:sz w:val="13"/>
                <w:szCs w:val="13"/>
                <w:color w:val="auto"/>
              </w:rPr>
              <w:t>(State)</w:t>
            </w:r>
          </w:p>
        </w:tc>
        <w:tc>
          <w:tcPr>
            <w:tcW w:w="84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MICRON TECHNOLOGY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MU</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2720" w:type="dxa"/>
            <w:vAlign w:val="bottom"/>
            <w:gridSpan w:val="3"/>
          </w:tcPr>
          <w:p>
            <w:pPr>
              <w:ind w:left="60"/>
              <w:spacing w:after="0"/>
              <w:rPr>
                <w:sz w:val="20"/>
                <w:szCs w:val="20"/>
                <w:color w:val="auto"/>
              </w:rPr>
            </w:pPr>
            <w:r>
              <w:rPr>
                <w:rFonts w:ascii="Arial" w:cs="Arial" w:eastAsia="Arial" w:hAnsi="Arial"/>
                <w:sz w:val="17"/>
                <w:szCs w:val="17"/>
                <w:color w:val="0000FF"/>
              </w:rPr>
              <w:t>10/13/2023</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00"/>
              <w:spacing w:after="0"/>
              <w:rPr>
                <w:sz w:val="20"/>
                <w:szCs w:val="20"/>
                <w:color w:val="auto"/>
              </w:rPr>
            </w:pPr>
            <w:r>
              <w:rPr>
                <w:rFonts w:ascii="Arial" w:cs="Arial" w:eastAsia="Arial" w:hAnsi="Arial"/>
                <w:sz w:val="17"/>
                <w:szCs w:val="17"/>
                <w:color w:val="0000FF"/>
              </w:rPr>
              <w:t>EVP, Chief People Officer</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0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84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2"/>
          </w:tcPr>
          <w:p>
            <w:pPr>
              <w:jc w:val="center"/>
              <w:ind w:left="625"/>
              <w:spacing w:after="0"/>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w w:val="95"/>
              </w:rPr>
              <w:t>(A) or</w:t>
            </w: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35,842</w:t>
            </w:r>
            <w:r>
              <w:rPr>
                <w:rFonts w:ascii="Arial" w:cs="Arial" w:eastAsia="Arial" w:hAnsi="Arial"/>
                <w:sz w:val="21"/>
                <w:szCs w:val="21"/>
                <w:color w:val="008000"/>
                <w:w w:val="83"/>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16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154,727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14,440</w:t>
            </w:r>
            <w:r>
              <w:rPr>
                <w:rFonts w:ascii="Arial" w:cs="Arial" w:eastAsia="Arial" w:hAnsi="Arial"/>
                <w:sz w:val="21"/>
                <w:szCs w:val="21"/>
                <w:color w:val="008000"/>
                <w:w w:val="83"/>
                <w:vertAlign w:val="superscript"/>
              </w:rPr>
              <w:t>(2)</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16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169,167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6,181</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1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69.75</w:t>
            </w: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162,986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5,735</w:t>
            </w:r>
            <w:r>
              <w:rPr>
                <w:rFonts w:ascii="Arial" w:cs="Arial" w:eastAsia="Arial" w:hAnsi="Arial"/>
                <w:sz w:val="21"/>
                <w:szCs w:val="21"/>
                <w:color w:val="008000"/>
                <w:w w:val="83"/>
                <w:vertAlign w:val="superscript"/>
              </w:rPr>
              <w:t>(4)</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16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168,721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2,458</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1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69.75</w:t>
            </w: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166,263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1,236</w:t>
            </w:r>
            <w:r>
              <w:rPr>
                <w:rFonts w:ascii="Arial" w:cs="Arial" w:eastAsia="Arial" w:hAnsi="Arial"/>
                <w:sz w:val="21"/>
                <w:szCs w:val="21"/>
                <w:color w:val="008000"/>
                <w:w w:val="83"/>
                <w:vertAlign w:val="superscript"/>
              </w:rPr>
              <w:t>(5)</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16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167,499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3"/>
              </w:rPr>
              <w:t>588</w:t>
            </w:r>
            <w:r>
              <w:rPr>
                <w:rFonts w:ascii="Arial" w:cs="Arial" w:eastAsia="Arial" w:hAnsi="Arial"/>
                <w:sz w:val="21"/>
                <w:szCs w:val="21"/>
                <w:color w:val="008000"/>
                <w:w w:val="83"/>
                <w:vertAlign w:val="superscript"/>
              </w:rPr>
              <w:t>(3)</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1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69.75</w:t>
            </w:r>
          </w:p>
        </w:tc>
        <w:tc>
          <w:tcPr>
            <w:tcW w:w="126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166,911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1,236</w:t>
            </w:r>
            <w:r>
              <w:rPr>
                <w:rFonts w:ascii="Arial" w:cs="Arial" w:eastAsia="Arial" w:hAnsi="Arial"/>
                <w:sz w:val="21"/>
                <w:szCs w:val="21"/>
                <w:color w:val="008000"/>
                <w:w w:val="83"/>
                <w:vertAlign w:val="superscript"/>
              </w:rPr>
              <w:t>(5)</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16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168,147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3"/>
              </w:rPr>
              <w:t>588</w:t>
            </w:r>
            <w:r>
              <w:rPr>
                <w:rFonts w:ascii="Arial" w:cs="Arial" w:eastAsia="Arial" w:hAnsi="Arial"/>
                <w:sz w:val="21"/>
                <w:szCs w:val="21"/>
                <w:color w:val="008000"/>
                <w:w w:val="83"/>
                <w:vertAlign w:val="superscript"/>
              </w:rPr>
              <w:t>(3)</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1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69.75</w:t>
            </w: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167,559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5,853</w:t>
            </w:r>
            <w:r>
              <w:rPr>
                <w:rFonts w:ascii="Arial" w:cs="Arial" w:eastAsia="Arial" w:hAnsi="Arial"/>
                <w:sz w:val="21"/>
                <w:szCs w:val="21"/>
                <w:color w:val="008000"/>
                <w:w w:val="83"/>
                <w:vertAlign w:val="superscript"/>
              </w:rPr>
              <w:t>(6)</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16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173,412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2,781</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1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69.75</w:t>
            </w: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170,631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10/13/2023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4,512</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1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69.75</w:t>
            </w:r>
          </w:p>
        </w:tc>
        <w:tc>
          <w:tcPr>
            <w:tcW w:w="126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166,119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10/15/2023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6,420</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1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69.21</w:t>
            </w: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159,699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25"/>
              <w:spacing w:after="0"/>
              <w:rPr>
                <w:sz w:val="20"/>
                <w:szCs w:val="20"/>
                <w:color w:val="auto"/>
              </w:rPr>
            </w:pPr>
            <w:r>
              <w:rPr>
                <w:rFonts w:ascii="Arial" w:cs="Arial" w:eastAsia="Arial" w:hAnsi="Arial"/>
                <w:sz w:val="17"/>
                <w:szCs w:val="17"/>
                <w:color w:val="0000FF"/>
                <w:w w:val="86"/>
              </w:rPr>
              <w:t>10/16/2023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4,347</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1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69.21</w:t>
            </w:r>
          </w:p>
        </w:tc>
        <w:tc>
          <w:tcPr>
            <w:tcW w:w="126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155,352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1"/>
                <w:szCs w:val="21"/>
                <w:color w:val="auto"/>
              </w:rPr>
            </w:pPr>
          </w:p>
        </w:tc>
        <w:tc>
          <w:tcPr>
            <w:tcW w:w="1760" w:type="dxa"/>
            <w:vAlign w:val="bottom"/>
            <w:gridSpan w:val="2"/>
          </w:tcPr>
          <w:p>
            <w:pPr>
              <w:jc w:val="center"/>
              <w:ind w:left="625"/>
              <w:spacing w:after="0"/>
              <w:rPr>
                <w:sz w:val="20"/>
                <w:szCs w:val="20"/>
                <w:color w:val="auto"/>
              </w:rPr>
            </w:pPr>
            <w:r>
              <w:rPr>
                <w:rFonts w:ascii="Arial" w:cs="Arial" w:eastAsia="Arial" w:hAnsi="Arial"/>
                <w:sz w:val="17"/>
                <w:szCs w:val="17"/>
                <w:color w:val="0000FF"/>
                <w:w w:val="86"/>
              </w:rPr>
              <w:t>10/16/2023</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1"/>
                <w:szCs w:val="21"/>
                <w:color w:val="auto"/>
              </w:rPr>
            </w:pPr>
          </w:p>
        </w:tc>
        <w:tc>
          <w:tcPr>
            <w:tcW w:w="540" w:type="dxa"/>
            <w:vAlign w:val="bottom"/>
          </w:tcPr>
          <w:p>
            <w:pPr>
              <w:jc w:val="center"/>
              <w:ind w:left="86"/>
              <w:spacing w:after="0"/>
              <w:rPr>
                <w:sz w:val="20"/>
                <w:szCs w:val="20"/>
                <w:color w:val="auto"/>
              </w:rPr>
            </w:pPr>
            <w:r>
              <w:rPr>
                <w:rFonts w:ascii="Arial" w:cs="Arial" w:eastAsia="Arial" w:hAnsi="Arial"/>
                <w:sz w:val="17"/>
                <w:szCs w:val="17"/>
                <w:color w:val="0000FF"/>
                <w:w w:val="89"/>
              </w:rPr>
              <w:t>3,508</w:t>
            </w:r>
          </w:p>
        </w:tc>
        <w:tc>
          <w:tcPr>
            <w:tcW w:w="10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1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41.56</w:t>
            </w:r>
          </w:p>
        </w:tc>
        <w:tc>
          <w:tcPr>
            <w:tcW w:w="1260" w:type="dxa"/>
            <w:vAlign w:val="bottom"/>
            <w:gridSpan w:val="3"/>
          </w:tcPr>
          <w:p>
            <w:pPr>
              <w:jc w:val="right"/>
              <w:ind w:right="281"/>
              <w:spacing w:after="0"/>
              <w:rPr>
                <w:sz w:val="20"/>
                <w:szCs w:val="20"/>
                <w:color w:val="auto"/>
              </w:rPr>
            </w:pPr>
            <w:r>
              <w:rPr>
                <w:rFonts w:ascii="Arial" w:cs="Arial" w:eastAsia="Arial" w:hAnsi="Arial"/>
                <w:sz w:val="17"/>
                <w:szCs w:val="17"/>
                <w:color w:val="0000FF"/>
              </w:rPr>
              <w:t>158,860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1"/>
                <w:szCs w:val="21"/>
                <w:color w:val="auto"/>
              </w:rPr>
            </w:pPr>
          </w:p>
        </w:tc>
        <w:tc>
          <w:tcPr>
            <w:tcW w:w="1760" w:type="dxa"/>
            <w:vAlign w:val="bottom"/>
            <w:gridSpan w:val="2"/>
          </w:tcPr>
          <w:p>
            <w:pPr>
              <w:jc w:val="center"/>
              <w:ind w:left="625"/>
              <w:spacing w:after="0"/>
              <w:rPr>
                <w:sz w:val="20"/>
                <w:szCs w:val="20"/>
                <w:color w:val="auto"/>
              </w:rPr>
            </w:pPr>
            <w:r>
              <w:rPr>
                <w:rFonts w:ascii="Arial" w:cs="Arial" w:eastAsia="Arial" w:hAnsi="Arial"/>
                <w:sz w:val="17"/>
                <w:szCs w:val="17"/>
                <w:color w:val="0000FF"/>
                <w:w w:val="86"/>
              </w:rPr>
              <w:t>10/16/2023</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w:t>
            </w:r>
          </w:p>
        </w:tc>
        <w:tc>
          <w:tcPr>
            <w:tcW w:w="220" w:type="dxa"/>
            <w:vAlign w:val="bottom"/>
          </w:tcPr>
          <w:p>
            <w:pPr>
              <w:spacing w:after="0"/>
              <w:rPr>
                <w:sz w:val="21"/>
                <w:szCs w:val="21"/>
                <w:color w:val="auto"/>
              </w:rPr>
            </w:pPr>
          </w:p>
        </w:tc>
        <w:tc>
          <w:tcPr>
            <w:tcW w:w="540" w:type="dxa"/>
            <w:vAlign w:val="bottom"/>
          </w:tcPr>
          <w:p>
            <w:pPr>
              <w:jc w:val="center"/>
              <w:ind w:left="86"/>
              <w:spacing w:after="0"/>
              <w:rPr>
                <w:sz w:val="20"/>
                <w:szCs w:val="20"/>
                <w:color w:val="auto"/>
              </w:rPr>
            </w:pPr>
            <w:r>
              <w:rPr>
                <w:rFonts w:ascii="Arial" w:cs="Arial" w:eastAsia="Arial" w:hAnsi="Arial"/>
                <w:sz w:val="17"/>
                <w:szCs w:val="17"/>
                <w:color w:val="0000FF"/>
                <w:w w:val="89"/>
              </w:rPr>
              <w:t>3,508</w:t>
            </w:r>
          </w:p>
        </w:tc>
        <w:tc>
          <w:tcPr>
            <w:tcW w:w="10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0000FF"/>
              </w:rPr>
              <w:t>D</w:t>
            </w:r>
          </w:p>
        </w:tc>
        <w:tc>
          <w:tcPr>
            <w:tcW w:w="700" w:type="dxa"/>
            <w:vAlign w:val="bottom"/>
            <w:gridSpan w:val="2"/>
          </w:tcPr>
          <w:p>
            <w:pPr>
              <w:jc w:val="center"/>
              <w:ind w:left="1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69.71</w:t>
            </w:r>
          </w:p>
        </w:tc>
        <w:tc>
          <w:tcPr>
            <w:tcW w:w="1260" w:type="dxa"/>
            <w:vAlign w:val="bottom"/>
            <w:gridSpan w:val="3"/>
          </w:tcPr>
          <w:p>
            <w:pPr>
              <w:jc w:val="right"/>
              <w:ind w:right="281"/>
              <w:spacing w:after="0"/>
              <w:rPr>
                <w:sz w:val="20"/>
                <w:szCs w:val="20"/>
                <w:color w:val="auto"/>
              </w:rPr>
            </w:pPr>
            <w:r>
              <w:rPr>
                <w:rFonts w:ascii="Arial" w:cs="Arial" w:eastAsia="Arial" w:hAnsi="Arial"/>
                <w:sz w:val="17"/>
                <w:szCs w:val="17"/>
                <w:color w:val="0000FF"/>
              </w:rPr>
              <w:t>155,352</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2"/>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spacing w:after="0"/>
              <w:rPr>
                <w:sz w:val="11"/>
                <w:szCs w:val="11"/>
                <w:color w:val="auto"/>
              </w:rPr>
            </w:pP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vMerge w:val="continue"/>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(7)</w:t>
            </w:r>
          </w:p>
        </w:tc>
        <w:tc>
          <w:tcPr>
            <w:tcW w:w="220" w:type="dxa"/>
            <w:vAlign w:val="bottom"/>
          </w:tcPr>
          <w:p>
            <w:pPr>
              <w:spacing w:after="0"/>
              <w:rPr>
                <w:sz w:val="15"/>
                <w:szCs w:val="15"/>
                <w:color w:val="auto"/>
              </w:rPr>
            </w:pPr>
          </w:p>
        </w:tc>
        <w:tc>
          <w:tcPr>
            <w:tcW w:w="540" w:type="dxa"/>
            <w:vAlign w:val="bottom"/>
            <w:vMerge w:val="restart"/>
          </w:tcPr>
          <w:p>
            <w:pPr>
              <w:jc w:val="center"/>
              <w:ind w:right="226"/>
              <w:spacing w:after="0"/>
              <w:rPr>
                <w:sz w:val="20"/>
                <w:szCs w:val="20"/>
                <w:color w:val="auto"/>
              </w:rPr>
            </w:pPr>
            <w:r>
              <w:rPr>
                <w:rFonts w:ascii="Arial" w:cs="Arial" w:eastAsia="Arial" w:hAnsi="Arial"/>
                <w:sz w:val="11"/>
                <w:szCs w:val="11"/>
                <w:color w:val="008000"/>
                <w:w w:val="88"/>
              </w:rPr>
              <w:t>(7)</w:t>
            </w: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3"/>
              </w:rPr>
              <w:t>14,440</w:t>
            </w:r>
            <w:r>
              <w:rPr>
                <w:rFonts w:ascii="Arial" w:cs="Arial" w:eastAsia="Arial" w:hAnsi="Arial"/>
                <w:sz w:val="21"/>
                <w:szCs w:val="21"/>
                <w:color w:val="008000"/>
                <w:w w:val="83"/>
                <w:vertAlign w:val="superscript"/>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10/13/2023</w:t>
            </w:r>
          </w:p>
        </w:tc>
        <w:tc>
          <w:tcPr>
            <w:tcW w:w="1140" w:type="dxa"/>
            <w:vAlign w:val="bottom"/>
          </w:tcPr>
          <w:p>
            <w:pPr>
              <w:spacing w:after="0"/>
              <w:rPr>
                <w:sz w:val="10"/>
                <w:szCs w:val="10"/>
                <w:color w:val="auto"/>
              </w:rPr>
            </w:pPr>
          </w:p>
        </w:tc>
        <w:tc>
          <w:tcPr>
            <w:tcW w:w="62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780" w:type="dxa"/>
            <w:vAlign w:val="bottom"/>
          </w:tcPr>
          <w:p>
            <w:pPr>
              <w:ind w:left="380"/>
              <w:spacing w:after="0" w:line="123" w:lineRule="exact"/>
              <w:rPr>
                <w:sz w:val="20"/>
                <w:szCs w:val="20"/>
                <w:color w:val="auto"/>
              </w:rPr>
            </w:pPr>
            <w:r>
              <w:rPr>
                <w:rFonts w:ascii="Arial" w:cs="Arial" w:eastAsia="Arial" w:hAnsi="Arial"/>
                <w:sz w:val="13"/>
                <w:szCs w:val="13"/>
                <w:color w:val="0000FF"/>
              </w:rPr>
              <w:t>7,220</w:t>
            </w: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43"/>
              <w:spacing w:after="0" w:line="12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201"/>
              <w:spacing w:after="0" w:line="123" w:lineRule="exact"/>
              <w:rPr>
                <w:sz w:val="20"/>
                <w:szCs w:val="20"/>
                <w:color w:val="auto"/>
              </w:rPr>
            </w:pPr>
            <w:r>
              <w:rPr>
                <w:rFonts w:ascii="Arial" w:cs="Arial" w:eastAsia="Arial" w:hAnsi="Arial"/>
                <w:sz w:val="13"/>
                <w:szCs w:val="13"/>
                <w:color w:val="0000FF"/>
                <w:w w:val="86"/>
              </w:rPr>
              <w:t>0.00</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line="140"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(8)</w:t>
            </w:r>
          </w:p>
        </w:tc>
        <w:tc>
          <w:tcPr>
            <w:tcW w:w="220" w:type="dxa"/>
            <w:vAlign w:val="bottom"/>
          </w:tcPr>
          <w:p>
            <w:pPr>
              <w:spacing w:after="0"/>
              <w:rPr>
                <w:sz w:val="15"/>
                <w:szCs w:val="15"/>
                <w:color w:val="auto"/>
              </w:rPr>
            </w:pPr>
          </w:p>
        </w:tc>
        <w:tc>
          <w:tcPr>
            <w:tcW w:w="540" w:type="dxa"/>
            <w:vAlign w:val="bottom"/>
            <w:vMerge w:val="restart"/>
          </w:tcPr>
          <w:p>
            <w:pPr>
              <w:jc w:val="center"/>
              <w:ind w:right="226"/>
              <w:spacing w:after="0"/>
              <w:rPr>
                <w:sz w:val="20"/>
                <w:szCs w:val="20"/>
                <w:color w:val="auto"/>
              </w:rPr>
            </w:pPr>
            <w:r>
              <w:rPr>
                <w:rFonts w:ascii="Arial" w:cs="Arial" w:eastAsia="Arial" w:hAnsi="Arial"/>
                <w:sz w:val="11"/>
                <w:szCs w:val="11"/>
                <w:color w:val="008000"/>
                <w:w w:val="88"/>
              </w:rPr>
              <w:t>(8)</w:t>
            </w: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3"/>
              </w:rPr>
              <w:t>5,735</w:t>
            </w:r>
            <w:r>
              <w:rPr>
                <w:rFonts w:ascii="Arial" w:cs="Arial" w:eastAsia="Arial" w:hAnsi="Arial"/>
                <w:sz w:val="21"/>
                <w:szCs w:val="21"/>
                <w:color w:val="008000"/>
                <w:w w:val="83"/>
                <w:vertAlign w:val="superscript"/>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10/13/2023</w:t>
            </w:r>
          </w:p>
        </w:tc>
        <w:tc>
          <w:tcPr>
            <w:tcW w:w="1140" w:type="dxa"/>
            <w:vAlign w:val="bottom"/>
          </w:tcPr>
          <w:p>
            <w:pPr>
              <w:spacing w:after="0"/>
              <w:rPr>
                <w:sz w:val="10"/>
                <w:szCs w:val="10"/>
                <w:color w:val="auto"/>
              </w:rPr>
            </w:pPr>
          </w:p>
        </w:tc>
        <w:tc>
          <w:tcPr>
            <w:tcW w:w="62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780" w:type="dxa"/>
            <w:vAlign w:val="bottom"/>
          </w:tcPr>
          <w:p>
            <w:pPr>
              <w:ind w:left="380"/>
              <w:spacing w:after="0" w:line="123" w:lineRule="exact"/>
              <w:rPr>
                <w:sz w:val="20"/>
                <w:szCs w:val="20"/>
                <w:color w:val="auto"/>
              </w:rPr>
            </w:pPr>
            <w:r>
              <w:rPr>
                <w:rFonts w:ascii="Arial" w:cs="Arial" w:eastAsia="Arial" w:hAnsi="Arial"/>
                <w:sz w:val="13"/>
                <w:szCs w:val="13"/>
                <w:color w:val="0000FF"/>
              </w:rPr>
              <w:t>6,101</w:t>
            </w: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43"/>
              <w:spacing w:after="0" w:line="12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201"/>
              <w:spacing w:after="0" w:line="123" w:lineRule="exact"/>
              <w:rPr>
                <w:sz w:val="20"/>
                <w:szCs w:val="20"/>
                <w:color w:val="auto"/>
              </w:rPr>
            </w:pPr>
            <w:r>
              <w:rPr>
                <w:rFonts w:ascii="Arial" w:cs="Arial" w:eastAsia="Arial" w:hAnsi="Arial"/>
                <w:sz w:val="13"/>
                <w:szCs w:val="13"/>
                <w:color w:val="0000FF"/>
                <w:w w:val="86"/>
              </w:rPr>
              <w:t>0.00</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line="140"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(9)</w:t>
            </w:r>
          </w:p>
        </w:tc>
        <w:tc>
          <w:tcPr>
            <w:tcW w:w="220" w:type="dxa"/>
            <w:vAlign w:val="bottom"/>
          </w:tcPr>
          <w:p>
            <w:pPr>
              <w:spacing w:after="0"/>
              <w:rPr>
                <w:sz w:val="15"/>
                <w:szCs w:val="15"/>
                <w:color w:val="auto"/>
              </w:rPr>
            </w:pPr>
          </w:p>
        </w:tc>
        <w:tc>
          <w:tcPr>
            <w:tcW w:w="540" w:type="dxa"/>
            <w:vAlign w:val="bottom"/>
            <w:vMerge w:val="restart"/>
          </w:tcPr>
          <w:p>
            <w:pPr>
              <w:jc w:val="center"/>
              <w:ind w:right="226"/>
              <w:spacing w:after="0"/>
              <w:rPr>
                <w:sz w:val="20"/>
                <w:szCs w:val="20"/>
                <w:color w:val="auto"/>
              </w:rPr>
            </w:pPr>
            <w:r>
              <w:rPr>
                <w:rFonts w:ascii="Arial" w:cs="Arial" w:eastAsia="Arial" w:hAnsi="Arial"/>
                <w:sz w:val="11"/>
                <w:szCs w:val="11"/>
                <w:color w:val="008000"/>
                <w:w w:val="88"/>
              </w:rPr>
              <w:t>(9)</w:t>
            </w: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3"/>
              </w:rPr>
              <w:t>1,236</w:t>
            </w:r>
            <w:r>
              <w:rPr>
                <w:rFonts w:ascii="Arial" w:cs="Arial" w:eastAsia="Arial" w:hAnsi="Arial"/>
                <w:sz w:val="21"/>
                <w:szCs w:val="21"/>
                <w:color w:val="008000"/>
                <w:w w:val="83"/>
                <w:vertAlign w:val="superscript"/>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10/13/2023</w:t>
            </w:r>
          </w:p>
        </w:tc>
        <w:tc>
          <w:tcPr>
            <w:tcW w:w="1140" w:type="dxa"/>
            <w:vAlign w:val="bottom"/>
          </w:tcPr>
          <w:p>
            <w:pPr>
              <w:spacing w:after="0"/>
              <w:rPr>
                <w:sz w:val="10"/>
                <w:szCs w:val="10"/>
                <w:color w:val="auto"/>
              </w:rPr>
            </w:pPr>
          </w:p>
        </w:tc>
        <w:tc>
          <w:tcPr>
            <w:tcW w:w="62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780" w:type="dxa"/>
            <w:vAlign w:val="bottom"/>
          </w:tcPr>
          <w:p>
            <w:pPr>
              <w:ind w:left="380"/>
              <w:spacing w:after="0" w:line="123" w:lineRule="exact"/>
              <w:rPr>
                <w:sz w:val="20"/>
                <w:szCs w:val="20"/>
                <w:color w:val="auto"/>
              </w:rPr>
            </w:pPr>
            <w:r>
              <w:rPr>
                <w:rFonts w:ascii="Arial" w:cs="Arial" w:eastAsia="Arial" w:hAnsi="Arial"/>
                <w:sz w:val="13"/>
                <w:szCs w:val="13"/>
                <w:color w:val="0000FF"/>
              </w:rPr>
              <w:t>3,747</w:t>
            </w: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43"/>
              <w:spacing w:after="0" w:line="12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181"/>
              <w:spacing w:after="0" w:line="123" w:lineRule="exact"/>
              <w:rPr>
                <w:sz w:val="20"/>
                <w:szCs w:val="20"/>
                <w:color w:val="auto"/>
              </w:rPr>
            </w:pPr>
            <w:r>
              <w:rPr>
                <w:rFonts w:ascii="Arial" w:cs="Arial" w:eastAsia="Arial" w:hAnsi="Arial"/>
                <w:sz w:val="13"/>
                <w:szCs w:val="13"/>
                <w:color w:val="0000FF"/>
                <w:w w:val="85"/>
              </w:rPr>
              <w:t>3,747</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line="140"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w w:val="91"/>
              </w:rPr>
              <w:t>(10)</w:t>
            </w:r>
          </w:p>
        </w:tc>
        <w:tc>
          <w:tcPr>
            <w:tcW w:w="220" w:type="dxa"/>
            <w:vAlign w:val="bottom"/>
          </w:tcPr>
          <w:p>
            <w:pPr>
              <w:spacing w:after="0"/>
              <w:rPr>
                <w:sz w:val="15"/>
                <w:szCs w:val="15"/>
                <w:color w:val="auto"/>
              </w:rPr>
            </w:pPr>
          </w:p>
        </w:tc>
        <w:tc>
          <w:tcPr>
            <w:tcW w:w="540" w:type="dxa"/>
            <w:vAlign w:val="bottom"/>
            <w:vMerge w:val="restart"/>
          </w:tcPr>
          <w:p>
            <w:pPr>
              <w:jc w:val="center"/>
              <w:ind w:right="226"/>
              <w:spacing w:after="0"/>
              <w:rPr>
                <w:sz w:val="20"/>
                <w:szCs w:val="20"/>
                <w:color w:val="auto"/>
              </w:rPr>
            </w:pPr>
            <w:r>
              <w:rPr>
                <w:rFonts w:ascii="Arial" w:cs="Arial" w:eastAsia="Arial" w:hAnsi="Arial"/>
                <w:sz w:val="11"/>
                <w:szCs w:val="11"/>
                <w:color w:val="008000"/>
                <w:w w:val="81"/>
              </w:rPr>
              <w:t>(10)</w:t>
            </w: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3"/>
              </w:rPr>
              <w:t>1,236</w:t>
            </w:r>
            <w:r>
              <w:rPr>
                <w:rFonts w:ascii="Arial" w:cs="Arial" w:eastAsia="Arial" w:hAnsi="Arial"/>
                <w:sz w:val="21"/>
                <w:szCs w:val="21"/>
                <w:color w:val="008000"/>
                <w:w w:val="83"/>
                <w:vertAlign w:val="superscript"/>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10/13/2023</w:t>
            </w:r>
          </w:p>
        </w:tc>
        <w:tc>
          <w:tcPr>
            <w:tcW w:w="1140" w:type="dxa"/>
            <w:vAlign w:val="bottom"/>
          </w:tcPr>
          <w:p>
            <w:pPr>
              <w:spacing w:after="0"/>
              <w:rPr>
                <w:sz w:val="10"/>
                <w:szCs w:val="10"/>
                <w:color w:val="auto"/>
              </w:rPr>
            </w:pPr>
          </w:p>
        </w:tc>
        <w:tc>
          <w:tcPr>
            <w:tcW w:w="62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780" w:type="dxa"/>
            <w:vAlign w:val="bottom"/>
          </w:tcPr>
          <w:p>
            <w:pPr>
              <w:ind w:left="380"/>
              <w:spacing w:after="0" w:line="123" w:lineRule="exact"/>
              <w:rPr>
                <w:sz w:val="20"/>
                <w:szCs w:val="20"/>
                <w:color w:val="auto"/>
              </w:rPr>
            </w:pPr>
            <w:r>
              <w:rPr>
                <w:rFonts w:ascii="Arial" w:cs="Arial" w:eastAsia="Arial" w:hAnsi="Arial"/>
                <w:sz w:val="13"/>
                <w:szCs w:val="13"/>
                <w:color w:val="0000FF"/>
              </w:rPr>
              <w:t>3,747</w:t>
            </w: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43"/>
              <w:spacing w:after="0" w:line="12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181"/>
              <w:spacing w:after="0" w:line="123" w:lineRule="exact"/>
              <w:rPr>
                <w:sz w:val="20"/>
                <w:szCs w:val="20"/>
                <w:color w:val="auto"/>
              </w:rPr>
            </w:pPr>
            <w:r>
              <w:rPr>
                <w:rFonts w:ascii="Arial" w:cs="Arial" w:eastAsia="Arial" w:hAnsi="Arial"/>
                <w:sz w:val="13"/>
                <w:szCs w:val="13"/>
                <w:color w:val="0000FF"/>
                <w:w w:val="85"/>
              </w:rPr>
              <w:t>3,747</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line="140"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-2940685</wp:posOffset>
            </wp:positionV>
            <wp:extent cx="28575" cy="3215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21564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336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2336165"/>
                    </a:xfrm>
                    <a:prstGeom prst="rect">
                      <a:avLst/>
                    </a:prstGeom>
                    <a:noFill/>
                  </pic:spPr>
                </pic:pic>
              </a:graphicData>
            </a:graphic>
          </wp:anchor>
        </w:drawing>
        <w:t>Table II - Derivative Securities Acquired, Disposed of, or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720" w:type="dxa"/>
            <w:vAlign w:val="bottom"/>
            <w:vMerge w:val="restart"/>
          </w:tcPr>
          <w:p>
            <w:pPr>
              <w:jc w:val="right"/>
              <w:ind w:right="222"/>
              <w:spacing w:after="0"/>
              <w:rPr>
                <w:sz w:val="20"/>
                <w:szCs w:val="20"/>
                <w:color w:val="auto"/>
              </w:rPr>
            </w:pPr>
            <w:r>
              <w:rPr>
                <w:rFonts w:ascii="Arial" w:cs="Arial" w:eastAsia="Arial" w:hAnsi="Arial"/>
                <w:sz w:val="11"/>
                <w:szCs w:val="11"/>
                <w:color w:val="008000"/>
              </w:rPr>
              <w:t>(11)</w:t>
            </w:r>
          </w:p>
        </w:tc>
        <w:tc>
          <w:tcPr>
            <w:tcW w:w="600" w:type="dxa"/>
            <w:vAlign w:val="bottom"/>
            <w:vMerge w:val="restart"/>
          </w:tcPr>
          <w:p>
            <w:pPr>
              <w:ind w:left="60"/>
              <w:spacing w:after="0"/>
              <w:rPr>
                <w:sz w:val="20"/>
                <w:szCs w:val="20"/>
                <w:color w:val="auto"/>
              </w:rPr>
            </w:pPr>
            <w:r>
              <w:rPr>
                <w:rFonts w:ascii="Arial" w:cs="Arial" w:eastAsia="Arial" w:hAnsi="Arial"/>
                <w:sz w:val="13"/>
                <w:szCs w:val="13"/>
                <w:color w:val="0000FF"/>
                <w:w w:val="98"/>
              </w:rPr>
              <w:t>Common</w:t>
            </w:r>
          </w:p>
        </w:tc>
        <w:tc>
          <w:tcPr>
            <w:tcW w:w="720" w:type="dxa"/>
            <w:vAlign w:val="bottom"/>
            <w:vMerge w:val="restart"/>
          </w:tcPr>
          <w:p>
            <w:pPr>
              <w:jc w:val="center"/>
              <w:ind w:right="13"/>
              <w:spacing w:after="0"/>
              <w:rPr>
                <w:sz w:val="20"/>
                <w:szCs w:val="20"/>
                <w:color w:val="auto"/>
              </w:rPr>
            </w:pPr>
            <w:r>
              <w:rPr>
                <w:rFonts w:ascii="Arial" w:cs="Arial" w:eastAsia="Arial" w:hAnsi="Arial"/>
                <w:sz w:val="17"/>
                <w:szCs w:val="17"/>
                <w:color w:val="0000FF"/>
              </w:rPr>
              <w:t>5,853</w:t>
            </w:r>
            <w:r>
              <w:rPr>
                <w:rFonts w:ascii="Arial" w:cs="Arial" w:eastAsia="Arial" w:hAnsi="Arial"/>
                <w:sz w:val="21"/>
                <w:szCs w:val="21"/>
                <w:color w:val="008000"/>
                <w:vertAlign w:val="superscript"/>
              </w:rPr>
              <w:t>(6)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jc w:val="center"/>
              <w:ind w:right="163"/>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tcPr>
          <w:p>
            <w:pPr>
              <w:jc w:val="right"/>
              <w:ind w:right="180"/>
              <w:spacing w:after="0" w:line="123" w:lineRule="exact"/>
              <w:rPr>
                <w:sz w:val="20"/>
                <w:szCs w:val="20"/>
                <w:color w:val="auto"/>
              </w:rPr>
            </w:pPr>
            <w:r>
              <w:rPr>
                <w:rFonts w:ascii="Arial" w:cs="Arial" w:eastAsia="Arial" w:hAnsi="Arial"/>
                <w:sz w:val="13"/>
                <w:szCs w:val="13"/>
                <w:color w:val="0000FF"/>
              </w:rPr>
              <w:t>10/13/2023</w:t>
            </w:r>
          </w:p>
        </w:tc>
        <w:tc>
          <w:tcPr>
            <w:tcW w:w="1080" w:type="dxa"/>
            <w:vAlign w:val="bottom"/>
          </w:tcPr>
          <w:p>
            <w:pPr>
              <w:spacing w:after="0"/>
              <w:rPr>
                <w:sz w:val="10"/>
                <w:szCs w:val="10"/>
                <w:color w:val="auto"/>
              </w:rPr>
            </w:pPr>
          </w:p>
        </w:tc>
        <w:tc>
          <w:tcPr>
            <w:tcW w:w="78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720" w:type="dxa"/>
            <w:vAlign w:val="bottom"/>
          </w:tcPr>
          <w:p>
            <w:pPr>
              <w:ind w:left="380"/>
              <w:spacing w:after="0" w:line="123" w:lineRule="exact"/>
              <w:rPr>
                <w:sz w:val="20"/>
                <w:szCs w:val="20"/>
                <w:color w:val="auto"/>
              </w:rPr>
            </w:pPr>
            <w:r>
              <w:rPr>
                <w:rFonts w:ascii="Arial" w:cs="Arial" w:eastAsia="Arial" w:hAnsi="Arial"/>
                <w:sz w:val="13"/>
                <w:szCs w:val="13"/>
                <w:color w:val="0000FF"/>
                <w:w w:val="98"/>
              </w:rPr>
              <w:t>6,293</w:t>
            </w: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tcPr>
          <w:p>
            <w:pPr>
              <w:ind w:left="20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right"/>
              <w:ind w:right="262"/>
              <w:spacing w:after="0" w:line="123" w:lineRule="exact"/>
              <w:rPr>
                <w:sz w:val="20"/>
                <w:szCs w:val="20"/>
                <w:color w:val="auto"/>
              </w:rPr>
            </w:pPr>
            <w:r>
              <w:rPr>
                <w:rFonts w:ascii="Arial" w:cs="Arial" w:eastAsia="Arial" w:hAnsi="Arial"/>
                <w:sz w:val="13"/>
                <w:szCs w:val="13"/>
                <w:color w:val="0000FF"/>
              </w:rPr>
              <w:t>6,294</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ind w:left="160"/>
              <w:spacing w:after="0" w:line="140" w:lineRule="exact"/>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80" w:type="dxa"/>
            <w:vAlign w:val="bottom"/>
          </w:tcPr>
          <w:p>
            <w:pPr>
              <w:ind w:left="60"/>
              <w:spacing w:after="0" w:line="140" w:lineRule="exact"/>
              <w:rPr>
                <w:sz w:val="20"/>
                <w:szCs w:val="20"/>
                <w:color w:val="auto"/>
              </w:rPr>
            </w:pPr>
            <w:r>
              <w:rPr>
                <w:rFonts w:ascii="Arial" w:cs="Arial" w:eastAsia="Arial" w:hAnsi="Arial"/>
                <w:sz w:val="13"/>
                <w:szCs w:val="13"/>
                <w:color w:val="0000FF"/>
              </w:rPr>
              <w:t>qualified</w:t>
            </w:r>
          </w:p>
        </w:tc>
        <w:tc>
          <w:tcPr>
            <w:tcW w:w="760" w:type="dxa"/>
            <w:vAlign w:val="bottom"/>
            <w:vMerge w:val="restart"/>
          </w:tcPr>
          <w:p>
            <w:pPr>
              <w:jc w:val="center"/>
              <w:ind w:right="12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41.56</w:t>
            </w:r>
          </w:p>
        </w:tc>
        <w:tc>
          <w:tcPr>
            <w:tcW w:w="1060" w:type="dxa"/>
            <w:vAlign w:val="bottom"/>
            <w:vMerge w:val="restart"/>
          </w:tcPr>
          <w:p>
            <w:pPr>
              <w:jc w:val="right"/>
              <w:ind w:right="180"/>
              <w:spacing w:after="0"/>
              <w:rPr>
                <w:sz w:val="20"/>
                <w:szCs w:val="20"/>
                <w:color w:val="auto"/>
              </w:rPr>
            </w:pPr>
            <w:r>
              <w:rPr>
                <w:rFonts w:ascii="Arial" w:cs="Arial" w:eastAsia="Arial" w:hAnsi="Arial"/>
                <w:sz w:val="13"/>
                <w:szCs w:val="13"/>
                <w:color w:val="0000FF"/>
              </w:rPr>
              <w:t>10/16/2023</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ind w:left="380"/>
              <w:spacing w:after="0"/>
              <w:rPr>
                <w:sz w:val="20"/>
                <w:szCs w:val="20"/>
                <w:color w:val="auto"/>
              </w:rPr>
            </w:pPr>
            <w:r>
              <w:rPr>
                <w:rFonts w:ascii="Arial" w:cs="Arial" w:eastAsia="Arial" w:hAnsi="Arial"/>
                <w:sz w:val="13"/>
                <w:szCs w:val="13"/>
                <w:color w:val="0000FF"/>
                <w:w w:val="98"/>
              </w:rPr>
              <w:t>3,508</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(12)</w:t>
            </w:r>
          </w:p>
        </w:tc>
        <w:tc>
          <w:tcPr>
            <w:tcW w:w="720" w:type="dxa"/>
            <w:vAlign w:val="bottom"/>
            <w:vMerge w:val="restart"/>
          </w:tcPr>
          <w:p>
            <w:pPr>
              <w:jc w:val="right"/>
              <w:ind w:right="2"/>
              <w:spacing w:after="0"/>
              <w:rPr>
                <w:sz w:val="20"/>
                <w:szCs w:val="20"/>
                <w:color w:val="auto"/>
              </w:rPr>
            </w:pPr>
            <w:r>
              <w:rPr>
                <w:rFonts w:ascii="Arial" w:cs="Arial" w:eastAsia="Arial" w:hAnsi="Arial"/>
                <w:sz w:val="13"/>
                <w:szCs w:val="13"/>
                <w:color w:val="0000FF"/>
                <w:w w:val="98"/>
              </w:rPr>
              <w:t>10/24/2025</w:t>
            </w:r>
          </w:p>
        </w:tc>
        <w:tc>
          <w:tcPr>
            <w:tcW w:w="600" w:type="dxa"/>
            <w:vAlign w:val="bottom"/>
          </w:tcPr>
          <w:p>
            <w:pPr>
              <w:ind w:left="60"/>
              <w:spacing w:after="0" w:line="140" w:lineRule="exact"/>
              <w:rPr>
                <w:sz w:val="20"/>
                <w:szCs w:val="20"/>
                <w:color w:val="auto"/>
              </w:rPr>
            </w:pPr>
            <w:r>
              <w:rPr>
                <w:rFonts w:ascii="Arial" w:cs="Arial" w:eastAsia="Arial" w:hAnsi="Arial"/>
                <w:sz w:val="13"/>
                <w:szCs w:val="13"/>
                <w:color w:val="0000FF"/>
                <w:w w:val="98"/>
              </w:rPr>
              <w:t>Common</w:t>
            </w:r>
          </w:p>
        </w:tc>
        <w:tc>
          <w:tcPr>
            <w:tcW w:w="720" w:type="dxa"/>
            <w:vAlign w:val="bottom"/>
            <w:vMerge w:val="restart"/>
          </w:tcPr>
          <w:p>
            <w:pPr>
              <w:jc w:val="right"/>
              <w:ind w:right="113"/>
              <w:spacing w:after="0"/>
              <w:rPr>
                <w:sz w:val="20"/>
                <w:szCs w:val="20"/>
                <w:color w:val="auto"/>
              </w:rPr>
            </w:pPr>
            <w:r>
              <w:rPr>
                <w:rFonts w:ascii="Arial" w:cs="Arial" w:eastAsia="Arial" w:hAnsi="Arial"/>
                <w:sz w:val="17"/>
                <w:szCs w:val="17"/>
                <w:color w:val="0000FF"/>
              </w:rPr>
              <w:t>3,508</w:t>
            </w: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right"/>
              <w:ind w:right="282"/>
              <w:spacing w:after="0"/>
              <w:rPr>
                <w:sz w:val="20"/>
                <w:szCs w:val="20"/>
                <w:color w:val="auto"/>
              </w:rPr>
            </w:pPr>
            <w:r>
              <w:rPr>
                <w:rFonts w:ascii="Arial" w:cs="Arial" w:eastAsia="Arial" w:hAnsi="Arial"/>
                <w:sz w:val="13"/>
                <w:szCs w:val="13"/>
                <w:color w:val="0000FF"/>
              </w:rPr>
              <w:t>0.00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Options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Award vests in 33 1/3% increments annually on the anniversary of the grant.</w:t>
      </w:r>
    </w:p>
    <w:p>
      <w:pPr>
        <w:spacing w:after="0" w:line="41" w:lineRule="exact"/>
        <w:rPr>
          <w:rFonts w:ascii="Arial" w:cs="Arial" w:eastAsia="Arial" w:hAnsi="Arial"/>
          <w:sz w:val="13"/>
          <w:szCs w:val="13"/>
          <w:color w:val="008000"/>
        </w:rPr>
      </w:pPr>
    </w:p>
    <w:p>
      <w:pPr>
        <w:ind w:left="20" w:right="180"/>
        <w:spacing w:after="0" w:line="253" w:lineRule="auto"/>
        <w:tabs>
          <w:tab w:leader="none" w:pos="14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Compensation Committee certified achievement of pre-established performance goals related to NAND delivery and solutions at 200% of target under the performance-based restricted stock units ("PRSU") with a 3-year performance period previously awarded on October 16, 2020. As reported at grant, the PRSU could result in a payout (if earned) that varies (starting at 0%) based on actual achievement of the goals, subject to a 200% aggregate limit on the total target shares that may be received under the PRSUs awarded on October 16, 2020. 100%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w:t>
      </w:r>
    </w:p>
    <w:p>
      <w:pPr>
        <w:spacing w:after="0" w:line="22" w:lineRule="exact"/>
        <w:rPr>
          <w:rFonts w:ascii="Arial" w:cs="Arial" w:eastAsia="Arial" w:hAnsi="Arial"/>
          <w:sz w:val="12"/>
          <w:szCs w:val="12"/>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Withholding of shares of common stock to satisfy tax withholding obligations in connection with the vesting of previously granted awards.</w:t>
      </w:r>
    </w:p>
    <w:p>
      <w:pPr>
        <w:spacing w:after="0" w:line="41" w:lineRule="exact"/>
        <w:rPr>
          <w:rFonts w:ascii="Arial" w:cs="Arial" w:eastAsia="Arial" w:hAnsi="Arial"/>
          <w:sz w:val="13"/>
          <w:szCs w:val="13"/>
          <w:color w:val="008000"/>
        </w:rPr>
      </w:pPr>
    </w:p>
    <w:p>
      <w:pPr>
        <w:ind w:left="20" w:right="200"/>
        <w:spacing w:after="0" w:line="281"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Compensation Committee certified achievement of pre-established performance goals related to relative total shareholder return at a level of 93% of target under the performance-based restricted stock units ("PRSU") with a 3-year performance period previously awarded on October 16, 2020. As reported at grant, the PRSU could result in a payout (if earned) that varies (starting at 0%) based on actual achievement of the goals, subject to a 200% aggregate limit on the total target shares that may be received under the PRSUs awarded on October 16, 2020. 100%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w:t>
      </w:r>
    </w:p>
    <w:p>
      <w:pPr>
        <w:spacing w:after="0" w:line="9" w:lineRule="exact"/>
        <w:rPr>
          <w:rFonts w:ascii="Arial" w:cs="Arial" w:eastAsia="Arial" w:hAnsi="Arial"/>
          <w:sz w:val="11"/>
          <w:szCs w:val="11"/>
          <w:color w:val="008000"/>
        </w:rPr>
      </w:pPr>
    </w:p>
    <w:p>
      <w:pPr>
        <w:ind w:left="20" w:right="160"/>
        <w:spacing w:after="0" w:line="232"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Compensation Committee certified achievement of pre-established performance goals at a level of 33% of target under the performance-based restricted stock units ("PRSU") with a 3-year performance period previously awarded on October 13, 2021. As reported at grant, the PRSU could result in a payout (if earned) that varies (starting at 0%) based on actual achievement of the goals, subject to a 200% aggregate limit on the total target shares that may be received under the PRSUs awarded on October 13, 2021. 50% of the shares earned vested upon certification of the performance and 50% remain subject to vesting until the certification of the achievement of performance goals at the end of year 3 of the performance period.</w:t>
      </w:r>
    </w:p>
    <w:p>
      <w:pPr>
        <w:spacing w:after="0" w:line="31" w:lineRule="exact"/>
        <w:rPr>
          <w:rFonts w:ascii="Arial" w:cs="Arial" w:eastAsia="Arial" w:hAnsi="Arial"/>
          <w:sz w:val="13"/>
          <w:szCs w:val="13"/>
          <w:color w:val="008000"/>
        </w:rPr>
      </w:pPr>
    </w:p>
    <w:p>
      <w:pPr>
        <w:jc w:val="both"/>
        <w:ind w:left="20" w:right="200"/>
        <w:spacing w:after="0" w:line="256" w:lineRule="auto"/>
        <w:tabs>
          <w:tab w:leader="none" w:pos="14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Compensation Committee certified achievement of pre-established performance goals related to relative total shareholder return at a level of 93% of target under the performance-based restricted stock units ("PRSU") with a 3-year performance period previously awarded on October 13, 2021. As reported at grant, the PRSU could result in a payout (if earned) that varies (starting at 0%) based on actual achievement of the goals, subject to a 200% aggregate limit on the total target shares that may be received under the PRSU awarded on October 13, 2021. 50% of the shares earned vested upon certification of the performance and 50% remain subject to vesting until the certification of performance goals at the end of year 3 of the performance period.</w:t>
      </w:r>
    </w:p>
    <w:p>
      <w:pPr>
        <w:spacing w:after="0" w:line="21" w:lineRule="exact"/>
        <w:rPr>
          <w:rFonts w:ascii="Arial" w:cs="Arial" w:eastAsia="Arial" w:hAnsi="Arial"/>
          <w:sz w:val="12"/>
          <w:szCs w:val="12"/>
          <w:color w:val="008000"/>
        </w:rPr>
      </w:pPr>
    </w:p>
    <w:p>
      <w:pPr>
        <w:ind w:left="20" w:right="220"/>
        <w:spacing w:after="0" w:line="235"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performance-based restricted stock unit ("PRSU") represents the right to receive, following vesting, a percentage of one share of common stock based upon the achievement of pre-established performance goals related to NAND delivery and solutions over a 3-year performance period beginning September 4, 2020 and ending August 31, 2023 (subject to a 200% aggregate limit on the total target shares that may be received under the PRSUs awarded on October 16, 2020), and certification of such performance by the Compensation Committee.</w:t>
      </w:r>
    </w:p>
    <w:p>
      <w:pPr>
        <w:spacing w:after="0" w:line="30" w:lineRule="exact"/>
        <w:rPr>
          <w:rFonts w:ascii="Arial" w:cs="Arial" w:eastAsia="Arial" w:hAnsi="Arial"/>
          <w:sz w:val="13"/>
          <w:szCs w:val="13"/>
          <w:color w:val="008000"/>
        </w:rPr>
      </w:pPr>
    </w:p>
    <w:p>
      <w:pPr>
        <w:jc w:val="both"/>
        <w:ind w:left="20" w:right="220"/>
        <w:spacing w:after="0" w:line="263" w:lineRule="auto"/>
        <w:tabs>
          <w:tab w:leader="none" w:pos="14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("PRSU") represents the right to receive, following vesting, a percentage of one share of common stock based upon the achievement of pre-established performance goals related to relative total shareholder return over a 3-year performance period beginning September 4, 2020 and ending August 31, 2023 (subject to a 200% aggregate limit on the total target shares that may be received under the PRSUs awarded on October 16, 2020), and certification of such performance by the Compensation Committee.</w:t>
      </w:r>
    </w:p>
    <w:p>
      <w:pPr>
        <w:spacing w:after="0" w:line="16" w:lineRule="exact"/>
        <w:rPr>
          <w:rFonts w:ascii="Arial" w:cs="Arial" w:eastAsia="Arial" w:hAnsi="Arial"/>
          <w:sz w:val="12"/>
          <w:szCs w:val="12"/>
          <w:color w:val="008000"/>
        </w:rPr>
      </w:pPr>
    </w:p>
    <w:p>
      <w:pPr>
        <w:ind w:left="20" w:right="220"/>
        <w:spacing w:after="0" w:line="263" w:lineRule="auto"/>
        <w:tabs>
          <w:tab w:leader="none" w:pos="14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("PRSU") represents the right to receive, following vesting, a percentage of one share of common stock based upon the achievement of pre-established performance goals related to Data Center NAND delivery and solutions over a 3-year performance period beginning September 3, 2021 and ending August 29, 2024 (subject to a 200% aggregate limit on the total target shares that may be received under the PRSUs awarded on October 13, 2021), and certification of such performance by the Compensation Committee.</w:t>
      </w:r>
    </w:p>
    <w:p>
      <w:pPr>
        <w:spacing w:after="0" w:line="16" w:lineRule="exact"/>
        <w:rPr>
          <w:rFonts w:ascii="Arial" w:cs="Arial" w:eastAsia="Arial" w:hAnsi="Arial"/>
          <w:sz w:val="12"/>
          <w:szCs w:val="12"/>
          <w:color w:val="008000"/>
        </w:rPr>
      </w:pPr>
    </w:p>
    <w:p>
      <w:pPr>
        <w:ind w:left="20" w:right="160"/>
        <w:spacing w:after="0" w:line="263" w:lineRule="auto"/>
        <w:tabs>
          <w:tab w:leader="none" w:pos="21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("PRSU") represents the right to receive, following vesting, a percentage of one share of common stock based upon the achievement of pre-established performance goals related to High Value NAND delivery and solutions over a 3-year performance period beginning September 3, 2021 and ending August 29, 2024 (subject to a 200% aggregate limit on the total target shares that may be received under the PRSUs awarded on October 13, 2021), and certification of such performance by the Compensation Committee.</w:t>
      </w:r>
    </w:p>
    <w:p>
      <w:pPr>
        <w:spacing w:after="0" w:line="16" w:lineRule="exact"/>
        <w:rPr>
          <w:rFonts w:ascii="Arial" w:cs="Arial" w:eastAsia="Arial" w:hAnsi="Arial"/>
          <w:sz w:val="12"/>
          <w:szCs w:val="12"/>
          <w:color w:val="008000"/>
        </w:rPr>
      </w:pPr>
    </w:p>
    <w:p>
      <w:pPr>
        <w:ind w:left="20" w:right="160"/>
        <w:spacing w:after="0" w:line="263" w:lineRule="auto"/>
        <w:tabs>
          <w:tab w:leader="none" w:pos="20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("PRSU") represents the right to receive, following vesting, a percentage of one share of common stock based upon the achievement of pre-established performance goals related to relative total shareholder return over a 3-year performance period beginning September 3, 2021 and ending August 29, 2024 (subject to a 200% aggregate limit on the total target shares that may be received under the PRSUs awarded on October 13, 2021), and certification of such performance by the Compensation Committee.</w:t>
      </w:r>
    </w:p>
    <w:p>
      <w:pPr>
        <w:spacing w:after="0" w:line="16" w:lineRule="exact"/>
        <w:rPr>
          <w:rFonts w:ascii="Arial" w:cs="Arial" w:eastAsia="Arial" w:hAnsi="Arial"/>
          <w:sz w:val="12"/>
          <w:szCs w:val="12"/>
          <w:color w:val="008000"/>
        </w:rPr>
      </w:pPr>
    </w:p>
    <w:p>
      <w:pPr>
        <w:ind w:left="220" w:hanging="200"/>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Mai Lan Bui, Attorney-in-fact</w:t>
            </w:r>
          </w:p>
        </w:tc>
        <w:tc>
          <w:tcPr>
            <w:tcW w:w="2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10/17/2023</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480" w:top="186" w:right="37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17" w:lineRule="exact"/>
        <w:rPr>
          <w:sz w:val="20"/>
          <w:szCs w:val="20"/>
          <w:color w:val="auto"/>
        </w:rPr>
      </w:pPr>
    </w:p>
    <w:p>
      <w:pPr>
        <w:ind w:right="2759" w:firstLine="496"/>
        <w:spacing w:after="0" w:line="269" w:lineRule="auto"/>
        <w:rPr>
          <w:sz w:val="20"/>
          <w:szCs w:val="20"/>
          <w:color w:val="auto"/>
        </w:rPr>
      </w:pPr>
      <w:r>
        <w:rPr>
          <w:rFonts w:ascii="Courier New" w:cs="Courier New" w:eastAsia="Courier New" w:hAnsi="Courier New"/>
          <w:sz w:val="15"/>
          <w:szCs w:val="15"/>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1" w:lineRule="exact"/>
        <w:rPr>
          <w:sz w:val="20"/>
          <w:szCs w:val="20"/>
          <w:color w:val="auto"/>
        </w:rPr>
      </w:pPr>
    </w:p>
    <w:p>
      <w:pPr>
        <w:ind w:right="3359" w:firstLine="2"/>
        <w:spacing w:after="0" w:line="237" w:lineRule="auto"/>
        <w:tabs>
          <w:tab w:leader="none" w:pos="79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17"/>
          <w:szCs w:val="17"/>
          <w:color w:val="auto"/>
        </w:rPr>
      </w:pPr>
    </w:p>
    <w:p>
      <w:pPr>
        <w:ind w:right="3959"/>
        <w:spacing w:after="0" w:line="269" w:lineRule="auto"/>
        <w:rPr>
          <w:rFonts w:ascii="Courier New" w:cs="Courier New" w:eastAsia="Courier New" w:hAnsi="Courier New"/>
          <w:sz w:val="17"/>
          <w:szCs w:val="17"/>
          <w:color w:val="auto"/>
        </w:rPr>
      </w:pPr>
      <w:r>
        <w:rPr>
          <w:rFonts w:ascii="Courier New" w:cs="Courier New" w:eastAsia="Courier New" w:hAnsi="Courier New"/>
          <w:sz w:val="15"/>
          <w:szCs w:val="15"/>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ind w:right="3659" w:firstLine="2"/>
        <w:spacing w:after="0" w:line="237" w:lineRule="auto"/>
        <w:tabs>
          <w:tab w:leader="none" w:pos="79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2" w:lineRule="exact"/>
        <w:rPr>
          <w:rFonts w:ascii="Courier New" w:cs="Courier New" w:eastAsia="Courier New" w:hAnsi="Courier New"/>
          <w:sz w:val="17"/>
          <w:szCs w:val="17"/>
          <w:color w:val="auto"/>
        </w:rPr>
      </w:pPr>
    </w:p>
    <w:p>
      <w:pPr>
        <w:ind w:left="50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ind w:right="3259"/>
        <w:spacing w:after="0" w:line="269" w:lineRule="auto"/>
        <w:rPr>
          <w:rFonts w:ascii="Courier New" w:cs="Courier New" w:eastAsia="Courier New" w:hAnsi="Courier New"/>
          <w:sz w:val="17"/>
          <w:szCs w:val="17"/>
          <w:color w:val="auto"/>
        </w:rPr>
      </w:pPr>
      <w:r>
        <w:rPr>
          <w:rFonts w:ascii="Courier New" w:cs="Courier New" w:eastAsia="Courier New" w:hAnsi="Courier New"/>
          <w:sz w:val="15"/>
          <w:szCs w:val="15"/>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ind w:right="2959" w:firstLine="496"/>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1" w:lineRule="exact"/>
        <w:rPr>
          <w:rFonts w:ascii="Courier New" w:cs="Courier New" w:eastAsia="Courier New" w:hAnsi="Courier New"/>
          <w:sz w:val="17"/>
          <w:szCs w:val="17"/>
          <w:color w:val="auto"/>
        </w:rPr>
      </w:pPr>
    </w:p>
    <w:p>
      <w:pPr>
        <w:ind w:right="3159" w:firstLine="496"/>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3" w:lineRule="exact"/>
        <w:rPr>
          <w:rFonts w:ascii="Courier New" w:cs="Courier New" w:eastAsia="Courier New" w:hAnsi="Courier New"/>
          <w:sz w:val="17"/>
          <w:szCs w:val="17"/>
          <w:color w:val="auto"/>
        </w:rPr>
      </w:pPr>
    </w:p>
    <w:p>
      <w:pPr>
        <w:ind w:right="3559" w:firstLine="496"/>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13th day of April, 2023. Signature:__/s/ April Arnzen__________________</w:t>
      </w:r>
    </w:p>
    <w:p>
      <w:pPr>
        <w:spacing w:after="0" w:line="1" w:lineRule="exact"/>
        <w:rPr>
          <w:rFonts w:ascii="Courier New" w:cs="Courier New" w:eastAsia="Courier New" w:hAnsi="Courier New"/>
          <w:sz w:val="17"/>
          <w:szCs w:val="17"/>
          <w:color w:val="auto"/>
        </w:rPr>
      </w:pPr>
    </w:p>
    <w:p>
      <w:pPr>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April Arnzen</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32063"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2023-10-17T19:20:09Z</dcterms:created>
  <dcterms:modified xsi:type="dcterms:W3CDTF">2023-10-17T19:20:09Z</dcterms:modified>
</cp:coreProperties>
</file>