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2007</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ind w:left="540" w:right="241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NONE PLEASE NOTE: Capital Research and Management Company (CRMC) manages assets subject to reporting on Schedule 13G through two investment divisions, Capital Research Global Investors (CRGI) and Capital World Investors (CWI). CRGI and CWI make independent investment and proxy voting decisions, and therefore have begun filing separate ownership reports on Schedule 13G reflecting December 31, 2007 holdings in lieu of CRMC filing. As CRMC is no longer subject to a reporting requirement, it is filing reports indicating 0% ownership to close out its holdings and will cease making future filings as an entity. Note that CRGI and/or CWI may not have made filings for certain securities held as of December 31, 2007 because</w:t>
      </w:r>
    </w:p>
    <w:p>
      <w:pPr>
        <w:spacing w:after="0" w:line="189" w:lineRule="exact"/>
        <w:rPr>
          <w:sz w:val="20"/>
          <w:szCs w:val="20"/>
          <w:color w:val="auto"/>
        </w:rPr>
      </w:pPr>
    </w:p>
    <w:p>
      <w:pPr>
        <w:ind w:left="540" w:right="3159"/>
        <w:spacing w:after="0" w:line="235" w:lineRule="auto"/>
        <w:rPr>
          <w:sz w:val="20"/>
          <w:szCs w:val="20"/>
          <w:color w:val="auto"/>
        </w:rPr>
      </w:pPr>
      <w:r>
        <w:rPr>
          <w:rFonts w:ascii="Courier New" w:cs="Courier New" w:eastAsia="Courier New" w:hAnsi="Courier New"/>
          <w:sz w:val="18"/>
          <w:szCs w:val="18"/>
          <w:color w:val="auto"/>
        </w:rPr>
        <w:t>one or both divisions did not have a reporting obligation with respect to such securities.</w:t>
      </w:r>
    </w:p>
    <w:p>
      <w:pPr>
        <w:spacing w:after="0" w:line="6"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See explanation in Row 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2 of 5</w:t>
      </w:r>
    </w:p>
    <w:p>
      <w:pPr>
        <w:spacing w:after="0" w:line="207" w:lineRule="exact"/>
        <w:rPr>
          <w:sz w:val="20"/>
          <w:szCs w:val="20"/>
          <w:color w:val="auto"/>
        </w:rPr>
      </w:pPr>
    </w:p>
    <w:p>
      <w:pPr>
        <w:ind w:left="540" w:right="515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142"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595112103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w:t>
      </w:r>
    </w:p>
    <w:p>
      <w:pPr>
        <w:spacing w:after="0" w:line="200" w:lineRule="exact"/>
        <w:rPr>
          <w:sz w:val="20"/>
          <w:szCs w:val="20"/>
          <w:color w:val="auto"/>
        </w:rPr>
      </w:pPr>
    </w:p>
    <w:p>
      <w:pPr>
        <w:sectPr>
          <w:pgSz w:w="11900" w:h="16838" w:orient="portrait"/>
          <w:cols w:equalWidth="0" w:num="2">
            <w:col w:w="6020" w:space="720"/>
            <w:col w:w="3479"/>
          </w:cols>
          <w:pgMar w:left="240" w:top="1440" w:right="1440" w:bottom="0" w:gutter="0" w:footer="0" w:header="0"/>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10</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Boise, ID 83707-0006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40"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3479" w:hanging="535"/>
        <w:spacing w:after="0" w:line="235" w:lineRule="auto"/>
        <w:tabs>
          <w:tab w:leader="none" w:pos="170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1480" w:hanging="735"/>
        <w:spacing w:after="0"/>
        <w:tabs>
          <w:tab w:leader="none" w:pos="1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ectPr>
          <w:pgSz w:w="11900" w:h="16838" w:orient="portrait"/>
          <w:cols w:equalWidth="0" w:num="1">
            <w:col w:w="10219"/>
          </w:cols>
          <w:pgMar w:left="240" w:top="1440" w:right="1440" w:bottom="0" w:gutter="0" w:footer="0" w:header="0"/>
          <w:type w:val="continuous"/>
        </w:sectPr>
      </w:pPr>
    </w:p>
    <w:bookmarkStart w:id="3" w:name="page4"/>
    <w:bookmarkEnd w:id="3"/>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4 of 5</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13, 2008</w:t>
      </w:r>
    </w:p>
    <w:p>
      <w:pPr>
        <w:spacing w:after="0" w:line="200" w:lineRule="exact"/>
        <w:rPr>
          <w:sz w:val="20"/>
          <w:szCs w:val="20"/>
          <w:color w:val="auto"/>
        </w:rPr>
      </w:pPr>
    </w:p>
    <w:p>
      <w:pPr>
        <w:sectPr>
          <w:pgSz w:w="11900" w:h="16838" w:orient="portrait"/>
          <w:cols w:equalWidth="0" w:num="2">
            <w:col w:w="1720" w:space="720"/>
            <w:col w:w="7779"/>
          </w:cols>
          <w:pgMar w:left="240" w:top="339"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 Vice Chairman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pacing w:after="0" w:line="200" w:lineRule="exact"/>
        <w:rPr>
          <w:sz w:val="20"/>
          <w:szCs w:val="20"/>
          <w:color w:val="auto"/>
        </w:rPr>
      </w:pPr>
    </w:p>
    <w:p>
      <w:pPr>
        <w:sectPr>
          <w:pgSz w:w="11900" w:h="16838" w:orient="portrait"/>
          <w:cols w:equalWidth="0" w:num="2">
            <w:col w:w="2000" w:space="440"/>
            <w:col w:w="7779"/>
          </w:cols>
          <w:pgMar w:left="240" w:top="33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Michele Y. Yang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Michele Y. Yang</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339" w:right="1440" w:bottom="1440" w:gutter="0" w:footer="0" w:header="0"/>
          <w:type w:val="continuous"/>
        </w:sectPr>
      </w:pPr>
    </w:p>
    <w:p>
      <w:pPr>
        <w:spacing w:after="0" w:line="7"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Research and Management Company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595112103</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8"/>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1"/>
      <w:numFmt w:val="decimal"/>
      <w:start w:val="10"/>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lowerLetter"/>
      <w:start w:val="5"/>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2019-12-13T12:59:13Z</dcterms:created>
  <dcterms:modified xsi:type="dcterms:W3CDTF">2019-12-13T12:59:13Z</dcterms:modified>
</cp:coreProperties>
</file>